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i w:val="0"/>
          <w:color w:val="000000"/>
          <w:sz w:val="24"/>
        </w:rPr>
      </w:r>
    </w:p>
    <w:p>
      <w:pPr>
        <w:spacing w:after="240"/>
        <w:jc w:val="center"/>
      </w:pPr>
      <w:r>
        <w:rPr>
          <w:rFonts w:ascii="Times New Roman" w:hAnsi="Times New Roman"/>
          <w:b/>
          <w:i w:val="0"/>
          <w:color w:val="0B3D91"/>
          <w:sz w:val="72"/>
        </w:rPr>
        <w:t>LIVRE TECHNIQUE</w:t>
        <w:br/>
        <w:t>DE PHARMACOLOGIE CLINIQUE</w:t>
      </w:r>
    </w:p>
    <w:p>
      <w:pPr>
        <w:spacing w:before="240" w:after="120"/>
        <w:jc w:val="center"/>
      </w:pPr>
      <w:r>
        <w:rPr>
          <w:rFonts w:ascii="Times New Roman" w:hAnsi="Times New Roman"/>
          <w:b/>
          <w:i w:val="0"/>
          <w:color w:val="8B0000"/>
          <w:sz w:val="56"/>
        </w:rPr>
        <w:t>RADIOLOGIE &amp; PRODUITS DE CONTRASTE</w:t>
      </w:r>
    </w:p>
    <w:p>
      <w:pPr>
        <w:jc w:val="center"/>
      </w:pPr>
      <w:r>
        <w:rPr>
          <w:rFonts w:ascii="Times New Roman" w:hAnsi="Times New Roman"/>
          <w:b w:val="0"/>
          <w:i/>
          <w:color w:val="606060"/>
          <w:sz w:val="40"/>
        </w:rPr>
        <w:t>en Algérie</w:t>
      </w:r>
    </w:p>
    <w:p>
      <w:pPr>
        <w:spacing w:before="400" w:after="400"/>
        <w:jc w:val="center"/>
      </w:pPr>
      <w:r>
        <w:rPr>
          <w:rFonts w:ascii="Times New Roman" w:hAnsi="Times New Roman"/>
          <w:b/>
          <w:i w:val="0"/>
          <w:color w:val="0B3D91"/>
          <w:sz w:val="28"/>
        </w:rPr>
        <w:t>━━━━━━━━━━━━━━━━━━━━━━━━━━━━━━</w:t>
      </w:r>
    </w:p>
    <w:p>
      <w:pPr>
        <w:jc w:val="center"/>
      </w:pPr>
      <w:r>
        <w:rPr>
          <w:rFonts w:ascii="Times New Roman" w:hAnsi="Times New Roman"/>
          <w:b/>
          <w:i w:val="0"/>
          <w:color w:val="1F4E79"/>
          <w:sz w:val="36"/>
        </w:rPr>
        <w:t>Fascicule XXI</w:t>
      </w:r>
    </w:p>
    <w:p>
      <w:pPr>
        <w:jc w:val="center"/>
      </w:pPr>
      <w:r>
        <w:rPr>
          <w:rFonts w:ascii="Times New Roman" w:hAnsi="Times New Roman"/>
          <w:b w:val="0"/>
          <w:i/>
          <w:color w:val="606060"/>
          <w:sz w:val="28"/>
        </w:rPr>
        <w:t>Radiologie &amp; Produits de Contraste</w:t>
      </w:r>
    </w:p>
    <w:p>
      <w:pPr>
        <w:spacing w:before="1600"/>
        <w:jc w:val="center"/>
      </w:pPr>
      <w:r>
        <w:rPr>
          <w:rFonts w:ascii="Times New Roman" w:hAnsi="Times New Roman"/>
          <w:b/>
          <w:i w:val="0"/>
          <w:color w:val="000000"/>
          <w:sz w:val="24"/>
        </w:rPr>
      </w:r>
    </w:p>
    <w:p>
      <w:pPr>
        <w:jc w:val="center"/>
      </w:pPr>
      <w:r>
        <w:rPr>
          <w:rFonts w:ascii="Times New Roman" w:hAnsi="Times New Roman"/>
          <w:b w:val="0"/>
          <w:i w:val="0"/>
          <w:color w:val="404040"/>
          <w:sz w:val="24"/>
        </w:rPr>
        <w:t>Manuel académique et pratique pour étudiants en pharmacie d'officine</w:t>
      </w:r>
    </w:p>
    <w:p>
      <w:pPr>
        <w:jc w:val="center"/>
      </w:pPr>
      <w:r>
        <w:rPr>
          <w:rFonts w:ascii="Times New Roman" w:hAnsi="Times New Roman"/>
          <w:b w:val="0"/>
          <w:i/>
          <w:color w:val="606060"/>
          <w:sz w:val="22"/>
        </w:rPr>
        <w:t>Basé sur la nomenclature officielle des médicaments enregistrés en Algérie (Avril 2026)</w:t>
      </w:r>
    </w:p>
    <w:p>
      <w:pPr>
        <w:spacing w:before="1200"/>
        <w:jc w:val="center"/>
      </w:pPr>
      <w:r>
        <w:rPr>
          <w:rFonts w:ascii="Times New Roman" w:hAnsi="Times New Roman"/>
          <w:b/>
          <w:i w:val="0"/>
          <w:color w:val="000000"/>
          <w:sz w:val="24"/>
        </w:rPr>
      </w:r>
    </w:p>
    <w:p>
      <w:pPr>
        <w:jc w:val="center"/>
      </w:pPr>
      <w:r>
        <w:rPr>
          <w:rFonts w:ascii="Times New Roman" w:hAnsi="Times New Roman"/>
          <w:b/>
          <w:i w:val="0"/>
          <w:color w:val="0B3D91"/>
          <w:sz w:val="22"/>
        </w:rPr>
        <w:t>14 DCI traitées  •  25+ spécialités commerciales  •  5 sous-classes pharmacologiques</w:t>
      </w:r>
    </w:p>
    <w:p>
      <w:pPr>
        <w:spacing w:before="1600"/>
        <w:jc w:val="center"/>
      </w:pPr>
      <w:r>
        <w:rPr>
          <w:rFonts w:ascii="Times New Roman" w:hAnsi="Times New Roman"/>
          <w:b/>
          <w:i w:val="0"/>
          <w:color w:val="000000"/>
          <w:sz w:val="24"/>
        </w:rPr>
      </w:r>
    </w:p>
    <w:p>
      <w:pPr>
        <w:jc w:val="center"/>
      </w:pPr>
      <w:r>
        <w:rPr>
          <w:rFonts w:ascii="Times New Roman" w:hAnsi="Times New Roman"/>
          <w:b/>
          <w:i w:val="0"/>
          <w:color w:val="404040"/>
          <w:sz w:val="28"/>
        </w:rPr>
        <w:t>Édition : 28 août 2026</w:t>
      </w:r>
    </w:p>
    <w:p>
      <w:pPr>
        <w:jc w:val="center"/>
      </w:pPr>
      <w:r>
        <w:rPr>
          <w:rFonts w:ascii="Times New Roman" w:hAnsi="Times New Roman"/>
          <w:b/>
          <w:i w:val="0"/>
          <w:color w:val="404040"/>
          <w:sz w:val="26"/>
        </w:rPr>
        <w:t>Version : v1</w:t>
      </w:r>
    </w:p>
    <w:p>
      <w:pPr>
        <w:spacing w:before="1600"/>
        <w:jc w:val="center"/>
      </w:pPr>
      <w:r>
        <w:rPr>
          <w:rFonts w:ascii="Times New Roman" w:hAnsi="Times New Roman"/>
          <w:b/>
          <w:i w:val="0"/>
          <w:color w:val="000000"/>
          <w:sz w:val="24"/>
        </w:rPr>
      </w:r>
    </w:p>
    <w:p>
      <w:pPr>
        <w:jc w:val="center"/>
      </w:pPr>
      <w:r>
        <w:rPr>
          <w:rFonts w:ascii="Times New Roman" w:hAnsi="Times New Roman"/>
          <w:b w:val="0"/>
          <w:i/>
          <w:color w:val="808080"/>
          <w:sz w:val="18"/>
        </w:rPr>
        <w:t>Sources : ESUR • ACR • EMA • FDA • CRAT • VIDAL • ANSM • Thériaque • Nomenclature Algérie Avril 2026</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XXI : Radiologie &amp; Produits de Contraste</w:t>
      </w:r>
    </w:p>
    <w:p>
      <w:pPr>
        <w:pStyle w:val="Heading2"/>
      </w:pPr>
      <w:r>
        <w:t>Avant-propos et méthodologie du Fascicule XXI</w:t>
      </w:r>
    </w:p>
    <w:p>
      <w:pPr>
        <w:pStyle w:val="Heading3"/>
      </w:pPr>
      <w:r>
        <w:t>1. Objet et portée du fascicule</w:t>
      </w:r>
    </w:p>
    <w:p>
      <w:r>
        <w:t>Le présent fascicule constitue le vingt-et-unième volet du traité technique de pharmacologie clinique destiné aux étudiants en pharmacie d'officine et aux praticiens exerçant sur le territoire algérien. Il traite de manière exhaustive les produits de contraste iodés et chélates de gadolinium enregistrés auprès du Ministère de la Santé algérien, en intégrant les recommandations internationales (ESUR, ACR, EMA, FDA) et les particularités de la nomenclature officielle algérienne (Avril 2026).</w:t>
      </w:r>
    </w:p>
    <w:p>
      <w:r>
        <w:t xml:space="preserve">La base réglementaire de référence utilisée est le fichier officiel </w:t>
      </w:r>
      <w:r>
        <w:rPr>
          <w:b/>
        </w:rPr>
        <w:t>« COMPLETE LISTE.xlsx »</w:t>
      </w:r>
      <w:r>
        <w:t xml:space="preserve"> (nomenclature algérienne Avril 2026), qui recense l'ensemble des spécialités commerciales disposant d'une autorisation de mise sur le marché (AMM), qu'elles soient actives, non renouvelées ou retirées. L'analyse des statuts réglementaires permet de cartographier le paysage thérapeutique radiologique réellement disponible à l'officine et à l'hôpital en Algérie.</w:t>
      </w:r>
    </w:p>
    <w:p>
      <w:pPr>
        <w:pStyle w:val="Heading3"/>
      </w:pPr>
      <w:r>
        <w:t>2. Contexte épidémiologique et pratique radiologique algérien</w:t>
      </w:r>
    </w:p>
    <w:p>
      <w:r>
        <w:t>L'imagerie médicale en Algérie a connu une expansion remarquable durant les deux dernières décennies, avec un parc d'équipements en croissance constante dans les secteurs public et privé. On recense aujourd'hui plus de 1 200 scanners multidétecteurs, environ 350 IRM actives (dont 60 % dans le secteur privé), et un nombre croissant de salles d'interventionnel cardiovasculaire et neuroradiologique. Cette montée en charge s'accompagne d'une consommation annuelle estimée à plus de 800 000 injections de produits de contraste iodés et de 150 000 injections de chélates de gadolinium.</w:t>
      </w:r>
    </w:p>
    <w:p>
      <w:r>
        <w:t>Cette augmentation volumétrique expose mécaniquement à une élévation du nombre d'effets indésirables : réactions d'hypersensibilité immédiates, nephropathie post-contraste, fibrose systémique néphrogénique (NSF) historiquement imputée aux chélates linéaires, dysthyroïdies iodo-induites et troubles de la fonction rénale aiguë. Le pharmacien d'officine joue un rôle pivot dans la préparation du patient à un examen radiologique programmé : vérification de la fonction rénale (créatininémie, eGFR), gestion de la metformine, dépistage des allergies préexistantes, consignes d'hydratation, et reconnaissance des signes d'alerte à signaler en post-examen.</w:t>
      </w:r>
    </w:p>
    <w:p>
      <w:pPr>
        <w:pStyle w:val="Heading3"/>
      </w:pPr>
      <w:r>
        <w:t>3. Architecture du fascicule et classification retenue</w:t>
      </w:r>
    </w:p>
    <w:p>
      <w:r>
        <w:t xml:space="preserve">Ce fascicule couvre </w:t>
      </w:r>
      <w:r>
        <w:rPr>
          <w:b/>
        </w:rPr>
        <w:t>14 DCI</w:t>
      </w:r>
      <w:r>
        <w:t xml:space="preserve"> réparties sur </w:t>
      </w:r>
      <w:r>
        <w:rPr>
          <w:b/>
        </w:rPr>
        <w:t>5 sous-classes pharmacologiques</w:t>
      </w:r>
      <w:r>
        <w:t xml:space="preserve"> majeures :</w:t>
      </w:r>
    </w:p>
    <w:p>
      <w:pPr>
        <w:pStyle w:val="ListNumber"/>
      </w:pPr>
      <w:r/>
      <w:r>
        <w:rPr>
          <w:b/>
        </w:rPr>
        <w:t>Gadolinium chélates macrocycliques</w:t>
      </w:r>
      <w:r>
        <w:t xml:space="preserve"> (sécurité rénale optimale) — 2 DCI : Acide gadotérique, Gadobutrol</w:t>
      </w:r>
    </w:p>
    <w:p>
      <w:pPr>
        <w:pStyle w:val="ListNumber"/>
      </w:pPr>
      <w:r/>
      <w:r>
        <w:rPr>
          <w:b/>
        </w:rPr>
        <w:t>Gadolinium chélates linéaires</w:t>
      </w:r>
      <w:r>
        <w:t xml:space="preserve"> (RETRAIT — risque NSF) — 2 DCI : Gadopentate de dimeglumine, Gadodiamide</w:t>
      </w:r>
    </w:p>
    <w:p>
      <w:pPr>
        <w:pStyle w:val="ListNumber"/>
      </w:pPr>
      <w:r/>
      <w:r>
        <w:rPr>
          <w:b/>
        </w:rPr>
        <w:t>Contrastes iodés ioniques</w:t>
      </w:r>
      <w:r>
        <w:t xml:space="preserve"> — 2 DCI : Amidotrizoate de sodium/méglumine, Ioxaglate de sodium et de méglumine</w:t>
      </w:r>
    </w:p>
    <w:p>
      <w:pPr>
        <w:pStyle w:val="ListNumber"/>
      </w:pPr>
      <w:r/>
      <w:r>
        <w:rPr>
          <w:b/>
        </w:rPr>
        <w:t>Contrastes iodés non-ioniques monomères</w:t>
      </w:r>
      <w:r>
        <w:t xml:space="preserve"> — 6 DCI : Iohexol, Iopamidol, Iopamidol en iode élément, Iopromide, Iobitridol, Ioversol</w:t>
      </w:r>
    </w:p>
    <w:p>
      <w:pPr>
        <w:pStyle w:val="ListNumber"/>
      </w:pPr>
      <w:r/>
      <w:r>
        <w:rPr>
          <w:b/>
        </w:rPr>
        <w:t>Contrastes iodés non-ioniques dimères</w:t>
      </w:r>
      <w:r>
        <w:t xml:space="preserve"> — 1 DCI : Iodixanol</w:t>
      </w:r>
    </w:p>
    <w:p>
      <w:r>
        <w:t>Cette classification suit la nomenclature ATC (sous-groupe V08 — Produits de contraste radiologique) et reflète la distinction structurale fondamentale qui gouverne la tolérance de ces molécules : (i) pour le gadolinium, la stabilité thermodynamique et cinétique du chélate (macrocyclique &gt; linéaire) ; (ii) pour l'iode, la nature ionique/non-ionique et monomère/dimère qui conditionne l'osmolalité et la chimiotoxicité.</w:t>
      </w:r>
    </w:p>
    <w:p>
      <w:pPr>
        <w:pStyle w:val="Heading3"/>
      </w:pPr>
      <w:r>
        <w:t>4. Méthodologie de rédaction des fiches DCI</w:t>
      </w:r>
    </w:p>
    <w:p>
      <w:r>
        <w:t>Chaque fiche DCI est construite selon une grille de lecture standardisée en 12 sous-sections obligatoires, garantissant l'exhaustivité et la cohérence avec les fascicules antérieurs de la collection :</w:t>
      </w:r>
    </w:p>
    <w:p>
      <w:pPr>
        <w:pStyle w:val="ListNumber"/>
      </w:pPr>
      <w:r/>
      <w:r>
        <w:rPr>
          <w:b/>
        </w:rPr>
        <w:t>Liste des catégories thérapeutiques</w:t>
      </w:r>
      <w:r>
        <w:t xml:space="preserve"> (code ATC, classification chimico-pharmacologique)</w:t>
      </w:r>
    </w:p>
    <w:p>
      <w:pPr>
        <w:pStyle w:val="ListNumber"/>
      </w:pPr>
      <w:r/>
      <w:r>
        <w:rPr>
          <w:b/>
        </w:rPr>
        <w:t>Médicaments disponibles en Algérie</w:t>
      </w:r>
      <w:r>
        <w:t xml:space="preserve"> (tableau exhaustif des spécialités avec statut ACTIF/NON_RENOUVELABLE/RETRAIT)</w:t>
      </w:r>
    </w:p>
    <w:p>
      <w:pPr>
        <w:pStyle w:val="ListNumber"/>
      </w:pPr>
      <w:r/>
      <w:r>
        <w:rPr>
          <w:b/>
        </w:rPr>
        <w:t>Sous-classe et mécanisme d'action moléculaire</w:t>
      </w:r>
      <w:r/>
    </w:p>
    <w:p>
      <w:pPr>
        <w:pStyle w:val="ListNumber"/>
      </w:pPr>
      <w:r/>
      <w:r>
        <w:rPr>
          <w:b/>
        </w:rPr>
        <w:t>Profil pharmacologique</w:t>
      </w:r>
      <w:r>
        <w:t xml:space="preserve"> (indications, contre-indications, effets indésirables)</w:t>
      </w:r>
    </w:p>
    <w:p>
      <w:pPr>
        <w:pStyle w:val="ListNumber"/>
      </w:pPr>
      <w:r/>
      <w:r>
        <w:rPr>
          <w:b/>
        </w:rPr>
        <w:t>Prévention et gestion des effets indésirables</w:t>
      </w:r>
      <w:r/>
    </w:p>
    <w:p>
      <w:pPr>
        <w:pStyle w:val="ListNumber"/>
      </w:pPr>
      <w:r/>
      <w:r>
        <w:rPr>
          <w:b/>
        </w:rPr>
        <w:t>Interactions médicamenteuses</w:t>
      </w:r>
      <w:r>
        <w:t xml:space="preserve"> (en particulier metformine et antidiabétiques)</w:t>
      </w:r>
    </w:p>
    <w:p>
      <w:pPr>
        <w:pStyle w:val="ListNumber"/>
      </w:pPr>
      <w:r/>
      <w:r>
        <w:rPr>
          <w:b/>
        </w:rPr>
        <w:t>Grossesse et allaitement (CRAT)</w:t>
      </w:r>
      <w:r>
        <w:t xml:space="preserve"> (recommandations du Centre de Renseignements sur les Agents Tératogènes)</w:t>
      </w:r>
    </w:p>
    <w:p>
      <w:pPr>
        <w:pStyle w:val="ListNumber"/>
      </w:pPr>
      <w:r/>
      <w:r>
        <w:rPr>
          <w:b/>
        </w:rPr>
        <w:t>Posologie et mode d'administration</w:t>
      </w:r>
      <w:r/>
    </w:p>
    <w:p>
      <w:pPr>
        <w:pStyle w:val="ListNumber"/>
      </w:pPr>
      <w:r/>
      <w:r>
        <w:rPr>
          <w:b/>
        </w:rPr>
        <w:t>Arbitrage et bénéfices des formes galéniques</w:t>
      </w:r>
      <w:r/>
    </w:p>
    <w:p>
      <w:pPr>
        <w:pStyle w:val="ListNumber"/>
      </w:pPr>
      <w:r/>
      <w:r>
        <w:rPr>
          <w:b/>
        </w:rPr>
        <w:t>Instructions et conseils au patient</w:t>
      </w:r>
      <w:r/>
    </w:p>
    <w:p>
      <w:pPr>
        <w:pStyle w:val="ListNumber"/>
      </w:pPr>
      <w:r/>
      <w:r>
        <w:rPr>
          <w:b/>
        </w:rPr>
        <w:t>Notes, règles d'or et pièges au comptoir</w:t>
      </w:r>
      <w:r/>
    </w:p>
    <w:p>
      <w:pPr>
        <w:pStyle w:val="ListNumber"/>
      </w:pPr>
      <w:r/>
      <w:r>
        <w:rPr>
          <w:b/>
        </w:rPr>
        <w:t>Tableau comparatif de sous-classe</w:t>
      </w:r>
      <w:r>
        <w:t xml:space="preserve"> (présent en fin de chaque groupe pharmacologique)</w:t>
      </w:r>
    </w:p>
    <w:p>
      <w:r>
        <w:t>Chaque paragraphe vise une densité clinique maximale (3 à 5 phrases minimum) avec citation des seuils chiffrés, des protocoles d'hydratation et des algorithmes décisionnels validés par les sociétés savantes.</w:t>
      </w:r>
    </w:p>
    <w:p>
      <w:pPr>
        <w:pStyle w:val="Heading3"/>
      </w:pPr>
      <w:r>
        <w:t>5. Sources et références mobilisées</w:t>
      </w:r>
    </w:p>
    <w:p>
      <w:r>
        <w:t>Les sources académiques principales mobilisées tout au long de ce fascicule sont les suivantes :</w:t>
      </w:r>
    </w:p>
    <w:p>
      <w:pPr>
        <w:pStyle w:val="ListBullet"/>
      </w:pPr>
      <w:r/>
      <w:r>
        <w:rPr>
          <w:b/>
        </w:rPr>
        <w:t>ESUR (European Society of Urogenital Radiology)</w:t>
      </w:r>
      <w:r>
        <w:t xml:space="preserve"> — Guidelines on Contrast Media, version 10.0 (2018, mises à jour 2024) : référentiel européen de référence pour la prévention des néphropathies post-contraste et de la NSF.</w:t>
      </w:r>
    </w:p>
    <w:p>
      <w:pPr>
        <w:pStyle w:val="ListBullet"/>
      </w:pPr>
      <w:r/>
      <w:r>
        <w:rPr>
          <w:b/>
        </w:rPr>
        <w:t>ACR (American College of Radiology)</w:t>
      </w:r>
      <w:r>
        <w:t xml:space="preserve"> — Manual on Contrast Media, version 2024 : référentiel nord-américain complémentaire, notamment pour les algorithmes métformine et les protocoles d'hydratation.</w:t>
      </w:r>
    </w:p>
    <w:p>
      <w:pPr>
        <w:pStyle w:val="ListBullet"/>
      </w:pPr>
      <w:r/>
      <w:r>
        <w:rPr>
          <w:b/>
        </w:rPr>
        <w:t>EMA (European Medicines Agency)</w:t>
      </w:r>
      <w:r>
        <w:t xml:space="preserve"> — Recommandations restrictives sur les chélates de gadolinium linéaires (2017) ayant conduit au retrait du Magnevist, Omniscan et Optimark du marché européen.</w:t>
      </w:r>
    </w:p>
    <w:p>
      <w:pPr>
        <w:pStyle w:val="ListBullet"/>
      </w:pPr>
      <w:r/>
      <w:r>
        <w:rPr>
          <w:b/>
        </w:rPr>
        <w:t>FDA (Food and Drug Administration)</w:t>
      </w:r>
      <w:r>
        <w:t xml:space="preserve"> — Boxed warning sur la rétention cérébrale de gadolinium (2017) et recommandations sur la NSF.</w:t>
      </w:r>
    </w:p>
    <w:p>
      <w:pPr>
        <w:pStyle w:val="ListBullet"/>
      </w:pPr>
      <w:r/>
      <w:r>
        <w:rPr>
          <w:b/>
        </w:rPr>
        <w:t>CRAT (Centre de Renseignements sur les Agents Tératogènes)</w:t>
      </w:r>
      <w:r>
        <w:t xml:space="preserve"> — Données françaises de référence sur la prescription chez la femme enceinte et allaitante.</w:t>
      </w:r>
    </w:p>
    <w:p>
      <w:pPr>
        <w:pStyle w:val="ListBullet"/>
      </w:pPr>
      <w:r/>
      <w:r>
        <w:rPr>
          <w:b/>
        </w:rPr>
        <w:t>VIDAL, ANSM, Thériaque</w:t>
      </w:r>
      <w:r>
        <w:t xml:space="preserve"> — Référentiels français d'information sur le médicament.</w:t>
      </w:r>
    </w:p>
    <w:p>
      <w:pPr>
        <w:pStyle w:val="ListBullet"/>
      </w:pPr>
      <w:r/>
      <w:r>
        <w:rPr>
          <w:b/>
        </w:rPr>
        <w:t>Nomenclature algérienne Avril 2026</w:t>
      </w:r>
      <w:r>
        <w:t xml:space="preserve"> — Source primaire pour les spécialités disponibles en Algérie, leurs laboratoires titulaires, leurs formes, dosages, conditionnements, classement Liste I/II et statut réglementaire.</w:t>
      </w:r>
    </w:p>
    <w:p>
      <w:pPr>
        <w:pStyle w:val="Heading3"/>
      </w:pPr>
      <w:r>
        <w:t>6. Tableau récapitulatif des 14 DCI traitées</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N°</w:t>
            </w:r>
          </w:p>
        </w:tc>
        <w:tc>
          <w:tcPr>
            <w:tcW w:type="dxa" w:w="1662"/>
            <w:shd w:val="clear" w:color="auto" w:fill="F2F2F2"/>
          </w:tcPr>
          <w:p>
            <w:r>
              <w:rPr>
                <w:rFonts w:ascii="Times New Roman" w:hAnsi="Times New Roman"/>
                <w:b/>
                <w:sz w:val="20"/>
              </w:rPr>
              <w:t>DCI</w:t>
            </w:r>
          </w:p>
        </w:tc>
        <w:tc>
          <w:tcPr>
            <w:tcW w:type="dxa" w:w="1662"/>
            <w:shd w:val="clear" w:color="auto" w:fill="F2F2F2"/>
          </w:tcPr>
          <w:p>
            <w:r>
              <w:rPr>
                <w:rFonts w:ascii="Times New Roman" w:hAnsi="Times New Roman"/>
                <w:b/>
                <w:sz w:val="20"/>
              </w:rPr>
              <w:t>Sous-classe</w:t>
            </w:r>
          </w:p>
        </w:tc>
        <w:tc>
          <w:tcPr>
            <w:tcW w:type="dxa" w:w="1662"/>
            <w:shd w:val="clear" w:color="auto" w:fill="F2F2F2"/>
          </w:tcPr>
          <w:p>
            <w:r>
              <w:rPr>
                <w:rFonts w:ascii="Times New Roman" w:hAnsi="Times New Roman"/>
                <w:b/>
                <w:sz w:val="20"/>
              </w:rPr>
              <w:t>Statut Algérie</w:t>
            </w:r>
          </w:p>
        </w:tc>
        <w:tc>
          <w:tcPr>
            <w:tcW w:type="dxa" w:w="1662"/>
            <w:shd w:val="clear" w:color="auto" w:fill="F2F2F2"/>
          </w:tcPr>
          <w:p>
            <w:r>
              <w:rPr>
                <w:rFonts w:ascii="Times New Roman" w:hAnsi="Times New Roman"/>
                <w:b/>
                <w:sz w:val="20"/>
              </w:rPr>
              <w:t>Marques actives</w:t>
            </w:r>
          </w:p>
        </w:tc>
      </w:tr>
      <w:tr>
        <w:tc>
          <w:tcPr>
            <w:tcW w:type="dxa" w:w="1662"/>
          </w:tcPr>
          <w:p>
            <w:r>
              <w:rPr>
                <w:rFonts w:ascii="Times New Roman" w:hAnsi="Times New Roman"/>
                <w:sz w:val="20"/>
              </w:rPr>
              <w:t>1</w:t>
            </w:r>
          </w:p>
        </w:tc>
        <w:tc>
          <w:tcPr>
            <w:tcW w:type="dxa" w:w="1662"/>
          </w:tcPr>
          <w:p>
            <w:r>
              <w:rPr>
                <w:rFonts w:ascii="Times New Roman" w:hAnsi="Times New Roman"/>
                <w:sz w:val="20"/>
              </w:rPr>
              <w:t>Acide gadotérique</w:t>
            </w:r>
          </w:p>
        </w:tc>
        <w:tc>
          <w:tcPr>
            <w:tcW w:type="dxa" w:w="1662"/>
          </w:tcPr>
          <w:p>
            <w:r>
              <w:rPr>
                <w:rFonts w:ascii="Times New Roman" w:hAnsi="Times New Roman"/>
                <w:sz w:val="20"/>
              </w:rPr>
              <w:t>Gd macrocyclique</w:t>
            </w:r>
          </w:p>
        </w:tc>
        <w:tc>
          <w:tcPr>
            <w:tcW w:type="dxa" w:w="1662"/>
          </w:tcPr>
          <w:p>
            <w:r>
              <w:rPr>
                <w:rFonts w:ascii="Times New Roman" w:hAnsi="Times New Roman"/>
                <w:sz w:val="20"/>
              </w:rPr>
              <w:t>ACTIF</w:t>
            </w:r>
          </w:p>
        </w:tc>
        <w:tc>
          <w:tcPr>
            <w:tcW w:type="dxa" w:w="1662"/>
          </w:tcPr>
          <w:p>
            <w:r>
              <w:rPr>
                <w:rFonts w:ascii="Times New Roman" w:hAnsi="Times New Roman"/>
                <w:sz w:val="20"/>
              </w:rPr>
              <w:t>CLARISCAN, DOTAREM</w:t>
            </w:r>
          </w:p>
        </w:tc>
      </w:tr>
      <w:tr>
        <w:tc>
          <w:tcPr>
            <w:tcW w:type="dxa" w:w="1662"/>
          </w:tcPr>
          <w:p>
            <w:r>
              <w:rPr>
                <w:rFonts w:ascii="Times New Roman" w:hAnsi="Times New Roman"/>
                <w:sz w:val="20"/>
              </w:rPr>
              <w:t>2</w:t>
            </w:r>
          </w:p>
        </w:tc>
        <w:tc>
          <w:tcPr>
            <w:tcW w:type="dxa" w:w="1662"/>
          </w:tcPr>
          <w:p>
            <w:r>
              <w:rPr>
                <w:rFonts w:ascii="Times New Roman" w:hAnsi="Times New Roman"/>
                <w:sz w:val="20"/>
              </w:rPr>
              <w:t>Gadobutrol</w:t>
            </w:r>
          </w:p>
        </w:tc>
        <w:tc>
          <w:tcPr>
            <w:tcW w:type="dxa" w:w="1662"/>
          </w:tcPr>
          <w:p>
            <w:r>
              <w:rPr>
                <w:rFonts w:ascii="Times New Roman" w:hAnsi="Times New Roman"/>
                <w:sz w:val="20"/>
              </w:rPr>
              <w:t>Gd macrocyclique</w:t>
            </w:r>
          </w:p>
        </w:tc>
        <w:tc>
          <w:tcPr>
            <w:tcW w:type="dxa" w:w="1662"/>
          </w:tcPr>
          <w:p>
            <w:r>
              <w:rPr>
                <w:rFonts w:ascii="Times New Roman" w:hAnsi="Times New Roman"/>
                <w:sz w:val="20"/>
              </w:rPr>
              <w:t>ACTIF</w:t>
            </w:r>
          </w:p>
        </w:tc>
        <w:tc>
          <w:tcPr>
            <w:tcW w:type="dxa" w:w="1662"/>
          </w:tcPr>
          <w:p>
            <w:r>
              <w:rPr>
                <w:rFonts w:ascii="Times New Roman" w:hAnsi="Times New Roman"/>
                <w:sz w:val="20"/>
              </w:rPr>
              <w:t>GADOVIST</w:t>
            </w:r>
          </w:p>
        </w:tc>
      </w:tr>
      <w:tr>
        <w:tc>
          <w:tcPr>
            <w:tcW w:type="dxa" w:w="1662"/>
          </w:tcPr>
          <w:p>
            <w:r>
              <w:rPr>
                <w:rFonts w:ascii="Times New Roman" w:hAnsi="Times New Roman"/>
                <w:sz w:val="20"/>
              </w:rPr>
              <w:t>3</w:t>
            </w:r>
          </w:p>
        </w:tc>
        <w:tc>
          <w:tcPr>
            <w:tcW w:type="dxa" w:w="1662"/>
          </w:tcPr>
          <w:p>
            <w:r>
              <w:rPr>
                <w:rFonts w:ascii="Times New Roman" w:hAnsi="Times New Roman"/>
                <w:sz w:val="20"/>
              </w:rPr>
              <w:t>Gadopentate de dimeglumine</w:t>
            </w:r>
          </w:p>
        </w:tc>
        <w:tc>
          <w:tcPr>
            <w:tcW w:type="dxa" w:w="1662"/>
          </w:tcPr>
          <w:p>
            <w:r>
              <w:rPr>
                <w:rFonts w:ascii="Times New Roman" w:hAnsi="Times New Roman"/>
                <w:sz w:val="20"/>
              </w:rPr>
              <w:t>Gd linéaire</w:t>
            </w:r>
          </w:p>
        </w:tc>
        <w:tc>
          <w:tcPr>
            <w:tcW w:type="dxa" w:w="1662"/>
          </w:tcPr>
          <w:p>
            <w:r>
              <w:rPr>
                <w:rFonts w:ascii="Times New Roman" w:hAnsi="Times New Roman"/>
                <w:sz w:val="20"/>
              </w:rPr>
              <w:t>RETRAIT</w:t>
            </w:r>
          </w:p>
        </w:tc>
        <w:tc>
          <w:tcPr>
            <w:tcW w:type="dxa" w:w="1662"/>
          </w:tcPr>
          <w:p>
            <w:r>
              <w:rPr>
                <w:rFonts w:ascii="Times New Roman" w:hAnsi="Times New Roman"/>
                <w:sz w:val="20"/>
              </w:rPr>
              <w:t>MAGNEVIST (R)</w:t>
            </w:r>
          </w:p>
        </w:tc>
      </w:tr>
      <w:tr>
        <w:tc>
          <w:tcPr>
            <w:tcW w:type="dxa" w:w="1662"/>
          </w:tcPr>
          <w:p>
            <w:r>
              <w:rPr>
                <w:rFonts w:ascii="Times New Roman" w:hAnsi="Times New Roman"/>
                <w:sz w:val="20"/>
              </w:rPr>
              <w:t>4</w:t>
            </w:r>
          </w:p>
        </w:tc>
        <w:tc>
          <w:tcPr>
            <w:tcW w:type="dxa" w:w="1662"/>
          </w:tcPr>
          <w:p>
            <w:r>
              <w:rPr>
                <w:rFonts w:ascii="Times New Roman" w:hAnsi="Times New Roman"/>
                <w:sz w:val="20"/>
              </w:rPr>
              <w:t>Gadodiamide</w:t>
            </w:r>
          </w:p>
        </w:tc>
        <w:tc>
          <w:tcPr>
            <w:tcW w:type="dxa" w:w="1662"/>
          </w:tcPr>
          <w:p>
            <w:r>
              <w:rPr>
                <w:rFonts w:ascii="Times New Roman" w:hAnsi="Times New Roman"/>
                <w:sz w:val="20"/>
              </w:rPr>
              <w:t>Gd linéaire</w:t>
            </w:r>
          </w:p>
        </w:tc>
        <w:tc>
          <w:tcPr>
            <w:tcW w:type="dxa" w:w="1662"/>
          </w:tcPr>
          <w:p>
            <w:r>
              <w:rPr>
                <w:rFonts w:ascii="Times New Roman" w:hAnsi="Times New Roman"/>
                <w:sz w:val="20"/>
              </w:rPr>
              <w:t>RETRAIT</w:t>
            </w:r>
          </w:p>
        </w:tc>
        <w:tc>
          <w:tcPr>
            <w:tcW w:type="dxa" w:w="1662"/>
          </w:tcPr>
          <w:p>
            <w:r>
              <w:rPr>
                <w:rFonts w:ascii="Times New Roman" w:hAnsi="Times New Roman"/>
                <w:sz w:val="20"/>
              </w:rPr>
              <w:t>OMNISCAN (R)</w:t>
            </w:r>
          </w:p>
        </w:tc>
      </w:tr>
      <w:tr>
        <w:tc>
          <w:tcPr>
            <w:tcW w:type="dxa" w:w="1662"/>
          </w:tcPr>
          <w:p>
            <w:r>
              <w:rPr>
                <w:rFonts w:ascii="Times New Roman" w:hAnsi="Times New Roman"/>
                <w:sz w:val="20"/>
              </w:rPr>
              <w:t>5</w:t>
            </w:r>
          </w:p>
        </w:tc>
        <w:tc>
          <w:tcPr>
            <w:tcW w:type="dxa" w:w="1662"/>
          </w:tcPr>
          <w:p>
            <w:r>
              <w:rPr>
                <w:rFonts w:ascii="Times New Roman" w:hAnsi="Times New Roman"/>
                <w:sz w:val="20"/>
              </w:rPr>
              <w:t>Amidotrizoate Na/Méglumine</w:t>
            </w:r>
          </w:p>
        </w:tc>
        <w:tc>
          <w:tcPr>
            <w:tcW w:type="dxa" w:w="1662"/>
          </w:tcPr>
          <w:p>
            <w:r>
              <w:rPr>
                <w:rFonts w:ascii="Times New Roman" w:hAnsi="Times New Roman"/>
                <w:sz w:val="20"/>
              </w:rPr>
              <w:t>Iodé ionique</w:t>
            </w:r>
          </w:p>
        </w:tc>
        <w:tc>
          <w:tcPr>
            <w:tcW w:type="dxa" w:w="1662"/>
          </w:tcPr>
          <w:p>
            <w:r>
              <w:rPr>
                <w:rFonts w:ascii="Times New Roman" w:hAnsi="Times New Roman"/>
                <w:sz w:val="20"/>
              </w:rPr>
              <w:t>Partiel</w:t>
            </w:r>
          </w:p>
        </w:tc>
        <w:tc>
          <w:tcPr>
            <w:tcW w:type="dxa" w:w="1662"/>
          </w:tcPr>
          <w:p>
            <w:r>
              <w:rPr>
                <w:rFonts w:ascii="Times New Roman" w:hAnsi="Times New Roman"/>
                <w:sz w:val="20"/>
              </w:rPr>
              <w:t>GASTROGRAFINE actif ; RADIOSELECTAN NR/R</w:t>
            </w:r>
          </w:p>
        </w:tc>
      </w:tr>
      <w:tr>
        <w:tc>
          <w:tcPr>
            <w:tcW w:type="dxa" w:w="1662"/>
          </w:tcPr>
          <w:p>
            <w:r>
              <w:rPr>
                <w:rFonts w:ascii="Times New Roman" w:hAnsi="Times New Roman"/>
                <w:sz w:val="20"/>
              </w:rPr>
              <w:t>6</w:t>
            </w:r>
          </w:p>
        </w:tc>
        <w:tc>
          <w:tcPr>
            <w:tcW w:type="dxa" w:w="1662"/>
          </w:tcPr>
          <w:p>
            <w:r>
              <w:rPr>
                <w:rFonts w:ascii="Times New Roman" w:hAnsi="Times New Roman"/>
                <w:sz w:val="20"/>
              </w:rPr>
              <w:t>Ioxaglate Na/Méglumine</w:t>
            </w:r>
          </w:p>
        </w:tc>
        <w:tc>
          <w:tcPr>
            <w:tcW w:type="dxa" w:w="1662"/>
          </w:tcPr>
          <w:p>
            <w:r>
              <w:rPr>
                <w:rFonts w:ascii="Times New Roman" w:hAnsi="Times New Roman"/>
                <w:sz w:val="20"/>
              </w:rPr>
              <w:t>Iodé ionique</w:t>
            </w:r>
          </w:p>
        </w:tc>
        <w:tc>
          <w:tcPr>
            <w:tcW w:type="dxa" w:w="1662"/>
          </w:tcPr>
          <w:p>
            <w:r>
              <w:rPr>
                <w:rFonts w:ascii="Times New Roman" w:hAnsi="Times New Roman"/>
                <w:sz w:val="20"/>
              </w:rPr>
              <w:t>RETRAIT</w:t>
            </w:r>
          </w:p>
        </w:tc>
        <w:tc>
          <w:tcPr>
            <w:tcW w:type="dxa" w:w="1662"/>
          </w:tcPr>
          <w:p>
            <w:r>
              <w:rPr>
                <w:rFonts w:ascii="Times New Roman" w:hAnsi="Times New Roman"/>
                <w:sz w:val="20"/>
              </w:rPr>
              <w:t>HEXABRIX 320 (R)</w:t>
            </w:r>
          </w:p>
        </w:tc>
      </w:tr>
      <w:tr>
        <w:tc>
          <w:tcPr>
            <w:tcW w:type="dxa" w:w="1662"/>
          </w:tcPr>
          <w:p>
            <w:r>
              <w:rPr>
                <w:rFonts w:ascii="Times New Roman" w:hAnsi="Times New Roman"/>
                <w:sz w:val="20"/>
              </w:rPr>
              <w:t>7</w:t>
            </w:r>
          </w:p>
        </w:tc>
        <w:tc>
          <w:tcPr>
            <w:tcW w:type="dxa" w:w="1662"/>
          </w:tcPr>
          <w:p>
            <w:r>
              <w:rPr>
                <w:rFonts w:ascii="Times New Roman" w:hAnsi="Times New Roman"/>
                <w:sz w:val="20"/>
              </w:rPr>
              <w:t>Iohexol</w:t>
            </w:r>
          </w:p>
        </w:tc>
        <w:tc>
          <w:tcPr>
            <w:tcW w:type="dxa" w:w="1662"/>
          </w:tcPr>
          <w:p>
            <w:r>
              <w:rPr>
                <w:rFonts w:ascii="Times New Roman" w:hAnsi="Times New Roman"/>
                <w:sz w:val="20"/>
              </w:rPr>
              <w:t>Iodé non-ionique monomère</w:t>
            </w:r>
          </w:p>
        </w:tc>
        <w:tc>
          <w:tcPr>
            <w:tcW w:type="dxa" w:w="1662"/>
          </w:tcPr>
          <w:p>
            <w:r>
              <w:rPr>
                <w:rFonts w:ascii="Times New Roman" w:hAnsi="Times New Roman"/>
                <w:sz w:val="20"/>
              </w:rPr>
              <w:t>ACTIF</w:t>
            </w:r>
          </w:p>
        </w:tc>
        <w:tc>
          <w:tcPr>
            <w:tcW w:type="dxa" w:w="1662"/>
          </w:tcPr>
          <w:p>
            <w:r>
              <w:rPr>
                <w:rFonts w:ascii="Times New Roman" w:hAnsi="Times New Roman"/>
                <w:sz w:val="20"/>
              </w:rPr>
              <w:t>OMNIPAQUE, ILLUSOF, CONTRAPAQUE, OMNIPOL</w:t>
            </w:r>
          </w:p>
        </w:tc>
      </w:tr>
      <w:tr>
        <w:tc>
          <w:tcPr>
            <w:tcW w:type="dxa" w:w="1662"/>
          </w:tcPr>
          <w:p>
            <w:r>
              <w:rPr>
                <w:rFonts w:ascii="Times New Roman" w:hAnsi="Times New Roman"/>
                <w:sz w:val="20"/>
              </w:rPr>
              <w:t>8</w:t>
            </w:r>
          </w:p>
        </w:tc>
        <w:tc>
          <w:tcPr>
            <w:tcW w:type="dxa" w:w="1662"/>
          </w:tcPr>
          <w:p>
            <w:r>
              <w:rPr>
                <w:rFonts w:ascii="Times New Roman" w:hAnsi="Times New Roman"/>
                <w:sz w:val="20"/>
              </w:rPr>
              <w:t>Iopamidol</w:t>
            </w:r>
          </w:p>
        </w:tc>
        <w:tc>
          <w:tcPr>
            <w:tcW w:type="dxa" w:w="1662"/>
          </w:tcPr>
          <w:p>
            <w:r>
              <w:rPr>
                <w:rFonts w:ascii="Times New Roman" w:hAnsi="Times New Roman"/>
                <w:sz w:val="20"/>
              </w:rPr>
              <w:t>Iodé non-ionique monomère</w:t>
            </w:r>
          </w:p>
        </w:tc>
        <w:tc>
          <w:tcPr>
            <w:tcW w:type="dxa" w:w="1662"/>
          </w:tcPr>
          <w:p>
            <w:r>
              <w:rPr>
                <w:rFonts w:ascii="Times New Roman" w:hAnsi="Times New Roman"/>
                <w:sz w:val="20"/>
              </w:rPr>
              <w:t>ACTIF</w:t>
            </w:r>
          </w:p>
        </w:tc>
        <w:tc>
          <w:tcPr>
            <w:tcW w:type="dxa" w:w="1662"/>
          </w:tcPr>
          <w:p>
            <w:r>
              <w:rPr>
                <w:rFonts w:ascii="Times New Roman" w:hAnsi="Times New Roman"/>
                <w:sz w:val="20"/>
              </w:rPr>
              <w:t>PAMIDOL 300</w:t>
            </w:r>
          </w:p>
        </w:tc>
      </w:tr>
      <w:tr>
        <w:tc>
          <w:tcPr>
            <w:tcW w:type="dxa" w:w="1662"/>
          </w:tcPr>
          <w:p>
            <w:r>
              <w:rPr>
                <w:rFonts w:ascii="Times New Roman" w:hAnsi="Times New Roman"/>
                <w:sz w:val="20"/>
              </w:rPr>
              <w:t>9</w:t>
            </w:r>
          </w:p>
        </w:tc>
        <w:tc>
          <w:tcPr>
            <w:tcW w:type="dxa" w:w="1662"/>
          </w:tcPr>
          <w:p>
            <w:r>
              <w:rPr>
                <w:rFonts w:ascii="Times New Roman" w:hAnsi="Times New Roman"/>
                <w:sz w:val="20"/>
              </w:rPr>
              <w:t>Iopamidol en iode élément</w:t>
            </w:r>
          </w:p>
        </w:tc>
        <w:tc>
          <w:tcPr>
            <w:tcW w:type="dxa" w:w="1662"/>
          </w:tcPr>
          <w:p>
            <w:r>
              <w:rPr>
                <w:rFonts w:ascii="Times New Roman" w:hAnsi="Times New Roman"/>
                <w:sz w:val="20"/>
              </w:rPr>
              <w:t>Iodé non-ionique monomère</w:t>
            </w:r>
          </w:p>
        </w:tc>
        <w:tc>
          <w:tcPr>
            <w:tcW w:type="dxa" w:w="1662"/>
          </w:tcPr>
          <w:p>
            <w:r>
              <w:rPr>
                <w:rFonts w:ascii="Times New Roman" w:hAnsi="Times New Roman"/>
                <w:sz w:val="20"/>
              </w:rPr>
              <w:t>ACTIF</w:t>
            </w:r>
          </w:p>
        </w:tc>
        <w:tc>
          <w:tcPr>
            <w:tcW w:type="dxa" w:w="1662"/>
          </w:tcPr>
          <w:p>
            <w:r>
              <w:rPr>
                <w:rFonts w:ascii="Times New Roman" w:hAnsi="Times New Roman"/>
                <w:sz w:val="20"/>
              </w:rPr>
              <w:t>PAMIDOL 370</w:t>
            </w:r>
          </w:p>
        </w:tc>
      </w:tr>
      <w:tr>
        <w:tc>
          <w:tcPr>
            <w:tcW w:type="dxa" w:w="1662"/>
          </w:tcPr>
          <w:p>
            <w:r>
              <w:rPr>
                <w:rFonts w:ascii="Times New Roman" w:hAnsi="Times New Roman"/>
                <w:sz w:val="20"/>
              </w:rPr>
              <w:t>10</w:t>
            </w:r>
          </w:p>
        </w:tc>
        <w:tc>
          <w:tcPr>
            <w:tcW w:type="dxa" w:w="1662"/>
          </w:tcPr>
          <w:p>
            <w:r>
              <w:rPr>
                <w:rFonts w:ascii="Times New Roman" w:hAnsi="Times New Roman"/>
                <w:sz w:val="20"/>
              </w:rPr>
              <w:t>Iopromide</w:t>
            </w:r>
          </w:p>
        </w:tc>
        <w:tc>
          <w:tcPr>
            <w:tcW w:type="dxa" w:w="1662"/>
          </w:tcPr>
          <w:p>
            <w:r>
              <w:rPr>
                <w:rFonts w:ascii="Times New Roman" w:hAnsi="Times New Roman"/>
                <w:sz w:val="20"/>
              </w:rPr>
              <w:t>Iodé non-ionique monomère</w:t>
            </w:r>
          </w:p>
        </w:tc>
        <w:tc>
          <w:tcPr>
            <w:tcW w:type="dxa" w:w="1662"/>
          </w:tcPr>
          <w:p>
            <w:r>
              <w:rPr>
                <w:rFonts w:ascii="Times New Roman" w:hAnsi="Times New Roman"/>
                <w:sz w:val="20"/>
              </w:rPr>
              <w:t>ACTIF</w:t>
            </w:r>
          </w:p>
        </w:tc>
        <w:tc>
          <w:tcPr>
            <w:tcW w:type="dxa" w:w="1662"/>
          </w:tcPr>
          <w:p>
            <w:r>
              <w:rPr>
                <w:rFonts w:ascii="Times New Roman" w:hAnsi="Times New Roman"/>
                <w:sz w:val="20"/>
              </w:rPr>
              <w:t>ULTRAVIST 300, ULTRAVIST 370</w:t>
            </w:r>
          </w:p>
        </w:tc>
      </w:tr>
      <w:tr>
        <w:tc>
          <w:tcPr>
            <w:tcW w:type="dxa" w:w="1662"/>
          </w:tcPr>
          <w:p>
            <w:r>
              <w:rPr>
                <w:rFonts w:ascii="Times New Roman" w:hAnsi="Times New Roman"/>
                <w:sz w:val="20"/>
              </w:rPr>
              <w:t>11</w:t>
            </w:r>
          </w:p>
        </w:tc>
        <w:tc>
          <w:tcPr>
            <w:tcW w:type="dxa" w:w="1662"/>
          </w:tcPr>
          <w:p>
            <w:r>
              <w:rPr>
                <w:rFonts w:ascii="Times New Roman" w:hAnsi="Times New Roman"/>
                <w:sz w:val="20"/>
              </w:rPr>
              <w:t>Iobitridol</w:t>
            </w:r>
          </w:p>
        </w:tc>
        <w:tc>
          <w:tcPr>
            <w:tcW w:type="dxa" w:w="1662"/>
          </w:tcPr>
          <w:p>
            <w:r>
              <w:rPr>
                <w:rFonts w:ascii="Times New Roman" w:hAnsi="Times New Roman"/>
                <w:sz w:val="20"/>
              </w:rPr>
              <w:t>Iodé non-ionique monomère</w:t>
            </w:r>
          </w:p>
        </w:tc>
        <w:tc>
          <w:tcPr>
            <w:tcW w:type="dxa" w:w="1662"/>
          </w:tcPr>
          <w:p>
            <w:r>
              <w:rPr>
                <w:rFonts w:ascii="Times New Roman" w:hAnsi="Times New Roman"/>
                <w:sz w:val="20"/>
              </w:rPr>
              <w:t>ACTIF</w:t>
            </w:r>
          </w:p>
        </w:tc>
        <w:tc>
          <w:tcPr>
            <w:tcW w:type="dxa" w:w="1662"/>
          </w:tcPr>
          <w:p>
            <w:r>
              <w:rPr>
                <w:rFonts w:ascii="Times New Roman" w:hAnsi="Times New Roman"/>
                <w:sz w:val="20"/>
              </w:rPr>
              <w:t>XENETIX 300, XENETIX 350</w:t>
            </w:r>
          </w:p>
        </w:tc>
      </w:tr>
      <w:tr>
        <w:tc>
          <w:tcPr>
            <w:tcW w:type="dxa" w:w="1662"/>
          </w:tcPr>
          <w:p>
            <w:r>
              <w:rPr>
                <w:rFonts w:ascii="Times New Roman" w:hAnsi="Times New Roman"/>
                <w:sz w:val="20"/>
              </w:rPr>
              <w:t>12</w:t>
            </w:r>
          </w:p>
        </w:tc>
        <w:tc>
          <w:tcPr>
            <w:tcW w:type="dxa" w:w="1662"/>
          </w:tcPr>
          <w:p>
            <w:r>
              <w:rPr>
                <w:rFonts w:ascii="Times New Roman" w:hAnsi="Times New Roman"/>
                <w:sz w:val="20"/>
              </w:rPr>
              <w:t>Ioversol</w:t>
            </w:r>
          </w:p>
        </w:tc>
        <w:tc>
          <w:tcPr>
            <w:tcW w:type="dxa" w:w="1662"/>
          </w:tcPr>
          <w:p>
            <w:r>
              <w:rPr>
                <w:rFonts w:ascii="Times New Roman" w:hAnsi="Times New Roman"/>
                <w:sz w:val="20"/>
              </w:rPr>
              <w:t>Iodé non-ionique monomère</w:t>
            </w:r>
          </w:p>
        </w:tc>
        <w:tc>
          <w:tcPr>
            <w:tcW w:type="dxa" w:w="1662"/>
          </w:tcPr>
          <w:p>
            <w:r>
              <w:rPr>
                <w:rFonts w:ascii="Times New Roman" w:hAnsi="Times New Roman"/>
                <w:sz w:val="20"/>
              </w:rPr>
              <w:t>RETRAIT</w:t>
            </w:r>
          </w:p>
        </w:tc>
        <w:tc>
          <w:tcPr>
            <w:tcW w:type="dxa" w:w="1662"/>
          </w:tcPr>
          <w:p>
            <w:r>
              <w:rPr>
                <w:rFonts w:ascii="Times New Roman" w:hAnsi="Times New Roman"/>
                <w:sz w:val="20"/>
              </w:rPr>
              <w:t>OPTIRAY 300/350 (R)</w:t>
            </w:r>
          </w:p>
        </w:tc>
      </w:tr>
      <w:tr>
        <w:tc>
          <w:tcPr>
            <w:tcW w:type="dxa" w:w="1662"/>
          </w:tcPr>
          <w:p>
            <w:r>
              <w:rPr>
                <w:rFonts w:ascii="Times New Roman" w:hAnsi="Times New Roman"/>
                <w:sz w:val="20"/>
              </w:rPr>
              <w:t>13</w:t>
            </w:r>
          </w:p>
        </w:tc>
        <w:tc>
          <w:tcPr>
            <w:tcW w:type="dxa" w:w="1662"/>
          </w:tcPr>
          <w:p>
            <w:r>
              <w:rPr>
                <w:rFonts w:ascii="Times New Roman" w:hAnsi="Times New Roman"/>
                <w:sz w:val="20"/>
              </w:rPr>
              <w:t>Iodixanol</w:t>
            </w:r>
          </w:p>
        </w:tc>
        <w:tc>
          <w:tcPr>
            <w:tcW w:type="dxa" w:w="1662"/>
          </w:tcPr>
          <w:p>
            <w:r>
              <w:rPr>
                <w:rFonts w:ascii="Times New Roman" w:hAnsi="Times New Roman"/>
                <w:sz w:val="20"/>
              </w:rPr>
              <w:t>Iodé non-ionique dimère</w:t>
            </w:r>
          </w:p>
        </w:tc>
        <w:tc>
          <w:tcPr>
            <w:tcW w:type="dxa" w:w="1662"/>
          </w:tcPr>
          <w:p>
            <w:r>
              <w:rPr>
                <w:rFonts w:ascii="Times New Roman" w:hAnsi="Times New Roman"/>
                <w:sz w:val="20"/>
              </w:rPr>
              <w:t>ACTIF</w:t>
            </w:r>
          </w:p>
        </w:tc>
        <w:tc>
          <w:tcPr>
            <w:tcW w:type="dxa" w:w="1662"/>
          </w:tcPr>
          <w:p>
            <w:r>
              <w:rPr>
                <w:rFonts w:ascii="Times New Roman" w:hAnsi="Times New Roman"/>
                <w:sz w:val="20"/>
              </w:rPr>
              <w:t>VISIPAQUE 270, VISIPAQUE 320</w:t>
            </w:r>
          </w:p>
        </w:tc>
      </w:tr>
      <w:tr>
        <w:tc>
          <w:tcPr>
            <w:tcW w:type="dxa" w:w="1662"/>
          </w:tcPr>
          <w:p>
            <w:r>
              <w:rPr>
                <w:rFonts w:ascii="Times New Roman" w:hAnsi="Times New Roman"/>
                <w:sz w:val="20"/>
              </w:rPr>
              <w:t>14</w:t>
            </w:r>
          </w:p>
        </w:tc>
        <w:tc>
          <w:tcPr>
            <w:tcW w:type="dxa" w:w="1662"/>
          </w:tcPr>
          <w:p>
            <w:r>
              <w:rPr>
                <w:rFonts w:ascii="Times New Roman" w:hAnsi="Times New Roman"/>
                <w:sz w:val="20"/>
              </w:rPr>
              <w:t>— (réservé futurs)</w:t>
            </w:r>
          </w:p>
        </w:tc>
        <w:tc>
          <w:tcPr>
            <w:tcW w:type="dxa" w:w="1662"/>
          </w:tcPr>
          <w:p>
            <w:r>
              <w:rPr>
                <w:rFonts w:ascii="Times New Roman" w:hAnsi="Times New Roman"/>
                <w:sz w:val="20"/>
              </w:rPr>
              <w:t>—</w:t>
            </w:r>
          </w:p>
        </w:tc>
        <w:tc>
          <w:tcPr>
            <w:tcW w:type="dxa" w:w="1662"/>
          </w:tcPr>
          <w:p>
            <w:r>
              <w:rPr>
                <w:rFonts w:ascii="Times New Roman" w:hAnsi="Times New Roman"/>
                <w:sz w:val="20"/>
              </w:rPr>
              <w:t>—</w:t>
            </w:r>
          </w:p>
        </w:tc>
        <w:tc>
          <w:tcPr>
            <w:tcW w:type="dxa" w:w="1662"/>
          </w:tcPr>
          <w:p>
            <w:r>
              <w:rPr>
                <w:rFonts w:ascii="Times New Roman" w:hAnsi="Times New Roman"/>
                <w:sz w:val="20"/>
              </w:rPr>
              <w:t>—</w:t>
            </w:r>
          </w:p>
        </w:tc>
      </w:tr>
    </w:tbl>
    <w:p/>
    <w:p>
      <w:pPr>
        <w:pStyle w:val="Heading3"/>
      </w:pPr>
      <w:r>
        <w:t>7. Synthèse des alertes critiques transversales</w:t>
      </w:r>
    </w:p>
    <w:p>
      <w:r>
        <w:t>Plusieurs alertes cliniques transversales doivent être mémorisées par tout professionnel de santé impliqué dans la préparation, la dispensation ou l'administration de produits de contraste :</w:t>
      </w:r>
    </w:p>
    <w:p>
      <w:pPr>
        <w:pStyle w:val="ListBullet"/>
      </w:pPr>
      <w:r/>
      <w:r>
        <w:rPr>
          <w:b/>
        </w:rPr>
        <w:t>NSF (Fibrose systémique néphrogénique)</w:t>
      </w:r>
      <w:r>
        <w:t xml:space="preserve"> : risque majeur avec les chélates linéaires (Magnevist, Omniscan, Optimark) chez les patients avec eGFR &lt; 30 mL/min/1,73 m². Contre-indication absolue. ESUR 2018 : ces produits sont retirés du marché européen et algérien (statut RETRAIT confirmé dans la nomenclature).</w:t>
      </w:r>
    </w:p>
    <w:p>
      <w:pPr>
        <w:pStyle w:val="ListBullet"/>
      </w:pPr>
      <w:r/>
      <w:r>
        <w:rPr>
          <w:b/>
        </w:rPr>
        <w:t>Nephropathie post-contraste (CIN)</w:t>
      </w:r>
      <w:r>
        <w:t xml:space="preserve"> : incidence 5 à 15 % chez les patients à risque (diabète, IR préexistante, myélome, déshydrdration). Prévention = hydratation IV isotonique (NaCl 0,9 % ou bicarbonate) selon protocole ESUR.</w:t>
      </w:r>
    </w:p>
    <w:p>
      <w:pPr>
        <w:pStyle w:val="ListBullet"/>
      </w:pPr>
      <w:r/>
      <w:r>
        <w:rPr>
          <w:b/>
        </w:rPr>
        <w:t>Algorithme metformine</w:t>
      </w:r>
      <w:r>
        <w:t xml:space="preserve"> : eGFR ≥ 60 → continuer ; eGFR 30–59 et injection IV ≥ 100 mL → arrêter 48 h avec contrôle créatininémie ; eGFR &lt; 30 → contre-indication temporaire et réévaluation.</w:t>
      </w:r>
    </w:p>
    <w:p>
      <w:pPr>
        <w:pStyle w:val="ListBullet"/>
      </w:pPr>
      <w:r/>
      <w:r>
        <w:rPr>
          <w:b/>
        </w:rPr>
        <w:t>Anaphylaxie immédiate</w:t>
      </w:r>
      <w:r>
        <w:t xml:space="preserve"> : reconnaissance des signes (hypotension, bronchospasme, urticaire généralisée) et protocole d'urgence (adrénaline IM 0,3 mg, oxygène, remplissage). Kit d'urgence obligatoire en salle d'imagerie.</w:t>
      </w:r>
    </w:p>
    <w:p>
      <w:pPr>
        <w:pStyle w:val="ListBullet"/>
      </w:pPr>
      <w:r/>
      <w:r>
        <w:rPr>
          <w:b/>
        </w:rPr>
        <w:t>Réactions retardées</w:t>
      </w:r>
      <w:r>
        <w:t xml:space="preserve"> : éruptions cutanées (24–72 h), dysthyroïdie (semaines à mois), rétention cérébrale de gadolinium (années). Information explicite du patient nécessaire.</w:t>
      </w:r>
    </w:p>
    <w:p>
      <w:pPr>
        <w:pStyle w:val="ListBullet"/>
      </w:pPr>
      <w:r/>
      <w:r>
        <w:rPr>
          <w:b/>
        </w:rPr>
        <w:t>Allaitement et gadolinium</w:t>
      </w:r>
      <w:r>
        <w:t xml:space="preserve"> : suspension 24 h ("pump and dump") recommandée par prudence, bien que l'ESUR juge la concentration lactée négligeable.</w:t>
      </w:r>
    </w:p>
    <w:p>
      <w:pPr>
        <w:pStyle w:val="ListBullet"/>
      </w:pPr>
      <w:r/>
      <w:r>
        <w:rPr>
          <w:b/>
        </w:rPr>
        <w:t>Thyrotoxicose iodo-induite</w:t>
      </w:r>
      <w:r>
        <w:t xml:space="preserve"> : précaution chez les patients porteurs de maladie de Basedow ou nodule hyperfonctionnel ; vérification TSH préalable si antécédent thyroïdien.</w:t>
      </w:r>
    </w:p>
    <w:p>
      <w:pPr>
        <w:pStyle w:val="Heading2"/>
      </w:pPr>
      <w:r>
        <w:t>Sommaire détaillé du Fascicule XXI</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Chapitre</w:t>
            </w:r>
          </w:p>
        </w:tc>
        <w:tc>
          <w:tcPr>
            <w:tcW w:type="dxa" w:w="2078"/>
            <w:shd w:val="clear" w:color="auto" w:fill="F2F2F2"/>
          </w:tcPr>
          <w:p>
            <w:r>
              <w:rPr>
                <w:rFonts w:ascii="Times New Roman" w:hAnsi="Times New Roman"/>
                <w:b/>
                <w:sz w:val="20"/>
              </w:rPr>
              <w:t>Sous-classe traitée</w:t>
            </w:r>
          </w:p>
        </w:tc>
        <w:tc>
          <w:tcPr>
            <w:tcW w:type="dxa" w:w="2078"/>
            <w:shd w:val="clear" w:color="auto" w:fill="F2F2F2"/>
          </w:tcPr>
          <w:p>
            <w:r>
              <w:rPr>
                <w:rFonts w:ascii="Times New Roman" w:hAnsi="Times New Roman"/>
                <w:b/>
                <w:sz w:val="20"/>
              </w:rPr>
              <w:t>DCI couvertes</w:t>
            </w:r>
          </w:p>
        </w:tc>
        <w:tc>
          <w:tcPr>
            <w:tcW w:type="dxa" w:w="2078"/>
            <w:shd w:val="clear" w:color="auto" w:fill="F2F2F2"/>
          </w:tcPr>
          <w:p>
            <w:r>
              <w:rPr>
                <w:rFonts w:ascii="Times New Roman" w:hAnsi="Times New Roman"/>
                <w:b/>
                <w:sz w:val="20"/>
              </w:rPr>
              <w:t>Marques totales</w:t>
            </w:r>
          </w:p>
        </w:tc>
      </w:tr>
      <w:tr>
        <w:tc>
          <w:tcPr>
            <w:tcW w:type="dxa" w:w="2078"/>
          </w:tcPr>
          <w:p>
            <w:r>
              <w:rPr>
                <w:rFonts w:ascii="Times New Roman" w:hAnsi="Times New Roman"/>
                <w:sz w:val="20"/>
              </w:rPr>
              <w:t>211</w:t>
            </w:r>
          </w:p>
        </w:tc>
        <w:tc>
          <w:tcPr>
            <w:tcW w:type="dxa" w:w="2078"/>
          </w:tcPr>
          <w:p>
            <w:r>
              <w:rPr>
                <w:rFonts w:ascii="Times New Roman" w:hAnsi="Times New Roman"/>
                <w:sz w:val="20"/>
              </w:rPr>
              <w:t>Gadolinium chélates macrocycliques</w:t>
            </w:r>
          </w:p>
        </w:tc>
        <w:tc>
          <w:tcPr>
            <w:tcW w:type="dxa" w:w="2078"/>
          </w:tcPr>
          <w:p>
            <w:r>
              <w:rPr>
                <w:rFonts w:ascii="Times New Roman" w:hAnsi="Times New Roman"/>
                <w:sz w:val="20"/>
              </w:rPr>
              <w:t>Acide gadotérique, Gadobutrol</w:t>
            </w:r>
          </w:p>
        </w:tc>
        <w:tc>
          <w:tcPr>
            <w:tcW w:type="dxa" w:w="2078"/>
          </w:tcPr>
          <w:p>
            <w:r>
              <w:rPr>
                <w:rFonts w:ascii="Times New Roman" w:hAnsi="Times New Roman"/>
                <w:sz w:val="20"/>
              </w:rPr>
              <w:t>3</w:t>
            </w:r>
          </w:p>
        </w:tc>
      </w:tr>
      <w:tr>
        <w:tc>
          <w:tcPr>
            <w:tcW w:type="dxa" w:w="2078"/>
          </w:tcPr>
          <w:p>
            <w:r>
              <w:rPr>
                <w:rFonts w:ascii="Times New Roman" w:hAnsi="Times New Roman"/>
                <w:sz w:val="20"/>
              </w:rPr>
              <w:t>212</w:t>
            </w:r>
          </w:p>
        </w:tc>
        <w:tc>
          <w:tcPr>
            <w:tcW w:type="dxa" w:w="2078"/>
          </w:tcPr>
          <w:p>
            <w:r>
              <w:rPr>
                <w:rFonts w:ascii="Times New Roman" w:hAnsi="Times New Roman"/>
                <w:sz w:val="20"/>
              </w:rPr>
              <w:t>Gadolinium chélates linéaires (RETRAIT)</w:t>
            </w:r>
          </w:p>
        </w:tc>
        <w:tc>
          <w:tcPr>
            <w:tcW w:type="dxa" w:w="2078"/>
          </w:tcPr>
          <w:p>
            <w:r>
              <w:rPr>
                <w:rFonts w:ascii="Times New Roman" w:hAnsi="Times New Roman"/>
                <w:sz w:val="20"/>
              </w:rPr>
              <w:t>Gadopentate, Gadodiamide</w:t>
            </w:r>
          </w:p>
        </w:tc>
        <w:tc>
          <w:tcPr>
            <w:tcW w:type="dxa" w:w="2078"/>
          </w:tcPr>
          <w:p>
            <w:r>
              <w:rPr>
                <w:rFonts w:ascii="Times New Roman" w:hAnsi="Times New Roman"/>
                <w:sz w:val="20"/>
              </w:rPr>
              <w:t>2</w:t>
            </w:r>
          </w:p>
        </w:tc>
      </w:tr>
      <w:tr>
        <w:tc>
          <w:tcPr>
            <w:tcW w:type="dxa" w:w="2078"/>
          </w:tcPr>
          <w:p>
            <w:r>
              <w:rPr>
                <w:rFonts w:ascii="Times New Roman" w:hAnsi="Times New Roman"/>
                <w:sz w:val="20"/>
              </w:rPr>
              <w:t>213</w:t>
            </w:r>
          </w:p>
        </w:tc>
        <w:tc>
          <w:tcPr>
            <w:tcW w:type="dxa" w:w="2078"/>
          </w:tcPr>
          <w:p>
            <w:r>
              <w:rPr>
                <w:rFonts w:ascii="Times New Roman" w:hAnsi="Times New Roman"/>
                <w:sz w:val="20"/>
              </w:rPr>
              <w:t>Contrastes iodés ioniques</w:t>
            </w:r>
          </w:p>
        </w:tc>
        <w:tc>
          <w:tcPr>
            <w:tcW w:type="dxa" w:w="2078"/>
          </w:tcPr>
          <w:p>
            <w:r>
              <w:rPr>
                <w:rFonts w:ascii="Times New Roman" w:hAnsi="Times New Roman"/>
                <w:sz w:val="20"/>
              </w:rPr>
              <w:t>Amidotrizoate, Ioxaglate</w:t>
            </w:r>
          </w:p>
        </w:tc>
        <w:tc>
          <w:tcPr>
            <w:tcW w:type="dxa" w:w="2078"/>
          </w:tcPr>
          <w:p>
            <w:r>
              <w:rPr>
                <w:rFonts w:ascii="Times New Roman" w:hAnsi="Times New Roman"/>
                <w:sz w:val="20"/>
              </w:rPr>
              <w:t>4</w:t>
            </w:r>
          </w:p>
        </w:tc>
      </w:tr>
      <w:tr>
        <w:tc>
          <w:tcPr>
            <w:tcW w:type="dxa" w:w="2078"/>
          </w:tcPr>
          <w:p>
            <w:r>
              <w:rPr>
                <w:rFonts w:ascii="Times New Roman" w:hAnsi="Times New Roman"/>
                <w:sz w:val="20"/>
              </w:rPr>
              <w:t>214</w:t>
            </w:r>
          </w:p>
        </w:tc>
        <w:tc>
          <w:tcPr>
            <w:tcW w:type="dxa" w:w="2078"/>
          </w:tcPr>
          <w:p>
            <w:r>
              <w:rPr>
                <w:rFonts w:ascii="Times New Roman" w:hAnsi="Times New Roman"/>
                <w:sz w:val="20"/>
              </w:rPr>
              <w:t>Contrastes iodés non-ioniques monomères</w:t>
            </w:r>
          </w:p>
        </w:tc>
        <w:tc>
          <w:tcPr>
            <w:tcW w:type="dxa" w:w="2078"/>
          </w:tcPr>
          <w:p>
            <w:r>
              <w:rPr>
                <w:rFonts w:ascii="Times New Roman" w:hAnsi="Times New Roman"/>
                <w:sz w:val="20"/>
              </w:rPr>
              <w:t>Iohexol, Iopamidol, Iopamidol iode élément, Iopromide, Iobitridol, Ioversol</w:t>
            </w:r>
          </w:p>
        </w:tc>
        <w:tc>
          <w:tcPr>
            <w:tcW w:type="dxa" w:w="2078"/>
          </w:tcPr>
          <w:p>
            <w:r>
              <w:rPr>
                <w:rFonts w:ascii="Times New Roman" w:hAnsi="Times New Roman"/>
                <w:sz w:val="20"/>
              </w:rPr>
              <w:t>14</w:t>
            </w:r>
          </w:p>
        </w:tc>
      </w:tr>
      <w:tr>
        <w:tc>
          <w:tcPr>
            <w:tcW w:type="dxa" w:w="2078"/>
          </w:tcPr>
          <w:p>
            <w:r>
              <w:rPr>
                <w:rFonts w:ascii="Times New Roman" w:hAnsi="Times New Roman"/>
                <w:sz w:val="20"/>
              </w:rPr>
              <w:t>215</w:t>
            </w:r>
          </w:p>
        </w:tc>
        <w:tc>
          <w:tcPr>
            <w:tcW w:type="dxa" w:w="2078"/>
          </w:tcPr>
          <w:p>
            <w:r>
              <w:rPr>
                <w:rFonts w:ascii="Times New Roman" w:hAnsi="Times New Roman"/>
                <w:sz w:val="20"/>
              </w:rPr>
              <w:t>Contrastes iodés non-ioniques dimères</w:t>
            </w:r>
          </w:p>
        </w:tc>
        <w:tc>
          <w:tcPr>
            <w:tcW w:type="dxa" w:w="2078"/>
          </w:tcPr>
          <w:p>
            <w:r>
              <w:rPr>
                <w:rFonts w:ascii="Times New Roman" w:hAnsi="Times New Roman"/>
                <w:sz w:val="20"/>
              </w:rPr>
              <w:t>Iodixanol</w:t>
            </w:r>
          </w:p>
        </w:tc>
        <w:tc>
          <w:tcPr>
            <w:tcW w:type="dxa" w:w="2078"/>
          </w:tcPr>
          <w:p>
            <w:r>
              <w:rPr>
                <w:rFonts w:ascii="Times New Roman" w:hAnsi="Times New Roman"/>
                <w:sz w:val="20"/>
              </w:rPr>
              <w:t>2</w:t>
            </w:r>
          </w:p>
        </w:tc>
      </w:tr>
      <w:tr>
        <w:tc>
          <w:tcPr>
            <w:tcW w:type="dxa" w:w="2078"/>
          </w:tcPr>
          <w:p>
            <w:r>
              <w:rPr>
                <w:rFonts w:ascii="Times New Roman" w:hAnsi="Times New Roman"/>
                <w:sz w:val="20"/>
              </w:rPr>
              <w:t>**Total**</w:t>
            </w:r>
          </w:p>
        </w:tc>
        <w:tc>
          <w:tcPr>
            <w:tcW w:type="dxa" w:w="2078"/>
          </w:tcPr>
          <w:p>
            <w:r>
              <w:rPr>
                <w:rFonts w:ascii="Times New Roman" w:hAnsi="Times New Roman"/>
                <w:sz w:val="20"/>
              </w:rPr>
            </w:r>
          </w:p>
        </w:tc>
        <w:tc>
          <w:tcPr>
            <w:tcW w:type="dxa" w:w="2078"/>
          </w:tcPr>
          <w:p>
            <w:r>
              <w:rPr>
                <w:rFonts w:ascii="Times New Roman" w:hAnsi="Times New Roman"/>
                <w:sz w:val="20"/>
              </w:rPr>
              <w:t>**14 DCI**</w:t>
            </w:r>
          </w:p>
        </w:tc>
        <w:tc>
          <w:tcPr>
            <w:tcW w:type="dxa" w:w="2078"/>
          </w:tcPr>
          <w:p>
            <w:r>
              <w:rPr>
                <w:rFonts w:ascii="Times New Roman" w:hAnsi="Times New Roman"/>
                <w:sz w:val="20"/>
              </w:rPr>
              <w:t>**25 marques**</w:t>
            </w:r>
          </w:p>
        </w:tc>
      </w:tr>
    </w:tbl>
    <w:p/>
    <w:p>
      <w:pPr>
        <w:pStyle w:val="Heading1"/>
      </w:pPr>
      <w:r>
        <w:t>Chapitre 211 — Gadolinium chélates macrocycliques</w:t>
      </w:r>
    </w:p>
    <w:p>
      <w:pPr>
        <w:pStyle w:val="Heading2"/>
      </w:pPr>
      <w:r>
        <w:t>211.0 Introduction de la sous-classe</w:t>
      </w:r>
    </w:p>
    <w:p>
      <w:r>
        <w:t>Les chélates de gadolinium macrocycliques représentent aujourd'hui le standard de sécurité maximale pour l'imagerie par résonance magnétique (IRM) avec injection de produit de contraste. Le gadolinium (Gd³⁺) est un ion lanthanide paramagnétique dont les 7 électrons non appariés confèrent un effet T1-shortening remarquable, mais dont la toxicité libre (compétition calcique, blocage des canaux voltage-dépendants, hépatotoxicité, accumulations tissulaires) interdit toute administration sous forme ionique brute. Le principe thérapeutique consiste à complexer le Gd³⁺ au sein d'une structure macrocyclique polyaminocarboxylique dont la constante de stabilité thermodynamique (log K) et la constante de dissociation cinétique (t½ de dissociation) sont suffisamment élevées pour empêcher la libération transcutanée, transrénale ou cérébrale du métal libre.</w:t>
      </w:r>
    </w:p>
    <w:p>
      <w:r>
        <w:t>La classification européenne des chélates de gadolinium distingue trois groupes selon le profil de sécurité rénale (ESUR 2018) : le groupe I (risque élevé de NSF, chélates linéaires instables — Gadodiamide, Gadopentate, Gadoversetamide) est retiré du marché ; le groupe II (risque faible de NSF, chélates linéaires stables — Gadoxétate, Gadobénate) reste disponible avec restriction d'utilisation chez l'insuffisant rénal sévère ; le groupe III (risque minimal de NSF, chélates macrocycliques — Acide gadotérique, Gadobutrol, Gadotéridol) constitue la pierre angulaire de la sécurité radiologique et n'a jamais été associé à des cas prouvés de NSF même chez les patients avec eGFR &lt; 30 mL/min/1,73 m². Cette hiérarchie est intégrée dans les recommandations de l'EMA (réévaluation 2017) et de la FDA (boxed warning 2007, update 2018).</w:t>
      </w:r>
    </w:p>
    <w:p>
      <w:r>
        <w:t xml:space="preserve">Deux DCI macrocycliques sont disponibles sur le marché algérien (nomenclature Avril 2026) : </w:t>
      </w:r>
      <w:r>
        <w:rPr>
          <w:b/>
        </w:rPr>
        <w:t>l'acide gadotérique</w:t>
      </w:r>
      <w:r>
        <w:t xml:space="preserve"> (DOTAREM, CLARISCAN) et </w:t>
      </w:r>
      <w:r>
        <w:rPr>
          <w:b/>
        </w:rPr>
        <w:t>le gadobutrol</w:t>
      </w:r>
      <w:r>
        <w:t xml:space="preserve"> (GADOVIST). Toutes deux sont commercialisées en Liste I (surveillance médicale stricte) et présentent un profil de sécurité hépatique, rénale et cérébrale optimal. Le gadobutrol se distingue par sa concentration à 1,0 mmol/mL (double de la concentration standard à 0,5 mmol/mL), permettant une injection en bolus plus compact et une meilleure qualité d'imagerie pour les indications neurovasculaires de haute résolution.</w:t>
      </w:r>
    </w:p>
    <w:p>
      <w:pPr>
        <w:pStyle w:val="Heading2"/>
      </w:pPr>
      <w:r>
        <w:t>211.1 Fiche DCI : ACIDE GADOTÉRIQUE (Gadotérate de méglumine)</w:t>
      </w:r>
    </w:p>
    <w:p>
      <w:pPr>
        <w:pStyle w:val="Heading3"/>
      </w:pPr>
      <w:r>
        <w:t>211.1.1 Liste des catégories thérapeutiques</w:t>
      </w:r>
    </w:p>
    <w:p>
      <w:pPr>
        <w:pStyle w:val="ListBullet"/>
      </w:pPr>
      <w:r/>
      <w:r>
        <w:rPr>
          <w:b/>
        </w:rPr>
        <w:t>Code ATC</w:t>
      </w:r>
      <w:r>
        <w:t xml:space="preserve"> : V08CA02 (Produits de contraste pour IRM, paramagnétique — acide gadotérique)</w:t>
      </w:r>
    </w:p>
    <w:p>
      <w:pPr>
        <w:pStyle w:val="ListBullet"/>
      </w:pPr>
      <w:r/>
      <w:r>
        <w:rPr>
          <w:b/>
        </w:rPr>
        <w:t>Classification pharmacologique</w:t>
      </w:r>
      <w:r>
        <w:t xml:space="preserve"> : Chélate de gadolinium macrocyclique, famille des tétraazacyclododécanetétracétates (DOTA)</w:t>
      </w:r>
    </w:p>
    <w:p>
      <w:pPr>
        <w:pStyle w:val="ListBullet"/>
      </w:pPr>
      <w:r/>
      <w:r>
        <w:rPr>
          <w:b/>
        </w:rPr>
        <w:t>Classe chimique</w:t>
      </w:r>
      <w:r>
        <w:t xml:space="preserve"> : Acide gadotérique (sel de méglumine), formule C₂₃H₄₂GdN₅O₁₀, masse molaire 758 g/mol</w:t>
      </w:r>
    </w:p>
    <w:p>
      <w:pPr>
        <w:pStyle w:val="ListBullet"/>
      </w:pPr>
      <w:r/>
      <w:r>
        <w:rPr>
          <w:b/>
        </w:rPr>
        <w:t>Statut réglementaire international</w:t>
      </w:r>
      <w:r>
        <w:t xml:space="preserve"> : Groupe III ESUR (sécurité rénale optimale), AMM européenne initiale 1989 (Dotarem, Guerbet)</w:t>
      </w:r>
    </w:p>
    <w:p>
      <w:pPr>
        <w:pStyle w:val="ListBullet"/>
      </w:pPr>
      <w:r/>
      <w:r>
        <w:rPr>
          <w:b/>
        </w:rPr>
        <w:t>Classement Algérie</w:t>
      </w:r>
      <w:r>
        <w:t xml:space="preserve"> : Liste I (prescription médicale obligatoire, surveillance radiologique spécialisée)</w:t>
      </w:r>
    </w:p>
    <w:p>
      <w:pPr>
        <w:pStyle w:val="ListBullet"/>
      </w:pPr>
      <w:r/>
      <w:r>
        <w:rPr>
          <w:b/>
        </w:rPr>
        <w:t>Indications AMM principales</w:t>
      </w:r>
      <w:r>
        <w:t xml:space="preserve"> : IRM cérébrale, médullaire, rachidienne, ostéo-articulaire, thoracique, abdominale, pelvienne ; IRM cardiaque ; angiographie par résonance magnétique (ARM) ; IRM mammaire ; IRM de perfusion en neuro-oncologie</w:t>
      </w:r>
    </w:p>
    <w:p>
      <w:pPr>
        <w:pStyle w:val="Heading3"/>
      </w:pPr>
      <w:r>
        <w:t>211.1.2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CLARISCAN</w:t>
            </w:r>
          </w:p>
        </w:tc>
        <w:tc>
          <w:tcPr>
            <w:tcW w:type="dxa" w:w="1385"/>
          </w:tcPr>
          <w:p>
            <w:r>
              <w:rPr>
                <w:rFonts w:ascii="Times New Roman" w:hAnsi="Times New Roman"/>
                <w:sz w:val="20"/>
              </w:rPr>
              <w:t>GE HEALTHCARE SAS</w:t>
            </w:r>
          </w:p>
        </w:tc>
        <w:tc>
          <w:tcPr>
            <w:tcW w:type="dxa" w:w="1385"/>
          </w:tcPr>
          <w:p>
            <w:r>
              <w:rPr>
                <w:rFonts w:ascii="Times New Roman" w:hAnsi="Times New Roman"/>
                <w:sz w:val="20"/>
              </w:rPr>
              <w:t>Solution injectable 0,5 mmol/mL</w:t>
            </w:r>
          </w:p>
        </w:tc>
        <w:tc>
          <w:tcPr>
            <w:tcW w:type="dxa" w:w="1385"/>
          </w:tcPr>
          <w:p>
            <w:r>
              <w:rPr>
                <w:rFonts w:ascii="Times New Roman" w:hAnsi="Times New Roman"/>
                <w:sz w:val="20"/>
              </w:rPr>
              <w:t>B/01 fl ou B/10 fl (10 mL, 15 mL, 20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DOTAREM</w:t>
            </w:r>
          </w:p>
        </w:tc>
        <w:tc>
          <w:tcPr>
            <w:tcW w:type="dxa" w:w="1385"/>
          </w:tcPr>
          <w:p>
            <w:r>
              <w:rPr>
                <w:rFonts w:ascii="Times New Roman" w:hAnsi="Times New Roman"/>
                <w:sz w:val="20"/>
              </w:rPr>
              <w:t>GUERBET</w:t>
            </w:r>
          </w:p>
        </w:tc>
        <w:tc>
          <w:tcPr>
            <w:tcW w:type="dxa" w:w="1385"/>
          </w:tcPr>
          <w:p>
            <w:r>
              <w:rPr>
                <w:rFonts w:ascii="Times New Roman" w:hAnsi="Times New Roman"/>
                <w:sz w:val="20"/>
              </w:rPr>
              <w:t>Solution injectable 0,27932 g (= 0,5 mmol/mL)</w:t>
            </w:r>
          </w:p>
        </w:tc>
        <w:tc>
          <w:tcPr>
            <w:tcW w:type="dxa" w:w="1385"/>
          </w:tcPr>
          <w:p>
            <w:r>
              <w:rPr>
                <w:rFonts w:ascii="Times New Roman" w:hAnsi="Times New Roman"/>
                <w:sz w:val="20"/>
              </w:rPr>
              <w:t>Fl/10 mL - Fl/15 mL - Fl/20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algérienne</w:t>
      </w:r>
      <w:r>
        <w:t xml:space="preserve"> : Deux spécialités actives concurrentes, dont la parité de dosage permet une interchangeabilité technique parfaite en routine clinique. La marque DOTAREM (Guerbet) est historiquement la première AMM européenne et bénéficie du plus large recul pharmacovigilance (plus de 100 millions d'injections cumulées). CLARISCAN (GE Healthcare) constitue le générique de référence ayant fait l'objet d'une étude de bioéquivalence comparative stricto sensu en IRM cérébrale et spinale (étude GADIS, Prestifilippo 2018). Aucune des deux spécialités n'est actuellement signalée en rupture de stock selon la nomenclature algérienne Avril 2026.</w:t>
      </w:r>
    </w:p>
    <w:p>
      <w:pPr>
        <w:pStyle w:val="Heading3"/>
      </w:pPr>
      <w:r>
        <w:t>211.1.3 Sous-classe et mécanisme d'action moléculaire</w:t>
      </w:r>
    </w:p>
    <w:p>
      <w:r>
        <w:t>L'acide gadotérique appartient à la sous-classe des chélates de gadolinium macrocycliques de la famille DOTA (1,4,7,10-tétraazacyclododécane-N,N',N'',N'''-tétraacétique acide). Le squelette macrocyclique à 12 atomes (4 azotes + 8 carbones) forme une cage tridimensionnelle préorganisée qui enserre complètement l'ion Gd³⁺ par 8 liaisons de coordination (4 N + 4 O carboxylates), le rendant inerte sur le plan chimique dans les conditions physiologiques. La constante de stabilité thermodynamique (log KGdL) atteint 25,6 — la plus élevée parmi tous les chélates de gadolinium commercialisés — et la constante de dissociation cinétique (t½ à pH 1) est de 338 heures, soit environ 100 fois supérieure à celle des chélates linéaires type DTPA.</w:t>
      </w:r>
    </w:p>
    <w:p>
      <w:r>
        <w:t>Cette double robustesse thermodynamique et cinétique interdit pratiquement toute libération de gadolinium libre dans l'organisme, expliquant l'absence de cas documentés de fibrose systémique néphrogénique (NSF) avec l'acide gadotérique, même chez les patients en insuffisance rénale sévère (eGFR &lt; 30 mL/min/1,73 m²). Le mécanisme d'action en IRM repose sur le raccourcissement du temps de relaxation longitudinale T1 des protons tissulaires : les 7 électrons non appariés du Gd³⁺ génèrent un champ magnétique local qui transfère de l'énergie aux noyaux d'hydrogène voisins, accélérant leur retour à l'équilibre thermique. La relaxivité r1 à 1,5 T et 37 °C est de 3,4 mM⁻¹·s⁻¹ (sang) et 4,0 mM⁻¹·s⁻¹ (plasma), conférant un hypersignal T1 caractéristique des tissus vascularisés ou lésionnels après injection. L'élimination est exclusivement rénale par filtration glomérulaire, sans métabolisation hépatique, avec une demi-vie d'élimination de 90 à 120 minutes chez le sujet sain et une excrétion urinaire complète &gt; 95 % à 24 h.</w:t>
      </w:r>
    </w:p>
    <w:p>
      <w:pPr>
        <w:pStyle w:val="Heading3"/>
      </w:pPr>
      <w:r>
        <w:t>211.1.4 Profil pharmacologique</w:t>
      </w:r>
    </w:p>
    <w:p>
      <w:r/>
      <w:r>
        <w:rPr>
          <w:b/>
        </w:rPr>
        <w:t>Indications cliniques validées</w:t>
      </w:r>
      <w:r>
        <w:t xml:space="preserve"> : IRM cérébrale (suspicion de tumeur, AVC, sclérose en plaques, épilepsie, démences), IRM médullaire (compression, tumeur, démyélinisation), IRM ostéo-articulaire (lésion méniscale, ligamentaire, tumorale), IRM abdominale (caractérisation hépatique de lésions focales via la séquence hépatocytaire tardive à 20 min), IRM pelvienne (endométriose, cancer prostatique), ARM (anévrismes, dissections, malformations artério-veineuses), IRM mammaire (caractérisation BI-RADS 4, dépistage haut risque BRCA), IRM de perfusion cérébrale (viabilité tumorale, pénombre ischémique).</w:t>
      </w:r>
    </w:p>
    <w:p>
      <w:r/>
      <w:r>
        <w:rPr>
          <w:b/>
        </w:rPr>
        <w:t>Contre-indications absolues</w:t>
      </w:r>
      <w:r>
        <w:t xml:space="preserve"> : hypersensibilité connue à l'acide gadotérique ou à l'un des excipients (méglumine, acide diéthylènetriaminepentacaétique pentetate de calcium trisodium — DTPA-BMA), grossesse (par mesure de précaution, sauf urgence vitale — voir section 211.1.7). À noter qu'il n'existe plus de contre-indication liée à l'insuffisance rénale sévère pour les chélates macrocycliques selon les recommandations ESUR 2018 révisées (retrait de la mention CI eGFR &lt; 30 du RCP européen en 2018 pour le groupe III).</w:t>
      </w:r>
    </w:p>
    <w:p>
      <w:r/>
      <w:r>
        <w:rPr>
          <w:b/>
        </w:rPr>
        <w:t>Effets indésirables fréquents</w:t>
      </w:r>
      <w:r>
        <w:t xml:space="preserve"> (&gt; 1 % à &lt; 10 %) : nausées, vomissements, céphalées, sensations de chaleur ou de froid au site d'injection, dysgueusie (goût métallique), réactions d'hypersensibilité mineures (urticaire localisée, prurit), hypotension transitoire. </w:t>
      </w:r>
      <w:r>
        <w:rPr>
          <w:b/>
        </w:rPr>
        <w:t>Effets rares</w:t>
      </w:r>
      <w:r>
        <w:t xml:space="preserve"> (0,01 % à 1 %) : réactions anaphylactoïdes modérées (bronchospasme, éruption généralisée), extrasystoles, thrombophlébite au point d'injection, parosmie. </w:t>
      </w:r>
      <w:r>
        <w:rPr>
          <w:b/>
        </w:rPr>
        <w:t>Effets très rares</w:t>
      </w:r>
      <w:r>
        <w:t xml:space="preserve"> (&lt; 0,01 %) : anaphylaxie sévère avec choc, arrêt cardiaque, fibrose systémique néphrogénique (cas exceptionnels non confirmés chez l'insuffisant rénal, incidence &lt; 0,01 %), rétention cérébrale de gadolinium dose-cumulative (visible en substance noire, dentelée et globes pallides à long terme, sans traduction clinique démontrée).</w:t>
      </w:r>
    </w:p>
    <w:p>
      <w:pPr>
        <w:pStyle w:val="Heading3"/>
      </w:pPr>
      <w:r>
        <w:t>211.1.5 Prévention et gestion des effets indésirables</w:t>
      </w:r>
    </w:p>
    <w:p>
      <w:r>
        <w:t xml:space="preserve">La prévention des effets indésirables repose sur cinq piliers fondamentaux. </w:t>
      </w:r>
      <w:r>
        <w:rPr>
          <w:b/>
        </w:rPr>
        <w:t>Premièrement</w:t>
      </w:r>
      <w:r>
        <w:t xml:space="preserve">, l'évaluation pré-injection systématique comprend un interrogatoire ciblé : antécédents allergiques (asthme, eczéma, allergie aux produits de contraste iodés ou gadolinés), fonction rénale (créatininémie et eGFR CKD-EPI), grossesse éventuelle, traitements en cours (metformine, bêta-bloquants, diurétiques, interleukine-2). Le calcul de l'eGFR doit être réalisé dans les 7 jours précédant l'examen chez les patients à risque (âge &gt; 65 ans, diabète, IR connue, néphropathie chronique, chimiothérapie néphrotoxique). </w:t>
      </w:r>
      <w:r>
        <w:rPr>
          <w:b/>
        </w:rPr>
        <w:t>Deuxièmement</w:t>
      </w:r>
      <w:r>
        <w:t>, l'hydratation préalable par voie orale (1 L d'eau plate dans les 4 h précédant l'examen) ou intraveineuse (NaCl 0,9 % 1 mL/kg/h pendant 4 h avant et 4 h après) est recommandée chez tous les patients à risque rénal modéré (eGFR 30–59). L'hydratation IV systématique n'est pas recommandée pour les eGFR ≥ 60 en routine.</w:t>
      </w:r>
    </w:p>
    <w:p>
      <w:r/>
      <w:r>
        <w:rPr>
          <w:b/>
        </w:rPr>
        <w:t>Troisièmement</w:t>
      </w:r>
      <w:r>
        <w:t xml:space="preserve">, la prévention des réactions d'hypersensibilité immédiate s'appuie sur le concept de "prémedication" discuté : la prémédication par corticoïdes (prednisone 50 mg per os 13 h, 7 h et 1 h avant) + antihistaminique H1 (dexchlorphéniramine 5 mg IM 1 h avant) n'est plus recommandée systématiquement selon l'ACR 2024 en raison d'un bénéfice non démontré pour les chélates macrocycliques modernes. Elle reste toutefois indiquée en cas d'antécédent de réaction immédiate sévère à un produit de contraste iodé ou gadoliné précédent (grade 3 ou 4 de la classification Ring-Messmer). </w:t>
      </w:r>
      <w:r>
        <w:rPr>
          <w:b/>
        </w:rPr>
        <w:t>Quatrièmement</w:t>
      </w:r>
      <w:r>
        <w:t xml:space="preserve">, l'indisponibilité d'un kit d'urgence anaphylaxie en salle d'imagerie constitue une faute professionnelle : adrénaline 1 mg/mL (ampoules de 1 mL), oxygène, masque poche-bulles, intubation, Bétaméthasone 4 mg IV, Polaramine 5 mg IV, soluté de remplissage (NaCl 0,9 % ou Ringer Lactate). </w:t>
      </w:r>
      <w:r>
        <w:rPr>
          <w:b/>
        </w:rPr>
        <w:t>Cinquièmement</w:t>
      </w:r>
      <w:r>
        <w:t>, la surveillance post-injection obligatoire de 30 min en salle d'imagerie permet la détection précoce des réactions immédiates ; un délai d'observation prolongé à 2 h est recommandé en cas d'antécédent allergique sévère.</w:t>
      </w:r>
    </w:p>
    <w:p>
      <w:r>
        <w:t>La gestion d'une réaction anaphylactique sévère suit le protocole standardisé : (1) arrêt immédiat de l'injection sans retirer le cathéter (voie veineuse conservée) ; (2) mise en décubitus dorsal, jambes surélevées, oxygène 15 L/min ; (3) adrénaline IM 0,3 mg (0,3 mL de la solution à 1 mg/mL) dans la face antérolatérale de la cuisse, à renouveler après 5 min si absence d'amélioration ; (4) remplissage vasculaire NaCl 0,9 % 20 mL/kg en 5–10 min ; (5) intubation orotrachéale en cas de bronchospasme réfractaire ou d'œdème laryngé. Les corticoïdes IV (méthylprednisolone 1 mg/kg) et les antihistaminiques sont des traitements adjuvants d'action retardée, à ne pas substituer à l'adrénaline qui est le traitement de première ligne.</w:t>
      </w:r>
    </w:p>
    <w:p>
      <w:pPr>
        <w:pStyle w:val="Heading3"/>
      </w:pPr>
      <w:r>
        <w:t>211.1.6 Interactions médicamenteuses</w:t>
      </w:r>
    </w:p>
    <w:p>
      <w:r>
        <w:t xml:space="preserve">L'acide gadotérique présente un profil d'interactions médicamenteuses particulièrement favorable en raison de son élimination exclusivement rénale sous forme inchangée, sans métabolisation hépatique ni liaison significative aux protéines plasmatiques. Néanmoins, plusieurs situations cliniques méritent une vigilance particulière. </w:t>
      </w:r>
      <w:r>
        <w:rPr>
          <w:b/>
        </w:rPr>
        <w:t>La metformine</w:t>
      </w:r>
      <w:r>
        <w:t xml:space="preserve"> ne nécessite pas d'arrêt systématique chez les patients diabétiques recevant une dose standard d'acide gadotérique en IRM (&lt; 0,2 mmol/kg, soit ~15 mL à 0,5 mmol/mL), à condition que l'eGFR soit ≥ 30 mL/min/1,73 m². En cas d'eGFR &lt; 30 ou d'injection à forte dose, l'arrêt transitoire de la metformine pendant 48 h avec contrôle de la créatininémie avant reprise est recommandé par précaution (prévention de l'acidose lactique par accumulation en cas d'IRA post-contraste). </w:t>
      </w:r>
      <w:r>
        <w:rPr>
          <w:b/>
        </w:rPr>
        <w:t>Les bêta-bloquants</w:t>
      </w:r>
      <w:r>
        <w:t xml:space="preserve"> majorent le risque de réaction anaphylactique réfractaire et imposent une vigilance accrue en cas de prémédication : la réponse à l'adrénaline peut être atténuée, justifiant le recours à l'adrénaline IV titrée (10–100 μg) en milieu spécialisé.</w:t>
      </w:r>
    </w:p>
    <w:p>
      <w:r/>
      <w:r>
        <w:rPr>
          <w:b/>
        </w:rPr>
        <w:t>Les interleukines-2 (IL-2)</w:t>
      </w:r>
      <w:r>
        <w:t xml:space="preserve"> administrées à doses thérapeutiques (chimiothérapie du mélanome métastatique, cancer du rein) potentialisent le risque de réactions d'hypersensibilité tardive (érythème, rash maculopapuleux 4–24 h post-injection), justifiant un espacement de 2 semaines entre les cures d'IL-2 et l'injection de gadolinium. </w:t>
      </w:r>
      <w:r>
        <w:rPr>
          <w:b/>
        </w:rPr>
        <w:t>Les diurétiques de l'anse</w:t>
      </w:r>
      <w:r>
        <w:t xml:space="preserve"> (furosémide) ou de l'anse distale (hydrochlorothiazide) peuvent aggraver une déshydratation préalable et majorer le risque de néphropathie post-contraste ; leur arrêt transitoire le jour de l'examen est discuté au cas par cas. </w:t>
      </w:r>
      <w:r>
        <w:rPr>
          <w:b/>
        </w:rPr>
        <w:t>Les inhibiteurs de l'enzyme de conversion (IEC) et les antagonistes des récepteurs de l'angiotensine II (ARA2)</w:t>
      </w:r>
      <w:r>
        <w:t xml:space="preserve"> majorent le risque d'hypotension en cas de réaction vasovagale ou anaphylactoïde ; leur maintien est néanmoins recommandé en raison du bénéfice cardio-rénal global. </w:t>
      </w:r>
      <w:r>
        <w:rPr>
          <w:b/>
        </w:rPr>
        <w:t>La chimiothérapie néphrotoxique</w:t>
      </w:r>
      <w:r>
        <w:t xml:space="preserve"> (cisplatine, ifosfamide, cyclophosphamide à haute dose) impose un délai minimal de 2 semaines après la dernière cure avant l'injection de gadolinium, pour permettre la récupération tubulaire.</w:t>
      </w:r>
    </w:p>
    <w:p>
      <w:pPr>
        <w:pStyle w:val="Heading3"/>
      </w:pPr>
      <w:r>
        <w:t>211.1.7 Grossesse et allaitement (CRAT)</w:t>
      </w:r>
    </w:p>
    <w:p>
      <w:r/>
      <w:r>
        <w:rPr>
          <w:b/>
        </w:rPr>
        <w:t>Grossesse</w:t>
      </w:r>
      <w:r>
        <w:t xml:space="preserve"> : L'acide gadotérique traverse la barrière placentaire par diffusion passive et se cumule dans le liquide amniotique où sa demi-vie d'élimination est prolongée à plusieurs jours, exposant le fœtus à un risque théorique de rétention cérébrale. Selon le CRAT, l'injection de gadolinium macrocyclique au cours de la grossesse ne doit être envisagée qu'en cas de nécessité absolue (urgence vitale, caractérisation d'une lésion maligne engageant le pronostic maternel), après information éclairée de la patiente et validation par un comité pluridisciplinaire. L'EMA (2017) classe tous les chélates de gadolinium en contre-indication relative pendant la grossesse et l'allaitement. Le risque tératogène n'a pas été documenté chez l'humain, mais les données animales chez le rat et le lapin ont montré des retards de croissance fœtale et des pertes embryonnaires à doses supra-thérapeutiques (5–10 fois la dose humaine). En pratique, le rapport bénéfice/risque doit être systématiquement documenté ; une alternative non irradiante (échographie, IRM sans injection) doit être discutée en première intention.</w:t>
      </w:r>
    </w:p>
    <w:p>
      <w:r/>
      <w:r>
        <w:rPr>
          <w:b/>
        </w:rPr>
        <w:t>Allaitement</w:t>
      </w:r>
      <w:r>
        <w:t xml:space="preserve"> : L'acide gadotérique passe en quantité négligeable dans le lait maternel (moins de 0,04 % de la dose maternelle administrée), et l'absorption intestinale par le nourrisson est inférieure à 1 % de la dose ingérée. L'ESUR (2018) et l'ACR (2024) concluent à l'innocuité clinique de l'allaitement après injection d'acide gadotérique, et ne recommandent pas l'interruption systématique de l'allaitement. Néanmoins, par mesure de précaution maximale et pour tenir compte des inquiétudes maternelles légitimes, la pratique consistant à recueillir et jeter ("pump and dump") le lait produit dans les 12 à 24 h suivant l'injection reste acceptable et rassurante, sans pour autant être scientifiquement justifiée. Le CRAT confirme cette approche nuancée : information de la patiente, décision partagée, sans obligation réglementaire d'arrêt.</w:t>
      </w:r>
    </w:p>
    <w:p>
      <w:pPr>
        <w:pStyle w:val="Heading3"/>
      </w:pPr>
      <w:r>
        <w:t>211.1.8 Posologie et mode d'administration</w:t>
      </w:r>
    </w:p>
    <w:p>
      <w:r/>
      <w:r>
        <w:rPr>
          <w:b/>
        </w:rPr>
        <w:t>Posologie adulte</w:t>
      </w:r>
      <w:r>
        <w:t xml:space="preserve"> : la dose standard recommandée est de </w:t>
      </w:r>
      <w:r>
        <w:rPr>
          <w:b/>
        </w:rPr>
        <w:t>0,1 mmol/kg de poids corporel</w:t>
      </w:r>
      <w:r>
        <w:t xml:space="preserve">, soit 0,2 mL/kg de la solution à 0,5 mmol/mL (par exemple 14 mL pour un adulte de 70 kg). Cette dose peut être portée à </w:t>
      </w:r>
      <w:r>
        <w:rPr>
          <w:b/>
        </w:rPr>
        <w:t>0,2 mmol/kg</w:t>
      </w:r>
      <w:r>
        <w:t xml:space="preserve"> (0,4 mL/kg) pour les indications angiographiques (ARM) ou pour les IRM de perfusion cérébrale nécessitant un bolus plus dense, sans dépasser la dose maximale cumulée de 0,3 mmol/kg par examen. La répétition d'injections au cours du même examen doit être espacée d'au moins 10 minutes pour permettre la redistribution et la clairance tissulaire. Pour les IRM hépatiques avec séquence hépatocytaire tardive (cholangio-IRM, caractérisation de lésions focales), l'acquisition tardive à 20 min après injection exploite la captation transitoire par les hépatocytes via les transporteurs OATP.</w:t>
      </w:r>
    </w:p>
    <w:p>
      <w:r/>
      <w:r>
        <w:rPr>
          <w:b/>
        </w:rPr>
        <w:t>Posologie pédiatrique</w:t>
      </w:r>
      <w:r>
        <w:t xml:space="preserve"> : la dose recommandée chez l'enfant de plus de 2 ans est identique à celle de l'adulte (0,1 mmol/kg), avec une surveillance particulière chez les nouveau-nés et nourrissons &lt; 2 ans en raison de l'immaturité rénale (clairance de la créatinine physiologiquement basse &lt; 60 mL/min/1,73 m² pendant les premiers mois). Une seule injection par examen est recommandée chez l'enfant de moins de 1 an, et un délai minimal de 7 jours doit être respecté entre deux injections répétées.</w:t>
      </w:r>
    </w:p>
    <w:p>
      <w:r/>
      <w:r>
        <w:rPr>
          <w:b/>
        </w:rPr>
        <w:t>Mode d'administration</w:t>
      </w:r>
      <w:r>
        <w:t xml:space="preserve"> : injection intraveineuse stricte, dans une veine de gros calibre (pli du coude, avant-bras), à l'aide d'un cathéter veineux périphérique 18–22 G, par voie manuelle (seringue) ou par injecteur automatique à débit constant (2–3 mL/s pour les IRM standard, 4–5 mL/s pour l'ARM). Le cathéter doit être rincé par 20 mL de NaCl 0,9 % après injection pour éviter la formation de thrombus et limiter l'extravasation locale. La veine doit être testée au préalable par un flush de sérum physiologique pour vérifier sa perméabilité et l'absence d'extravasation. En cas d'extravasation, l'injection doit être immédiatement arrêtée, le cathéter retiré, le membre surélevé, et une application de froid local (poche de glace) doit être réalisée pendant 15–20 min ; la surveillance de la tolérance locale doit être documentée dans le dossier.</w:t>
      </w:r>
    </w:p>
    <w:p>
      <w:pPr>
        <w:pStyle w:val="Heading3"/>
      </w:pPr>
      <w:r>
        <w:t>211.1.9 Arbitrage et bénéfices des formes galéniques</w:t>
      </w:r>
    </w:p>
    <w:p>
      <w:r>
        <w:t xml:space="preserve">Les deux spécialités disponibles en Algérie (DOTAREM et CLARISCAN) présentent la même concentration (0,5 mmol/mL), le même conditionnement (flacons de 10, 15 et 20 mL) et la même indication. L'arbitrage entre ces deux formes repose essentiellement sur des considérations économiques (tarification CNAS, remboursement) et de disponibilité locale. Sur le plan pharmacologique, aucune différence d'efficacité diagnostique n'a été démontrée dans les essais de bioéquivalence. </w:t>
      </w:r>
      <w:r>
        <w:rPr>
          <w:b/>
        </w:rPr>
        <w:t>DOTAREM</w:t>
      </w:r>
      <w:r>
        <w:t xml:space="preserve"> bénéficie du plus long recul post-AMM et de la plus large documentation pharmacovigilance ; il peut être privilégié pour les indications historiques (IRM cérébrale, médullaire) où les protocoles d'acquisition ont été validés. </w:t>
      </w:r>
      <w:r>
        <w:rPr>
          <w:b/>
        </w:rPr>
        <w:t>CLARISCAN</w:t>
      </w:r>
      <w:r>
        <w:t xml:space="preserve"> offre une alternative économique identique et peut être utilisé en routine sans réserve.</w:t>
      </w:r>
    </w:p>
    <w:p>
      <w:r>
        <w:t>Le conditionnement en flacons multidoses (10, 15, 20 mL) permet une gestion rationnelle des stocks et limite les pertes résiduelles : pour un patient de 70 kg nécessitant 14 mL, le flacon de 15 mL est optimal. Les présentations en seringues préremplies (non disponibles en Algérie à ce jour) offriraient un gain de temps manipulation et une réduction du risque infectieux, mais leur coût supérieur n'est pas actuellement justifié en routine. L'utilisation de flacons ouverts doit être proscrite en raison du risque de contamination microbienne ; les flacons sont à usage unique et le résidu doit être éliminé après chaque patient selon la réglementation des déchets d'activités de soins à risque infectieux (DASRI).</w:t>
      </w:r>
    </w:p>
    <w:p>
      <w:pPr>
        <w:pStyle w:val="Heading3"/>
      </w:pPr>
      <w:r>
        <w:t>211.1.10 Instructions et conseils au patient</w:t>
      </w:r>
    </w:p>
    <w:p>
      <w:r/>
      <w:r>
        <w:rPr>
          <w:b/>
        </w:rPr>
        <w:t>Avant l'examen</w:t>
      </w:r>
      <w:r>
        <w:t xml:space="preserve"> : le patient doit être informé de la nature de l'examen (IRM avec injection), du déroulement (durée 30–60 min, bruit de la machine, nécessité de rester immobile), et de l'injection (ponction veineuse, sensation de chaleur diffuse durant 30–60 s, goût métallique transitoire). Le jeûne n'est pas obligatoire mais un léger repas 2 h avant l'examen est recommandé pour prévenir l'hypoglycémie et les malaises vagaux. Le patient doit apporter ses bilans biologiques récents (créatininémie et eGFR datant de moins de 7 jours), la liste de ses traitements en cours (notamment metformine, IEC, ARA2, diurétiques, chimiothérapie), et tout document en rapport avec l'indication (échographie, scanner, résultats antérieurs). Le patient doit signaler toute allergie médicamenteuse, alimentaire (iode, fruits de mer), ou aux produits de contraste ; toute grossesse éventuelle ou allaitement ; tout antécédent cardiaque, rénal, hépatique, thyroïdien ou d'asthme.</w:t>
      </w:r>
    </w:p>
    <w:p>
      <w:r/>
      <w:r>
        <w:rPr>
          <w:b/>
        </w:rPr>
        <w:t>Pendant l'examen</w:t>
      </w:r>
      <w:r>
        <w:t xml:space="preserve"> : le patient doit rester strictement immobile et suivre les consignes de respiration (apnées de 15–20 s pour les séquences thoraciques et abdominales). Une sonnette d'alerte est mise à disposition pour signifier toute gêne (douleur au point d'injection, dyspnée, nausée, urticaire) pendant toute la durée de l'examen.</w:t>
      </w:r>
    </w:p>
    <w:p>
      <w:r/>
      <w:r>
        <w:rPr>
          <w:b/>
        </w:rPr>
        <w:t>Après l'examen</w:t>
      </w:r>
      <w:r>
        <w:t xml:space="preserve"> : le patient doit être surveillé pendant 30 min en salle de réveil (surveillance des constantes : tension, fréquence cardiaque, SpO₂). Une hydratation orale abondante (1,5–2 L d'eau dans les 24 h suivant l'examen) est recommandée pour favoriser l'élimination rénale du gadolinium. La reprise de la conduite automobile est autorisée immédiatement après l'examen en l'absence de réaction. Le patient doit être informé des signes d'alerte devant motiver une consultation médicale urgente : dyspnée, œdème facial, urticaire généralisée, fièvre, douleur au point d'injection, éruption cutanée tardive (jusqu'à 7 jours après), baisse de diurèse. Chez la femme allaitante, l'interruption d'allaitement pendant 12–24 h est discutée au cas par cas. Une consultation de résultats est programmée à 7 jours pour restitution.</w:t>
      </w:r>
    </w:p>
    <w:p>
      <w:pPr>
        <w:pStyle w:val="Heading3"/>
      </w:pPr>
      <w:r>
        <w:t>211.1.11 Notes, règles d'or et pièges au comptoir</w:t>
      </w:r>
    </w:p>
    <w:p>
      <w:pPr>
        <w:pStyle w:val="ListNumber"/>
      </w:pPr>
      <w:r/>
      <w:r>
        <w:rPr>
          <w:b/>
        </w:rPr>
        <w:t>Règle d'or n°1</w:t>
      </w:r>
      <w:r>
        <w:t xml:space="preserve"> : Toujours vérifier l'eGFR datée de moins de 7 jours avant toute injection, notamment chez les patients &gt; 65 ans, diabétiques, ou avec antécédent néphropathique. Une eGFR ≥ 60 ne nécessite pas d'hydratation IV systématique pour les chélates macrocycliques.</w:t>
      </w:r>
    </w:p>
    <w:p>
      <w:pPr>
        <w:pStyle w:val="ListNumber"/>
      </w:pPr>
      <w:r/>
      <w:r>
        <w:rPr>
          <w:b/>
        </w:rPr>
        <w:t>Règle d'or n°2</w:t>
      </w:r>
      <w:r>
        <w:t xml:space="preserve"> : Ne jamais injecter un chélate de gadolinium linéaire (Magnevist, Omniscan) même si le produit est trouvé en stock : ces spécialités sont en statut RETRAIT en Algérie et leur utilisation constituerait une faute professionnelle grave (risque NSF).</w:t>
      </w:r>
    </w:p>
    <w:p>
      <w:pPr>
        <w:pStyle w:val="ListNumber"/>
      </w:pPr>
      <w:r/>
      <w:r>
        <w:rPr>
          <w:b/>
        </w:rPr>
        <w:t>Règle d'or n°3</w:t>
      </w:r>
      <w:r>
        <w:t xml:space="preserve"> : Vérifier la grossesse éventuelle chez toute femme en âge de procréer avant l'injection ; le gadolinium traverse le placenta.</w:t>
      </w:r>
    </w:p>
    <w:p>
      <w:pPr>
        <w:pStyle w:val="ListNumber"/>
      </w:pPr>
      <w:r/>
      <w:r>
        <w:rPr>
          <w:b/>
        </w:rPr>
        <w:t>Piège du comptoir</w:t>
      </w:r>
      <w:r>
        <w:t xml:space="preserve"> : Un patient se présentant avec un flacon de "Magnevist" ou "Omniscan" trouvé en officine stock résiduel doit être redirigé vers une alternative macrocyclique ; le stock doit être signalé et détruit selon la procédure DASRI.</w:t>
      </w:r>
    </w:p>
    <w:p>
      <w:pPr>
        <w:pStyle w:val="ListNumber"/>
      </w:pPr>
      <w:r/>
      <w:r>
        <w:rPr>
          <w:b/>
        </w:rPr>
        <w:t>Piège de la metformine</w:t>
      </w:r>
      <w:r>
        <w:t xml:space="preserve"> : Ne pas arrêter systématiquement la metformine pour un scanner ou IRM avec injection d'acide gadotérique si l'eGFR est ≥ 30 ; l'arrêt n'est nécessaire que pour les chélates à forte dose ou en cas d'insuffisance rénale avancée.</w:t>
      </w:r>
    </w:p>
    <w:p>
      <w:pPr>
        <w:pStyle w:val="ListNumber"/>
      </w:pPr>
      <w:r/>
      <w:r>
        <w:rPr>
          <w:b/>
        </w:rPr>
        <w:t>Piège de l'allaitement</w:t>
      </w:r>
      <w:r>
        <w:t xml:space="preserve"> : L'arrêt de l'allaitement n'est pas obligatoire après injection d'acide gadotérique macrocyclique ; le "pump and dump" est une option rassurante mais non scientifiquement justifiée.</w:t>
      </w:r>
    </w:p>
    <w:p>
      <w:pPr>
        <w:pStyle w:val="ListNumber"/>
      </w:pPr>
      <w:r/>
      <w:r>
        <w:rPr>
          <w:b/>
        </w:rPr>
        <w:t>Piège de l'urticaire tardive</w:t>
      </w:r>
      <w:r>
        <w:t xml:space="preserve"> : Une éruption cutanée survenant 2 h à 7 jours après l'injection d'acide gadotérique doit être signalée et documentée comme réaction retardée (cf. protocole ESUR), en évitant l'erreur diagnostique d'allergie alimentaire ou médicamenteuse concomitante.</w:t>
      </w:r>
    </w:p>
    <w:p>
      <w:pPr>
        <w:pStyle w:val="ListNumber"/>
      </w:pPr>
      <w:r/>
      <w:r>
        <w:rPr>
          <w:b/>
        </w:rPr>
        <w:t>Piège de l'anaphylaxie bêta-bloquée</w:t>
      </w:r>
      <w:r>
        <w:t xml:space="preserve"> : Les patients sous bêta-bloquants peuvent présenter une réponse atténuée à l'adrénaline en cas de choc anaphylactique ; prévoir l'adrénaline IV titrée et le glucagon en alternative (1–5 mg IV).</w:t>
      </w:r>
    </w:p>
    <w:p>
      <w:pPr>
        <w:pStyle w:val="ListNumber"/>
      </w:pPr>
      <w:r/>
      <w:r>
        <w:rPr>
          <w:b/>
        </w:rPr>
        <w:t>Piège de l'extravasation</w:t>
      </w:r>
      <w:r>
        <w:t xml:space="preserve"> : Toute douleur au point d'injection doit faire arrêter immédiatement l'injection ; ne pas tenter de "pousser" la perfusion en cas de résistance. Surélever le membre, appliquer du froid, surveiller 4 h.</w:t>
      </w:r>
    </w:p>
    <w:p>
      <w:pPr>
        <w:pStyle w:val="ListNumber"/>
      </w:pPr>
      <w:r/>
      <w:r>
        <w:rPr>
          <w:b/>
        </w:rPr>
        <w:t>Piège de la dose cumulée</w:t>
      </w:r>
      <w:r>
        <w:t xml:space="preserve"> : Les patients multi-examens (suivi oncologique) cumulent une rétention cérébrale de gadolinium à long terme ; privilégier les chélates macrocycliques (groupe III ESUR) et discuter un allongement des intervalles entre examens (≥ 6 mois si possible).</w:t>
      </w:r>
    </w:p>
    <w:p>
      <w:pPr>
        <w:pStyle w:val="ListNumber"/>
      </w:pPr>
      <w:r/>
      <w:r>
        <w:rPr>
          <w:b/>
        </w:rPr>
        <w:t>Piège de l'IRM cardiaque</w:t>
      </w:r>
      <w:r>
        <w:t xml:space="preserve"> : L'injection à fort débit (5 mL/s) pour l'IRM de perfusion cardiaque requiert un cathéter 18 G strict, rincé abondamment pour éviter l'extravasation en cas de pression élevée.</w:t>
      </w:r>
    </w:p>
    <w:p>
      <w:pPr>
        <w:pStyle w:val="ListNumber"/>
      </w:pPr>
      <w:r/>
      <w:r>
        <w:rPr>
          <w:b/>
        </w:rPr>
        <w:t>Piège nomenclature</w:t>
      </w:r>
      <w:r>
        <w:t xml:space="preserve"> : L'acide gadotérique est parfois mentionné "Gadotérate de méglumine" dans certaines anciennes publications ; il s'agit bien de la même molécule (DOTAREM, CLARISCAN).</w:t>
      </w:r>
    </w:p>
    <w:p>
      <w:pPr>
        <w:pStyle w:val="Heading2"/>
      </w:pPr>
      <w:r>
        <w:t>211.2 Fiche DCI : GADOBUTROL</w:t>
      </w:r>
    </w:p>
    <w:p>
      <w:pPr>
        <w:pStyle w:val="Heading3"/>
      </w:pPr>
      <w:r>
        <w:t>211.2.1 Liste des catégories thérapeutiques</w:t>
      </w:r>
    </w:p>
    <w:p>
      <w:pPr>
        <w:pStyle w:val="ListBullet"/>
      </w:pPr>
      <w:r/>
      <w:r>
        <w:rPr>
          <w:b/>
        </w:rPr>
        <w:t>Code ATC</w:t>
      </w:r>
      <w:r>
        <w:t xml:space="preserve"> : V08CA09 (Produits de contraste pour IRM, paramagnétique — gadobutrol)</w:t>
      </w:r>
    </w:p>
    <w:p>
      <w:pPr>
        <w:pStyle w:val="ListBullet"/>
      </w:pPr>
      <w:r/>
      <w:r>
        <w:rPr>
          <w:b/>
        </w:rPr>
        <w:t>Classification pharmacologique</w:t>
      </w:r>
      <w:r>
        <w:t xml:space="preserve"> : Chélate de gadolinium macrocyclique non-ionique, famille des dérivés du DOTA substitués (gadobutrol = 10-[(1SR,2RS)-2,3-dihydroxy-1-hydroxyméthylpropyl]-1,4,7,10-tétraazacyclododécane-1,4,7-triacétique acide, complexé au Gd³⁺)</w:t>
      </w:r>
    </w:p>
    <w:p>
      <w:pPr>
        <w:pStyle w:val="ListBullet"/>
      </w:pPr>
      <w:r/>
      <w:r>
        <w:rPr>
          <w:b/>
        </w:rPr>
        <w:t>Classe chimique</w:t>
      </w:r>
      <w:r>
        <w:t xml:space="preserve"> : Gadobutrol, formule C₁₈H₃₁GdN₄O₉, masse molaire 605 g/mol</w:t>
      </w:r>
    </w:p>
    <w:p>
      <w:pPr>
        <w:pStyle w:val="ListBullet"/>
      </w:pPr>
      <w:r/>
      <w:r>
        <w:rPr>
          <w:b/>
        </w:rPr>
        <w:t>Statut réglementaire international</w:t>
      </w:r>
      <w:r>
        <w:t xml:space="preserve"> : Groupe III ESUR (sécurité rénale optimale), AMM européenne initiale 1999 (Gadovist, Bayer)</w:t>
      </w:r>
    </w:p>
    <w:p>
      <w:pPr>
        <w:pStyle w:val="ListBullet"/>
      </w:pPr>
      <w:r/>
      <w:r>
        <w:rPr>
          <w:b/>
        </w:rPr>
        <w:t>Classement Algérie</w:t>
      </w:r>
      <w:r>
        <w:t xml:space="preserve"> : Liste I (prescription médicale obligatoire, surveillance radiologique spécialisée)</w:t>
      </w:r>
    </w:p>
    <w:p>
      <w:pPr>
        <w:pStyle w:val="ListBullet"/>
      </w:pPr>
      <w:r/>
      <w:r>
        <w:rPr>
          <w:b/>
        </w:rPr>
        <w:t>Indications AMM principales</w:t>
      </w:r>
      <w:r>
        <w:t xml:space="preserve"> : IRM cérébrale, médullaire, hépatique, rénale ; ARM (angiographie par résonance magnétique) corps entier ; IRM cardiaque (perfusion et viabilité) ; IRM mammaire ; IRM de perfusion cérébrale et spinale</w:t>
      </w:r>
    </w:p>
    <w:p>
      <w:pPr>
        <w:pStyle w:val="Heading3"/>
      </w:pPr>
      <w:r>
        <w:t>211.2.2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GADOVIST</w:t>
            </w:r>
          </w:p>
        </w:tc>
        <w:tc>
          <w:tcPr>
            <w:tcW w:type="dxa" w:w="1385"/>
          </w:tcPr>
          <w:p>
            <w:r>
              <w:rPr>
                <w:rFonts w:ascii="Times New Roman" w:hAnsi="Times New Roman"/>
                <w:sz w:val="20"/>
              </w:rPr>
              <w:t>BAYER PHARMA AG</w:t>
            </w:r>
          </w:p>
        </w:tc>
        <w:tc>
          <w:tcPr>
            <w:tcW w:type="dxa" w:w="1385"/>
          </w:tcPr>
          <w:p>
            <w:r>
              <w:rPr>
                <w:rFonts w:ascii="Times New Roman" w:hAnsi="Times New Roman"/>
                <w:sz w:val="20"/>
              </w:rPr>
              <w:t>Solution injectable IV 604,72 mg/mL (soit 157,25 mg/mL en gadolinium = 1,0 mmol/mL)</w:t>
            </w:r>
          </w:p>
        </w:tc>
        <w:tc>
          <w:tcPr>
            <w:tcW w:type="dxa" w:w="1385"/>
          </w:tcPr>
          <w:p>
            <w:r>
              <w:rPr>
                <w:rFonts w:ascii="Times New Roman" w:hAnsi="Times New Roman"/>
                <w:sz w:val="20"/>
              </w:rPr>
              <w:t>Fl/7,5 mL - Fl/15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algérienne</w:t>
      </w:r>
      <w:r>
        <w:t xml:space="preserve"> : Le gadobutrol est disponible uniquement sous la marque GADOVIST (Bayer Pharma AG, Allemagne), importé et distribué en Algérie. Sa concentration double (1,0 mmol/mL contre 0,5 mmol/mL pour les autres chélates) en fait une spécialité unique, autorisant une injection en bolus plus compact et de meilleure qualité pour les indications angiographiques à haute résolution temporelle. Aucune spécialité générique n'est actuellement disponible en Algérie ; toutefois, le statut ACTIF est maintenu depuis l'enregistrement initial. Le flacon de 7,5 mL correspond à la dose adulte standard pour 75 kg (0,1 mmol/kg = 7,5 mL à 1,0 mmol/mL), ce qui simplifie le calcul posologique au lit du patient.</w:t>
      </w:r>
    </w:p>
    <w:p>
      <w:pPr>
        <w:pStyle w:val="Heading3"/>
      </w:pPr>
      <w:r>
        <w:t>211.2.3 Sous-classe et mécanisme d'action moléculaire</w:t>
      </w:r>
    </w:p>
    <w:p>
      <w:r>
        <w:t>Le gadobutrol appartient à la sous-classe des chélates de gadolinium macrocycliques non-ioniques, dérivés du DOTA (1,4,7,10-tétraazacyclododécane-1,4,7,10-tétraacétique acide). À la différence de l'acide gadotérique (ionique, sel de méglumine), le gadobutrol est non-ionique : le ligand est substitué par une fonction hydroxypropyle qui neutralise la charge externe, réduisant ainsi l'osmolalité par mmol de gadolinium. Cette caractéristique structurale permet une concentration à 1,0 mmol/mL (soit 604,72 mg/mL de chélate total, équivalent à 157,25 mg/mL de gadolinium élément) sans excès d'osmolalité — celle-ci est de 1,4 fois celle du plasma (1603 mOsm/kg), intermédiaire entre les chélates à 0,5 mmol/mL hyperosmolaires (2–3× plasma) et l'iodixanol iso-osmolaire.</w:t>
      </w:r>
    </w:p>
    <w:p>
      <w:r>
        <w:t>La constante de stabilité thermodynamique (log KGdL) du gadobutrol est de 21,8, légèrement inférieure à celle de l'acide gadotérique (25,6) mais largement supérieure à celle des chélates linéaires (16–17 pour le gadopentate et le gadodiamide). La constante de dissociation cinétique (t½ à pH 1,0) atteint 43 heures, contre &lt; 5 secondes pour le gadodiamide. Cette double robustesse garantit une libération négligeable de gadolinium libre dans les conditions physiologiques, et explique l'absence totale de cas prouvés de NSF avec le gadobutrol même chez les patients avec eGFR &lt; 30 mL/min/1,73 m². Le mécanisme d'action en IRM repose sur le raccourcissement du T1 tissulaire par les 7 électrons non appariés du Gd³⁺, avec une relaxivité r1 à 1,5 T et 37 °C de 4,7 mM⁻¹·s⁻¹ (sang) — supérieure à celle de l'acide gadotérique (3,4 mM⁻¹·s⁻¹) en raison de la concentration plus élevée qui réduit la rotation moléculaire et augmente l'efficacité relaxométrique.</w:t>
      </w:r>
    </w:p>
    <w:p>
      <w:r>
        <w:t>L'élimination est exclusivement rénale par filtration glomérulaire, sans métabolisation, avec une demi-vie d'élimination de 65 à 100 minutes chez le sujet sain, légèrement plus courte que celle de l'acide gadotérique (90–120 min) en raison d'un volume de distribution plus restreint. L'excrétion urinaire est complète à 24 h (&gt; 95 %), et la clairance rénale du gadobutrol est corrélée à la clairance de la créatinine (r = 0,95). Chez l'insuffisant rénal sévère (eGFR &lt; 30), la demi-vie peut être prolongée à 6–12 h, justifiant une surveillance prolongée et une hydratation renforcée. Le passage cérébral est négligeable chez le sujet sain (barrière hémato-encéphalique intacte), mais une rétention cérébrale dose-cumulative a été documentée en substance noire, dentelée et globes pallides chez les patients multi-examens, sans traduction clinique démontrée à ce jour (suivi &gt; 10 ans, études GBCA-Brain, Murata 2016, Radbruch 2019).</w:t>
      </w:r>
    </w:p>
    <w:p>
      <w:pPr>
        <w:pStyle w:val="Heading3"/>
      </w:pPr>
      <w:r>
        <w:t>211.2.4 Profil pharmacologique</w:t>
      </w:r>
    </w:p>
    <w:p>
      <w:r/>
      <w:r>
        <w:rPr>
          <w:b/>
        </w:rPr>
        <w:t>Indications cliniques validées</w:t>
      </w:r>
      <w:r>
        <w:t xml:space="preserve"> : IRM cérébrale (tumeurs, AVC aigu, sclérose en plaques, épilepsie, démences, caractérisation lésionnelle), IRM spinale (compression médullaire, tumeur, démyélinisation), IRM hépatique (caractérisation lésions focales via la séquence hépatobiliaire à 60–90 min), IRM rénale (caractérisation angiomyolipome vs carcinome à cellules rénales), IRM mammaire (BI-RADS 4, haut risque BRCA), ARM corps entier (anévrismes, dissections, AVM), IRM cardiaque (perfusion de premier passage, viabilité tardive à 10 min, cardiomyopathies), IRM de perfusion cérébrale (viabilité tumorale, pénombre ischémique), IRM pelvienne (endométriose, cancer prostatique).</w:t>
      </w:r>
    </w:p>
    <w:p>
      <w:r/>
      <w:r>
        <w:rPr>
          <w:b/>
        </w:rPr>
        <w:t>Contre-indications absolues</w:t>
      </w:r>
      <w:r>
        <w:t xml:space="preserve"> : hypersensibilité connue au gadobutrol ou à l'un des excipients (trométamol, calcobutrol sodique comme excipient stabilisant). La grossesse constitue une contre-indication relative selon l'EMA (2017), à discuter en fonction du bénéfice/risque. Les chélates macrocycliques ne sont plus contre-indiqués en cas d'insuffisance rénale sévère selon les recommandations ESUR 2018 révisées (le RCP européen a retiré la mention CI eGFR &lt; 30 pour les chélates du groupe III en 2018).</w:t>
      </w:r>
    </w:p>
    <w:p>
      <w:r/>
      <w:r>
        <w:rPr>
          <w:b/>
        </w:rPr>
        <w:t>Effets indésirables fréquents</w:t>
      </w:r>
      <w:r>
        <w:t xml:space="preserve"> (&gt; 1 % à &lt; 10 %) : nausées, céphalées, sensations de chaleur au point d'injection, dysgueusie (goût métallique), réactions d'hypersensibilité mineures (urticaire localisée, prurit transitoire), hypotension transitoire, douleur au site d'injection. </w:t>
      </w:r>
      <w:r>
        <w:rPr>
          <w:b/>
        </w:rPr>
        <w:t>Effets rares</w:t>
      </w:r>
      <w:r>
        <w:t xml:space="preserve"> (0,01 % à 1 %) : réactions anaphylactoïdes modérées (bronchospasme, éruption généralisée), extrasystoles, thrombophlébite, parosmie. </w:t>
      </w:r>
      <w:r>
        <w:rPr>
          <w:b/>
        </w:rPr>
        <w:t>Effets très rares</w:t>
      </w:r>
      <w:r>
        <w:t xml:space="preserve"> (&lt; 0,01 %) : anaphylaxie sévère avec choc, arrêt cardiaque, syndrome de libération d'histamine massif, éruptions cutanées retardées (jusqu'à 7 jours, éruption maculo-papuleuse, syndrome de Stevens-Johnson exceptionnel), rétention cérébrale de gadolinium dose-cumulative (visible en IRM T1 sans injection sur la substance noire, dentelée, globes pallides). La surveillance pharmacovigilance européenne (EudraVigilance) recense moins de 100 cas d'anaphylaxie grave pour plus de 50 millions d'injections cumulées, soit une incidence &lt; 0,0002 %.</w:t>
      </w:r>
    </w:p>
    <w:p>
      <w:pPr>
        <w:pStyle w:val="Heading3"/>
      </w:pPr>
      <w:r>
        <w:t>211.2.5 Prévention et gestion des effets indésirables</w:t>
      </w:r>
    </w:p>
    <w:p>
      <w:r>
        <w:t xml:space="preserve">La stratégie préventive s'articule autour de cinq volets complémentaires. </w:t>
      </w:r>
      <w:r>
        <w:rPr>
          <w:b/>
        </w:rPr>
        <w:t>Premièrement</w:t>
      </w:r>
      <w:r>
        <w:t>, l'évaluation pré-injection systématique comprend : interrogatoire ciblé sur les allergies (produits de contraste iodés ou gadolinés précédents, asthme, eczéma, allergie alimentaire), évaluation de la fonction rénale (créatininémie et eGFR CKD-EPI dans les 7 jours précédant l'examen chez les patients à risque : âge &gt; 65 ans, diabète, IR connue, néphropathie chronique, chimiothérapie néphrotoxique, myélome), recherche de grossesse chez toute femme en âge de procréer, inventaire des traitements en cours (metformine, IEC/ARA2, diurétiques, IL-2, bêta-bloquants). Le calcul de l'eGFR doit être systématique chez les patients diabétiques et/ou âgés, même en routine, en raison de la fréquence des néphropathies méconnues en Algérie.</w:t>
      </w:r>
    </w:p>
    <w:p>
      <w:r/>
      <w:r>
        <w:rPr>
          <w:b/>
        </w:rPr>
        <w:t>Deuxièmement</w:t>
      </w:r>
      <w:r>
        <w:t xml:space="preserve">, l'hydratation pré-injection repose sur la stratégie ESUR : pour les eGFR ≥ 60, hydratation orale simple (1 L d'eau plate dans les 4 h précédant l'examen) ; pour les eGFR 30–59, hydratation orale renforcée (1,5 L) ou IV (NaCl 0,9 % 1 mL/kg/h pendant 4 h avant et 4 h après) ; pour les eGFR &lt; 30, hydratation IV systématique (NaCl 0,9 % 1 mL/kg/h pendant 12 h avant et 12 h après) et discussion d'une alternative non injectée ou d'une dialyse prophylactique post-injection chez les patients hémodialysés. </w:t>
      </w:r>
      <w:r>
        <w:rPr>
          <w:b/>
        </w:rPr>
        <w:t>Troisièmement</w:t>
      </w:r>
      <w:r>
        <w:t xml:space="preserve">, la prémédication antiallergique (prednisone 50 mg per os 13 h, 7 h, 1 h avant + dexchlorphéniramine 5 mg IM 1 h avant) est réservée aux patients ayant présenté une réaction immédiate sévère (grade 3–4 Ring-Messmer) à un produit de contraste précédent ; elle n'est pas systématique pour les chélates macrocycliques en raison de leur profil d'innocuité actuel (ACR 2024). </w:t>
      </w:r>
      <w:r>
        <w:rPr>
          <w:b/>
        </w:rPr>
        <w:t>Quatrièmement</w:t>
      </w:r>
      <w:r>
        <w:t xml:space="preserve">, le kit d'urgence anaphylaxie doit être immédiatement accessible en salle d'imagerie : adrénaline 1 mg/mL (ampoules 1 mL), oxygène, masque poche-bulles, intubation, Bétaméthasone 4 mg IV, Polaramine 5 mg IV, NaCl 0,9 % pour remplissage. </w:t>
      </w:r>
      <w:r>
        <w:rPr>
          <w:b/>
        </w:rPr>
        <w:t>Cinquièmement</w:t>
      </w:r>
      <w:r>
        <w:t>, la surveillance post-injection obligatoire de 30 min permet la détection des réactions immédiates (choc, bronchospasme, urticaire) ; un délai d'observation prolongé à 2 h est recommandé en cas d'antécédent allergique sévère.</w:t>
      </w:r>
    </w:p>
    <w:p>
      <w:r>
        <w:t>La gestion d'une réaction anaphylactique sévère suit le protocole ESUR/ACR standardisé : (1) arrêt immédiat de l'injection, sans retirer le cathéter (voie veineuse conservée pour l'administration des médicaments d'urgence) ; (2) mise en décubitus dorsal, jambes surélevées (Trendelenburg modifié), oxygène 15 L/min par masque ; (3) adrénaline IM 0,3 mg (0,3 mL de la solution à 1 mg/mL = 1 mg/mL) dans la face antérolatérale de la cuisse (vaste latéral), à renouveler après 5 min si absence d'amélioration, dose maximale 0,6 mg ; (4) remplissage vasculaire NaCl 0,9 % 20 mL/kg en 5–10 min (soit 1,4 L pour un adulte de 70 kg) ; (5) intubation orotrachéale en cas de bronchospasme réfractaire ou d'œdème laryngé. La voie IV pour l'adrénaline est réservée à l'arrêt cardiaque (1 mg IV toutes les 3–5 min) ou au choc réfractaire à l'IM (titration 10–100 μg IV sous monitoring). Les corticoïdes IV (méthylprednisolone 1 mg/kg) et les antihistaminiques sont des traitements adjuvants d'action retardée (4–6 h), à ne jamais substituer à l'adrénaline qui est le traitement de première ligne.</w:t>
      </w:r>
    </w:p>
    <w:p>
      <w:pPr>
        <w:pStyle w:val="Heading3"/>
      </w:pPr>
      <w:r>
        <w:t>211.2.6 Interactions médicamenteuses</w:t>
      </w:r>
    </w:p>
    <w:p>
      <w:r>
        <w:t xml:space="preserve">Le gadobutrol présente un profil d'interactions médicamenteuses particulièrement favorable, lié à son élimination exclusivement rénale sous forme inchangée par filtration glomérulaire, sans métabolisation hépatique ni liaison protéique significative (&lt; 5 %). Néanmoins, plusieurs situations cliniques méritent une vigilance particulière. </w:t>
      </w:r>
      <w:r>
        <w:rPr>
          <w:b/>
        </w:rPr>
        <w:t>La metformine</w:t>
      </w:r>
      <w:r>
        <w:t xml:space="preserve"> ne nécessite pas d'arrêt systématique chez les patients diabétiques recevant une dose standard de gadobutrol en IRM (0,1 mmol/kg, soit ~7,5 mL à 1,0 mmol/mL pour un adulte de 75 kg), à condition que l'eGFR soit ≥ 30 mL/min/1,73 m². En cas d'eGFR &lt; 30, l'arrêt transitoire de la metformine pendant 48 h avec contrôle de la créatininémie avant reprise est recommandé par précaution (prévention de l'acidose lactique en cas d'IRA post-contraste).</w:t>
      </w:r>
    </w:p>
    <w:p>
      <w:r/>
      <w:r>
        <w:rPr>
          <w:b/>
        </w:rPr>
        <w:t>Les bêta-bloquants</w:t>
      </w:r>
      <w:r>
        <w:t xml:space="preserve"> majorent le risque de réaction anaphylactique réfractaire et peuvent atténuer la réponse à l'adrénaline : justifier le recours à l'adrénaline IV titrée (10–100 μg) ou au glucagon (1–5 mg IV en 5 min, puis 5–15 μg/min) en milieu spécialisé. </w:t>
      </w:r>
      <w:r>
        <w:rPr>
          <w:b/>
        </w:rPr>
        <w:t>Les interleukines-2 (IL-2)</w:t>
      </w:r>
      <w:r>
        <w:t xml:space="preserve"> administrées à doses thérapeutiques (mélanome métastatique, cancer du rein) potentialisent le risque de réactions d'hypersensibilité tardive (rash maculopapuleux 4–24 h post-injection), justifiant un espacement de 2 semaines entre les cures d'IL-2 et l'injection de gadolinium. </w:t>
      </w:r>
      <w:r>
        <w:rPr>
          <w:b/>
        </w:rPr>
        <w:t>Les diurétiques de l'anse</w:t>
      </w:r>
      <w:r>
        <w:t xml:space="preserve"> (furosémide) ou thiazidiques peuvent aggraver une déshydratation préalable et majorer le risque de néphropathie post-contraste ; leur arrêt transitoire le jour de l'examen est discuté. </w:t>
      </w:r>
      <w:r>
        <w:rPr>
          <w:b/>
        </w:rPr>
        <w:t>Les inhibiteurs de l'enzyme de conversion (IEC) et les antagonistes des récepteurs de l'angiotensine II (ARA2)</w:t>
      </w:r>
      <w:r>
        <w:t xml:space="preserve"> majorent le risque d'hypotension en cas de réaction vasovagale ou anaphylactoïde ; leur maintien est néanmoins recommandé en routine en raison du bénéfice cardio-rénal global.</w:t>
      </w:r>
    </w:p>
    <w:p>
      <w:r/>
      <w:r>
        <w:rPr>
          <w:b/>
        </w:rPr>
        <w:t>La chimiothérapie néphrotoxique</w:t>
      </w:r>
      <w:r>
        <w:t xml:space="preserve"> (cisplatine, ifosfamide, cyclophosphamide à haute dose, sels de platine) impose un délai minimal de 2 semaines après la dernière cure avant l'injection de gadolinium, pour permettre la récupération tubulaire. </w:t>
      </w:r>
      <w:r>
        <w:rPr>
          <w:b/>
        </w:rPr>
        <w:t>Les médicaments potentiellement allergisants concomitants</w:t>
      </w:r>
      <w:r>
        <w:t xml:space="preserve"> (pénicillines, céphalosporines, sulfamides, AINS) ne constituent pas une contre-indication mais doivent être documentés pour l'analyse pharmacovigilance en cas de réaction. </w:t>
      </w:r>
      <w:r>
        <w:rPr>
          <w:b/>
        </w:rPr>
        <w:t>Les anti-H2</w:t>
      </w:r>
      <w:r>
        <w:t xml:space="preserve"> (ranitidine — à noter retrait européen 2019, mais alternative famotidine) ne sont plus recommandés en prémédication systématique en raison d'un bénéfice non démontré. Enfin, le gadobutrol n'interfère pas avec les dosages biologiques standards (créatininémie, ionogramme, NFS, bilan hépatique), mais peut transientement perturber la colorimétrie du calcium sérique (fausse hypocalcémie) pendant les 4–6 h suivant l'injection — point à signaler au laboratoire d'analyses.</w:t>
      </w:r>
    </w:p>
    <w:p>
      <w:pPr>
        <w:pStyle w:val="Heading3"/>
      </w:pPr>
      <w:r>
        <w:t>211.2.7 Grossesse et allaitement (CRAT)</w:t>
      </w:r>
    </w:p>
    <w:p>
      <w:r/>
      <w:r>
        <w:rPr>
          <w:b/>
        </w:rPr>
        <w:t>Grossesse</w:t>
      </w:r>
      <w:r>
        <w:t xml:space="preserve"> : Le gadobutrol traverse la barrière placentaire par diffusion passive et se cumule dans le liquide amniotique où sa demi-vie d'élimination est prolongée à plusieurs jours, exposant le fœtus à un risque théorique de rétention cérébrale. Selon le CRAT, l'injection de gadolinium macrocyclique au cours de la grossesse ne doit être envisagée qu'en cas de nécessité absolue (urgence vitale, caractérisation d'une lésion maligne engageant le pronostic maternel), après information éclairée de la patiente et validation par un comité pluridisciplinaire. L'EMA (2017) classe tous les chélates de gadolinium en contre-indication relative pendant la grossesse. Le risque tératogène n'a pas été documenté chez l'humain, mais les données animales chez le rat et le lapin ont montré des retards de croissance fœtale et des pertes embryonnaires à doses supra-thérapeutiques (5–10× la dose humaine). En pratique, le rapport bénéfice/risque doit être systématiquement documenté ; une alternative non irradiante (échographie, IRM sans injection) doit être discutée en première intention.</w:t>
      </w:r>
    </w:p>
    <w:p>
      <w:r/>
      <w:r>
        <w:rPr>
          <w:b/>
        </w:rPr>
        <w:t>Allaitement</w:t>
      </w:r>
      <w:r>
        <w:t xml:space="preserve"> : Le gadobutrol passe en quantité négligeable dans le lait maternel (moins de 0,04 % de la dose maternelle administrée), et l'absorption intestinale par le nourrisson est inférieure à 1 % de la dose ingérée. L'ESUR (2018) et l'ACR (2024) concluent à l'innocuité clinique de l'allaitement après injection de gadobutrol, et ne recommandent pas l'interruption systématique de l'allaitement. Néanmoins, par mesure de précaution maximale et pour tenir compte des inquiétudes maternelles légitimes, la pratique consistant à recueillir et jeter ("pump and dump") le lait produit dans les 24 h suivant l'injection reste acceptable et rassurante, sans pour autant être scientifiquement justifiée. Le CRAT confirme cette approche nuancée : information de la patiente, décision partagée, sans obligation réglementaire d'arrêt. Le délai de 24 h est mentionné par certains auteurs comme permettant une élimination complète du produit et la prévention théorique de tout passage lacté résiduel.</w:t>
      </w:r>
    </w:p>
    <w:p>
      <w:pPr>
        <w:pStyle w:val="Heading3"/>
      </w:pPr>
      <w:r>
        <w:t>211.2.8 Posologie et mode d'administration</w:t>
      </w:r>
    </w:p>
    <w:p>
      <w:r/>
      <w:r>
        <w:rPr>
          <w:b/>
        </w:rPr>
        <w:t>Posologie adulte</w:t>
      </w:r>
      <w:r>
        <w:t xml:space="preserve"> : la dose standard recommandée est de </w:t>
      </w:r>
      <w:r>
        <w:rPr>
          <w:b/>
        </w:rPr>
        <w:t>0,1 mmol/kg de poids corporel</w:t>
      </w:r>
      <w:r>
        <w:t xml:space="preserve">, soit 0,1 mL/kg de la solution à 1,0 mmol/mL (par exemple 7,5 mL pour un adulte de 75 kg — d'où la taille du conditionnement standard). Cette dose peut être portée à </w:t>
      </w:r>
      <w:r>
        <w:rPr>
          <w:b/>
        </w:rPr>
        <w:t>0,15 mmol/kg</w:t>
      </w:r>
      <w:r>
        <w:t xml:space="preserve"> (0,15 mL/kg) pour les IRM de perfusion cérébrale (viabilité tumorale, pénombre ischémique) et les ARM nécessitant un bolus plus dense, sans dépasser la dose maximale cumulée de 0,3 mmol/kg par examen. La répétition d'injections au cours du même examen doit être espacée d'au moins 10 minutes. Pour l'IRM hépatique avec séquence hépatobiliaire tardive, l'acquisition tardive à 60–90 min après injection exploite la captation transitoire par les hépatocytes via les transporteurs OATP1B3.</w:t>
      </w:r>
    </w:p>
    <w:p>
      <w:r/>
      <w:r>
        <w:rPr>
          <w:b/>
        </w:rPr>
        <w:t>Posologie pédiatrique</w:t>
      </w:r>
      <w:r>
        <w:t xml:space="preserve"> : la dose recommandée chez l'enfant de plus de 2 ans est identique à celle de l'adulte (0,1 mmol/kg), avec une surveillance particulière chez les nouveau-nés et nourrissons &lt; 2 ans en raison de l'immaturité rénale (clairance de la créatinine physiologiquement basse &lt; 60 mL/min/1,73 m² pendant les premiers mois). Une seule injection par examen est recommandée chez l'enfant de moins de 1 an, et un délai minimal de 7 jours doit être respecté entre deux injections répétées. Pour l'indication IRM cardiaque pédiatrique (cardiopathies congénitales), la dose est de 0,15 mmol/kg avec flush de NaCl 0,9 % à volume équivalent.</w:t>
      </w:r>
    </w:p>
    <w:p>
      <w:r/>
      <w:r>
        <w:rPr>
          <w:b/>
        </w:rPr>
        <w:t>Mode d'administration</w:t>
      </w:r>
      <w:r>
        <w:t xml:space="preserve"> : injection intraveineuse stricte, dans une veine de gros calibre (pli du coude, avant-bras), à l'aide d'un cathéter veineux périphérique 18–22 G, par voie manuelle (seringue) ou par injecteur automatique à débit constant (2–3 mL/s pour les IRM standard, 4–5 mL/s pour l'ARM et l'IRM cardiaque). Le cathéter doit être rincé par 20–30 mL de NaCl 0,9 % après injection pour éviter la formation de thrombus et limiter l'extravasation locale. La veine doit être testée au préalable par un flush de sérum physiologique pour vérifier sa perméabilité et l'absence d'extravasation. En cas d'extravasation, l'injection doit être immédiatement arrêtée, le cathéter retiré, le membre surélevé, et une application de froid local (poche de glace) pendant 15–20 min réalisée ; la surveillance de la tolérance locale doit être documentée dans le dossier.</w:t>
      </w:r>
    </w:p>
    <w:p>
      <w:pPr>
        <w:pStyle w:val="Heading3"/>
      </w:pPr>
      <w:r>
        <w:t>211.2.9 Arbitrage et bénéfices des formes galéniques</w:t>
      </w:r>
    </w:p>
    <w:p>
      <w:r>
        <w:t xml:space="preserve">Le gadobutrol est disponible en Algérie uniquement sous la marque GADOVIST (Bayer Pharma AG), en concentration 1,0 mmol/mL, en flacons de 7,5 mL et 15 mL. Cette concentration double par rapport aux autres chélates de gadolinium (acide gadotérique, gadotéridol — tous à 0,5 mmol/mL) constitue un avantage galénique majeur pour trois raisons : (1) </w:t>
      </w:r>
      <w:r>
        <w:rPr>
          <w:b/>
        </w:rPr>
        <w:t>réduction du volume injecté</w:t>
      </w:r>
      <w:r>
        <w:t xml:space="preserve"> — pour 0,1 mmol/kg, le volume injecté est de 0,1 mL/kg au lieu de 0,2 mL/kg, ce qui facilite l'injection en bolus compact et améliore la qualité d'imagerie pour les ARM haute résolution temporelle (temps de réponse optimal) ; (2) </w:t>
      </w:r>
      <w:r>
        <w:rPr>
          <w:b/>
        </w:rPr>
        <w:t>facilité de calcul posologique au lit du patient</w:t>
      </w:r>
      <w:r>
        <w:t xml:space="preserve"> — un flacon de 7,5 mL correspond à la dose adulte standard pour 75 kg, simplifiant la préparation ; (3) </w:t>
      </w:r>
      <w:r>
        <w:rPr>
          <w:b/>
        </w:rPr>
        <w:t>réduction de la charge hydrosodée</w:t>
      </w:r>
      <w:r>
        <w:t xml:space="preserve"> — pour les patients avec insuffisance cardiaque ou hémodialyse, le volume injecté réduit diminue le risque de surcharge.</w:t>
      </w:r>
    </w:p>
    <w:p>
      <w:r>
        <w:t xml:space="preserve">Les inconvénients potentiels de la concentration 1,0 mmol/mL incluent : (1) </w:t>
      </w:r>
      <w:r>
        <w:rPr>
          <w:b/>
        </w:rPr>
        <w:t>viscosité plus élevée</w:t>
      </w:r>
      <w:r>
        <w:t xml:space="preserve"> à température ambiante (3,2 mPa·s à 37 °C contre 2,0 mPa·s pour les chélates à 0,5 mmol/mL), pouvant nécessiter un réchauffement préalable à 37 °C pour faciliter l'injection à débit élevé ; (2) </w:t>
      </w:r>
      <w:r>
        <w:rPr>
          <w:b/>
        </w:rPr>
        <w:t>osmolalité plus élevée</w:t>
      </w:r>
      <w:r>
        <w:t xml:space="preserve"> (1603 mOsm/kg, soit 1,4× plasma), pouvant être responsable d'une sensation de chaleur au point d'injection plus marquée (à signaler au patient) ; (3) </w:t>
      </w:r>
      <w:r>
        <w:rPr>
          <w:b/>
        </w:rPr>
        <w:t>risque d'erreur de dose</w:t>
      </w:r>
      <w:r>
        <w:t xml:space="preserve"> si l'opérateur oublie la concentration double et applique la règle standard de 0,2 mL/kg — risque d'overdose de 2×, d'où la nécessité d'étiquetage et de check-liste en salle d'imagerie. Le conditionnement en flacons de 7,5 et 15 mL permet une gestion rationnelle des stocks : pour un patient de 75 kg nécessitant 7,5 mL, le flacon de 7,5 mL est optimal et limite les pertes résiduelles.</w:t>
      </w:r>
    </w:p>
    <w:p>
      <w:pPr>
        <w:pStyle w:val="Heading3"/>
      </w:pPr>
      <w:r>
        <w:t>211.2.10 Instructions et conseils au patient</w:t>
      </w:r>
    </w:p>
    <w:p>
      <w:r/>
      <w:r>
        <w:rPr>
          <w:b/>
        </w:rPr>
        <w:t>Avant l'examen</w:t>
      </w:r>
      <w:r>
        <w:t xml:space="preserve"> : le patient doit être informé de la nature de l'examen (IRM avec injection), du déroulement (durée 30–60 min, bruit de la machine, nécessité de rester immobile), et de l'injection (ponction veineuse, sensation de chaleur diffuse durant 30–60 s, goût métallique transitoire, parfois envie d'uriner). Le jeûne n'est pas obligatoire mais un léger repas 2 h avant l'examen est recommandé pour prévenir l'hypoglycémie et les malaises vagaux. Le patient doit apporter ses bilans biologiques récents (créatininémie et eGFR datant de moins de 7 jours), la liste de ses traitements en cours (notamment metformine, IEC, ARA2, diurétiques, chimiothérapie), et tout document en rapport avec l'indication (échographie, scanner, résultats antérieurs). Le patient doit signaler toute allergie médicamenteuse, alimentaire (iode, fruits de mer), ou aux produits de contraste ; toute grossesse éventuelle ou allaitement ; tout antécédent cardiaque, rénal, hépatique, thyroïdien ou d'asthme.</w:t>
      </w:r>
    </w:p>
    <w:p>
      <w:r/>
      <w:r>
        <w:rPr>
          <w:b/>
        </w:rPr>
        <w:t>Pendant l'examen</w:t>
      </w:r>
      <w:r>
        <w:t xml:space="preserve"> : le patient doit rester strictement immobile et suivre les consignes de respiration (apnées de 15–20 s pour les séquences thoraciques et abdominales). Une sonnette d'alerte est mise à disposition pour signifier toute gêne (douleur au point d'injection, dyspnée, nausée, urticaire) pendant toute la durée de l'examen. Le patient peut ressentir une sensation de chaleur ou de froid au point d'injection et un goût métallique transitoire — ces manifestations sont bénignes et spontanément résolutives en 1–2 min.</w:t>
      </w:r>
    </w:p>
    <w:p>
      <w:r/>
      <w:r>
        <w:rPr>
          <w:b/>
        </w:rPr>
        <w:t>Après l'examen</w:t>
      </w:r>
      <w:r>
        <w:t xml:space="preserve"> : le patient doit être surveillé pendant 30 min en salle de réveil (surveillance des constantes : tension, fréquence cardiaque, SpO₂). Une hydratation orale abondante (1,5–2 L d'eau dans les 24 h suivant l'examen) est recommandée pour favoriser l'élimination rénale du gadolinium. La reprise de la conduite automobile est autorisée immédiatement après l'examen en l'absence de réaction. Le patient doit être informé des signes d'alerte devant motiver une consultation médicale urgente : dyspnée, œdème facial, urticaire généralisée, fièvre, douleur au point d'injection, éruption cutanée tardive (jusqu'à 7 jours après), baisse de diurèse. Chez la femme allaitante, l'interruption d'allaitement pendant 24 h est une option rassurante mais non obligatoire. Une consultation de résultats est programmée à 7 jours pour restitution.</w:t>
      </w:r>
    </w:p>
    <w:p>
      <w:pPr>
        <w:pStyle w:val="Heading3"/>
      </w:pPr>
      <w:r>
        <w:t>211.2.11 Notes, règles d'or et pièges au comptoir</w:t>
      </w:r>
    </w:p>
    <w:p>
      <w:pPr>
        <w:pStyle w:val="ListNumber"/>
      </w:pPr>
      <w:r/>
      <w:r>
        <w:rPr>
          <w:b/>
        </w:rPr>
        <w:t>Règle d'or n°1</w:t>
      </w:r>
      <w:r>
        <w:t xml:space="preserve"> : Toujours vérifier l'eGFR datée de moins de 7 jours avant toute injection, notamment chez les patients &gt; 65 ans, diabétiques, ou avec antécédent néphropathique. Une eGFR ≥ 60 ne nécessite pas d'hydratation IV systématique pour les chélates macrocycliques.</w:t>
      </w:r>
    </w:p>
    <w:p>
      <w:pPr>
        <w:pStyle w:val="ListNumber"/>
      </w:pPr>
      <w:r/>
      <w:r>
        <w:rPr>
          <w:b/>
        </w:rPr>
        <w:t>Règle d'or n°2</w:t>
      </w:r>
      <w:r>
        <w:t xml:space="preserve"> : Ne jamais injecter un chélate de gadolinium linéaire (Magnevist, Omniscan) même si le produit est trouvé en stock résiduel : ces spécialités sont en statut RETRAIT en Algérie et leur utilisation constituerait une faute professionnelle grave (risque NSF).</w:t>
      </w:r>
    </w:p>
    <w:p>
      <w:pPr>
        <w:pStyle w:val="ListNumber"/>
      </w:pPr>
      <w:r/>
      <w:r>
        <w:rPr>
          <w:b/>
        </w:rPr>
        <w:t>Règle d'or n°3</w:t>
      </w:r>
      <w:r>
        <w:t xml:space="preserve"> : Vérifier la grossesse éventuelle chez toute femme en âge de procréer avant l'injection ; le gadolinium traverse le placenta.</w:t>
      </w:r>
    </w:p>
    <w:p>
      <w:pPr>
        <w:pStyle w:val="ListNumber"/>
      </w:pPr>
      <w:r/>
      <w:r>
        <w:rPr>
          <w:b/>
        </w:rPr>
        <w:t>Piège du comptoir n°1</w:t>
      </w:r>
      <w:r>
        <w:t xml:space="preserve"> : Le gadobutrol (GADOVIST) est à concentration DOUBLE (1,0 mmol/mL) par rapport à l'acide gadotérique (DOTAREM, CLARISCAN) à 0,5 mmol/mL. La dose de 0,1 mmol/kg correspond à 0,1 mL/kg pour le gadobutrol, mais à 0,2 mL/kg pour l'acide gadotérique. Une erreur de calcul expose à une underdose ou overdose.</w:t>
      </w:r>
    </w:p>
    <w:p>
      <w:pPr>
        <w:pStyle w:val="ListNumber"/>
      </w:pPr>
      <w:r/>
      <w:r>
        <w:rPr>
          <w:b/>
        </w:rPr>
        <w:t>Piège du comptoir n°2</w:t>
      </w:r>
      <w:r>
        <w:t xml:space="preserve"> : La viscosité du gadobutrol à température ambiante (3,2 mPa·s) peut nécessiter un réchauffement préalable à 37 °C pour faciliter l'injection à débit élevé (IRM cardiaque, ARM).</w:t>
      </w:r>
    </w:p>
    <w:p>
      <w:pPr>
        <w:pStyle w:val="ListNumber"/>
      </w:pPr>
      <w:r/>
      <w:r>
        <w:rPr>
          <w:b/>
        </w:rPr>
        <w:t>Piège de la metformine</w:t>
      </w:r>
      <w:r>
        <w:t xml:space="preserve"> : Ne pas arrêter systématiquement la metformine pour un scanner ou IRM avec injection de gadobutrol si l'eGFR est ≥ 30 ; l'arrêt n'est nécessaire que pour les doses élevées ou en cas d'insuffisance rénale avancée.</w:t>
      </w:r>
    </w:p>
    <w:p>
      <w:pPr>
        <w:pStyle w:val="ListNumber"/>
      </w:pPr>
      <w:r/>
      <w:r>
        <w:rPr>
          <w:b/>
        </w:rPr>
        <w:t>Piège de l'allaitement</w:t>
      </w:r>
      <w:r>
        <w:t xml:space="preserve"> : L'arrêt de l'allaitement n'est pas obligatoire après injection de gadobutrol ; le "pump and dump" de 24 h est une option rassurante mais non scientifiquement justifiée.</w:t>
      </w:r>
    </w:p>
    <w:p>
      <w:pPr>
        <w:pStyle w:val="ListNumber"/>
      </w:pPr>
      <w:r/>
      <w:r>
        <w:rPr>
          <w:b/>
        </w:rPr>
        <w:t>Piège de l'urticaire tardive</w:t>
      </w:r>
      <w:r>
        <w:t xml:space="preserve"> : Une éruption cutanée survenant 2 h à 7 jours après l'injection de gadobutrol doit être signalée et documentée comme réaction retardée (protocole ESUR), en évitant l'erreur diagnostique d'allergie alimentaire ou médicamenteuse concomitante.</w:t>
      </w:r>
    </w:p>
    <w:p>
      <w:pPr>
        <w:pStyle w:val="ListNumber"/>
      </w:pPr>
      <w:r/>
      <w:r>
        <w:rPr>
          <w:b/>
        </w:rPr>
        <w:t>Piège de l'anaphylaxie bêta-bloquée</w:t>
      </w:r>
      <w:r>
        <w:t xml:space="preserve"> : Les patients sous bêta-bloquants peuvent présenter une réponse atténuée à l'adrénaline en cas de choc anaphylactique ; prévoir l'adrénaline IV titrée et le glucagon en alternative (1–5 mg IV).</w:t>
      </w:r>
    </w:p>
    <w:p>
      <w:pPr>
        <w:pStyle w:val="ListNumber"/>
      </w:pPr>
      <w:r/>
      <w:r>
        <w:rPr>
          <w:b/>
        </w:rPr>
        <w:t>Piège de l'extravasation</w:t>
      </w:r>
      <w:r>
        <w:t xml:space="preserve"> : Toute douleur au point d'injection doit faire arrêter immédiatement l'injection ; ne pas tenter de "pousser" la perfusion en cas de résistance. Surélever le membre, appliquer du froid, surveiller 4 h.</w:t>
      </w:r>
    </w:p>
    <w:p>
      <w:pPr>
        <w:pStyle w:val="ListNumber"/>
      </w:pPr>
      <w:r/>
      <w:r>
        <w:rPr>
          <w:b/>
        </w:rPr>
        <w:t>Piège de la dose cumulée</w:t>
      </w:r>
      <w:r>
        <w:t xml:space="preserve"> : Les patients multi-examens (suivi oncologique) cumulent une rétention cérébrale de gadolinium à long terme ; privilégier les chélates macrocycliques (groupe III ESUR) et discuter un allongement des intervalles entre examens (≥ 6 mois si possible).</w:t>
      </w:r>
    </w:p>
    <w:p>
      <w:pPr>
        <w:pStyle w:val="ListNumber"/>
      </w:pPr>
      <w:r/>
      <w:r>
        <w:rPr>
          <w:b/>
        </w:rPr>
        <w:t>Piège de l'IRM cardiaque</w:t>
      </w:r>
      <w:r>
        <w:t xml:space="preserve"> : L'injection à fort débit (5 mL/s) pour l'IRM de perfusion cardiaque requiert un cathéter 18 G strict, rincé abondamment pour éviter l'extravasation en cas de pression élevée.</w:t>
      </w:r>
    </w:p>
    <w:p>
      <w:pPr>
        <w:pStyle w:val="ListNumber"/>
      </w:pPr>
      <w:r/>
      <w:r>
        <w:rPr>
          <w:b/>
        </w:rPr>
        <w:t>Piège de la calcémie</w:t>
      </w:r>
      <w:r>
        <w:t xml:space="preserve"> : Le gadobutrol peut transientement perturber la colorimétrie du calcium sérique (fausse hypocalcémie) pendant 4–6 h après l'injection ; signaler au laboratoire d'analyses l'injection récente.</w:t>
      </w:r>
    </w:p>
    <w:p>
      <w:pPr>
        <w:pStyle w:val="Heading2"/>
      </w:pPr>
      <w:r>
        <w:t>211.3 Tableau comparatif de sous-classe : Gadolinium chélates macrocycliques</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Paramètre</w:t>
            </w:r>
          </w:p>
        </w:tc>
        <w:tc>
          <w:tcPr>
            <w:tcW w:type="dxa" w:w="2771"/>
            <w:shd w:val="clear" w:color="auto" w:fill="F2F2F2"/>
          </w:tcPr>
          <w:p>
            <w:r>
              <w:rPr>
                <w:rFonts w:ascii="Times New Roman" w:hAnsi="Times New Roman"/>
                <w:b/>
                <w:sz w:val="20"/>
              </w:rPr>
              <w:t>Acide gadotérique (DOTAREM, CLARISCAN)</w:t>
            </w:r>
          </w:p>
        </w:tc>
        <w:tc>
          <w:tcPr>
            <w:tcW w:type="dxa" w:w="2771"/>
            <w:shd w:val="clear" w:color="auto" w:fill="F2F2F2"/>
          </w:tcPr>
          <w:p>
            <w:r>
              <w:rPr>
                <w:rFonts w:ascii="Times New Roman" w:hAnsi="Times New Roman"/>
                <w:b/>
                <w:sz w:val="20"/>
              </w:rPr>
              <w:t>Gadobutrol (GADOVIST)</w:t>
            </w:r>
          </w:p>
        </w:tc>
      </w:tr>
      <w:tr>
        <w:tc>
          <w:tcPr>
            <w:tcW w:type="dxa" w:w="2771"/>
          </w:tcPr>
          <w:p>
            <w:r>
              <w:rPr>
                <w:rFonts w:ascii="Times New Roman" w:hAnsi="Times New Roman"/>
                <w:sz w:val="20"/>
              </w:rPr>
              <w:t>**Code ATC**</w:t>
            </w:r>
          </w:p>
        </w:tc>
        <w:tc>
          <w:tcPr>
            <w:tcW w:type="dxa" w:w="2771"/>
          </w:tcPr>
          <w:p>
            <w:r>
              <w:rPr>
                <w:rFonts w:ascii="Times New Roman" w:hAnsi="Times New Roman"/>
                <w:sz w:val="20"/>
              </w:rPr>
              <w:t>V08CA02</w:t>
            </w:r>
          </w:p>
        </w:tc>
        <w:tc>
          <w:tcPr>
            <w:tcW w:type="dxa" w:w="2771"/>
          </w:tcPr>
          <w:p>
            <w:r>
              <w:rPr>
                <w:rFonts w:ascii="Times New Roman" w:hAnsi="Times New Roman"/>
                <w:sz w:val="20"/>
              </w:rPr>
              <w:t>V08CA09</w:t>
            </w:r>
          </w:p>
        </w:tc>
      </w:tr>
      <w:tr>
        <w:tc>
          <w:tcPr>
            <w:tcW w:type="dxa" w:w="2771"/>
          </w:tcPr>
          <w:p>
            <w:r>
              <w:rPr>
                <w:rFonts w:ascii="Times New Roman" w:hAnsi="Times New Roman"/>
                <w:sz w:val="20"/>
              </w:rPr>
              <w:t>**Sous-classe**</w:t>
            </w:r>
          </w:p>
        </w:tc>
        <w:tc>
          <w:tcPr>
            <w:tcW w:type="dxa" w:w="2771"/>
          </w:tcPr>
          <w:p>
            <w:r>
              <w:rPr>
                <w:rFonts w:ascii="Times New Roman" w:hAnsi="Times New Roman"/>
                <w:sz w:val="20"/>
              </w:rPr>
              <w:t>Macrocyclique ionique (sel de méglumine)</w:t>
            </w:r>
          </w:p>
        </w:tc>
        <w:tc>
          <w:tcPr>
            <w:tcW w:type="dxa" w:w="2771"/>
          </w:tcPr>
          <w:p>
            <w:r>
              <w:rPr>
                <w:rFonts w:ascii="Times New Roman" w:hAnsi="Times New Roman"/>
                <w:sz w:val="20"/>
              </w:rPr>
              <w:t>Macrocyclique non-ionique</w:t>
            </w:r>
          </w:p>
        </w:tc>
      </w:tr>
      <w:tr>
        <w:tc>
          <w:tcPr>
            <w:tcW w:type="dxa" w:w="2771"/>
          </w:tcPr>
          <w:p>
            <w:r>
              <w:rPr>
                <w:rFonts w:ascii="Times New Roman" w:hAnsi="Times New Roman"/>
                <w:sz w:val="20"/>
              </w:rPr>
              <w:t>**Formule chimique**</w:t>
            </w:r>
          </w:p>
        </w:tc>
        <w:tc>
          <w:tcPr>
            <w:tcW w:type="dxa" w:w="2771"/>
          </w:tcPr>
          <w:p>
            <w:r>
              <w:rPr>
                <w:rFonts w:ascii="Times New Roman" w:hAnsi="Times New Roman"/>
                <w:sz w:val="20"/>
              </w:rPr>
              <w:t>C₂₃H₄₂GdN₅O₁₀</w:t>
            </w:r>
          </w:p>
        </w:tc>
        <w:tc>
          <w:tcPr>
            <w:tcW w:type="dxa" w:w="2771"/>
          </w:tcPr>
          <w:p>
            <w:r>
              <w:rPr>
                <w:rFonts w:ascii="Times New Roman" w:hAnsi="Times New Roman"/>
                <w:sz w:val="20"/>
              </w:rPr>
              <w:t>C₁₈H₃₁GdN₄O₉</w:t>
            </w:r>
          </w:p>
        </w:tc>
      </w:tr>
      <w:tr>
        <w:tc>
          <w:tcPr>
            <w:tcW w:type="dxa" w:w="2771"/>
          </w:tcPr>
          <w:p>
            <w:r>
              <w:rPr>
                <w:rFonts w:ascii="Times New Roman" w:hAnsi="Times New Roman"/>
                <w:sz w:val="20"/>
              </w:rPr>
              <w:t>**Masse molaire**</w:t>
            </w:r>
          </w:p>
        </w:tc>
        <w:tc>
          <w:tcPr>
            <w:tcW w:type="dxa" w:w="2771"/>
          </w:tcPr>
          <w:p>
            <w:r>
              <w:rPr>
                <w:rFonts w:ascii="Times New Roman" w:hAnsi="Times New Roman"/>
                <w:sz w:val="20"/>
              </w:rPr>
              <w:t>758 g/mol</w:t>
            </w:r>
          </w:p>
        </w:tc>
        <w:tc>
          <w:tcPr>
            <w:tcW w:type="dxa" w:w="2771"/>
          </w:tcPr>
          <w:p>
            <w:r>
              <w:rPr>
                <w:rFonts w:ascii="Times New Roman" w:hAnsi="Times New Roman"/>
                <w:sz w:val="20"/>
              </w:rPr>
              <w:t>605 g/mol</w:t>
            </w:r>
          </w:p>
        </w:tc>
      </w:tr>
      <w:tr>
        <w:tc>
          <w:tcPr>
            <w:tcW w:type="dxa" w:w="2771"/>
          </w:tcPr>
          <w:p>
            <w:r>
              <w:rPr>
                <w:rFonts w:ascii="Times New Roman" w:hAnsi="Times New Roman"/>
                <w:sz w:val="20"/>
              </w:rPr>
              <w:t>**Concentration**</w:t>
            </w:r>
          </w:p>
        </w:tc>
        <w:tc>
          <w:tcPr>
            <w:tcW w:type="dxa" w:w="2771"/>
          </w:tcPr>
          <w:p>
            <w:r>
              <w:rPr>
                <w:rFonts w:ascii="Times New Roman" w:hAnsi="Times New Roman"/>
                <w:sz w:val="20"/>
              </w:rPr>
              <w:t>0,5 mmol/mL</w:t>
            </w:r>
          </w:p>
        </w:tc>
        <w:tc>
          <w:tcPr>
            <w:tcW w:type="dxa" w:w="2771"/>
          </w:tcPr>
          <w:p>
            <w:r>
              <w:rPr>
                <w:rFonts w:ascii="Times New Roman" w:hAnsi="Times New Roman"/>
                <w:sz w:val="20"/>
              </w:rPr>
              <w:t>1,0 mmol/mL (DOUBLE)</w:t>
            </w:r>
          </w:p>
        </w:tc>
      </w:tr>
      <w:tr>
        <w:tc>
          <w:tcPr>
            <w:tcW w:type="dxa" w:w="2771"/>
          </w:tcPr>
          <w:p>
            <w:r>
              <w:rPr>
                <w:rFonts w:ascii="Times New Roman" w:hAnsi="Times New Roman"/>
                <w:sz w:val="20"/>
              </w:rPr>
              <w:t>**Osmolalité (mOsm/kg)**</w:t>
            </w:r>
          </w:p>
        </w:tc>
        <w:tc>
          <w:tcPr>
            <w:tcW w:type="dxa" w:w="2771"/>
          </w:tcPr>
          <w:p>
            <w:r>
              <w:rPr>
                <w:rFonts w:ascii="Times New Roman" w:hAnsi="Times New Roman"/>
                <w:sz w:val="20"/>
              </w:rPr>
              <w:t>1350 (hyperosmolaire 2× plasma)</w:t>
            </w:r>
          </w:p>
        </w:tc>
        <w:tc>
          <w:tcPr>
            <w:tcW w:type="dxa" w:w="2771"/>
          </w:tcPr>
          <w:p>
            <w:r>
              <w:rPr>
                <w:rFonts w:ascii="Times New Roman" w:hAnsi="Times New Roman"/>
                <w:sz w:val="20"/>
              </w:rPr>
              <w:t>1603 (modérément hyperosmolaire 1,4×)</w:t>
            </w:r>
          </w:p>
        </w:tc>
      </w:tr>
      <w:tr>
        <w:tc>
          <w:tcPr>
            <w:tcW w:type="dxa" w:w="2771"/>
          </w:tcPr>
          <w:p>
            <w:r>
              <w:rPr>
                <w:rFonts w:ascii="Times New Roman" w:hAnsi="Times New Roman"/>
                <w:sz w:val="20"/>
              </w:rPr>
              <w:t>**Viscosité 37 °C (mPa·s)**</w:t>
            </w:r>
          </w:p>
        </w:tc>
        <w:tc>
          <w:tcPr>
            <w:tcW w:type="dxa" w:w="2771"/>
          </w:tcPr>
          <w:p>
            <w:r>
              <w:rPr>
                <w:rFonts w:ascii="Times New Roman" w:hAnsi="Times New Roman"/>
                <w:sz w:val="20"/>
              </w:rPr>
              <w:t>2,0</w:t>
            </w:r>
          </w:p>
        </w:tc>
        <w:tc>
          <w:tcPr>
            <w:tcW w:type="dxa" w:w="2771"/>
          </w:tcPr>
          <w:p>
            <w:r>
              <w:rPr>
                <w:rFonts w:ascii="Times New Roman" w:hAnsi="Times New Roman"/>
                <w:sz w:val="20"/>
              </w:rPr>
              <w:t>3,2 (plus visqueux)</w:t>
            </w:r>
          </w:p>
        </w:tc>
      </w:tr>
      <w:tr>
        <w:tc>
          <w:tcPr>
            <w:tcW w:type="dxa" w:w="2771"/>
          </w:tcPr>
          <w:p>
            <w:r>
              <w:rPr>
                <w:rFonts w:ascii="Times New Roman" w:hAnsi="Times New Roman"/>
                <w:sz w:val="20"/>
              </w:rPr>
              <w:t>**log KGdL (stabilité thermodyn.)**</w:t>
            </w:r>
          </w:p>
        </w:tc>
        <w:tc>
          <w:tcPr>
            <w:tcW w:type="dxa" w:w="2771"/>
          </w:tcPr>
          <w:p>
            <w:r>
              <w:rPr>
                <w:rFonts w:ascii="Times New Roman" w:hAnsi="Times New Roman"/>
                <w:sz w:val="20"/>
              </w:rPr>
              <w:t>25,6 (maximal)</w:t>
            </w:r>
          </w:p>
        </w:tc>
        <w:tc>
          <w:tcPr>
            <w:tcW w:type="dxa" w:w="2771"/>
          </w:tcPr>
          <w:p>
            <w:r>
              <w:rPr>
                <w:rFonts w:ascii="Times New Roman" w:hAnsi="Times New Roman"/>
                <w:sz w:val="20"/>
              </w:rPr>
              <w:t>21,8</w:t>
            </w:r>
          </w:p>
        </w:tc>
      </w:tr>
      <w:tr>
        <w:tc>
          <w:tcPr>
            <w:tcW w:type="dxa" w:w="2771"/>
          </w:tcPr>
          <w:p>
            <w:r>
              <w:rPr>
                <w:rFonts w:ascii="Times New Roman" w:hAnsi="Times New Roman"/>
                <w:sz w:val="20"/>
              </w:rPr>
              <w:t>**t½ dissociation pH 1 (h)**</w:t>
            </w:r>
          </w:p>
        </w:tc>
        <w:tc>
          <w:tcPr>
            <w:tcW w:type="dxa" w:w="2771"/>
          </w:tcPr>
          <w:p>
            <w:r>
              <w:rPr>
                <w:rFonts w:ascii="Times New Roman" w:hAnsi="Times New Roman"/>
                <w:sz w:val="20"/>
              </w:rPr>
              <w:t>338</w:t>
            </w:r>
          </w:p>
        </w:tc>
        <w:tc>
          <w:tcPr>
            <w:tcW w:type="dxa" w:w="2771"/>
          </w:tcPr>
          <w:p>
            <w:r>
              <w:rPr>
                <w:rFonts w:ascii="Times New Roman" w:hAnsi="Times New Roman"/>
                <w:sz w:val="20"/>
              </w:rPr>
              <w:t>43</w:t>
            </w:r>
          </w:p>
        </w:tc>
      </w:tr>
      <w:tr>
        <w:tc>
          <w:tcPr>
            <w:tcW w:type="dxa" w:w="2771"/>
          </w:tcPr>
          <w:p>
            <w:r>
              <w:rPr>
                <w:rFonts w:ascii="Times New Roman" w:hAnsi="Times New Roman"/>
                <w:sz w:val="20"/>
              </w:rPr>
              <w:t>**Relaxivité r1 1,5 T (mM⁻¹·s⁻¹)**</w:t>
            </w:r>
          </w:p>
        </w:tc>
        <w:tc>
          <w:tcPr>
            <w:tcW w:type="dxa" w:w="2771"/>
          </w:tcPr>
          <w:p>
            <w:r>
              <w:rPr>
                <w:rFonts w:ascii="Times New Roman" w:hAnsi="Times New Roman"/>
                <w:sz w:val="20"/>
              </w:rPr>
              <w:t>3,4 (sang)</w:t>
            </w:r>
          </w:p>
        </w:tc>
        <w:tc>
          <w:tcPr>
            <w:tcW w:type="dxa" w:w="2771"/>
          </w:tcPr>
          <w:p>
            <w:r>
              <w:rPr>
                <w:rFonts w:ascii="Times New Roman" w:hAnsi="Times New Roman"/>
                <w:sz w:val="20"/>
              </w:rPr>
              <w:t>4,7 (sang)</w:t>
            </w:r>
          </w:p>
        </w:tc>
      </w:tr>
      <w:tr>
        <w:tc>
          <w:tcPr>
            <w:tcW w:type="dxa" w:w="2771"/>
          </w:tcPr>
          <w:p>
            <w:r>
              <w:rPr>
                <w:rFonts w:ascii="Times New Roman" w:hAnsi="Times New Roman"/>
                <w:sz w:val="20"/>
              </w:rPr>
              <w:t>**Demi-vie d'élimination (min)**</w:t>
            </w:r>
          </w:p>
        </w:tc>
        <w:tc>
          <w:tcPr>
            <w:tcW w:type="dxa" w:w="2771"/>
          </w:tcPr>
          <w:p>
            <w:r>
              <w:rPr>
                <w:rFonts w:ascii="Times New Roman" w:hAnsi="Times New Roman"/>
                <w:sz w:val="20"/>
              </w:rPr>
              <w:t>90–120</w:t>
            </w:r>
          </w:p>
        </w:tc>
        <w:tc>
          <w:tcPr>
            <w:tcW w:type="dxa" w:w="2771"/>
          </w:tcPr>
          <w:p>
            <w:r>
              <w:rPr>
                <w:rFonts w:ascii="Times New Roman" w:hAnsi="Times New Roman"/>
                <w:sz w:val="20"/>
              </w:rPr>
              <w:t>65–100</w:t>
            </w:r>
          </w:p>
        </w:tc>
      </w:tr>
      <w:tr>
        <w:tc>
          <w:tcPr>
            <w:tcW w:type="dxa" w:w="2771"/>
          </w:tcPr>
          <w:p>
            <w:r>
              <w:rPr>
                <w:rFonts w:ascii="Times New Roman" w:hAnsi="Times New Roman"/>
                <w:sz w:val="20"/>
              </w:rPr>
              <w:t>**Élimination**</w:t>
            </w:r>
          </w:p>
        </w:tc>
        <w:tc>
          <w:tcPr>
            <w:tcW w:type="dxa" w:w="2771"/>
          </w:tcPr>
          <w:p>
            <w:r>
              <w:rPr>
                <w:rFonts w:ascii="Times New Roman" w:hAnsi="Times New Roman"/>
                <w:sz w:val="20"/>
              </w:rPr>
              <w:t>Rénale 100 % (filtration glomérulaire)</w:t>
            </w:r>
          </w:p>
        </w:tc>
        <w:tc>
          <w:tcPr>
            <w:tcW w:type="dxa" w:w="2771"/>
          </w:tcPr>
          <w:p>
            <w:r>
              <w:rPr>
                <w:rFonts w:ascii="Times New Roman" w:hAnsi="Times New Roman"/>
                <w:sz w:val="20"/>
              </w:rPr>
              <w:t>Rénale 100 %</w:t>
            </w:r>
          </w:p>
        </w:tc>
      </w:tr>
      <w:tr>
        <w:tc>
          <w:tcPr>
            <w:tcW w:type="dxa" w:w="2771"/>
          </w:tcPr>
          <w:p>
            <w:r>
              <w:rPr>
                <w:rFonts w:ascii="Times New Roman" w:hAnsi="Times New Roman"/>
                <w:sz w:val="20"/>
              </w:rPr>
              <w:t>**Liaison protéique**</w:t>
            </w:r>
          </w:p>
        </w:tc>
        <w:tc>
          <w:tcPr>
            <w:tcW w:type="dxa" w:w="2771"/>
          </w:tcPr>
          <w:p>
            <w:r>
              <w:rPr>
                <w:rFonts w:ascii="Times New Roman" w:hAnsi="Times New Roman"/>
                <w:sz w:val="20"/>
              </w:rPr>
              <w:t>&lt; 5 %</w:t>
            </w:r>
          </w:p>
        </w:tc>
        <w:tc>
          <w:tcPr>
            <w:tcW w:type="dxa" w:w="2771"/>
          </w:tcPr>
          <w:p>
            <w:r>
              <w:rPr>
                <w:rFonts w:ascii="Times New Roman" w:hAnsi="Times New Roman"/>
                <w:sz w:val="20"/>
              </w:rPr>
              <w:t>&lt; 5 %</w:t>
            </w:r>
          </w:p>
        </w:tc>
      </w:tr>
      <w:tr>
        <w:tc>
          <w:tcPr>
            <w:tcW w:type="dxa" w:w="2771"/>
          </w:tcPr>
          <w:p>
            <w:r>
              <w:rPr>
                <w:rFonts w:ascii="Times New Roman" w:hAnsi="Times New Roman"/>
                <w:sz w:val="20"/>
              </w:rPr>
              <w:t>**Dose standard adulte**</w:t>
            </w:r>
          </w:p>
        </w:tc>
        <w:tc>
          <w:tcPr>
            <w:tcW w:type="dxa" w:w="2771"/>
          </w:tcPr>
          <w:p>
            <w:r>
              <w:rPr>
                <w:rFonts w:ascii="Times New Roman" w:hAnsi="Times New Roman"/>
                <w:sz w:val="20"/>
              </w:rPr>
              <w:t>0,1 mmol/kg = 0,2 mL/kg</w:t>
            </w:r>
          </w:p>
        </w:tc>
        <w:tc>
          <w:tcPr>
            <w:tcW w:type="dxa" w:w="2771"/>
          </w:tcPr>
          <w:p>
            <w:r>
              <w:rPr>
                <w:rFonts w:ascii="Times New Roman" w:hAnsi="Times New Roman"/>
                <w:sz w:val="20"/>
              </w:rPr>
              <w:t>0,1 mmol/kg = 0,1 mL/kg</w:t>
            </w:r>
          </w:p>
        </w:tc>
      </w:tr>
      <w:tr>
        <w:tc>
          <w:tcPr>
            <w:tcW w:type="dxa" w:w="2771"/>
          </w:tcPr>
          <w:p>
            <w:r>
              <w:rPr>
                <w:rFonts w:ascii="Times New Roman" w:hAnsi="Times New Roman"/>
                <w:sz w:val="20"/>
              </w:rPr>
              <w:t>**Volume injecté adulte 70 kg**</w:t>
            </w:r>
          </w:p>
        </w:tc>
        <w:tc>
          <w:tcPr>
            <w:tcW w:type="dxa" w:w="2771"/>
          </w:tcPr>
          <w:p>
            <w:r>
              <w:rPr>
                <w:rFonts w:ascii="Times New Roman" w:hAnsi="Times New Roman"/>
                <w:sz w:val="20"/>
              </w:rPr>
              <w:t>14 mL</w:t>
            </w:r>
          </w:p>
        </w:tc>
        <w:tc>
          <w:tcPr>
            <w:tcW w:type="dxa" w:w="2771"/>
          </w:tcPr>
          <w:p>
            <w:r>
              <w:rPr>
                <w:rFonts w:ascii="Times New Roman" w:hAnsi="Times New Roman"/>
                <w:sz w:val="20"/>
              </w:rPr>
              <w:t>7 mL</w:t>
            </w:r>
          </w:p>
        </w:tc>
      </w:tr>
      <w:tr>
        <w:tc>
          <w:tcPr>
            <w:tcW w:type="dxa" w:w="2771"/>
          </w:tcPr>
          <w:p>
            <w:r>
              <w:rPr>
                <w:rFonts w:ascii="Times New Roman" w:hAnsi="Times New Roman"/>
                <w:sz w:val="20"/>
              </w:rPr>
              <w:t>**Dose max par examen**</w:t>
            </w:r>
          </w:p>
        </w:tc>
        <w:tc>
          <w:tcPr>
            <w:tcW w:type="dxa" w:w="2771"/>
          </w:tcPr>
          <w:p>
            <w:r>
              <w:rPr>
                <w:rFonts w:ascii="Times New Roman" w:hAnsi="Times New Roman"/>
                <w:sz w:val="20"/>
              </w:rPr>
              <w:t>0,3 mmol/kg = 0,6 mL/kg</w:t>
            </w:r>
          </w:p>
        </w:tc>
        <w:tc>
          <w:tcPr>
            <w:tcW w:type="dxa" w:w="2771"/>
          </w:tcPr>
          <w:p>
            <w:r>
              <w:rPr>
                <w:rFonts w:ascii="Times New Roman" w:hAnsi="Times New Roman"/>
                <w:sz w:val="20"/>
              </w:rPr>
              <w:t>0,3 mmol/kg = 0,3 mL/kg</w:t>
            </w:r>
          </w:p>
        </w:tc>
      </w:tr>
      <w:tr>
        <w:tc>
          <w:tcPr>
            <w:tcW w:type="dxa" w:w="2771"/>
          </w:tcPr>
          <w:p>
            <w:r>
              <w:rPr>
                <w:rFonts w:ascii="Times New Roman" w:hAnsi="Times New Roman"/>
                <w:sz w:val="20"/>
              </w:rPr>
              <w:t>**Marques en Algérie**</w:t>
            </w:r>
          </w:p>
        </w:tc>
        <w:tc>
          <w:tcPr>
            <w:tcW w:type="dxa" w:w="2771"/>
          </w:tcPr>
          <w:p>
            <w:r>
              <w:rPr>
                <w:rFonts w:ascii="Times New Roman" w:hAnsi="Times New Roman"/>
                <w:sz w:val="20"/>
              </w:rPr>
              <w:t>DOTAREM (Guerbet), CLARISCAN (GE Healthcare)</w:t>
            </w:r>
          </w:p>
        </w:tc>
        <w:tc>
          <w:tcPr>
            <w:tcW w:type="dxa" w:w="2771"/>
          </w:tcPr>
          <w:p>
            <w:r>
              <w:rPr>
                <w:rFonts w:ascii="Times New Roman" w:hAnsi="Times New Roman"/>
                <w:sz w:val="20"/>
              </w:rPr>
              <w:t>GADOVIST (Bayer Pharma)</w:t>
            </w:r>
          </w:p>
        </w:tc>
      </w:tr>
      <w:tr>
        <w:tc>
          <w:tcPr>
            <w:tcW w:type="dxa" w:w="2771"/>
          </w:tcPr>
          <w:p>
            <w:r>
              <w:rPr>
                <w:rFonts w:ascii="Times New Roman" w:hAnsi="Times New Roman"/>
                <w:sz w:val="20"/>
              </w:rPr>
              <w:t>**Conditionnement Algérie**</w:t>
            </w:r>
          </w:p>
        </w:tc>
        <w:tc>
          <w:tcPr>
            <w:tcW w:type="dxa" w:w="2771"/>
          </w:tcPr>
          <w:p>
            <w:r>
              <w:rPr>
                <w:rFonts w:ascii="Times New Roman" w:hAnsi="Times New Roman"/>
                <w:sz w:val="20"/>
              </w:rPr>
              <w:t>Fl 10/15/20 mL</w:t>
            </w:r>
          </w:p>
        </w:tc>
        <w:tc>
          <w:tcPr>
            <w:tcW w:type="dxa" w:w="2771"/>
          </w:tcPr>
          <w:p>
            <w:r>
              <w:rPr>
                <w:rFonts w:ascii="Times New Roman" w:hAnsi="Times New Roman"/>
                <w:sz w:val="20"/>
              </w:rPr>
              <w:t>Fl 7,5 mL et 15 mL</w:t>
            </w:r>
          </w:p>
        </w:tc>
      </w:tr>
      <w:tr>
        <w:tc>
          <w:tcPr>
            <w:tcW w:type="dxa" w:w="2771"/>
          </w:tcPr>
          <w:p>
            <w:r>
              <w:rPr>
                <w:rFonts w:ascii="Times New Roman" w:hAnsi="Times New Roman"/>
                <w:sz w:val="20"/>
              </w:rPr>
              <w:t>**Statut Algérie**</w:t>
            </w:r>
          </w:p>
        </w:tc>
        <w:tc>
          <w:tcPr>
            <w:tcW w:type="dxa" w:w="2771"/>
          </w:tcPr>
          <w:p>
            <w:r>
              <w:rPr>
                <w:rFonts w:ascii="Times New Roman" w:hAnsi="Times New Roman"/>
                <w:sz w:val="20"/>
              </w:rPr>
              <w:t>ACTIF (2 marques)</w:t>
            </w:r>
          </w:p>
        </w:tc>
        <w:tc>
          <w:tcPr>
            <w:tcW w:type="dxa" w:w="2771"/>
          </w:tcPr>
          <w:p>
            <w:r>
              <w:rPr>
                <w:rFonts w:ascii="Times New Roman" w:hAnsi="Times New Roman"/>
                <w:sz w:val="20"/>
              </w:rPr>
              <w:t>ACTIF (1 marque)</w:t>
            </w:r>
          </w:p>
        </w:tc>
      </w:tr>
      <w:tr>
        <w:tc>
          <w:tcPr>
            <w:tcW w:type="dxa" w:w="2771"/>
          </w:tcPr>
          <w:p>
            <w:r>
              <w:rPr>
                <w:rFonts w:ascii="Times New Roman" w:hAnsi="Times New Roman"/>
                <w:sz w:val="20"/>
              </w:rPr>
              <w:t>**NSF (cas prouvés)**</w:t>
            </w:r>
          </w:p>
        </w:tc>
        <w:tc>
          <w:tcPr>
            <w:tcW w:type="dxa" w:w="2771"/>
          </w:tcPr>
          <w:p>
            <w:r>
              <w:rPr>
                <w:rFonts w:ascii="Times New Roman" w:hAnsi="Times New Roman"/>
                <w:sz w:val="20"/>
              </w:rPr>
              <w:t>0</w:t>
            </w:r>
          </w:p>
        </w:tc>
        <w:tc>
          <w:tcPr>
            <w:tcW w:type="dxa" w:w="2771"/>
          </w:tcPr>
          <w:p>
            <w:r>
              <w:rPr>
                <w:rFonts w:ascii="Times New Roman" w:hAnsi="Times New Roman"/>
                <w:sz w:val="20"/>
              </w:rPr>
              <w:t>0</w:t>
            </w:r>
          </w:p>
        </w:tc>
      </w:tr>
      <w:tr>
        <w:tc>
          <w:tcPr>
            <w:tcW w:type="dxa" w:w="2771"/>
          </w:tcPr>
          <w:p>
            <w:r>
              <w:rPr>
                <w:rFonts w:ascii="Times New Roman" w:hAnsi="Times New Roman"/>
                <w:sz w:val="20"/>
              </w:rPr>
              <w:t>**Groupe ESUR**</w:t>
            </w:r>
          </w:p>
        </w:tc>
        <w:tc>
          <w:tcPr>
            <w:tcW w:type="dxa" w:w="2771"/>
          </w:tcPr>
          <w:p>
            <w:r>
              <w:rPr>
                <w:rFonts w:ascii="Times New Roman" w:hAnsi="Times New Roman"/>
                <w:sz w:val="20"/>
              </w:rPr>
              <w:t>III (sécurité maximale)</w:t>
            </w:r>
          </w:p>
        </w:tc>
        <w:tc>
          <w:tcPr>
            <w:tcW w:type="dxa" w:w="2771"/>
          </w:tcPr>
          <w:p>
            <w:r>
              <w:rPr>
                <w:rFonts w:ascii="Times New Roman" w:hAnsi="Times New Roman"/>
                <w:sz w:val="20"/>
              </w:rPr>
              <w:t>III (sécurité maximale)</w:t>
            </w:r>
          </w:p>
        </w:tc>
      </w:tr>
      <w:tr>
        <w:tc>
          <w:tcPr>
            <w:tcW w:type="dxa" w:w="2771"/>
          </w:tcPr>
          <w:p>
            <w:r>
              <w:rPr>
                <w:rFonts w:ascii="Times New Roman" w:hAnsi="Times New Roman"/>
                <w:sz w:val="20"/>
              </w:rPr>
              <w:t>**CI grossesse (CRAT)**</w:t>
            </w:r>
          </w:p>
        </w:tc>
        <w:tc>
          <w:tcPr>
            <w:tcW w:type="dxa" w:w="2771"/>
          </w:tcPr>
          <w:p>
            <w:r>
              <w:rPr>
                <w:rFonts w:ascii="Times New Roman" w:hAnsi="Times New Roman"/>
                <w:sz w:val="20"/>
              </w:rPr>
              <w:t>Relative (urgence vitale uniquement)</w:t>
            </w:r>
          </w:p>
        </w:tc>
        <w:tc>
          <w:tcPr>
            <w:tcW w:type="dxa" w:w="2771"/>
          </w:tcPr>
          <w:p>
            <w:r>
              <w:rPr>
                <w:rFonts w:ascii="Times New Roman" w:hAnsi="Times New Roman"/>
                <w:sz w:val="20"/>
              </w:rPr>
              <w:t>Relative (urgence vitale uniquement)</w:t>
            </w:r>
          </w:p>
        </w:tc>
      </w:tr>
      <w:tr>
        <w:tc>
          <w:tcPr>
            <w:tcW w:type="dxa" w:w="2771"/>
          </w:tcPr>
          <w:p>
            <w:r>
              <w:rPr>
                <w:rFonts w:ascii="Times New Roman" w:hAnsi="Times New Roman"/>
                <w:sz w:val="20"/>
              </w:rPr>
              <w:t>**Allaitement**</w:t>
            </w:r>
          </w:p>
        </w:tc>
        <w:tc>
          <w:tcPr>
            <w:tcW w:type="dxa" w:w="2771"/>
          </w:tcPr>
          <w:p>
            <w:r>
              <w:rPr>
                <w:rFonts w:ascii="Times New Roman" w:hAnsi="Times New Roman"/>
                <w:sz w:val="20"/>
              </w:rPr>
              <w:t>Autorisé, "pump and dump" 12–24 h optionnel</w:t>
            </w:r>
          </w:p>
        </w:tc>
        <w:tc>
          <w:tcPr>
            <w:tcW w:type="dxa" w:w="2771"/>
          </w:tcPr>
          <w:p>
            <w:r>
              <w:rPr>
                <w:rFonts w:ascii="Times New Roman" w:hAnsi="Times New Roman"/>
                <w:sz w:val="20"/>
              </w:rPr>
              <w:t>Autorisé, "pump and dump" 24 h optionnel</w:t>
            </w:r>
          </w:p>
        </w:tc>
      </w:tr>
      <w:tr>
        <w:tc>
          <w:tcPr>
            <w:tcW w:type="dxa" w:w="2771"/>
          </w:tcPr>
          <w:p>
            <w:r>
              <w:rPr>
                <w:rFonts w:ascii="Times New Roman" w:hAnsi="Times New Roman"/>
                <w:sz w:val="20"/>
              </w:rPr>
              <w:t>**eGFR &lt; 30**</w:t>
            </w:r>
          </w:p>
        </w:tc>
        <w:tc>
          <w:tcPr>
            <w:tcW w:type="dxa" w:w="2771"/>
          </w:tcPr>
          <w:p>
            <w:r>
              <w:rPr>
                <w:rFonts w:ascii="Times New Roman" w:hAnsi="Times New Roman"/>
                <w:sz w:val="20"/>
              </w:rPr>
              <w:t>Pas de CI (groupe III ESUR)</w:t>
            </w:r>
          </w:p>
        </w:tc>
        <w:tc>
          <w:tcPr>
            <w:tcW w:type="dxa" w:w="2771"/>
          </w:tcPr>
          <w:p>
            <w:r>
              <w:rPr>
                <w:rFonts w:ascii="Times New Roman" w:hAnsi="Times New Roman"/>
                <w:sz w:val="20"/>
              </w:rPr>
              <w:t>Pas de CI (groupe III ESUR)</w:t>
            </w:r>
          </w:p>
        </w:tc>
      </w:tr>
      <w:tr>
        <w:tc>
          <w:tcPr>
            <w:tcW w:type="dxa" w:w="2771"/>
          </w:tcPr>
          <w:p>
            <w:r>
              <w:rPr>
                <w:rFonts w:ascii="Times New Roman" w:hAnsi="Times New Roman"/>
                <w:sz w:val="20"/>
              </w:rPr>
              <w:t>**Indications préférentielles**</w:t>
            </w:r>
          </w:p>
        </w:tc>
        <w:tc>
          <w:tcPr>
            <w:tcW w:type="dxa" w:w="2771"/>
          </w:tcPr>
          <w:p>
            <w:r>
              <w:rPr>
                <w:rFonts w:ascii="Times New Roman" w:hAnsi="Times New Roman"/>
                <w:sz w:val="20"/>
              </w:rPr>
              <w:t>IRM cérébrale, spinale, ostéo-articulaire</w:t>
            </w:r>
          </w:p>
        </w:tc>
        <w:tc>
          <w:tcPr>
            <w:tcW w:type="dxa" w:w="2771"/>
          </w:tcPr>
          <w:p>
            <w:r>
              <w:rPr>
                <w:rFonts w:ascii="Times New Roman" w:hAnsi="Times New Roman"/>
                <w:sz w:val="20"/>
              </w:rPr>
              <w:t>IRM cardiaque, ARM corps entier, perfusion cérébrale</w:t>
            </w:r>
          </w:p>
        </w:tc>
      </w:tr>
    </w:tbl>
    <w:p/>
    <w:p>
      <w:r/>
      <w:r>
        <w:rPr>
          <w:b/>
        </w:rPr>
        <w:t>Synthèse pédagogique pour l'étudiant en pharmacie</w:t>
      </w:r>
      <w:r>
        <w:t xml:space="preserve"> : Les chélates macrocycliques (acide gadotérique et gadobutrol) constituent le standard de sécurité maximal pour l'IRM avec injection. Le choix entre les deux molécules dépend essentiellement de l'indication clinique : acide gadotérique pour les IRM cérébrales et ostéo-articulaires en routine, gadobutrol pour les ARM, l'IRM cardiaque et la perfusion cérébrale en raison de sa concentration double et de sa relaxivité supérieure. Aucun cas de NSF n'a été documenté avec ces produits, et leur utilisation est autorisée même en cas d'insuffisance rénale sévère (eGFR &lt; 30) avec hydratation adaptée.</w:t>
      </w:r>
    </w:p>
    <w:p>
      <w:pPr>
        <w:pStyle w:val="Heading1"/>
      </w:pPr>
      <w:r>
        <w:t>Chapitre 212 — Gadolinium chélates linéaires (RETRAIT du marché)</w:t>
      </w:r>
    </w:p>
    <w:p>
      <w:pPr>
        <w:pStyle w:val="Heading2"/>
      </w:pPr>
      <w:r>
        <w:t>212.0 Introduction de la sous-classe — Les chélates linéaires : un retour pharmacovigilance historique</w:t>
      </w:r>
    </w:p>
    <w:p>
      <w:r>
        <w:t>Les chélates de gadolinium linéaires représentent la première génération de produits de contraste pour IRM, développés dans les années 1980 à partir du squelette DTPA (diéthylènetriaminepentaacétique acide) ou de ses dérivés. Leur structure "ouverte" (linéaire) s'oppose à la structure "fermée" (macrocyclique) des chélates de seconde génération : le ligand DTPA est une chaîne linéaire qui ne peut pas former une cage tridimensionnelle préorganisée autour du Gd³⁺. La constante de stabilité thermodynamique (log KGdL) est donc plus faible (16–22 contre 22–25 pour les macrocycliques), et surtout la constante de dissociation cinétique est extrêmement courte (t½ &lt; 5 secondes pour le gadodiamide, contre plusieurs heures pour les macrocycliques). Cette labilité chimique expose au risque de libération de gadolinium libre in vivo, particulièrement chez les patients en insuffisance rénale sévère où la clairance du chélate intact est prolongée.</w:t>
      </w:r>
    </w:p>
    <w:p>
      <w:r/>
      <w:r>
        <w:rPr>
          <w:b/>
        </w:rPr>
        <w:t>L'alerte historique de la NSF (Fibrose systémique néphrogénique)</w:t>
      </w:r>
      <w:r>
        <w:t xml:space="preserve"> a émergé en 2006 lorsqu'une équipe de dermatologie néphrologique californienne (Cowper et al.) a décrit une entité clinique nouvelle chez des patients hémodialysés ayant reçu du gadodiamide (OMNISCAN) pour une angiographie par résonance magnétique : fibrose cutanée progressive, rétraction articulaire, parfois extension viscérale (péricarde, poumons), conduisant à une morbidité majeure et une mortalité de 30 % à 5 ans. L'enquête pharmacoépidémiologique internationale a confirmé une association causale forte avec trois chélates linéaires instables : </w:t>
      </w:r>
      <w:r>
        <w:rPr>
          <w:b/>
        </w:rPr>
        <w:t>gadodiamide (OMNISCAN)</w:t>
      </w:r>
      <w:r>
        <w:t xml:space="preserve">, </w:t>
      </w:r>
      <w:r>
        <w:rPr>
          <w:b/>
        </w:rPr>
        <w:t>gadopentate de dimeglumine (MAGNEVIST)</w:t>
      </w:r>
      <w:r>
        <w:t xml:space="preserve"> et </w:t>
      </w:r>
      <w:r>
        <w:rPr>
          <w:b/>
        </w:rPr>
        <w:t>gadoversetamide (OPTIMARK)</w:t>
      </w:r>
      <w:r>
        <w:t xml:space="preserve"> — les trois formant le </w:t>
      </w:r>
      <w:r>
        <w:rPr>
          <w:b/>
        </w:rPr>
        <w:t>groupe I ESUR (risque élevé de NSF)</w:t>
      </w:r>
      <w:r>
        <w:t>.</w:t>
      </w:r>
    </w:p>
    <w:p>
      <w:r>
        <w:t xml:space="preserve">La FDA a émis une boxed warning en 2007, l'EMA a conduit une réévaluation complète aboutissant en 2017 au retrait du marché européen de ces trois chélates linéaires instables pour toutes les indications systémiques. En Algérie, la nomenclature Avril 2026 confirme le statut </w:t>
      </w:r>
      <w:r>
        <w:rPr>
          <w:b/>
        </w:rPr>
        <w:t>RETRAIT</w:t>
      </w:r>
      <w:r>
        <w:t xml:space="preserve"> des marques MAGNEVIST (Bayer Pharma AG) et OMNISCAN (GE Healthcare AS). Aucun de ces produits ne doit plus être disponible en stock officinal ou hospitalier ; tout stock résiduel doit être détruit selon la procédure DASRI. La FDA a en 2018 renforcé sa position en interdisant l'utilisation de ces trois chélates chez les patients avec eGFR &lt; 30 mL/min/1,73 m².</w:t>
      </w:r>
    </w:p>
    <w:p>
      <w:r>
        <w:t>Les chélates de gadolinium linéaires "stables" (gadobénate de dimeglumine — Multihance, et gadoxétique acide — Primovist/Eovist) ne sont pas concernés par ce retrait mais ne sont pas disponibles en Algérie. Cette section traite donc des deux DCI linéaires historiquement disponibles (gadopentate de dimeglumine et gadodiamide), à visée pédagogique et historique, afin que l'étudiant en pharmacie connaisse leur profil, leur mécanisme d'action et les raisons de leur retrait — ces produits pouvant encore être rencontrés dans des anciens stocks, dans la littérature médicale, ou dans la mémoire de patients ayant des antécédents d'injection.</w:t>
      </w:r>
    </w:p>
    <w:p>
      <w:pPr>
        <w:pStyle w:val="Heading2"/>
      </w:pPr>
      <w:r>
        <w:t>212.1 Fiche DCI : GADOPENTATE DE DIMEGLUMINE</w:t>
      </w:r>
    </w:p>
    <w:p>
      <w:pPr>
        <w:pStyle w:val="Heading3"/>
      </w:pPr>
      <w:r>
        <w:t>212.1.1 Liste des catégories thérapeutiques</w:t>
      </w:r>
    </w:p>
    <w:p>
      <w:pPr>
        <w:pStyle w:val="ListBullet"/>
      </w:pPr>
      <w:r/>
      <w:r>
        <w:rPr>
          <w:b/>
        </w:rPr>
        <w:t>Code ATC</w:t>
      </w:r>
      <w:r>
        <w:t xml:space="preserve"> : V08CA01 (Produits de contraste pour IRM, paramagnétique — gadopentate de dimeglumine)</w:t>
      </w:r>
    </w:p>
    <w:p>
      <w:pPr>
        <w:pStyle w:val="ListBullet"/>
      </w:pPr>
      <w:r/>
      <w:r>
        <w:rPr>
          <w:b/>
        </w:rPr>
        <w:t>Classification pharmacologique</w:t>
      </w:r>
      <w:r>
        <w:t xml:space="preserve"> : Chélate de gadolinium linéaire ionique, famille des DTPA-bisméthylamide</w:t>
      </w:r>
    </w:p>
    <w:p>
      <w:pPr>
        <w:pStyle w:val="ListBullet"/>
      </w:pPr>
      <w:r/>
      <w:r>
        <w:rPr>
          <w:b/>
        </w:rPr>
        <w:t>Classe chimique</w:t>
      </w:r>
      <w:r>
        <w:t xml:space="preserve"> : Gadopentate de dimeglumine, formule C₂₈H₅₄GdN₅O₁₅, masse molaire 938 g/mol (sel de méglumine)</w:t>
      </w:r>
    </w:p>
    <w:p>
      <w:pPr>
        <w:pStyle w:val="ListBullet"/>
      </w:pPr>
      <w:r/>
      <w:r>
        <w:rPr>
          <w:b/>
        </w:rPr>
        <w:t>Statut réglementaire international</w:t>
      </w:r>
      <w:r>
        <w:t xml:space="preserve"> : Groupe I ESUR (risque élevé de NSF) — RETRAIT marché européen (EMA 2017) ; RETRAIT Algérie (nomenclature Avril 2026)</w:t>
      </w:r>
    </w:p>
    <w:p>
      <w:pPr>
        <w:pStyle w:val="ListBullet"/>
      </w:pPr>
      <w:r/>
      <w:r>
        <w:rPr>
          <w:b/>
        </w:rPr>
        <w:t>Classement historique Algérie</w:t>
      </w:r>
      <w:r>
        <w:t xml:space="preserve"> : Liste I (avant retrait)</w:t>
      </w:r>
    </w:p>
    <w:p>
      <w:pPr>
        <w:pStyle w:val="ListBullet"/>
      </w:pPr>
      <w:r/>
      <w:r>
        <w:rPr>
          <w:b/>
        </w:rPr>
        <w:t>Indications AMM historiques</w:t>
      </w:r>
      <w:r>
        <w:t xml:space="preserve"> : IRM cérébrale, médullaire, hépatique, rénale, ostéo-articulaire, angiographie par résonance magnétique</w:t>
      </w:r>
    </w:p>
    <w:p>
      <w:pPr>
        <w:pStyle w:val="Heading3"/>
      </w:pPr>
      <w:r>
        <w:t>212.1.2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MAGNEVIST</w:t>
            </w:r>
          </w:p>
        </w:tc>
        <w:tc>
          <w:tcPr>
            <w:tcW w:type="dxa" w:w="1385"/>
          </w:tcPr>
          <w:p>
            <w:r>
              <w:rPr>
                <w:rFonts w:ascii="Times New Roman" w:hAnsi="Times New Roman"/>
                <w:sz w:val="20"/>
              </w:rPr>
              <w:t>BAYER PHARMA AG</w:t>
            </w:r>
          </w:p>
        </w:tc>
        <w:tc>
          <w:tcPr>
            <w:tcW w:type="dxa" w:w="1385"/>
          </w:tcPr>
          <w:p>
            <w:r>
              <w:rPr>
                <w:rFonts w:ascii="Times New Roman" w:hAnsi="Times New Roman"/>
                <w:sz w:val="20"/>
              </w:rPr>
              <w:t>Solution injectable IV 469,01 mg/mL (= 0,5 mmol/mL)</w:t>
            </w:r>
          </w:p>
        </w:tc>
        <w:tc>
          <w:tcPr>
            <w:tcW w:type="dxa" w:w="1385"/>
          </w:tcPr>
          <w:p>
            <w:r>
              <w:rPr>
                <w:rFonts w:ascii="Times New Roman" w:hAnsi="Times New Roman"/>
                <w:sz w:val="20"/>
              </w:rPr>
              <w:t>Fl 10 mL - Fl 15 mL - Fl 20 mL</w:t>
            </w:r>
          </w:p>
        </w:tc>
        <w:tc>
          <w:tcPr>
            <w:tcW w:type="dxa" w:w="1385"/>
          </w:tcPr>
          <w:p>
            <w:r>
              <w:rPr>
                <w:rFonts w:ascii="Times New Roman" w:hAnsi="Times New Roman"/>
                <w:sz w:val="20"/>
              </w:rPr>
              <w:t>Liste I</w:t>
            </w:r>
          </w:p>
        </w:tc>
        <w:tc>
          <w:tcPr>
            <w:tcW w:type="dxa" w:w="1385"/>
          </w:tcPr>
          <w:p>
            <w:r>
              <w:rPr>
                <w:rFonts w:ascii="Times New Roman" w:hAnsi="Times New Roman"/>
                <w:sz w:val="20"/>
              </w:rPr>
              <w:t>RETRAIT (R)</w:t>
            </w:r>
          </w:p>
        </w:tc>
      </w:tr>
    </w:tbl>
    <w:p/>
    <w:p>
      <w:r/>
      <w:r>
        <w:rPr>
          <w:b/>
        </w:rPr>
        <w:t>Statut réglementaire algérien</w:t>
      </w:r>
      <w:r>
        <w:t xml:space="preserve"> : La spécialité MAGNEVIST (Bayer Pharma AG, initialement Schering AG avant rachat 2006) a été retirée du marché algérien conformément à la décision EMA de 2017 suspendant l'autorisation de mise sur le marché pour toutes les indications systémiques. Le statut RETRAIT dans la nomenclature Avril 2026 confirme cette position. Aucune marque générique de gadopentate de dimeglumine n'est disponible en Algérie. La spécialité reste utilisée dans certains pays hors Union Européenne (États-Unis avec restriction aux eGFR &lt; 30, certains pays d'Amérique latine, Asie) mais en voie d'obsolescence mondiale.</w:t>
      </w:r>
    </w:p>
    <w:p>
      <w:r/>
      <w:r>
        <w:rPr>
          <w:b/>
        </w:rPr>
        <w:t>Alerte officinale</w:t>
      </w:r>
      <w:r>
        <w:t xml:space="preserve"> : Tout stock résiduel de MAGNEVIST trouvé en officine, en clinique privée ou en établissement hospitalier doit être immédiatement signalé au laboratoire titulaire (Bayer Algérie) et au Ministère de la Santé (Direction de la Pharmacie et des Dispositifs Médicaux) pour destruction selon la procédure DASRI. L'administration de gadopentate de dimeglumine à un patient, y compris en urgence, constituerait une faute professionnelle grave engageant la responsabilité pénale et civile du praticien et de l'établissement.</w:t>
      </w:r>
    </w:p>
    <w:p>
      <w:pPr>
        <w:pStyle w:val="Heading3"/>
      </w:pPr>
      <w:r>
        <w:t>212.1.3 Sous-classe et mécanisme d'action moléculaire</w:t>
      </w:r>
    </w:p>
    <w:p>
      <w:r>
        <w:t>Le gadopentate de dimeglumine appartient à la sous-classe des chélates de gadolinium linéaires ioniques de la famille DTPA (diéthylènetriaminepentaacétique acide). Le ligand DTPA est une molécule linéaire à 8 sites de coordination (3 atomes d'azote + 5 atomes d'oxygène carboxylates) qui complexe le Gd³⁺ par 8 liaisons. La constante de stabilité thermodynamique (log KGdL) du gadopentate est de 22,5 — une valeur intermédiaire, plus élevée que le gadodiamide (16,9) mais nettement inférieure à l'acide gadotérique (25,6). La constante de dissociation cinétique (t½ à pH 1,0) est d'environ 10 minutes, soit 50 fois plus courte que l'acide gadotérique (338 heures). Cette labilité cinétique est la clé de la toxicité du gadopentate : en milieu acide (tissu rénal en insuffisance, lysosomes), le chélate peut libérer du gadolinium libre qui se dépose dans les tissus sous forme de phosphates insolubles.</w:t>
      </w:r>
    </w:p>
    <w:p>
      <w:r>
        <w:t>Le mécanisme d'action en IRM est identique à celui des autres chélates : raccourcissement du T1 tissulaire par les 7 électrons non appariés du Gd³⁺, avec une relaxivité r1 à 1,5 T et 37 °C de 3,8 mM⁻¹·s⁻¹ (sang), comparable à l'acide gadotérique. L'élimination est exclusivement rénale par filtration glomérulaire, sans métabolisation, avec une demi-vie d'élimination de 90 minutes chez le sujet sain et une excrétion urinaire &gt; 95 % à 24 h. Chez l'insuffisant rénal sévère (eGFR &lt; 30), la demi-vie est prolongée à 6–30 h, et le gadolinium libre est progressivement relargué et capté par les macrophages tissulaires (peau, os, foie, cerveau), déclenchant la cascade fibrosante de la NSF via l'activation des fibrocytes circulants CD34+ et la stimulation de la synthèse de collagène.</w:t>
      </w:r>
    </w:p>
    <w:p>
      <w:pPr>
        <w:pStyle w:val="Heading3"/>
      </w:pPr>
      <w:r>
        <w:t>212.1.4 Profil pharmacologique</w:t>
      </w:r>
    </w:p>
    <w:p>
      <w:r/>
      <w:r>
        <w:rPr>
          <w:b/>
        </w:rPr>
        <w:t>Indications AMM historiques</w:t>
      </w:r>
      <w:r>
        <w:t xml:space="preserve"> : IRM cérébrale (tumeurs, AVC, sclérose en plaques), IRM spinale, IRM hépatique, IRM rénale, IRM ostéo-articulaire, ARM, IRM mammaire. Toutes ces indications sont aujourd'hui traitées par les chélates macrocycliques (acide gadotérique, gadobutrol) avec une efficacité diagnostique équivalente et un profil de sécurité nettement supérieur.</w:t>
      </w:r>
    </w:p>
    <w:p>
      <w:r/>
      <w:r>
        <w:rPr>
          <w:b/>
        </w:rPr>
        <w:t>Contre-indications absolues (historiques, pré-retrait)</w:t>
      </w:r>
      <w:r>
        <w:t xml:space="preserve"> : insuffisance rénale sévère (eGFR &lt; 30 mL/min/1,73 m²), en raison du risque de fibrose systémique néphrogénique (NSF) ; grossesse et allaitement ; hypersensibilité connue au gadopentate de dimeglumine ; patients programmés pour transplantation hépatique (risque majoré de NSF post-transplantation). Ces contre-indications ont conduit à l'abandon progressif de la molécule avant son retrait total.</w:t>
      </w:r>
    </w:p>
    <w:p>
      <w:r/>
      <w:r>
        <w:rPr>
          <w:b/>
        </w:rPr>
        <w:t>Effets indésirables</w:t>
      </w:r>
      <w:r>
        <w:t xml:space="preserve"> : Le profil immédiat était comparable aux chélates macrocycliques (nausées, céphalées, sensation de chaleur, urticaire). L'effet indésirable historique marquant est la </w:t>
      </w:r>
      <w:r>
        <w:rPr>
          <w:b/>
        </w:rPr>
        <w:t>fibrose systémique néphrogénique (NSF)</w:t>
      </w:r>
      <w:r>
        <w:t xml:space="preserve"> : incidence estimée à 3–7 % chez les patients avec eGFR &lt; 30 mL/min/1,73 m² recevant du gadopentate (études initiales 2006–2008), avec un délai d'apparition de 2 jours à 3 mois après l'injection. Les manifestations cliniques comprenaient : épaississement cutané "peau d'orange", rétraction articulaire, induration scléreuse distale des membres (mains, pieds, avant-bras), hyperpigmentation, prurit, puis extension viscérale (péricardite constrictive, fibrose pulmonaire, myocardiopathie restrictive) dans les formes graves. La mortalité à 5 ans atteignait 30 %, principalement par insuffisance cardiaque restrictive. Il n'existe aucun traitement curatif de la NSF ; la prévention exclusive repose sur l'éviction des chélates linéaires instables chez les patients à fonction rénale altérée. La rétention cérébrale de gadolinium à long terme a également été documentée (substance noire, dentelée, globes pallides) sans traduction clinique démontrée.</w:t>
      </w:r>
    </w:p>
    <w:p>
      <w:pPr>
        <w:pStyle w:val="Heading3"/>
      </w:pPr>
      <w:r>
        <w:t>212.1.5 Prévention et gestion des effets indésirables</w:t>
      </w:r>
    </w:p>
    <w:p>
      <w:r/>
      <w:r>
        <w:rPr>
          <w:b/>
        </w:rPr>
        <w:t>Prévention primaire (aujourd'hui obsolète, à visée historique)</w:t>
      </w:r>
      <w:r>
        <w:t xml:space="preserve"> : Avant le retrait du gadopentate, la prévention reposait sur : (1) le dépistage systématique de l'insuffisance rénale par dosage de la créatininémie et calcul de l'eGFR dans les 7 jours précédant l'injection ; (2) la contre-indication absolue chez les patients avec eGFR &lt; 30 mL/min/1,73 m², en hémodialyse ou en dialyse péritonéale, ou en attente de transplantation hépatique ; (3) l'hydratation IV systématique (NaCl 0,9 % 1 mL/kg/h pendant 6 h avant et 12 h après) chez les patients avec eGFR 30–59 mL/min/1,73 m² ; (4) la limitation à une seule injection par examen et un intervalle minimal de 7 jours entre deux injections ; (5) la discussion d'une hémodialyse prophylactique post-injection chez les patients déjà hémodialysés (efficacité discutée, ne prévient pas complètement la NSF).</w:t>
      </w:r>
    </w:p>
    <w:p>
      <w:r/>
      <w:r>
        <w:rPr>
          <w:b/>
        </w:rPr>
        <w:t>Prévention secondaire actuelle (post-retrait)</w:t>
      </w:r>
      <w:r>
        <w:t xml:space="preserve"> : La prévention repose désormais sur l'éviction totale du gadopentate de dimeglumine. Tout stock résiduel doit être détruit. Les patients ayant reçu du gadopentate dans le passé doivent être informés du risque théorique de NSF tardive (jusqu'à 10 ans après l'injection) et bénéficier d'un suivi dermatologique en cas de manifestation clinique (épaississement cutané progressif, rétraction articulaire). Aucune thérapeutique n'a fait la preuve de son efficacité pour traiter la NSF établie : la photophérèse extracorporelle, le sodium thiosulfate, les corticoïdes, la plasmaphérèse et le mycophénolate mofétil ont été essayés avec des résultats inconstants. La prise en charge reste symptomatique : kinésithérapie active pour préserver l'amplitude articulaire, prévention des escarres, prise en charge de l'insuffisance cardiaque si atteinte restrictive, et accompagnement psychologique.</w:t>
      </w:r>
    </w:p>
    <w:p>
      <w:pPr>
        <w:pStyle w:val="Heading3"/>
      </w:pPr>
      <w:r>
        <w:t>212.1.6 Interactions médicamenteuses</w:t>
      </w:r>
    </w:p>
    <w:p>
      <w:r/>
      <w:r>
        <w:rPr>
          <w:b/>
        </w:rPr>
        <w:t>La metformine</w:t>
      </w:r>
      <w:r>
        <w:t xml:space="preserve"> : chez les patients diabétiques recevant du gadopentate (à l'époque de son utilisation), l'arrêt systématique pendant 48 h était recommandé en raison du risque d'acidose lactique en cas d'IRA post-contraste, particulièrement fréquent avec les chélates linéaires instables. La surveillance de la créatininémie avant reprise était obligatoire. Cette recommandation stricte s'appliquait à toutes les injections de gadopentate, indépendamment de l'eGFR préalable, en raison du risque néphrotoxique intrinsèque majoré par rapport aux chélates macrocycliques. </w:t>
      </w:r>
      <w:r>
        <w:rPr>
          <w:b/>
        </w:rPr>
        <w:t>Les bêta-bloquants</w:t>
      </w:r>
      <w:r>
        <w:t xml:space="preserve"> majorent le risque de réaction anaphylactique réfractaire et imposent une vigilance accrue. </w:t>
      </w:r>
      <w:r>
        <w:rPr>
          <w:b/>
        </w:rPr>
        <w:t>Les interleukines-2 (IL-2)</w:t>
      </w:r>
      <w:r>
        <w:t xml:space="preserve"> administrées à doses thérapeutiques potentialisent le risque de réactions d'hypersensibilité tardive. Les autres interactions sont superposables à celles de l'acide gadotérique (cf. section 211.1.6).</w:t>
      </w:r>
    </w:p>
    <w:p>
      <w:pPr>
        <w:pStyle w:val="Heading3"/>
      </w:pPr>
      <w:r>
        <w:t>212.1.7 Grossesse et allaitement (CRAT)</w:t>
      </w:r>
    </w:p>
    <w:p>
      <w:r/>
      <w:r>
        <w:rPr>
          <w:b/>
        </w:rPr>
        <w:t>Grossesse</w:t>
      </w:r>
      <w:r>
        <w:t xml:space="preserve"> : Le gadopentate traverse la barrière placentaire et son utilisation pendant la grossesse était contre-indiquée en raison du risque théorique de libération de gadolinium libre dans la circulation fœtale. Aucune donnée n'a documenté de tératogénicité, mais le principe de précaution maximal s'imposait. </w:t>
      </w:r>
      <w:r>
        <w:rPr>
          <w:b/>
        </w:rPr>
        <w:t>Allaitement</w:t>
      </w:r>
      <w:r>
        <w:t xml:space="preserve"> : Le passage dans le lait maternel était négligeable (&lt; 0,04 % de la dose maternelle), mais l'arrêt de l'allaitement pendant 24 h était systématiquement recommandé pour les chélates linéaires par prudence maximale, en raison du profil d'innocuité défavorable. Aujourd'hui, ces considérations sont caduques en raison du retrait du produit.</w:t>
      </w:r>
    </w:p>
    <w:p>
      <w:pPr>
        <w:pStyle w:val="Heading3"/>
      </w:pPr>
      <w:r>
        <w:t>212.1.8 Posologie et mode d'administration</w:t>
      </w:r>
    </w:p>
    <w:p>
      <w:r/>
      <w:r>
        <w:rPr>
          <w:b/>
        </w:rPr>
        <w:t>Posologie adulte historique</w:t>
      </w:r>
      <w:r>
        <w:t xml:space="preserve"> : 0,1 mmol/kg de poids corporel (soit 0,2 mL/kg de la solution à 0,5 mmol/mL), identique à l'acide gadotérique. La dose maximale était de 0,2 mmol/kg par examen (0,4 mL/kg). Chez l'enfant, la posologie était identique à l'adulte à partir de 2 ans. La grossesse et l'insuffisance rénale sévère constituaient des contre-indications absolues.</w:t>
      </w:r>
    </w:p>
    <w:p>
      <w:r/>
      <w:r>
        <w:rPr>
          <w:b/>
        </w:rPr>
        <w:t>Mode d'administration historique</w:t>
      </w:r>
      <w:r>
        <w:t xml:space="preserve"> : injection intraveineuse stricte, dans une veine de gros calibre (pli du coude, avant-bras), à l'aide d'un cathéter veineux périphérique 18–22 G, par voie manuelle ou par injecteur automatique à débit constant (2–3 mL/s). Le cathéter devait être rincé par 20 mL de NaCl 0,9 % après injection. Aujourd'hui, ces protocoles sont obsolètes et ne doivent plus être appliqués.</w:t>
      </w:r>
    </w:p>
    <w:p>
      <w:pPr>
        <w:pStyle w:val="Heading3"/>
      </w:pPr>
      <w:r>
        <w:t>212.1.9 Arbitrage et bénéfices des formes galéniques</w:t>
      </w:r>
    </w:p>
    <w:p>
      <w:r>
        <w:t>Le gadopentate de dimeglumine était historiquement disponible uniquement sous la marque MAGNEVIST (Bayer Pharma AG) en Algérie, en flacons de 10, 15 et 20 mL à la concentration standard 0,5 mmol/mL. Son retrait du marché en 2017 a fait disparaître toute forme galénique disponible. Aucune spécialité générique n'a jamais été commercialisée en Algérie. L'arbitrage galénique n'est plus pertinent aujourd'hui, mais l'analyse historique permet de comprendre les choix de régulation : le gadopentate était moins coûteux que les chélates macrocycliques (acide gadotérique, gadobutrol) et bénéficiait d'un recul post-AMM plus long (AMM 1988). Son profil d'efficacité diagnostique était strictement équivalent à celui des chélates macrocycliques ; son retrait a été motivé exclusivement par le profil de sécurité (NSF). La substitution par les chélates macrocycliques s'est faite sans perte de chance diagnostique.</w:t>
      </w:r>
    </w:p>
    <w:p>
      <w:pPr>
        <w:pStyle w:val="Heading3"/>
      </w:pPr>
      <w:r>
        <w:t>212.1.10 Instructions et conseils au patient (en cas d'antécédent d'injection passée)</w:t>
      </w:r>
    </w:p>
    <w:p>
      <w:r/>
      <w:r>
        <w:rPr>
          <w:b/>
        </w:rPr>
        <w:t>Patients ayant reçu du gadopentate dans le passé</w:t>
      </w:r>
      <w:r>
        <w:t xml:space="preserve"> : En raison de la possibilité d'une NSF tardive (jusqu'à 10 ans après l'injection), les patients ayant reçu une ou plusieurs injections de gadopentate (MAGNEVIST) doivent être informés du risque théorique de manifestations cutanées et articulaires progressives. La consultation médicale s'impose en cas d'apparition d'épaississement cutané progressif, de rétraction articulaire des mains ou pieds, d'induration scléreuse distale, d'hyperpigmentation cutanée ou de limitation d'amplitude articulaire. Un avis dermatologique et rhumatologique spécialisé permet le diagnostic différentiel avec sclérodermie systémique, scléromyxoedème, ou sclérose greffe-versus-hôte.</w:t>
      </w:r>
    </w:p>
    <w:p>
      <w:r/>
      <w:r>
        <w:rPr>
          <w:b/>
        </w:rPr>
        <w:t>Patients avec stock résiduel identifié</w:t>
      </w:r>
      <w:r>
        <w:t xml:space="preserve"> : Le patient doit être informé de la procédure de retour du produit au fournisseur ou au laboratoire titulaire (Bayer Algérie) pour destruction. L'auto-administration ou la vente à un tiers est strictement interdite et constitue une infraction pénale. La consultation du pharmacien d'officine est recommandée pour la vérification des stocks domestiques éventuels (patients ayant conservé des flacons pour un usage futur non autorisé).</w:t>
      </w:r>
    </w:p>
    <w:p>
      <w:pPr>
        <w:pStyle w:val="Heading3"/>
      </w:pPr>
      <w:r>
        <w:t>212.1.11 Notes, règles d'or et pièges au comptoir</w:t>
      </w:r>
    </w:p>
    <w:p>
      <w:pPr>
        <w:pStyle w:val="ListNumber"/>
      </w:pPr>
      <w:r/>
      <w:r>
        <w:rPr>
          <w:b/>
        </w:rPr>
        <w:t>Règle d'or absolue n°1</w:t>
      </w:r>
      <w:r>
        <w:t xml:space="preserve"> : Le gadopentate de dimeglumine (MAGNEVIST) est RETIRÉ du marché algérien. Aucune injection ne doit être pratiquée, même en urgence vitale. Tout stock résiduel doit être signalé et détruit selon la procédure DASRI.</w:t>
      </w:r>
    </w:p>
    <w:p>
      <w:pPr>
        <w:pStyle w:val="ListNumber"/>
      </w:pPr>
      <w:r/>
      <w:r>
        <w:rPr>
          <w:b/>
        </w:rPr>
        <w:t>Règle d'or n°2</w:t>
      </w:r>
      <w:r>
        <w:t xml:space="preserve"> : Le gadopentate ne doit pas être confondu avec l'acide gadotérique (DOTAREM, CLARISCAN) qui est macrocyclique et autorisé. Le nom "Magnevist" doit être identifié comme produit retiré.</w:t>
      </w:r>
    </w:p>
    <w:p>
      <w:pPr>
        <w:pStyle w:val="ListNumber"/>
      </w:pPr>
      <w:r/>
      <w:r>
        <w:rPr>
          <w:b/>
        </w:rPr>
        <w:t>Piège du comptoir</w:t>
      </w:r>
      <w:r>
        <w:t xml:space="preserve"> : Un patient se présentant avec une ordonnance ancienne mentionnant "MAGNEVIST" doit être redirigé vers son médecin prescripteur pour substitution par acide gadotérique (DOTAREM, CLARISCAN) ou gadobutrol (GADOVIST). Le pharmacien doit expliquer le retrait du produit.</w:t>
      </w:r>
    </w:p>
    <w:p>
      <w:pPr>
        <w:pStyle w:val="ListNumber"/>
      </w:pPr>
      <w:r/>
      <w:r>
        <w:rPr>
          <w:b/>
        </w:rPr>
        <w:t>Piège de la littérature</w:t>
      </w:r>
      <w:r>
        <w:t xml:space="preserve"> : Les anciennes publications et protocoles hospitaliers peuvent encore mentionner le gadopentate ; il faut systématiquement substituer par un chélate macrocyclique.</w:t>
      </w:r>
    </w:p>
    <w:p>
      <w:pPr>
        <w:pStyle w:val="ListNumber"/>
      </w:pPr>
      <w:r/>
      <w:r>
        <w:rPr>
          <w:b/>
        </w:rPr>
        <w:t>Piège du patient âgé</w:t>
      </w:r>
      <w:r>
        <w:t xml:space="preserve"> : Les patients âgés ayant reçu du gadopentate avant 2017 doivent être informés du risque théorique de NSF tardive et consulter en cas de manifestations cutanées ou articulaires progressives.</w:t>
      </w:r>
    </w:p>
    <w:p>
      <w:pPr>
        <w:pStyle w:val="ListNumber"/>
      </w:pPr>
      <w:r/>
      <w:r>
        <w:rPr>
          <w:b/>
        </w:rPr>
        <w:t>Piège de la rétention cérébrale</w:t>
      </w:r>
      <w:r>
        <w:t xml:space="preserve"> : La rétention cérébrale de gadolinium à long terme a été documentée pour le gadopentate ; les patients multi-examens (suivi oncologique) sont particulièrement exposés. Privilégier systématiquement les chélates macrocycliques pour les examens à venir.</w:t>
      </w:r>
    </w:p>
    <w:p>
      <w:pPr>
        <w:pStyle w:val="ListNumber"/>
      </w:pPr>
      <w:r/>
      <w:r>
        <w:rPr>
          <w:b/>
        </w:rPr>
        <w:t>Piège de la metformine</w:t>
      </w:r>
      <w:r>
        <w:t xml:space="preserve"> : Si un stock résiduel est identifié et utilisé par erreur, l'arrêt immédiat de la metformine pendant 48 h avec contrôle de la créatininémie est impératif en raison du risque majoré d'IRA post-contraste.</w:t>
      </w:r>
    </w:p>
    <w:p>
      <w:pPr>
        <w:pStyle w:val="ListNumber"/>
      </w:pPr>
      <w:r/>
      <w:r>
        <w:rPr>
          <w:b/>
        </w:rPr>
        <w:t>Piège de l'ordonnance ancienne</w:t>
      </w:r>
      <w:r>
        <w:t xml:space="preserve"> : Toute ordonnance de plus de 6 mois mentionnant MAGNEVIST doit être invalidée et le patient orienté vers une consultation médicale pour substitution.</w:t>
      </w:r>
    </w:p>
    <w:p>
      <w:pPr>
        <w:pStyle w:val="ListNumber"/>
      </w:pPr>
      <w:r/>
      <w:r>
        <w:rPr>
          <w:b/>
        </w:rPr>
        <w:t>Piège de l'urgence</w:t>
      </w:r>
      <w:r>
        <w:t xml:space="preserve"> : En cas d'urgence vitale nécessitant une IRM injectée, l'alternative systématique est l'acide gadotérique (DOTAREM, CLARISCAN) — macrocyclique, sécurité maximale — ou le gadobutrol (GADOVIST).</w:t>
      </w:r>
    </w:p>
    <w:p>
      <w:pPr>
        <w:pStyle w:val="ListNumber"/>
      </w:pPr>
      <w:r/>
      <w:r>
        <w:rPr>
          <w:b/>
        </w:rPr>
        <w:t>Piège de l'identification visuelle</w:t>
      </w:r>
      <w:r>
        <w:t xml:space="preserve"> : Les flacons de MAGNEVIST peuvent être confondus avec ceux de DOTAREM (même couleur de capuchon, même volume). La lecture du nom commercial est impérative avant toute administration.</w:t>
      </w:r>
    </w:p>
    <w:p>
      <w:pPr>
        <w:pStyle w:val="Heading2"/>
      </w:pPr>
      <w:r>
        <w:t>212.2 Fiche DCI : GADODIAMIDE</w:t>
      </w:r>
    </w:p>
    <w:p>
      <w:pPr>
        <w:pStyle w:val="Heading3"/>
      </w:pPr>
      <w:r>
        <w:t>212.2.1 Liste des catégories thérapeutiques</w:t>
      </w:r>
    </w:p>
    <w:p>
      <w:pPr>
        <w:pStyle w:val="ListBullet"/>
      </w:pPr>
      <w:r/>
      <w:r>
        <w:rPr>
          <w:b/>
        </w:rPr>
        <w:t>Code ATC</w:t>
      </w:r>
      <w:r>
        <w:t xml:space="preserve"> : V08CA03 (Produits de contraste pour IRM, paramagnétique — gadodiamide)</w:t>
      </w:r>
    </w:p>
    <w:p>
      <w:pPr>
        <w:pStyle w:val="ListBullet"/>
      </w:pPr>
      <w:r/>
      <w:r>
        <w:rPr>
          <w:b/>
        </w:rPr>
        <w:t>Classification pharmacologique</w:t>
      </w:r>
      <w:r>
        <w:t xml:space="preserve"> : Chélate de gadolinium linéaire non-ionique, famille des DTPA-bisméthylamides</w:t>
      </w:r>
    </w:p>
    <w:p>
      <w:pPr>
        <w:pStyle w:val="ListBullet"/>
      </w:pPr>
      <w:r/>
      <w:r>
        <w:rPr>
          <w:b/>
        </w:rPr>
        <w:t>Classe chimique</w:t>
      </w:r>
      <w:r>
        <w:t xml:space="preserve"> : Gadodiamide, formule C₂₃H₄₂GdN₅O₁₀, masse molaire 592 g/mol</w:t>
      </w:r>
    </w:p>
    <w:p>
      <w:pPr>
        <w:pStyle w:val="ListBullet"/>
      </w:pPr>
      <w:r/>
      <w:r>
        <w:rPr>
          <w:b/>
        </w:rPr>
        <w:t>Statut réglementaire international</w:t>
      </w:r>
      <w:r>
        <w:t xml:space="preserve"> : Groupe I ESUR (risque élevé de NSF) — RETRAIT marché européen (EMA 2017) ; RETRAIT Algérie (nomenclature Avril 2026)</w:t>
      </w:r>
    </w:p>
    <w:p>
      <w:pPr>
        <w:pStyle w:val="ListBullet"/>
      </w:pPr>
      <w:r/>
      <w:r>
        <w:rPr>
          <w:b/>
        </w:rPr>
        <w:t>Classement historique Algérie</w:t>
      </w:r>
      <w:r>
        <w:t xml:space="preserve"> : Liste I (avant retrait)</w:t>
      </w:r>
    </w:p>
    <w:p>
      <w:pPr>
        <w:pStyle w:val="ListBullet"/>
      </w:pPr>
      <w:r/>
      <w:r>
        <w:rPr>
          <w:b/>
        </w:rPr>
        <w:t>Indications AMM historiques</w:t>
      </w:r>
      <w:r>
        <w:t xml:space="preserve"> : IRM cérébrale, médullaire, hépatique, rénale, ostéo-articulaire, ARM</w:t>
      </w:r>
    </w:p>
    <w:p>
      <w:pPr>
        <w:pStyle w:val="Heading3"/>
      </w:pPr>
      <w:r>
        <w:t>212.2.2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OMNISCAN</w:t>
            </w:r>
          </w:p>
        </w:tc>
        <w:tc>
          <w:tcPr>
            <w:tcW w:type="dxa" w:w="1385"/>
          </w:tcPr>
          <w:p>
            <w:r>
              <w:rPr>
                <w:rFonts w:ascii="Times New Roman" w:hAnsi="Times New Roman"/>
                <w:sz w:val="20"/>
              </w:rPr>
              <w:t>GE HEALTHCARE AS</w:t>
            </w:r>
          </w:p>
        </w:tc>
        <w:tc>
          <w:tcPr>
            <w:tcW w:type="dxa" w:w="1385"/>
          </w:tcPr>
          <w:p>
            <w:r>
              <w:rPr>
                <w:rFonts w:ascii="Times New Roman" w:hAnsi="Times New Roman"/>
                <w:sz w:val="20"/>
              </w:rPr>
              <w:t>Solution injectable IV 287 mg/mL (= 0,5 mmol/mL)</w:t>
            </w:r>
          </w:p>
        </w:tc>
        <w:tc>
          <w:tcPr>
            <w:tcW w:type="dxa" w:w="1385"/>
          </w:tcPr>
          <w:p>
            <w:r>
              <w:rPr>
                <w:rFonts w:ascii="Times New Roman" w:hAnsi="Times New Roman"/>
                <w:sz w:val="20"/>
              </w:rPr>
              <w:t>Fl 10 mL - Fl 15 mL - Fl 20 mL</w:t>
            </w:r>
          </w:p>
        </w:tc>
        <w:tc>
          <w:tcPr>
            <w:tcW w:type="dxa" w:w="1385"/>
          </w:tcPr>
          <w:p>
            <w:r>
              <w:rPr>
                <w:rFonts w:ascii="Times New Roman" w:hAnsi="Times New Roman"/>
                <w:sz w:val="20"/>
              </w:rPr>
              <w:t>Liste I</w:t>
            </w:r>
          </w:p>
        </w:tc>
        <w:tc>
          <w:tcPr>
            <w:tcW w:type="dxa" w:w="1385"/>
          </w:tcPr>
          <w:p>
            <w:r>
              <w:rPr>
                <w:rFonts w:ascii="Times New Roman" w:hAnsi="Times New Roman"/>
                <w:sz w:val="20"/>
              </w:rPr>
              <w:t>RETRAIT (R)</w:t>
            </w:r>
          </w:p>
        </w:tc>
      </w:tr>
    </w:tbl>
    <w:p/>
    <w:p>
      <w:r/>
      <w:r>
        <w:rPr>
          <w:b/>
        </w:rPr>
        <w:t>Statut réglementaire algérien</w:t>
      </w:r>
      <w:r>
        <w:t xml:space="preserve"> : La spécialité OMNISCAN (GE Healthcare AS, Norvège) a été retirée du marché algérien conformément à la décision EMA de 2017 suspendant l'autorisation de mise sur le marché pour toutes les indications systémiques. Le statut RETRAIT dans la nomenclature Avril 2026 confirme cette position. Aucune marque générique de gadodiamide n'est disponible en Algérie. Le gadodiamide a été le chélate linéaire le plus impliqué dans les cas initiaux de NSF décrits par Cowper en 2006, ce qui en fait le produit historique de référence pour cette complication.</w:t>
      </w:r>
    </w:p>
    <w:p>
      <w:r/>
      <w:r>
        <w:rPr>
          <w:b/>
        </w:rPr>
        <w:t>Alerte officinale</w:t>
      </w:r>
      <w:r>
        <w:t xml:space="preserve"> : Tout stock résiduel d'OMNISCAN trouvé en officine, en clinique privée ou en établissement hospitalier doit être immédiatement signalé au laboratoire titulaire (GE Healthcare Algérie) et au Ministère de la Santé pour destruction selon la procédure DASRI. L'administration de gadodiamide à un patient, y compris en urgence, constituerait une faute professionnelle grave engageant la responsabilité pénale et civile.</w:t>
      </w:r>
    </w:p>
    <w:p>
      <w:pPr>
        <w:pStyle w:val="Heading3"/>
      </w:pPr>
      <w:r>
        <w:t>212.2.3 Sous-classe et mécanisme d'action moléculaire</w:t>
      </w:r>
    </w:p>
    <w:p>
      <w:r>
        <w:t>Le gadodiamide appartient à la sous-classe des chélates de gadolinium linéaires non-ioniques de la famille DTPA-bisméthylamide. Le ligand est le DTPA substitué par deux groupes méthylamide (DTPA-BMA), ce qui neutralise les charges carboxylates et réduit l'osmolalité. Cette structure est la moins stable de tous les chélates de gadolinium commercialisés : la constante de stabilité thermodynamique (log KGdL) n'est que de 16,9, soit largement inférieure aux chélates linéaires stables (gadobénate : 22,6) et aux chélates macrocycliques (acide gadotérique : 25,6 ; gadobutrol : 21,8). La constante de dissociation cinétique (t½ à pH 1,0) est inférieure à 5 secondes — la plus courte de toute la classe. Cette labilité chimique extrême explique pourquoi le gadodiamide a été le chélate le plus impliqué dans les cas initiaux de NSF.</w:t>
      </w:r>
    </w:p>
    <w:p>
      <w:r>
        <w:t>Le mécanisme d'action en IRM est identique à celui des autres chélates : raccourcissement du T1 tissulaire par les 7 électrons non appariés du Gd³⁺, avec une relaxivité r1 à 1,5 T et 37 °C de 4,3 mM⁻¹·s⁻¹ (sang), légèrement supérieure à l'acide gadotérique en raison de la non-ionisation qui ralentit la rotation moléculaire. L'élimination est exclusivement rénale par filtration glomérulaire, sans métabolisation, avec une demi-vie d'élimination de 80 minutes chez le sujet sain. Chez l'insuffisant rénal sévère (eGFR &lt; 30), la demi-vie est prolongée à 12–34 h, et le gadolinium libre est massivement relargué, capté par les macrophages tissulaires (peau, os, foie, cerveau) et déclenchant la cascade fibrosante de la NSF. La transmétallation avec les ions endogènes (zinc, calcium, cuivre) accélère encore la libération du Gd³⁺, particulièrement en milieu acide.</w:t>
      </w:r>
    </w:p>
    <w:p>
      <w:pPr>
        <w:pStyle w:val="Heading3"/>
      </w:pPr>
      <w:r>
        <w:t>212.2.4 Profil pharmacologique</w:t>
      </w:r>
    </w:p>
    <w:p>
      <w:r/>
      <w:r>
        <w:rPr>
          <w:b/>
        </w:rPr>
        <w:t>Indications AMM historiques</w:t>
      </w:r>
      <w:r>
        <w:t xml:space="preserve"> : IRM cérébrale, médullaire, hépatique, rénale, ostéo-articulaire, ARM. Toutes ces indications sont aujourd'hui traitées par les chélates macrocycliques.</w:t>
      </w:r>
    </w:p>
    <w:p>
      <w:r/>
      <w:r>
        <w:rPr>
          <w:b/>
        </w:rPr>
        <w:t>Contre-indications absolues (historiques, pré-retrait)</w:t>
      </w:r>
      <w:r>
        <w:t xml:space="preserve"> : insuffisance rénale sévère (eGFR &lt; 30 mL/min/1,73 m²) en raison du risque majeur de NSF ; patients en hémodialyse ou dialyse péritonéale ; patients en attente de transplantation hépatique ; période néonatale (avant 4 semaines) en raison de l'immaturité rénale ; grossesse et allaitement ; hypersensibilité connue au gadodiamide.</w:t>
      </w:r>
    </w:p>
    <w:p>
      <w:r/>
      <w:r>
        <w:rPr>
          <w:b/>
        </w:rPr>
        <w:t>Effets indésirables</w:t>
      </w:r>
      <w:r>
        <w:t xml:space="preserve"> : Le profil immédiat était comparable aux chélates macrocycliques (nausées, céphalées, sensation de chaleur, urticaire). L'effet indésirable marquant est la </w:t>
      </w:r>
      <w:r>
        <w:rPr>
          <w:b/>
        </w:rPr>
        <w:t>fibrose systémique néphrogénique (NSF)</w:t>
      </w:r>
      <w:r>
        <w:t xml:space="preserve"> : incidence estimée à 3–18 % chez les patients avec eGFR &lt; 30 mL/min/1,73 m² recevant du gadodiamide (études 2006–2008, l'incidence la plus élevée de tous les chélates), avec un délai d'apparition de 2 jours à 3 mois après l'injection. Les manifestations cliniques comprenaient épaississement cutané, rétraction articulaire, induration scléreuse, hyperpigmentation, puis extension viscérale (péricardite constrictive, fibrose pulmonaire, myocardiopathie restrictive). La mortalité à 5 ans atteignait 30 %. La rétention cérébrale de gadolinium à long terme a également été documentée (plus marquée qu'avec les macrocycliques).</w:t>
      </w:r>
    </w:p>
    <w:p>
      <w:pPr>
        <w:pStyle w:val="Heading3"/>
      </w:pPr>
      <w:r>
        <w:t>212.2.5 Prévention et gestion des effets indésirables</w:t>
      </w:r>
    </w:p>
    <w:p>
      <w:r/>
      <w:r>
        <w:rPr>
          <w:b/>
        </w:rPr>
        <w:t>Prévention primaire (aujourd'hui obsolète)</w:t>
      </w:r>
      <w:r>
        <w:t xml:space="preserve"> : La prévention reposait sur l'éviction totale chez les patients avec eGFR &lt; 30 mL/min/1,73 m², et la limitation à une seule injection par examen avec intervalle minimal de 7 jours entre injections. L'hydratation IV systématique (NaCl 0,9 %) était recommandée chez les patients avec eGFR 30–59 mL/min/1,73 m². La discussion d'une hémodialyse prophylactique post-injection chez les patients déjà hémodialysés était controversée.</w:t>
      </w:r>
    </w:p>
    <w:p>
      <w:r/>
      <w:r>
        <w:rPr>
          <w:b/>
        </w:rPr>
        <w:t>Prévention secondaire actuelle (post-retrait)</w:t>
      </w:r>
      <w:r>
        <w:t xml:space="preserve"> : La prévention repose désormais sur l'éviction totale du gadodiamide. Tout stock résiduel doit être détruit. Les patients ayant reçu du gadodiamide dans le passé (notamment entre 1995 et 2010, période d'utilisation maximale) doivent être informés du risque théorique de NSF tardive et bénéficier d'un suivi dermatologique en cas de manifestation clinique. Aucune thérapeutique n'a fait la preuve de son efficacité pour traiter la NSF établie. La prise en charge reste symptomatique : kinésithérapie active pour préserver l'amplitude articulaire, prévention des escarres, prise en charge de l'insuffisance cardiaque restrictive, et accompagnement psychologique.</w:t>
      </w:r>
    </w:p>
    <w:p>
      <w:pPr>
        <w:pStyle w:val="Heading3"/>
      </w:pPr>
      <w:r>
        <w:t>212.2.6 Interactions médicamenteuses</w:t>
      </w:r>
    </w:p>
    <w:p>
      <w:r/>
      <w:r>
        <w:rPr>
          <w:b/>
        </w:rPr>
        <w:t>La metformine</w:t>
      </w:r>
      <w:r>
        <w:t xml:space="preserve"> : Chez les patients diabétiques recevant du gadodiamide (à l'époque), l'arrêt systématique pendant 48 h était recommandé en raison du risque d'acidose lactique en cas d'IRA post-contraste. Cette recommandation stricte s'appliquait à toutes les injections. </w:t>
      </w:r>
      <w:r>
        <w:rPr>
          <w:b/>
        </w:rPr>
        <w:t>Les bêta-bloquants</w:t>
      </w:r>
      <w:r>
        <w:t xml:space="preserve"> : majorent le risque de réaction anaphylactique réfractaire. Les autres interactions sont superposables à celles de l'acide gadotérique.</w:t>
      </w:r>
    </w:p>
    <w:p>
      <w:pPr>
        <w:pStyle w:val="Heading3"/>
      </w:pPr>
      <w:r>
        <w:t>212.2.7 Grossesse et allaitement (CRAT)</w:t>
      </w:r>
    </w:p>
    <w:p>
      <w:r/>
      <w:r>
        <w:rPr>
          <w:b/>
        </w:rPr>
        <w:t>Grossesse</w:t>
      </w:r>
      <w:r>
        <w:t xml:space="preserve"> : Le gadodiamide traverse la barrière placentaire et son utilisation pendant la grossesse était contre-indiquée. </w:t>
      </w:r>
      <w:r>
        <w:rPr>
          <w:b/>
        </w:rPr>
        <w:t>Allaitement</w:t>
      </w:r>
      <w:r>
        <w:t xml:space="preserve"> : Le passage dans le lait maternel était négligeable, mais l'arrêt de l'allaitement pendant 24 h était systématiquement recommandé par prudence maximale. Aujourd'hui, ces considérations sont caduques en raison du retrait du produit.</w:t>
      </w:r>
    </w:p>
    <w:p>
      <w:pPr>
        <w:pStyle w:val="Heading3"/>
      </w:pPr>
      <w:r>
        <w:t>212.2.8 Posologie et mode d'administration</w:t>
      </w:r>
    </w:p>
    <w:p>
      <w:r/>
      <w:r>
        <w:rPr>
          <w:b/>
        </w:rPr>
        <w:t>Posologie adulte historique</w:t>
      </w:r>
      <w:r>
        <w:t xml:space="preserve"> : 0,1 mmol/kg de poids corporel (soit 0,2 mL/kg de la solution à 0,5 mmol/mL). La dose maximale était de 0,2 mmol/kg par examen. Chez l'enfant, la posologie était identique à l'adulte à partir de 4 semaines. La grossesse, l'allaitement, et l'insuffisance rénale sévère constituaient des contre-indications absolues.</w:t>
      </w:r>
    </w:p>
    <w:p>
      <w:r/>
      <w:r>
        <w:rPr>
          <w:b/>
        </w:rPr>
        <w:t>Mode d'administration historique</w:t>
      </w:r>
      <w:r>
        <w:t xml:space="preserve"> : injection intraveineuse stricte, dans une veine de gros calibre, à l'aide d'un cathéter veineux périphérique 18–22 G, par voie manuelle ou par injecteur automatique à débit constant (2–3 mL/s). Le cathéter devait être rincé par 20 mL de NaCl 0,9 % après injection. Aujourd'hui, ces protocoles sont obsolètes.</w:t>
      </w:r>
    </w:p>
    <w:p>
      <w:pPr>
        <w:pStyle w:val="Heading3"/>
      </w:pPr>
      <w:r>
        <w:t>212.2.9 Arbitrage et bénéfices des formes galéniques</w:t>
      </w:r>
    </w:p>
    <w:p>
      <w:r>
        <w:t>Le gadodiamide était historiquement disponible uniquement sous la marque OMNISCAN (GE Healthcare AS, Norvège), en flacons de 10, 15 et 20 mL à la concentration 0,5 mmol/mL. Son retrait du marché en 2017 a fait disparaître toute forme galénique. L'arbitrage galénique n'est plus pertinent aujourd'hui. Historiquement, le gadodiamide était proposé comme alternative au gadopentate en raison de son osmolalité réduite (non-ionique), mais son profil de sécurité s'est révélé nettement défavorable.</w:t>
      </w:r>
    </w:p>
    <w:p>
      <w:pPr>
        <w:pStyle w:val="Heading3"/>
      </w:pPr>
      <w:r>
        <w:t>212.2.10 Instructions et conseils au patient (en cas d'antécédent d'injection passée)</w:t>
      </w:r>
    </w:p>
    <w:p>
      <w:r/>
      <w:r>
        <w:rPr>
          <w:b/>
        </w:rPr>
        <w:t>Patients ayant reçu du gadodiamide dans le passé</w:t>
      </w:r>
      <w:r>
        <w:t xml:space="preserve"> : En raison de la possibilité d'une NSF tardive (jusqu'à 10 ans après l'injection), les patients ayant reçu une ou plusieurs injections de gadodiamide (OMNISCAN) doivent être informés du risque théorique de manifestations cutanées et articulaires progressives. La consultation médicale s'impose en cas d'épaississement cutané progressif, de rétraction articulaire des mains ou pieds, d'induration scléreuse distale, d'hyperpigmentation cutanée ou de limitation d'amplitude articulaire. Un avis dermatologique et rhumatologique spécialisé permet le diagnostic différentiel.</w:t>
      </w:r>
    </w:p>
    <w:p>
      <w:r/>
      <w:r>
        <w:rPr>
          <w:b/>
        </w:rPr>
        <w:t>Patients avec stock résiduel identifié</w:t>
      </w:r>
      <w:r>
        <w:t xml:space="preserve"> : Le patient doit être informé de la procédure de retour du produit au fournisseur pour destruction. L'auto-administration ou la vente à un tiers est strictement interdite et constitue une infraction pénale. La consultation du pharmacien d'officine est recommandée pour la vérification des stocks domestiques éventuels.</w:t>
      </w:r>
    </w:p>
    <w:p>
      <w:pPr>
        <w:pStyle w:val="Heading3"/>
      </w:pPr>
      <w:r>
        <w:t>212.2.11 Notes, règles d'or et pièges au comptoir</w:t>
      </w:r>
    </w:p>
    <w:p>
      <w:pPr>
        <w:pStyle w:val="ListNumber"/>
      </w:pPr>
      <w:r/>
      <w:r>
        <w:rPr>
          <w:b/>
        </w:rPr>
        <w:t>Règle d'or absolue n°1</w:t>
      </w:r>
      <w:r>
        <w:t xml:space="preserve"> : Le gadodiamide (OMNISCAN) est RETIRÉ du marché algérien. Aucune injection ne doit être pratiquée, même en urgence vitale. Tout stock résiduel doit être signalé et détruit.</w:t>
      </w:r>
    </w:p>
    <w:p>
      <w:pPr>
        <w:pStyle w:val="ListNumber"/>
      </w:pPr>
      <w:r/>
      <w:r>
        <w:rPr>
          <w:b/>
        </w:rPr>
        <w:t>Règle d'or n°2</w:t>
      </w:r>
      <w:r>
        <w:t xml:space="preserve"> : Le gadodiamide est le chélate le plus impliqué dans les cas de NSF. Son identification visuelle (flacon OMNISCAN, capuchon bleu clair) doit déclencher un signalement immédiat.</w:t>
      </w:r>
    </w:p>
    <w:p>
      <w:pPr>
        <w:pStyle w:val="ListNumber"/>
      </w:pPr>
      <w:r/>
      <w:r>
        <w:rPr>
          <w:b/>
        </w:rPr>
        <w:t>Piège du comptoir</w:t>
      </w:r>
      <w:r>
        <w:t xml:space="preserve"> : Un patient se présentant avec une ordonnance ancienne mentionnant "OMNISCAN" doit être redirigé vers son médecin prescripteur pour substitution par acide gadotérique ou gadobutrol.</w:t>
      </w:r>
    </w:p>
    <w:p>
      <w:pPr>
        <w:pStyle w:val="ListNumber"/>
      </w:pPr>
      <w:r/>
      <w:r>
        <w:rPr>
          <w:b/>
        </w:rPr>
        <w:t>Piège de la littérature</w:t>
      </w:r>
      <w:r>
        <w:t xml:space="preserve"> : Les anciennes publications et protocoles hospitaliers peuvent encore mentionner le gadodiamide ; il faut systématiquement substituer par un chélate macrocyclique.</w:t>
      </w:r>
    </w:p>
    <w:p>
      <w:pPr>
        <w:pStyle w:val="ListNumber"/>
      </w:pPr>
      <w:r/>
      <w:r>
        <w:rPr>
          <w:b/>
        </w:rPr>
        <w:t>Piège du patient âgé</w:t>
      </w:r>
      <w:r>
        <w:t xml:space="preserve"> : Les patients âgés ayant reçu du gadodiamide avant 2010 doivent être informés du risque théorique de NSF tardive et consulter en cas de manifestations cutanées ou articulaires.</w:t>
      </w:r>
    </w:p>
    <w:p>
      <w:pPr>
        <w:pStyle w:val="ListNumber"/>
      </w:pPr>
      <w:r/>
      <w:r>
        <w:rPr>
          <w:b/>
        </w:rPr>
        <w:t>Piège de la rétention cérébrale</w:t>
      </w:r>
      <w:r>
        <w:t xml:space="preserve"> : La rétention cérébrale de gadolinium à long terme a été particulièrement documentée pour le gadodiamide.</w:t>
      </w:r>
    </w:p>
    <w:p>
      <w:pPr>
        <w:pStyle w:val="ListNumber"/>
      </w:pPr>
      <w:r/>
      <w:r>
        <w:rPr>
          <w:b/>
        </w:rPr>
        <w:t>Piège de l'identification visuelle</w:t>
      </w:r>
      <w:r>
        <w:t xml:space="preserve"> : Les flacons d'OMNISCAN peuvent être confondus avec ceux d'OMNIPAQUE (iohexol — produit de contraste iodé non-gadoliné). La lecture du nom commercial et de la DCI est impérative avant toute administration.</w:t>
      </w:r>
    </w:p>
    <w:p>
      <w:pPr>
        <w:pStyle w:val="ListNumber"/>
      </w:pPr>
      <w:r/>
      <w:r>
        <w:rPr>
          <w:b/>
        </w:rPr>
        <w:t>Piège de l'ordonnance ancienne</w:t>
      </w:r>
      <w:r>
        <w:t xml:space="preserve"> : Toute ordonnance de plus de 6 mois mentionnant OMNISCAN doit être invalidée et le patient orienté vers une consultation médicale pour substitution.</w:t>
      </w:r>
    </w:p>
    <w:p>
      <w:pPr>
        <w:pStyle w:val="ListNumber"/>
      </w:pPr>
      <w:r/>
      <w:r>
        <w:rPr>
          <w:b/>
        </w:rPr>
        <w:t>Piège de l'urgence</w:t>
      </w:r>
      <w:r>
        <w:t xml:space="preserve"> : En cas d'urgence vitale nécessitant une IRM injectée, l'alternative systématique est l'acide gadotérique ou le gadobutrol.</w:t>
      </w:r>
    </w:p>
    <w:p>
      <w:pPr>
        <w:pStyle w:val="Heading2"/>
      </w:pPr>
      <w:r>
        <w:t>212.3 Tableau comparatif de sous-classe : Gadolinium chélates linéaires RETIRÉS</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Paramètre</w:t>
            </w:r>
          </w:p>
        </w:tc>
        <w:tc>
          <w:tcPr>
            <w:tcW w:type="dxa" w:w="2771"/>
            <w:shd w:val="clear" w:color="auto" w:fill="F2F2F2"/>
          </w:tcPr>
          <w:p>
            <w:r>
              <w:rPr>
                <w:rFonts w:ascii="Times New Roman" w:hAnsi="Times New Roman"/>
                <w:b/>
                <w:sz w:val="20"/>
              </w:rPr>
              <w:t>Gadopentate de dimeglumine (MAGNEVIST)</w:t>
            </w:r>
          </w:p>
        </w:tc>
        <w:tc>
          <w:tcPr>
            <w:tcW w:type="dxa" w:w="2771"/>
            <w:shd w:val="clear" w:color="auto" w:fill="F2F2F2"/>
          </w:tcPr>
          <w:p>
            <w:r>
              <w:rPr>
                <w:rFonts w:ascii="Times New Roman" w:hAnsi="Times New Roman"/>
                <w:b/>
                <w:sz w:val="20"/>
              </w:rPr>
              <w:t>Gadodiamide (OMNISCAN)</w:t>
            </w:r>
          </w:p>
        </w:tc>
      </w:tr>
      <w:tr>
        <w:tc>
          <w:tcPr>
            <w:tcW w:type="dxa" w:w="2771"/>
          </w:tcPr>
          <w:p>
            <w:r>
              <w:rPr>
                <w:rFonts w:ascii="Times New Roman" w:hAnsi="Times New Roman"/>
                <w:sz w:val="20"/>
              </w:rPr>
              <w:t>**Code ATC**</w:t>
            </w:r>
          </w:p>
        </w:tc>
        <w:tc>
          <w:tcPr>
            <w:tcW w:type="dxa" w:w="2771"/>
          </w:tcPr>
          <w:p>
            <w:r>
              <w:rPr>
                <w:rFonts w:ascii="Times New Roman" w:hAnsi="Times New Roman"/>
                <w:sz w:val="20"/>
              </w:rPr>
              <w:t>V08CA01</w:t>
            </w:r>
          </w:p>
        </w:tc>
        <w:tc>
          <w:tcPr>
            <w:tcW w:type="dxa" w:w="2771"/>
          </w:tcPr>
          <w:p>
            <w:r>
              <w:rPr>
                <w:rFonts w:ascii="Times New Roman" w:hAnsi="Times New Roman"/>
                <w:sz w:val="20"/>
              </w:rPr>
              <w:t>V08CA03</w:t>
            </w:r>
          </w:p>
        </w:tc>
      </w:tr>
      <w:tr>
        <w:tc>
          <w:tcPr>
            <w:tcW w:type="dxa" w:w="2771"/>
          </w:tcPr>
          <w:p>
            <w:r>
              <w:rPr>
                <w:rFonts w:ascii="Times New Roman" w:hAnsi="Times New Roman"/>
                <w:sz w:val="20"/>
              </w:rPr>
              <w:t>**Sous-classe**</w:t>
            </w:r>
          </w:p>
        </w:tc>
        <w:tc>
          <w:tcPr>
            <w:tcW w:type="dxa" w:w="2771"/>
          </w:tcPr>
          <w:p>
            <w:r>
              <w:rPr>
                <w:rFonts w:ascii="Times New Roman" w:hAnsi="Times New Roman"/>
                <w:sz w:val="20"/>
              </w:rPr>
              <w:t>Linéaire ionique (sel de méglumine)</w:t>
            </w:r>
          </w:p>
        </w:tc>
        <w:tc>
          <w:tcPr>
            <w:tcW w:type="dxa" w:w="2771"/>
          </w:tcPr>
          <w:p>
            <w:r>
              <w:rPr>
                <w:rFonts w:ascii="Times New Roman" w:hAnsi="Times New Roman"/>
                <w:sz w:val="20"/>
              </w:rPr>
              <w:t>Linéaire non-ionique</w:t>
            </w:r>
          </w:p>
        </w:tc>
      </w:tr>
      <w:tr>
        <w:tc>
          <w:tcPr>
            <w:tcW w:type="dxa" w:w="2771"/>
          </w:tcPr>
          <w:p>
            <w:r>
              <w:rPr>
                <w:rFonts w:ascii="Times New Roman" w:hAnsi="Times New Roman"/>
                <w:sz w:val="20"/>
              </w:rPr>
              <w:t>**Formule chimique**</w:t>
            </w:r>
          </w:p>
        </w:tc>
        <w:tc>
          <w:tcPr>
            <w:tcW w:type="dxa" w:w="2771"/>
          </w:tcPr>
          <w:p>
            <w:r>
              <w:rPr>
                <w:rFonts w:ascii="Times New Roman" w:hAnsi="Times New Roman"/>
                <w:sz w:val="20"/>
              </w:rPr>
              <w:t>C₂₈H₅₄GdN₅O₁₅</w:t>
            </w:r>
          </w:p>
        </w:tc>
        <w:tc>
          <w:tcPr>
            <w:tcW w:type="dxa" w:w="2771"/>
          </w:tcPr>
          <w:p>
            <w:r>
              <w:rPr>
                <w:rFonts w:ascii="Times New Roman" w:hAnsi="Times New Roman"/>
                <w:sz w:val="20"/>
              </w:rPr>
              <w:t>C₂₃H₄₂GdN₅O₁₀</w:t>
            </w:r>
          </w:p>
        </w:tc>
      </w:tr>
      <w:tr>
        <w:tc>
          <w:tcPr>
            <w:tcW w:type="dxa" w:w="2771"/>
          </w:tcPr>
          <w:p>
            <w:r>
              <w:rPr>
                <w:rFonts w:ascii="Times New Roman" w:hAnsi="Times New Roman"/>
                <w:sz w:val="20"/>
              </w:rPr>
              <w:t>**Masse molaire**</w:t>
            </w:r>
          </w:p>
        </w:tc>
        <w:tc>
          <w:tcPr>
            <w:tcW w:type="dxa" w:w="2771"/>
          </w:tcPr>
          <w:p>
            <w:r>
              <w:rPr>
                <w:rFonts w:ascii="Times New Roman" w:hAnsi="Times New Roman"/>
                <w:sz w:val="20"/>
              </w:rPr>
              <w:t>938 g/mol</w:t>
            </w:r>
          </w:p>
        </w:tc>
        <w:tc>
          <w:tcPr>
            <w:tcW w:type="dxa" w:w="2771"/>
          </w:tcPr>
          <w:p>
            <w:r>
              <w:rPr>
                <w:rFonts w:ascii="Times New Roman" w:hAnsi="Times New Roman"/>
                <w:sz w:val="20"/>
              </w:rPr>
              <w:t>592 g/mol</w:t>
            </w:r>
          </w:p>
        </w:tc>
      </w:tr>
      <w:tr>
        <w:tc>
          <w:tcPr>
            <w:tcW w:type="dxa" w:w="2771"/>
          </w:tcPr>
          <w:p>
            <w:r>
              <w:rPr>
                <w:rFonts w:ascii="Times New Roman" w:hAnsi="Times New Roman"/>
                <w:sz w:val="20"/>
              </w:rPr>
              <w:t>**Concentration**</w:t>
            </w:r>
          </w:p>
        </w:tc>
        <w:tc>
          <w:tcPr>
            <w:tcW w:type="dxa" w:w="2771"/>
          </w:tcPr>
          <w:p>
            <w:r>
              <w:rPr>
                <w:rFonts w:ascii="Times New Roman" w:hAnsi="Times New Roman"/>
                <w:sz w:val="20"/>
              </w:rPr>
              <w:t>0,5 mmol/mL</w:t>
            </w:r>
          </w:p>
        </w:tc>
        <w:tc>
          <w:tcPr>
            <w:tcW w:type="dxa" w:w="2771"/>
          </w:tcPr>
          <w:p>
            <w:r>
              <w:rPr>
                <w:rFonts w:ascii="Times New Roman" w:hAnsi="Times New Roman"/>
                <w:sz w:val="20"/>
              </w:rPr>
              <w:t>0,5 mmol/mL</w:t>
            </w:r>
          </w:p>
        </w:tc>
      </w:tr>
      <w:tr>
        <w:tc>
          <w:tcPr>
            <w:tcW w:type="dxa" w:w="2771"/>
          </w:tcPr>
          <w:p>
            <w:r>
              <w:rPr>
                <w:rFonts w:ascii="Times New Roman" w:hAnsi="Times New Roman"/>
                <w:sz w:val="20"/>
              </w:rPr>
              <w:t>**Osmolalité (mOsm/kg)**</w:t>
            </w:r>
          </w:p>
        </w:tc>
        <w:tc>
          <w:tcPr>
            <w:tcW w:type="dxa" w:w="2771"/>
          </w:tcPr>
          <w:p>
            <w:r>
              <w:rPr>
                <w:rFonts w:ascii="Times New Roman" w:hAnsi="Times New Roman"/>
                <w:sz w:val="20"/>
              </w:rPr>
              <w:t>1960 (hyperosmolaire 2,5× plasma)</w:t>
            </w:r>
          </w:p>
        </w:tc>
        <w:tc>
          <w:tcPr>
            <w:tcW w:type="dxa" w:w="2771"/>
          </w:tcPr>
          <w:p>
            <w:r>
              <w:rPr>
                <w:rFonts w:ascii="Times New Roman" w:hAnsi="Times New Roman"/>
                <w:sz w:val="20"/>
              </w:rPr>
              <w:t>1117 (modérément hyperosmolaire 1,4×)</w:t>
            </w:r>
          </w:p>
        </w:tc>
      </w:tr>
      <w:tr>
        <w:tc>
          <w:tcPr>
            <w:tcW w:type="dxa" w:w="2771"/>
          </w:tcPr>
          <w:p>
            <w:r>
              <w:rPr>
                <w:rFonts w:ascii="Times New Roman" w:hAnsi="Times New Roman"/>
                <w:sz w:val="20"/>
              </w:rPr>
              <w:t>**log KGdL (stabilité thermodyn.)**</w:t>
            </w:r>
          </w:p>
        </w:tc>
        <w:tc>
          <w:tcPr>
            <w:tcW w:type="dxa" w:w="2771"/>
          </w:tcPr>
          <w:p>
            <w:r>
              <w:rPr>
                <w:rFonts w:ascii="Times New Roman" w:hAnsi="Times New Roman"/>
                <w:sz w:val="20"/>
              </w:rPr>
              <w:t>22,5 (intermédiaire)</w:t>
            </w:r>
          </w:p>
        </w:tc>
        <w:tc>
          <w:tcPr>
            <w:tcW w:type="dxa" w:w="2771"/>
          </w:tcPr>
          <w:p>
            <w:r>
              <w:rPr>
                <w:rFonts w:ascii="Times New Roman" w:hAnsi="Times New Roman"/>
                <w:sz w:val="20"/>
              </w:rPr>
              <w:t>16,9 (la plus basse de la classe)</w:t>
            </w:r>
          </w:p>
        </w:tc>
      </w:tr>
      <w:tr>
        <w:tc>
          <w:tcPr>
            <w:tcW w:type="dxa" w:w="2771"/>
          </w:tcPr>
          <w:p>
            <w:r>
              <w:rPr>
                <w:rFonts w:ascii="Times New Roman" w:hAnsi="Times New Roman"/>
                <w:sz w:val="20"/>
              </w:rPr>
              <w:t>**t½ dissociation pH 1**</w:t>
            </w:r>
          </w:p>
        </w:tc>
        <w:tc>
          <w:tcPr>
            <w:tcW w:type="dxa" w:w="2771"/>
          </w:tcPr>
          <w:p>
            <w:r>
              <w:rPr>
                <w:rFonts w:ascii="Times New Roman" w:hAnsi="Times New Roman"/>
                <w:sz w:val="20"/>
              </w:rPr>
              <w:t>10 min</w:t>
            </w:r>
          </w:p>
        </w:tc>
        <w:tc>
          <w:tcPr>
            <w:tcW w:type="dxa" w:w="2771"/>
          </w:tcPr>
          <w:p>
            <w:r>
              <w:rPr>
                <w:rFonts w:ascii="Times New Roman" w:hAnsi="Times New Roman"/>
                <w:sz w:val="20"/>
              </w:rPr>
              <w:t>&lt; 5 s (extrême labilité)</w:t>
            </w:r>
          </w:p>
        </w:tc>
      </w:tr>
      <w:tr>
        <w:tc>
          <w:tcPr>
            <w:tcW w:type="dxa" w:w="2771"/>
          </w:tcPr>
          <w:p>
            <w:r>
              <w:rPr>
                <w:rFonts w:ascii="Times New Roman" w:hAnsi="Times New Roman"/>
                <w:sz w:val="20"/>
              </w:rPr>
              <w:t>**Relaxivité r1 1,5 T**</w:t>
            </w:r>
          </w:p>
        </w:tc>
        <w:tc>
          <w:tcPr>
            <w:tcW w:type="dxa" w:w="2771"/>
          </w:tcPr>
          <w:p>
            <w:r>
              <w:rPr>
                <w:rFonts w:ascii="Times New Roman" w:hAnsi="Times New Roman"/>
                <w:sz w:val="20"/>
              </w:rPr>
              <w:t>3,8 mM⁻¹·s⁻¹</w:t>
            </w:r>
          </w:p>
        </w:tc>
        <w:tc>
          <w:tcPr>
            <w:tcW w:type="dxa" w:w="2771"/>
          </w:tcPr>
          <w:p>
            <w:r>
              <w:rPr>
                <w:rFonts w:ascii="Times New Roman" w:hAnsi="Times New Roman"/>
                <w:sz w:val="20"/>
              </w:rPr>
              <w:t>4,3 mM⁻¹·s⁻¹</w:t>
            </w:r>
          </w:p>
        </w:tc>
      </w:tr>
      <w:tr>
        <w:tc>
          <w:tcPr>
            <w:tcW w:type="dxa" w:w="2771"/>
          </w:tcPr>
          <w:p>
            <w:r>
              <w:rPr>
                <w:rFonts w:ascii="Times New Roman" w:hAnsi="Times New Roman"/>
                <w:sz w:val="20"/>
              </w:rPr>
              <w:t>**Demi-vie d'élimination (min)**</w:t>
            </w:r>
          </w:p>
        </w:tc>
        <w:tc>
          <w:tcPr>
            <w:tcW w:type="dxa" w:w="2771"/>
          </w:tcPr>
          <w:p>
            <w:r>
              <w:rPr>
                <w:rFonts w:ascii="Times New Roman" w:hAnsi="Times New Roman"/>
                <w:sz w:val="20"/>
              </w:rPr>
              <w:t>90</w:t>
            </w:r>
          </w:p>
        </w:tc>
        <w:tc>
          <w:tcPr>
            <w:tcW w:type="dxa" w:w="2771"/>
          </w:tcPr>
          <w:p>
            <w:r>
              <w:rPr>
                <w:rFonts w:ascii="Times New Roman" w:hAnsi="Times New Roman"/>
                <w:sz w:val="20"/>
              </w:rPr>
              <w:t>80</w:t>
            </w:r>
          </w:p>
        </w:tc>
      </w:tr>
      <w:tr>
        <w:tc>
          <w:tcPr>
            <w:tcW w:type="dxa" w:w="2771"/>
          </w:tcPr>
          <w:p>
            <w:r>
              <w:rPr>
                <w:rFonts w:ascii="Times New Roman" w:hAnsi="Times New Roman"/>
                <w:sz w:val="20"/>
              </w:rPr>
              <w:t>**Marque en Algérie**</w:t>
            </w:r>
          </w:p>
        </w:tc>
        <w:tc>
          <w:tcPr>
            <w:tcW w:type="dxa" w:w="2771"/>
          </w:tcPr>
          <w:p>
            <w:r>
              <w:rPr>
                <w:rFonts w:ascii="Times New Roman" w:hAnsi="Times New Roman"/>
                <w:sz w:val="20"/>
              </w:rPr>
              <w:t>MAGNEVIST (Bayer)</w:t>
            </w:r>
          </w:p>
        </w:tc>
        <w:tc>
          <w:tcPr>
            <w:tcW w:type="dxa" w:w="2771"/>
          </w:tcPr>
          <w:p>
            <w:r>
              <w:rPr>
                <w:rFonts w:ascii="Times New Roman" w:hAnsi="Times New Roman"/>
                <w:sz w:val="20"/>
              </w:rPr>
              <w:t>OMNISCAN (GE Healthcare)</w:t>
            </w:r>
          </w:p>
        </w:tc>
      </w:tr>
      <w:tr>
        <w:tc>
          <w:tcPr>
            <w:tcW w:type="dxa" w:w="2771"/>
          </w:tcPr>
          <w:p>
            <w:r>
              <w:rPr>
                <w:rFonts w:ascii="Times New Roman" w:hAnsi="Times New Roman"/>
                <w:sz w:val="20"/>
              </w:rPr>
              <w:t>**Statut Algérie (Avril 2026)**</w:t>
            </w:r>
          </w:p>
        </w:tc>
        <w:tc>
          <w:tcPr>
            <w:tcW w:type="dxa" w:w="2771"/>
          </w:tcPr>
          <w:p>
            <w:r>
              <w:rPr>
                <w:rFonts w:ascii="Times New Roman" w:hAnsi="Times New Roman"/>
                <w:sz w:val="20"/>
              </w:rPr>
              <w:t>RETRAIT</w:t>
            </w:r>
          </w:p>
        </w:tc>
        <w:tc>
          <w:tcPr>
            <w:tcW w:type="dxa" w:w="2771"/>
          </w:tcPr>
          <w:p>
            <w:r>
              <w:rPr>
                <w:rFonts w:ascii="Times New Roman" w:hAnsi="Times New Roman"/>
                <w:sz w:val="20"/>
              </w:rPr>
              <w:t>RETRAIT</w:t>
            </w:r>
          </w:p>
        </w:tc>
      </w:tr>
      <w:tr>
        <w:tc>
          <w:tcPr>
            <w:tcW w:type="dxa" w:w="2771"/>
          </w:tcPr>
          <w:p>
            <w:r>
              <w:rPr>
                <w:rFonts w:ascii="Times New Roman" w:hAnsi="Times New Roman"/>
                <w:sz w:val="20"/>
              </w:rPr>
              <w:t>**Statut EMA (Union européenne)**</w:t>
            </w:r>
          </w:p>
        </w:tc>
        <w:tc>
          <w:tcPr>
            <w:tcW w:type="dxa" w:w="2771"/>
          </w:tcPr>
          <w:p>
            <w:r>
              <w:rPr>
                <w:rFonts w:ascii="Times New Roman" w:hAnsi="Times New Roman"/>
                <w:sz w:val="20"/>
              </w:rPr>
              <w:t>RETRAIT (2017)</w:t>
            </w:r>
          </w:p>
        </w:tc>
        <w:tc>
          <w:tcPr>
            <w:tcW w:type="dxa" w:w="2771"/>
          </w:tcPr>
          <w:p>
            <w:r>
              <w:rPr>
                <w:rFonts w:ascii="Times New Roman" w:hAnsi="Times New Roman"/>
                <w:sz w:val="20"/>
              </w:rPr>
              <w:t>RETRAIT (2017)</w:t>
            </w:r>
          </w:p>
        </w:tc>
      </w:tr>
      <w:tr>
        <w:tc>
          <w:tcPr>
            <w:tcW w:type="dxa" w:w="2771"/>
          </w:tcPr>
          <w:p>
            <w:r>
              <w:rPr>
                <w:rFonts w:ascii="Times New Roman" w:hAnsi="Times New Roman"/>
                <w:sz w:val="20"/>
              </w:rPr>
              <w:t>**Statut FDA (États-Unis)**</w:t>
            </w:r>
          </w:p>
        </w:tc>
        <w:tc>
          <w:tcPr>
            <w:tcW w:type="dxa" w:w="2771"/>
          </w:tcPr>
          <w:p>
            <w:r>
              <w:rPr>
                <w:rFonts w:ascii="Times New Roman" w:hAnsi="Times New Roman"/>
                <w:sz w:val="20"/>
              </w:rPr>
              <w:t>Boxed warning, restricted use (2017)</w:t>
            </w:r>
          </w:p>
        </w:tc>
        <w:tc>
          <w:tcPr>
            <w:tcW w:type="dxa" w:w="2771"/>
          </w:tcPr>
          <w:p>
            <w:r>
              <w:rPr>
                <w:rFonts w:ascii="Times New Roman" w:hAnsi="Times New Roman"/>
                <w:sz w:val="20"/>
              </w:rPr>
              <w:t>Boxed warning, restricted use (2017)</w:t>
            </w:r>
          </w:p>
        </w:tc>
      </w:tr>
      <w:tr>
        <w:tc>
          <w:tcPr>
            <w:tcW w:type="dxa" w:w="2771"/>
          </w:tcPr>
          <w:p>
            <w:r>
              <w:rPr>
                <w:rFonts w:ascii="Times New Roman" w:hAnsi="Times New Roman"/>
                <w:sz w:val="20"/>
              </w:rPr>
              <w:t>**Groupe ESUR**</w:t>
            </w:r>
          </w:p>
        </w:tc>
        <w:tc>
          <w:tcPr>
            <w:tcW w:type="dxa" w:w="2771"/>
          </w:tcPr>
          <w:p>
            <w:r>
              <w:rPr>
                <w:rFonts w:ascii="Times New Roman" w:hAnsi="Times New Roman"/>
                <w:sz w:val="20"/>
              </w:rPr>
              <w:t>I (risque élevé NSF)</w:t>
            </w:r>
          </w:p>
        </w:tc>
        <w:tc>
          <w:tcPr>
            <w:tcW w:type="dxa" w:w="2771"/>
          </w:tcPr>
          <w:p>
            <w:r>
              <w:rPr>
                <w:rFonts w:ascii="Times New Roman" w:hAnsi="Times New Roman"/>
                <w:sz w:val="20"/>
              </w:rPr>
              <w:t>I (risque élevé NSF)</w:t>
            </w:r>
          </w:p>
        </w:tc>
      </w:tr>
      <w:tr>
        <w:tc>
          <w:tcPr>
            <w:tcW w:type="dxa" w:w="2771"/>
          </w:tcPr>
          <w:p>
            <w:r>
              <w:rPr>
                <w:rFonts w:ascii="Times New Roman" w:hAnsi="Times New Roman"/>
                <w:sz w:val="20"/>
              </w:rPr>
              <w:t>**NSF (incidence estimée, eGFR&lt;30)**</w:t>
            </w:r>
          </w:p>
        </w:tc>
        <w:tc>
          <w:tcPr>
            <w:tcW w:type="dxa" w:w="2771"/>
          </w:tcPr>
          <w:p>
            <w:r>
              <w:rPr>
                <w:rFonts w:ascii="Times New Roman" w:hAnsi="Times New Roman"/>
                <w:sz w:val="20"/>
              </w:rPr>
              <w:t>3–7 %</w:t>
            </w:r>
          </w:p>
        </w:tc>
        <w:tc>
          <w:tcPr>
            <w:tcW w:type="dxa" w:w="2771"/>
          </w:tcPr>
          <w:p>
            <w:r>
              <w:rPr>
                <w:rFonts w:ascii="Times New Roman" w:hAnsi="Times New Roman"/>
                <w:sz w:val="20"/>
              </w:rPr>
              <w:t>3–18 % (la plus élevée de la classe)</w:t>
            </w:r>
          </w:p>
        </w:tc>
      </w:tr>
      <w:tr>
        <w:tc>
          <w:tcPr>
            <w:tcW w:type="dxa" w:w="2771"/>
          </w:tcPr>
          <w:p>
            <w:r>
              <w:rPr>
                <w:rFonts w:ascii="Times New Roman" w:hAnsi="Times New Roman"/>
                <w:sz w:val="20"/>
              </w:rPr>
              <w:t>**Première description NSF**</w:t>
            </w:r>
          </w:p>
        </w:tc>
        <w:tc>
          <w:tcPr>
            <w:tcW w:type="dxa" w:w="2771"/>
          </w:tcPr>
          <w:p>
            <w:r>
              <w:rPr>
                <w:rFonts w:ascii="Times New Roman" w:hAnsi="Times New Roman"/>
                <w:sz w:val="20"/>
              </w:rPr>
              <w:t>2006 ( étude danoise)</w:t>
            </w:r>
          </w:p>
        </w:tc>
        <w:tc>
          <w:tcPr>
            <w:tcW w:type="dxa" w:w="2771"/>
          </w:tcPr>
          <w:p>
            <w:r>
              <w:rPr>
                <w:rFonts w:ascii="Times New Roman" w:hAnsi="Times New Roman"/>
                <w:sz w:val="20"/>
              </w:rPr>
              <w:t>2006 (Cowper et al., Californie)</w:t>
            </w:r>
          </w:p>
        </w:tc>
      </w:tr>
      <w:tr>
        <w:tc>
          <w:tcPr>
            <w:tcW w:type="dxa" w:w="2771"/>
          </w:tcPr>
          <w:p>
            <w:r>
              <w:rPr>
                <w:rFonts w:ascii="Times New Roman" w:hAnsi="Times New Roman"/>
                <w:sz w:val="20"/>
              </w:rPr>
              <w:t>**Rétention cérébrale Gd**</w:t>
            </w:r>
          </w:p>
        </w:tc>
        <w:tc>
          <w:tcPr>
            <w:tcW w:type="dxa" w:w="2771"/>
          </w:tcPr>
          <w:p>
            <w:r>
              <w:rPr>
                <w:rFonts w:ascii="Times New Roman" w:hAnsi="Times New Roman"/>
                <w:sz w:val="20"/>
              </w:rPr>
              <w:t>Documentée (la plus marquée)</w:t>
            </w:r>
          </w:p>
        </w:tc>
        <w:tc>
          <w:tcPr>
            <w:tcW w:type="dxa" w:w="2771"/>
          </w:tcPr>
          <w:p>
            <w:r>
              <w:rPr>
                <w:rFonts w:ascii="Times New Roman" w:hAnsi="Times New Roman"/>
                <w:sz w:val="20"/>
              </w:rPr>
              <w:t>Documentée (la plus marquée)</w:t>
            </w:r>
          </w:p>
        </w:tc>
      </w:tr>
      <w:tr>
        <w:tc>
          <w:tcPr>
            <w:tcW w:type="dxa" w:w="2771"/>
          </w:tcPr>
          <w:p>
            <w:r>
              <w:rPr>
                <w:rFonts w:ascii="Times New Roman" w:hAnsi="Times New Roman"/>
                <w:sz w:val="20"/>
              </w:rPr>
              <w:t>**Indication de substitution**</w:t>
            </w:r>
          </w:p>
        </w:tc>
        <w:tc>
          <w:tcPr>
            <w:tcW w:type="dxa" w:w="2771"/>
          </w:tcPr>
          <w:p>
            <w:r>
              <w:rPr>
                <w:rFonts w:ascii="Times New Roman" w:hAnsi="Times New Roman"/>
                <w:sz w:val="20"/>
              </w:rPr>
              <w:t>Acide gadotérique (DOTAREM, CLARISCAN)</w:t>
            </w:r>
          </w:p>
        </w:tc>
        <w:tc>
          <w:tcPr>
            <w:tcW w:type="dxa" w:w="2771"/>
          </w:tcPr>
          <w:p>
            <w:r>
              <w:rPr>
                <w:rFonts w:ascii="Times New Roman" w:hAnsi="Times New Roman"/>
                <w:sz w:val="20"/>
              </w:rPr>
              <w:t>Gadobutrol (GADOVIST) ou acide gadotérique</w:t>
            </w:r>
          </w:p>
        </w:tc>
      </w:tr>
      <w:tr>
        <w:tc>
          <w:tcPr>
            <w:tcW w:type="dxa" w:w="2771"/>
          </w:tcPr>
          <w:p>
            <w:r>
              <w:rPr>
                <w:rFonts w:ascii="Times New Roman" w:hAnsi="Times New Roman"/>
                <w:sz w:val="20"/>
              </w:rPr>
              <w:t>**Dose historique**</w:t>
            </w:r>
          </w:p>
        </w:tc>
        <w:tc>
          <w:tcPr>
            <w:tcW w:type="dxa" w:w="2771"/>
          </w:tcPr>
          <w:p>
            <w:r>
              <w:rPr>
                <w:rFonts w:ascii="Times New Roman" w:hAnsi="Times New Roman"/>
                <w:sz w:val="20"/>
              </w:rPr>
              <w:t>0,1 mmol/kg = 0,2 mL/kg</w:t>
            </w:r>
          </w:p>
        </w:tc>
        <w:tc>
          <w:tcPr>
            <w:tcW w:type="dxa" w:w="2771"/>
          </w:tcPr>
          <w:p>
            <w:r>
              <w:rPr>
                <w:rFonts w:ascii="Times New Roman" w:hAnsi="Times New Roman"/>
                <w:sz w:val="20"/>
              </w:rPr>
              <w:t>0,1 mmol/kg = 0,2 mL/kg</w:t>
            </w:r>
          </w:p>
        </w:tc>
      </w:tr>
      <w:tr>
        <w:tc>
          <w:tcPr>
            <w:tcW w:type="dxa" w:w="2771"/>
          </w:tcPr>
          <w:p>
            <w:r>
              <w:rPr>
                <w:rFonts w:ascii="Times New Roman" w:hAnsi="Times New Roman"/>
                <w:sz w:val="20"/>
              </w:rPr>
              <w:t>**CI absolue historique**</w:t>
            </w:r>
          </w:p>
        </w:tc>
        <w:tc>
          <w:tcPr>
            <w:tcW w:type="dxa" w:w="2771"/>
          </w:tcPr>
          <w:p>
            <w:r>
              <w:rPr>
                <w:rFonts w:ascii="Times New Roman" w:hAnsi="Times New Roman"/>
                <w:sz w:val="20"/>
              </w:rPr>
              <w:t>eGFR &lt; 30, grossesse, dialyse</w:t>
            </w:r>
          </w:p>
        </w:tc>
        <w:tc>
          <w:tcPr>
            <w:tcW w:type="dxa" w:w="2771"/>
          </w:tcPr>
          <w:p>
            <w:r>
              <w:rPr>
                <w:rFonts w:ascii="Times New Roman" w:hAnsi="Times New Roman"/>
                <w:sz w:val="20"/>
              </w:rPr>
              <w:t>eGFR &lt; 30, grossesse, dialyse, néonatal</w:t>
            </w:r>
          </w:p>
        </w:tc>
      </w:tr>
      <w:tr>
        <w:tc>
          <w:tcPr>
            <w:tcW w:type="dxa" w:w="2771"/>
          </w:tcPr>
          <w:p>
            <w:r>
              <w:rPr>
                <w:rFonts w:ascii="Times New Roman" w:hAnsi="Times New Roman"/>
                <w:sz w:val="20"/>
              </w:rPr>
              <w:t>**AMM initiale**</w:t>
            </w:r>
          </w:p>
        </w:tc>
        <w:tc>
          <w:tcPr>
            <w:tcW w:type="dxa" w:w="2771"/>
          </w:tcPr>
          <w:p>
            <w:r>
              <w:rPr>
                <w:rFonts w:ascii="Times New Roman" w:hAnsi="Times New Roman"/>
                <w:sz w:val="20"/>
              </w:rPr>
              <w:t>1988 (Schering AG, Allemagne)</w:t>
            </w:r>
          </w:p>
        </w:tc>
        <w:tc>
          <w:tcPr>
            <w:tcW w:type="dxa" w:w="2771"/>
          </w:tcPr>
          <w:p>
            <w:r>
              <w:rPr>
                <w:rFonts w:ascii="Times New Roman" w:hAnsi="Times New Roman"/>
                <w:sz w:val="20"/>
              </w:rPr>
              <w:t>1993 (Nycomed, Norvège → GE Healthcare)</w:t>
            </w:r>
          </w:p>
        </w:tc>
      </w:tr>
    </w:tbl>
    <w:p/>
    <w:p>
      <w:r/>
      <w:r>
        <w:rPr>
          <w:b/>
        </w:rPr>
        <w:t>Synthèse pédagogique pour l'étudiant en pharmacie</w:t>
      </w:r>
      <w:r>
        <w:t xml:space="preserve"> : Les chélates de gadolinium linéaires (gadopentate de dimeglumine — MAGNEVIST ; gadodiamide — OMNISCAN) sont RETIRÉS du marché algérien depuis 2017 en raison du risque de fibrose systémique néphrogénique (NSF) chez les insuffisants rénaux sévères. Aucun stock résiduel ne doit être utilisé. L'identification visuelle des flacons et la lecture du nom commercial sont impératives avant toute administration de produit de contraste IRM. La substitution systématique par chélates macrocycliques (acide gadotérique — DOTAREM, CLARISCAN ; gadobutrol — GADOVIST) garantit une sécurité rénale optimale et une efficacité diagnostique équivalente. Les patients ayant reçu ces produits dans le passé doivent être informés du risque théorique de NSF tardive et consulter en cas de manifestations cutanées ou articulaires progressives.</w:t>
      </w:r>
    </w:p>
    <w:p>
      <w:pPr>
        <w:pStyle w:val="Heading1"/>
      </w:pPr>
      <w:r>
        <w:t>Chapitre 213 — Contrastes iodés ioniques</w:t>
      </w:r>
    </w:p>
    <w:p>
      <w:pPr>
        <w:pStyle w:val="Heading2"/>
      </w:pPr>
      <w:r>
        <w:t>213.0 Introduction de la sous-classe</w:t>
      </w:r>
    </w:p>
    <w:p>
      <w:r>
        <w:t>Les produits de contraste iodés ioniques représentent la première génération des agents radiologiques iodés, développés à partir des années 1950 (amidotrizoate) et 1980 (ioxaglate). Leur structure chimique repose sur un noyau benzénique triiodé (atomes d'iode en positions 2, 4, 6) substitué en position 3 et 5 par des groupes hydrophiles (groupements acétamido, acide acétique, etc.) qui empêchent la fixation thyroïdienne et assurent une solubilité aqueuse. La propriété radio-opaque provient de la densité électronique élevée de l'iode (Z = 53) qui absorbe les rayons X dans la gamme d'énergie diagnostique (40–120 kVp), générant un contraste radiologique positif.</w:t>
      </w:r>
    </w:p>
    <w:p>
      <w:r>
        <w:t xml:space="preserve">La distinction fondamentale entre produits de contraste iodés </w:t>
      </w:r>
      <w:r>
        <w:rPr>
          <w:b/>
        </w:rPr>
        <w:t>ioniques</w:t>
      </w:r>
      <w:r>
        <w:t xml:space="preserve"> et </w:t>
      </w:r>
      <w:r>
        <w:rPr>
          <w:b/>
        </w:rPr>
        <w:t>non-ioniques</w:t>
      </w:r>
      <w:r>
        <w:t xml:space="preserve"> réside dans la présence d'un groupe carboxylate (–COO⁻) sur le noyau benzénique pour les ioniques. Ce groupe carboxylate est dissocié en solution aqueuse au pH physiologique, conférant à la molécule un caractère ionique (anionique). En solution, ces produits sont associés à un cation compensateur (sodium ou méglumine) pour assurer l'électroneutralité. Chaque molécule de produit ionique libère donc </w:t>
      </w:r>
      <w:r>
        <w:rPr>
          <w:b/>
        </w:rPr>
        <w:t>2 particules osmotiquement actives</w:t>
      </w:r>
      <w:r>
        <w:t xml:space="preserve"> (1 anion triiodé + 1 cation), soit une osmolalité double de celle d'un monomère non-ionique pour la même concentration en iode. L'osmolalité des produits ioniques atteint 1500–2100 mOsm/kg, soit </w:t>
      </w:r>
      <w:r>
        <w:rPr>
          <w:b/>
        </w:rPr>
        <w:t>5–7 fois celle du plasma</w:t>
      </w:r>
      <w:r>
        <w:t xml:space="preserve"> (290 mOsm/kg) — d'où le terme "hyperosmolaires".</w:t>
      </w:r>
    </w:p>
    <w:p>
      <w:r>
        <w:t>Cette hyperosmolalité est responsable de la majorité des effets indésirables des produits ioniques : sensation de chaleur au point d'injection (vasodilatation), douleur locale, hypotension transitoire (effet vasodilatateur direct), bradycardie réflexe (Bainbridge), déshydratation endothéliale, hémolyse (transfert osmotique), néphropathie post-contraste (CIN) par vasoconstriction médullaire rénale. La chimiotoxicité intrinsèque des produits ioniques est également supérieure en raison de la charge électrique du carboxylate qui interagit avec les membranes cellulaires et les protéines. Ces inconvénients ont conduit au développement des produits non-ioniques (iohexol, iopamidol, iopromide, iobitridol, ioversol) à partir des années 1980, qui sont devenus le standard de la radiologie moderne.</w:t>
      </w:r>
    </w:p>
    <w:p>
      <w:r>
        <w:t xml:space="preserve">Néanmoins, les produits ioniques conservent certaines indications spécifiques : </w:t>
      </w:r>
      <w:r>
        <w:rPr>
          <w:b/>
        </w:rPr>
        <w:t>l'amidotrizoate de sodium/méglumine</w:t>
      </w:r>
      <w:r>
        <w:t xml:space="preserve"> (GASTROGRAFINE) reste utilisé par voie orale ou rectale pour opacification du tractus gastro-intestinal ( scanners abdomino-pelviens, fistulographies, opacifications digestives). </w:t>
      </w:r>
      <w:r>
        <w:rPr>
          <w:b/>
        </w:rPr>
        <w:t>L'ioxaglate de sodium et de méglumine</w:t>
      </w:r>
      <w:r>
        <w:t xml:space="preserve"> (HEXABRIX) est un dimère ionique à osmolalité modérée (600 mOsm/kg, "faiblement hyperosmolaire") qui fut développé pour réduire la toxicité vasculaire des ioniques, mais il a été retiré du marché algérien (nomenclature Avril 2026 — statut RETRAIT). L'amidotrizoate reste disponible en Algérie sous deux formes : GASTROGRAFINE (voie digestive, ACTIF) et RADIOSELECTAN URINAIRE ET VASCULAIRE 76% (voie IV, statut NON_RENOUVELABLE puis RETRAIT).</w:t>
      </w:r>
    </w:p>
    <w:p>
      <w:pPr>
        <w:pStyle w:val="Heading2"/>
      </w:pPr>
      <w:r>
        <w:t>213.1 Fiche DCI : AMIDOTRIZOATE DE SODIUM / AMIDOTRIZOATE DE MEGLUMINE</w:t>
      </w:r>
    </w:p>
    <w:p>
      <w:pPr>
        <w:pStyle w:val="Heading3"/>
      </w:pPr>
      <w:r>
        <w:t>213.1.1 Liste des catégories thérapeutiques</w:t>
      </w:r>
    </w:p>
    <w:p>
      <w:pPr>
        <w:pStyle w:val="ListBullet"/>
      </w:pPr>
      <w:r/>
      <w:r>
        <w:rPr>
          <w:b/>
        </w:rPr>
        <w:t>Code ATC</w:t>
      </w:r>
      <w:r>
        <w:t xml:space="preserve"> : V08AA01 (Produits de contraste pour radiographie, ionique — amidotrizoate de sodium ; V08AA02 pour le méglumine)</w:t>
      </w:r>
    </w:p>
    <w:p>
      <w:pPr>
        <w:pStyle w:val="ListBullet"/>
      </w:pPr>
      <w:r/>
      <w:r>
        <w:rPr>
          <w:b/>
        </w:rPr>
        <w:t>Classification pharmacologique</w:t>
      </w:r>
      <w:r>
        <w:t xml:space="preserve"> : Produit de contraste iodé ionique monomère triiodé, sel de sodium et de méglumine</w:t>
      </w:r>
    </w:p>
    <w:p>
      <w:pPr>
        <w:pStyle w:val="ListBullet"/>
      </w:pPr>
      <w:r/>
      <w:r>
        <w:rPr>
          <w:b/>
        </w:rPr>
        <w:t>Classe chimique</w:t>
      </w:r>
      <w:r>
        <w:t xml:space="preserve"> : Acide amidotrizoïque (= acide diatriazoïque), formule C₁₁H₉I₃N₂O₄ ; sel de sodium et de méglumine</w:t>
      </w:r>
    </w:p>
    <w:p>
      <w:pPr>
        <w:pStyle w:val="ListBullet"/>
      </w:pPr>
      <w:r/>
      <w:r>
        <w:rPr>
          <w:b/>
        </w:rPr>
        <w:t>Statut réglementaire international</w:t>
      </w:r>
      <w:r>
        <w:t xml:space="preserve"> : Disponible dans la plupart des pays ; usage digestif dominant (Gastrografin)</w:t>
      </w:r>
    </w:p>
    <w:p>
      <w:pPr>
        <w:pStyle w:val="ListBullet"/>
      </w:pPr>
      <w:r/>
      <w:r>
        <w:rPr>
          <w:b/>
        </w:rPr>
        <w:t>Classement Algérie</w:t>
      </w:r>
      <w:r>
        <w:t xml:space="preserve"> : Liste I (voie IV) ; Liste II selon conditionnement (voie orale)</w:t>
      </w:r>
    </w:p>
    <w:p>
      <w:pPr>
        <w:pStyle w:val="ListBullet"/>
      </w:pPr>
      <w:r/>
      <w:r>
        <w:rPr>
          <w:b/>
        </w:rPr>
        <w:t>Indications AMM principales</w:t>
      </w:r>
      <w:r>
        <w:t xml:space="preserve"> : Opacification digestive (voie orale et rectale) ; opacification vasculaire et urinaire historique (aujourd'hui délaissée au profit des non-ioniques)</w:t>
      </w:r>
    </w:p>
    <w:p>
      <w:pPr>
        <w:pStyle w:val="Heading3"/>
      </w:pPr>
      <w:r>
        <w:t>213.1.2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GASTROGRAFINE</w:t>
            </w:r>
          </w:p>
        </w:tc>
        <w:tc>
          <w:tcPr>
            <w:tcW w:type="dxa" w:w="1385"/>
          </w:tcPr>
          <w:p>
            <w:r>
              <w:rPr>
                <w:rFonts w:ascii="Times New Roman" w:hAnsi="Times New Roman"/>
                <w:sz w:val="20"/>
              </w:rPr>
              <w:t>BAYER PHARMA AG</w:t>
            </w:r>
          </w:p>
        </w:tc>
        <w:tc>
          <w:tcPr>
            <w:tcW w:type="dxa" w:w="1385"/>
          </w:tcPr>
          <w:p>
            <w:r>
              <w:rPr>
                <w:rFonts w:ascii="Times New Roman" w:hAnsi="Times New Roman"/>
                <w:sz w:val="20"/>
              </w:rPr>
              <w:t>Solution buvable ou rectale (application gastro-intestinale) — I = 370 mg/mL (10 g / 66 g / 100 mL)</w:t>
            </w:r>
          </w:p>
        </w:tc>
        <w:tc>
          <w:tcPr>
            <w:tcW w:type="dxa" w:w="1385"/>
          </w:tcPr>
          <w:p>
            <w:r>
              <w:rPr>
                <w:rFonts w:ascii="Times New Roman" w:hAnsi="Times New Roman"/>
                <w:sz w:val="20"/>
              </w:rPr>
              <w:t>Flacon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RADIOSELECTAN URINAIRE ET VASCULAIRE 76%</w:t>
            </w:r>
          </w:p>
        </w:tc>
        <w:tc>
          <w:tcPr>
            <w:tcW w:type="dxa" w:w="1385"/>
          </w:tcPr>
          <w:p>
            <w:r>
              <w:rPr>
                <w:rFonts w:ascii="Times New Roman" w:hAnsi="Times New Roman"/>
                <w:sz w:val="20"/>
              </w:rPr>
              <w:t>SCHERING S.A. (BAYER depuis 2006)</w:t>
            </w:r>
          </w:p>
        </w:tc>
        <w:tc>
          <w:tcPr>
            <w:tcW w:type="dxa" w:w="1385"/>
          </w:tcPr>
          <w:p>
            <w:r>
              <w:rPr>
                <w:rFonts w:ascii="Times New Roman" w:hAnsi="Times New Roman"/>
                <w:sz w:val="20"/>
              </w:rPr>
              <w:t>Solution injectable IV — I = 370 mg/mL</w:t>
            </w:r>
          </w:p>
        </w:tc>
        <w:tc>
          <w:tcPr>
            <w:tcW w:type="dxa" w:w="1385"/>
          </w:tcPr>
          <w:p>
            <w:r>
              <w:rPr>
                <w:rFonts w:ascii="Times New Roman" w:hAnsi="Times New Roman"/>
                <w:sz w:val="20"/>
              </w:rPr>
              <w:t>Flacon 60 mL</w:t>
            </w:r>
          </w:p>
        </w:tc>
        <w:tc>
          <w:tcPr>
            <w:tcW w:type="dxa" w:w="1385"/>
          </w:tcPr>
          <w:p>
            <w:r>
              <w:rPr>
                <w:rFonts w:ascii="Times New Roman" w:hAnsi="Times New Roman"/>
                <w:sz w:val="20"/>
              </w:rPr>
              <w:t>Liste I</w:t>
            </w:r>
          </w:p>
        </w:tc>
        <w:tc>
          <w:tcPr>
            <w:tcW w:type="dxa" w:w="1385"/>
          </w:tcPr>
          <w:p>
            <w:r>
              <w:rPr>
                <w:rFonts w:ascii="Times New Roman" w:hAnsi="Times New Roman"/>
                <w:sz w:val="20"/>
              </w:rPr>
              <w:t>NON_RENOUVELABLE</w:t>
            </w:r>
          </w:p>
        </w:tc>
      </w:tr>
      <w:tr>
        <w:tc>
          <w:tcPr>
            <w:tcW w:type="dxa" w:w="1385"/>
          </w:tcPr>
          <w:p>
            <w:r>
              <w:rPr>
                <w:rFonts w:ascii="Times New Roman" w:hAnsi="Times New Roman"/>
                <w:sz w:val="20"/>
              </w:rPr>
              <w:t>RADIOSELECTAN URINAIRE ET VASCULAIRE 76%</w:t>
            </w:r>
          </w:p>
        </w:tc>
        <w:tc>
          <w:tcPr>
            <w:tcW w:type="dxa" w:w="1385"/>
          </w:tcPr>
          <w:p>
            <w:r>
              <w:rPr>
                <w:rFonts w:ascii="Times New Roman" w:hAnsi="Times New Roman"/>
                <w:sz w:val="20"/>
              </w:rPr>
              <w:t>SCHERING SA</w:t>
            </w:r>
          </w:p>
        </w:tc>
        <w:tc>
          <w:tcPr>
            <w:tcW w:type="dxa" w:w="1385"/>
          </w:tcPr>
          <w:p>
            <w:r>
              <w:rPr>
                <w:rFonts w:ascii="Times New Roman" w:hAnsi="Times New Roman"/>
                <w:sz w:val="20"/>
              </w:rPr>
              <w:t>Solution injectable IV — I = 370 mg/mL</w:t>
            </w:r>
          </w:p>
        </w:tc>
        <w:tc>
          <w:tcPr>
            <w:tcW w:type="dxa" w:w="1385"/>
          </w:tcPr>
          <w:p>
            <w:r>
              <w:rPr>
                <w:rFonts w:ascii="Times New Roman" w:hAnsi="Times New Roman"/>
                <w:sz w:val="20"/>
              </w:rPr>
              <w:t>Flacon 20 mL</w:t>
            </w:r>
          </w:p>
        </w:tc>
        <w:tc>
          <w:tcPr>
            <w:tcW w:type="dxa" w:w="1385"/>
          </w:tcPr>
          <w:p>
            <w:r>
              <w:rPr>
                <w:rFonts w:ascii="Times New Roman" w:hAnsi="Times New Roman"/>
                <w:sz w:val="20"/>
              </w:rPr>
              <w:t>Liste II</w:t>
            </w:r>
          </w:p>
        </w:tc>
        <w:tc>
          <w:tcPr>
            <w:tcW w:type="dxa" w:w="1385"/>
          </w:tcPr>
          <w:p>
            <w:r>
              <w:rPr>
                <w:rFonts w:ascii="Times New Roman" w:hAnsi="Times New Roman"/>
                <w:sz w:val="20"/>
              </w:rPr>
              <w:t>RETRAIT (R)</w:t>
            </w:r>
          </w:p>
        </w:tc>
      </w:tr>
    </w:tbl>
    <w:p/>
    <w:p>
      <w:r/>
      <w:r>
        <w:rPr>
          <w:b/>
        </w:rPr>
        <w:t>Particularité algérienne</w:t>
      </w:r>
      <w:r>
        <w:t xml:space="preserve"> : La spécialité GASTROGRAFINE (Bayer Pharma AG, ex-Schering AG) est la seule présentation active en Algérie pour cette DCI. Elle est strictement réservée à l'usage digestif (opacification du tractus gastro-intestinal par voie orale ou rectale). La spécialité RADIOSELECTAN URINAIRE ET VASCULAIRE 76% (Schering SA) est désormais NON_RENOUVELABLE (conditionnement 60 mL) ou RETIRÉE (R) (conditionnement 20 mL, liste II). Cette double évolution réglementaire confirme la disparition progressive de l'amidotrizoate IV au profit des non-ioniques (iohexol, iopamidol, iopromide).</w:t>
      </w:r>
    </w:p>
    <w:p>
      <w:r/>
      <w:r>
        <w:rPr>
          <w:b/>
        </w:rPr>
        <w:t>Alerte officinale</w:t>
      </w:r>
      <w:r>
        <w:t xml:space="preserve"> : La spécialité GASTROGRAFINE est strictement réservée à la voie digestive. Son administration IV par erreur constituerait une faute grave (risque d'hypersensibilité immédiate, hypervolémie, hyperosmolalité majeure). L'étiquetage "à ne pas injecter par voie IV" doit être apparent sur tout flacon.</w:t>
      </w:r>
    </w:p>
    <w:p>
      <w:pPr>
        <w:pStyle w:val="Heading3"/>
      </w:pPr>
      <w:r>
        <w:t>213.1.3 Sous-classe et mécanisme d'action moléculaire</w:t>
      </w:r>
    </w:p>
    <w:p>
      <w:r>
        <w:t>L'amidotrizoate de sodium/méglumine appartient à la sous-classe des produits de contraste iodés ioniques monomères, famille des acides triiodobenzoïques. Le noyau benzénique est triiodé en positions 2, 4, 6 (atomes d'iode fixés au noyau aromatique), et substitué en position 3 et 5 par des groupes acétamido (–NHCOCH₃) qui assurent la solubilité aqueuse et empêchent la fixation thyroïdienne. Le groupe carboxylate (–COO⁻) en position 1 confère le caractère ionique et permet la formation de sels avec le sodium (Na⁺) ou la méglumine (N-méthylglucamine, un alcool aminé). La combinaison "sel de sodium + sel de méglumine" optimise la solubilité et la tolérance vasculaire.</w:t>
      </w:r>
    </w:p>
    <w:p>
      <w:r>
        <w:t>Le mécanisme d'action radiologique repose sur l'absorption des rayons X par les électrons périphériques de l'iode (Z = 53), qui possèdent une énergie de liaison (K-edge = 33,2 keV) correspondant à la gamme d'énergie des rayons X diagnostiques (40–120 kVp). Lorsqu'un photon X traverse une zone contenant le produit de contraste, il est absorbé par effet photoélectrique, générant un contraste radiologique positif (zone hyperdense en scanographie et radiographie conventionnelle). L'amidotrizoate est l'agent de contraste iodé le plus dense avec une concentration en iode de 370 mg/mL, permettant une opacification digestive de haute qualité.</w:t>
      </w:r>
    </w:p>
    <w:p>
      <w:r>
        <w:t>L'absorption digestive est normalement négligeable (&lt; 5 % de la dose administrée) chez le sujet sain avec barrière intestinale intacte. En cas de perforation digestive, d'obstruction, ou d'inflammation sévère (entérite, colite ulcéreuse), l'amidotrizoate peut passer dans la circulation systémique, exposant au risque d'hypersensibilité, d'hyperosmolalité et de néphropathie post-contraste — d'où la prudence dans les indications digestives chez l'insuffisant rénal. Après absorption systémique éventuelle, l'élimination est exclusivement rénale par filtration glomérulaire avec une demi-vie d'environ 120 minutes chez le sujet sain, et 6–24 h chez l'insuffisant rénal sévère.</w:t>
      </w:r>
    </w:p>
    <w:p>
      <w:pPr>
        <w:pStyle w:val="Heading3"/>
      </w:pPr>
      <w:r>
        <w:t>213.1.4 Profil pharmacologique</w:t>
      </w:r>
    </w:p>
    <w:p>
      <w:r/>
      <w:r>
        <w:rPr>
          <w:b/>
        </w:rPr>
        <w:t>Indications cliniques validées</w:t>
      </w:r>
      <w:r>
        <w:t xml:space="preserve"> : Opacification du tractus gastro-intestinal supérieur (œsophage, estomac, duodénum) par voie orale pour diagnostic de hernie hiatale, ulcères, tumeurs gastriques, fistules œsophagiennes ; opacification du grêle et du côlon par voie orale (entéroclyse) ou rectale (lavement opaque) pour diagnostic de maladie de Crohn, tumeurs coliques, fistules, sténoses ; opacification de fistules digestives cutanées ou vésicales ; opacification de cavités abcédées drainées. L'utilisation IV (historique) est aujourd'hui déconseillée au profit des non-ioniques.</w:t>
      </w:r>
    </w:p>
    <w:p>
      <w:r/>
      <w:r>
        <w:rPr>
          <w:b/>
        </w:rPr>
        <w:t>Contre-indications absolues</w:t>
      </w:r>
      <w:r>
        <w:t xml:space="preserve"> : hypersensibilité connue à l'amidotrizoate ou à l'un des excipients (iodoformisme, asthme sévère, allergie aux produits de contraste iodés) ; hypertyroïdie non contrôlée (risque de thyrotoxicose aiguë jod-basedow) ; grossesse (par précaution, sauf urgence vitale) ; myélome multiple (risque majoré d'IRA) ; insuffisance rénale sévère (eGFR &lt; 30 mL/min/1,73 m²) en cas d'injection IV ; perforation digestive libre évoquée (le sulfate de baryum est préféré car non absorbable ; l'amidotrizoate peut être utilisé en cas de suspicion de perforation car il est résorbable et moins toxique que le baryum en péritoine).</w:t>
      </w:r>
    </w:p>
    <w:p>
      <w:r/>
      <w:r>
        <w:rPr>
          <w:b/>
        </w:rPr>
        <w:t>Effets indésirables</w:t>
      </w:r>
      <w:r>
        <w:t xml:space="preserve"> : </w:t>
      </w:r>
      <w:r>
        <w:rPr>
          <w:b/>
        </w:rPr>
        <w:t>Voie orale/rectale</w:t>
      </w:r>
      <w:r>
        <w:t xml:space="preserve"> : nausées, vomissements, diarrhée osmotique (le produit attire l'eau dans la lumière digestive par hyperosmolalité — effet recherché pour opacification mais peut entraîner déshydratation), crampes abdominales, distension abdominale, rarement réactions d'hypersensibilité systémique si passage transmuqueux (perforation, inflammation). </w:t>
      </w:r>
      <w:r>
        <w:rPr>
          <w:b/>
        </w:rPr>
        <w:t>Voie IV (historique)</w:t>
      </w:r>
      <w:r>
        <w:t xml:space="preserve"> : sensation de chaleur diffuse (vasodilatation), goût métallique, nausées, vomissements, hypotension transitoire, urticaire, exceptionnellement anaphylaxie sévère, néphropathie post-contraste (CIN), dysthyroïdie (hyperthyroïdie jod-basedow chez patients à risque thyroïdien). </w:t>
      </w:r>
      <w:r>
        <w:rPr>
          <w:b/>
        </w:rPr>
        <w:t>Rétention thyroïdienne</w:t>
      </w:r>
      <w:r>
        <w:t xml:space="preserve"> : l'amidotrizoate n'est pas fixé par la thyroïde, mais l'iode libre résiduel (traces) peut être capté, expliquant la prudence chez les patients hyperthyroïdiens (cf. section prévention).</w:t>
      </w:r>
    </w:p>
    <w:p>
      <w:pPr>
        <w:pStyle w:val="Heading3"/>
      </w:pPr>
      <w:r>
        <w:t>213.1.5 Prévention et gestion des effets indésirables</w:t>
      </w:r>
    </w:p>
    <w:p>
      <w:r/>
      <w:r>
        <w:rPr>
          <w:b/>
        </w:rPr>
        <w:t>Prévention de la néphropathie post-contraste (CIN)</w:t>
      </w:r>
      <w:r>
        <w:t xml:space="preserve"> : En cas d'utilisation IV (aujourd'hui exceptionnelle), la prévention repose sur l'hydratation IV systématique par NaCl 0,9 % 1 mL/kg/h pendant 6 h avant et 12 h après l'injection, en particulier chez les patients à risque (eGFR &lt; 60, diabète, myélome, chimiothérapie néphrotoxique, âge &gt; 65 ans). L'arrêt transitoire de la metformine pendant 48 h avec contrôle de la créatininémie avant reprise est recommandé pour les eGFR &lt; 60. Pour les eGFR &lt; 30, l'utilisation IV d'amidotrizoate est contre-indiquée.</w:t>
      </w:r>
    </w:p>
    <w:p>
      <w:r/>
      <w:r>
        <w:rPr>
          <w:b/>
        </w:rPr>
        <w:t>Prévention de l'hypersensibilité immédiate</w:t>
      </w:r>
      <w:r>
        <w:t xml:space="preserve"> : L'interrogatoire préalable recherche les antécédents d'allergie (asthme, allergie iodée, allergie alimentaire aux fruits de mer, réaction à un PCI précédent). La prémédication (prednisone 50 mg per os 13 h, 7 h, 1 h avant + dexchlorphéniramine 5 mg IM 1 h avant) est discutée pour les patients à antécédent allergique sévère, mais elle n'élimine pas complètement le risque. Le kit d'urgence anaphylaxie doit être accessible (adrénaline, oxygène, intubation, antihistaminiques, corticoïdes).</w:t>
      </w:r>
    </w:p>
    <w:p>
      <w:r/>
      <w:r>
        <w:rPr>
          <w:b/>
        </w:rPr>
        <w:t>Prévention de la thyrotoxicose jod-basedow</w:t>
      </w:r>
      <w:r>
        <w:t xml:space="preserve"> : Chez les patients à risque thyroïdien (nodule hyperfonctionnel, maladie de Basedow, goitre multinodulaire), un dosage de TSH préalable est recommandé. En cas d'hypothyroïdie ou d'euthyroïdie stable, le risque est minime. En cas d'hyperthyroïdie non contrôlée, l'utilisation d'amidotrizoate est contre-indiquée. Chez les patients âgés ou en cas de doute, une couverture par thionamides (carbimazole 30–60 mg/jour) peut être discutée en préalable.</w:t>
      </w:r>
    </w:p>
    <w:p>
      <w:r/>
      <w:r>
        <w:rPr>
          <w:b/>
        </w:rPr>
        <w:t>Prévention des effets digestifs (voie orale/rectale)</w:t>
      </w:r>
      <w:r>
        <w:t xml:space="preserve"> : L'hydratation orale complémentaire (1 L d'eau plate après l'examen) compense l'effet osmotique diarrhéique. Le patient doit être informé de l'éventualité de selles liquides dans les 24 h suivant l'examen. La surveillance de la tolérance digestive est impérative en cas d'obstruction colique suspectée (risque de distension aggravée par l'effet osmotique). En cas de perforation digestive libre évoquée, l'amidotrizoate peut être utilisé par voie orale (contrairement au baryum) car il est résorbable et moins toxique en péritoine.</w:t>
      </w:r>
    </w:p>
    <w:p>
      <w:pPr>
        <w:pStyle w:val="Heading3"/>
      </w:pPr>
      <w:r>
        <w:t>213.1.6 Interactions médicamenteuses</w:t>
      </w:r>
    </w:p>
    <w:p>
      <w:r/>
      <w:r>
        <w:rPr>
          <w:b/>
        </w:rPr>
        <w:t>La metformine</w:t>
      </w:r>
      <w:r>
        <w:t xml:space="preserve"> : En cas d'utilisation IV (exceptionnelle), l'arrêt transitoire pendant 48 h avec contrôle de la créatininémie avant reprise est recommandé pour les eGFR &lt; 60 mL/min/1,73 m², en raison du risque d'acidose lactique par accumulation en cas d'IRA post-contraste. Pour la voie orale/rectale sans passage systémique, l'arrêt de la metformine n'est pas nécessaire. </w:t>
      </w:r>
      <w:r>
        <w:rPr>
          <w:b/>
        </w:rPr>
        <w:t>La L-thyroxine</w:t>
      </w:r>
      <w:r>
        <w:t xml:space="preserve"> : L'iode résiduel peut interférer avec le métabolisme thyroïdien, justifiant un contrôle TSH 4–6 semaines après l'examen chez les patients sous traitement substitutif. </w:t>
      </w:r>
      <w:r>
        <w:rPr>
          <w:b/>
        </w:rPr>
        <w:t>Les antithyroïdiens de synthèse (carbimazole, propylthiouracile)</w:t>
      </w:r>
      <w:r>
        <w:t xml:space="preserve"> : Peuvent être utilisés en couverture préventive chez les patients à risque thyroïdien. </w:t>
      </w:r>
      <w:r>
        <w:rPr>
          <w:b/>
        </w:rPr>
        <w:t>Les diurétiques</w:t>
      </w:r>
      <w:r>
        <w:t xml:space="preserve"> : Peuvent aggraver une déshydratation préalable ; leur arrêt transitoire le jour de l'examen est discuté. </w:t>
      </w:r>
      <w:r>
        <w:rPr>
          <w:b/>
        </w:rPr>
        <w:t>Les IEC et ARA2</w:t>
      </w:r>
      <w:r>
        <w:t xml:space="preserve"> : Majorent le risque d'hypotension ; leur maintien est néanmoins recommandé en routine.</w:t>
      </w:r>
    </w:p>
    <w:p>
      <w:pPr>
        <w:pStyle w:val="Heading3"/>
      </w:pPr>
      <w:r>
        <w:t>213.1.7 Grossesse et allaitement (CRAT)</w:t>
      </w:r>
    </w:p>
    <w:p>
      <w:r/>
      <w:r>
        <w:rPr>
          <w:b/>
        </w:rPr>
        <w:t>Grossesse</w:t>
      </w:r>
      <w:r>
        <w:t xml:space="preserve"> : L'amidotrizoate traverse la barrière placentaire et son utilisation pendant la grossesse doit être évitée, en particulier au 1er trimestre (période d'organogenèse). L'indication doit être strictement limitée aux urgences vitales (suspicion de perforation digestive, obstruction menaçante). Pour la voie orale/rectale sans passage systémique, le risque est considéré comme négligeable mais le principe de précaution s'applique. Selon le CRAT, l'utilisation en cas d'urgence digestive maternelle est acceptable après information de la patiente.</w:t>
      </w:r>
    </w:p>
    <w:p>
      <w:r/>
      <w:r>
        <w:rPr>
          <w:b/>
        </w:rPr>
        <w:t>Allaitement</w:t>
      </w:r>
      <w:r>
        <w:t xml:space="preserve"> : L'amidotrizoate passe en quantité négligeable dans le lait maternel (&lt; 1 % de la dose maternelle) et son absorption intestinale par le nourrisson est faible. L'ESUR et le CRAT concluent à l'innocuité clinique de l'allaitement après administration orale/rectale d'amidotrizoate à la mère. L'interruption d'allaitement n'est pas nécessaire. Pour l'administration IV, l'interruption pendant 12–24 h est discutée par prudence maximale.</w:t>
      </w:r>
    </w:p>
    <w:p>
      <w:pPr>
        <w:pStyle w:val="Heading3"/>
      </w:pPr>
      <w:r>
        <w:t>213.1.8 Posologie et mode d'administration</w:t>
      </w:r>
    </w:p>
    <w:p>
      <w:r/>
      <w:r>
        <w:rPr>
          <w:b/>
        </w:rPr>
        <w:t>Posologie adulte — voie orale</w:t>
      </w:r>
      <w:r>
        <w:t xml:space="preserve"> : 50–100 mL de GASTROGRAFINE dilués dans 100 mL d'eau plate, à boire 30–60 min avant l'examen radiologique. Pour l'entéroclyse (opacification du grêle par sonde naso-jéjunale), le débit est de 50–100 mL/min pour un volume total de 500–1500 mL selon la tolérance. </w:t>
      </w:r>
      <w:r>
        <w:rPr>
          <w:b/>
        </w:rPr>
        <w:t>Posologie adulte — voie rectale</w:t>
      </w:r>
      <w:r>
        <w:t xml:space="preserve"> : 100–250 mL dilués dans 250–500 mL d'eau tiède, en lavement évacuateur suivi d'une opacification. </w:t>
      </w:r>
      <w:r>
        <w:rPr>
          <w:b/>
        </w:rPr>
        <w:t>Posologie adulte — voie IV (historique, non recommandée aujourd'hui)</w:t>
      </w:r>
      <w:r>
        <w:t xml:space="preserve"> : 50–100 mL en injection IV lente (1–2 mL/s), sans dépasser 1,5 mL/kg (3 mL/kg pour l'angiographie).</w:t>
      </w:r>
    </w:p>
    <w:p>
      <w:r/>
      <w:r>
        <w:rPr>
          <w:b/>
        </w:rPr>
        <w:t>Posologie pédiatrique — voie orale</w:t>
      </w:r>
      <w:r>
        <w:t xml:space="preserve"> : 1 mL/kg dilués dans 10 mL/kg d'eau. </w:t>
      </w:r>
      <w:r>
        <w:rPr>
          <w:b/>
        </w:rPr>
        <w:t>Posologie pédiatrique — voie rectale</w:t>
      </w:r>
      <w:r>
        <w:t xml:space="preserve"> : 5 mL/kg dilués dans 30 mL/kg d'eau tiède. La prudence est de mise chez le nouveau-né et le nourrisson en raison du risque de déshydratation hyperosmolaire (le produit attire l'eau dans la lumière digestive).</w:t>
      </w:r>
    </w:p>
    <w:p>
      <w:r/>
      <w:r>
        <w:rPr>
          <w:b/>
        </w:rPr>
        <w:t>Mode d'administration</w:t>
      </w:r>
      <w:r>
        <w:t xml:space="preserve"> : Voie orale : faire boire le patient lentement pour éviter les vomissements ; fractionner la prise si nécessaire. Voie rectale : utilisation d'une sonde rectale lubrifiée, administration en décubitus latéral gauche, rétention 5–10 min avant évacuation pour optimiser l'opacification colique. Voie IV (historique) : injection dans une veine de gros calibre, rincage par NaCl 0,9 % après injection.</w:t>
      </w:r>
    </w:p>
    <w:p>
      <w:pPr>
        <w:pStyle w:val="Heading3"/>
      </w:pPr>
      <w:r>
        <w:t>213.1.9 Arbitrage et bénéfices des formes galéniques</w:t>
      </w:r>
    </w:p>
    <w:p>
      <w:r>
        <w:t>La spécialité GASTROGRAFINE (Bayer Pharma AG) est la seule forme galénique active en Algérie, conditionnée en flacon de 100 mL à la concentration 370 mg/mL d'iode. Sa présentation en solution buvable ou rectale permet une utilisation flexible selon l'indication. Le volume de 100 mL correspond à la dose adulte standard pour opacification digestive, ce qui simplifie la dispensation.</w:t>
      </w:r>
    </w:p>
    <w:p>
      <w:r>
        <w:t>L'arbitrage entre amidotrizoate (GASTROGRAFINE) et sulfate de baryum (MICROPACT, BARITE COLA, non détaillés dans ce fascicule mais disponibles en Algérie) dépend de l'indication : l'amidotrizoate est préféré en cas de suspicion de perforation digestive (résorbable, moins toxique en péritoine) ou de fistule digestive (résorbable, passage systémique limité), tandis que le sulfate de baryum est préféré en cas d'opacification simple sans perforation suspectée (meilleure qualité d'image, non résorbable, moins coûteux). L'amidotrizoate est contre-indiqué en cas d'obstruction colique complète (risque d'impaction aggravée par l'effet osmotique). La spécialité RADIOSELECTAN URINAIRE ET VASCULAIRE 76% (Schering) étant NON_RENOUVELABLE ou RETIRÉE, son utilisation n'est plus possible en pratique clinique courante.</w:t>
      </w:r>
    </w:p>
    <w:p>
      <w:pPr>
        <w:pStyle w:val="Heading3"/>
      </w:pPr>
      <w:r>
        <w:t>213.1.10 Instructions et conseils au patient</w:t>
      </w:r>
    </w:p>
    <w:p>
      <w:r/>
      <w:r>
        <w:rPr>
          <w:b/>
        </w:rPr>
        <w:t>Avant l'examen</w:t>
      </w:r>
      <w:r>
        <w:t xml:space="preserve"> : Le patient doit être à jeun strict depuis 6 h pour la voie orale ; lavement évacuateur préalable pour la voie rectale. Le patient doit signaler toute allergie médicamenteuse, alimentaire (iode, fruits de mer), ou aux produits de contraste ; toute grossesse éventuelle ou allaitement ; tout antécédent cardiaque, rénal, hépatique, thyroïdien ou d'asthme ; tout traitement en cours (metformine, diurétiques, L-thyroxine, antithyroïdiens). Pour la voie IV (exceptionnelle aujourd'hui), la créatininémie et l'eGFR doivent être vérifiées dans les 7 jours précédant l'examen.</w:t>
      </w:r>
    </w:p>
    <w:p>
      <w:r/>
      <w:r>
        <w:rPr>
          <w:b/>
        </w:rPr>
        <w:t>Pendant l'examen</w:t>
      </w:r>
      <w:r>
        <w:t xml:space="preserve"> : Le patient doit boire la solution lentement pour éviter les vomissements (voie orale) ; en position latérale gauche pour la voie rectale. Une sensation de chaleur abdominale et de besoin d'aller à la selle est fréquente (effet osmotique). Le patient doit signaler toute douleur abdominale intense, vomissement, ou signe d'allergie (démangeaisons, urticaire, dyspnée).</w:t>
      </w:r>
    </w:p>
    <w:p>
      <w:r/>
      <w:r>
        <w:rPr>
          <w:b/>
        </w:rPr>
        <w:t>Après l'examen</w:t>
      </w:r>
      <w:r>
        <w:t xml:space="preserve"> : Le patient doit s'hydrater abondamment (1,5–2 L d'eau dans les 24 h) pour compenser l'effet osmotique diarrhéique. Les selles seront colorées (jaune-marron) et liquides pendant 24–48 h, ce qui est normal. Le patient doit être informé des signes d'alerte : douleur abdominale persistante, fièvre, vomissements incoercibles, syndrome occlusif, dyspnée, urticaire généralisée. La reprise de l'alimentation se fait 1–2 h après la fin de l'examen. La consultation de résultats est programmée à 7 jours.</w:t>
      </w:r>
    </w:p>
    <w:p>
      <w:pPr>
        <w:pStyle w:val="Heading3"/>
      </w:pPr>
      <w:r>
        <w:t>213.1.11 Notes, règles d'or et pièges au comptoir</w:t>
      </w:r>
    </w:p>
    <w:p>
      <w:pPr>
        <w:pStyle w:val="ListNumber"/>
      </w:pPr>
      <w:r/>
      <w:r>
        <w:rPr>
          <w:b/>
        </w:rPr>
        <w:t>Règle d'or n°1</w:t>
      </w:r>
      <w:r>
        <w:t xml:space="preserve"> : GASTROGRAFINE est strictement réservé à la voie digestive (orale ou rectale). Son administration IV par erreur constituerait une faute grave. L'étiquetage "à ne pas injecter par voie IV" doit être apparent.</w:t>
      </w:r>
    </w:p>
    <w:p>
      <w:pPr>
        <w:pStyle w:val="ListNumber"/>
      </w:pPr>
      <w:r/>
      <w:r>
        <w:rPr>
          <w:b/>
        </w:rPr>
        <w:t>Règle d'or n°2</w:t>
      </w:r>
      <w:r>
        <w:t xml:space="preserve"> : Vérifier la fonction thyroïdienne (TSH) chez les patients à risque (nodule, Basedow) avant l'examen.</w:t>
      </w:r>
    </w:p>
    <w:p>
      <w:pPr>
        <w:pStyle w:val="ListNumber"/>
      </w:pPr>
      <w:r/>
      <w:r>
        <w:rPr>
          <w:b/>
        </w:rPr>
        <w:t>Règle d'or n°3</w:t>
      </w:r>
      <w:r>
        <w:t xml:space="preserve"> : Vérifier la créatininémie et l'eGFR en cas d'utilisation IV (exceptionnelle aujourd'hui).</w:t>
      </w:r>
    </w:p>
    <w:p>
      <w:pPr>
        <w:pStyle w:val="ListNumber"/>
      </w:pPr>
      <w:r/>
      <w:r>
        <w:rPr>
          <w:b/>
        </w:rPr>
        <w:t>Piège du comptoir</w:t>
      </w:r>
      <w:r>
        <w:t xml:space="preserve"> : Le patient peut confondre "Gastrografine" (amidotrizoate) avec d'autres produits de contraste iodés IV (Omnipaque, Ultravist). Toujours vérifier la voie d'administration prévue sur l'ordonnance.</w:t>
      </w:r>
    </w:p>
    <w:p>
      <w:pPr>
        <w:pStyle w:val="ListNumber"/>
      </w:pPr>
      <w:r/>
      <w:r>
        <w:rPr>
          <w:b/>
        </w:rPr>
        <w:t>Piège de la perforation</w:t>
      </w:r>
      <w:r>
        <w:t xml:space="preserve"> : En cas de suspicion de perforation digestive libre, GASTROGRAFINE peut être utilisé par voie orale (résorbable, moins toxique en péritoine que le baryum). En cas de perforation colique, la voie rectale est contre-indiquée.</w:t>
      </w:r>
    </w:p>
    <w:p>
      <w:pPr>
        <w:pStyle w:val="ListNumber"/>
      </w:pPr>
      <w:r/>
      <w:r>
        <w:rPr>
          <w:b/>
        </w:rPr>
        <w:t>Piège de l'obstruction</w:t>
      </w:r>
      <w:r>
        <w:t xml:space="preserve"> : GASTROGRAFINE est contre-indiqué en cas d'obstruction colique complète (risque d'impaction aggravée par l'effet osmotique).</w:t>
      </w:r>
    </w:p>
    <w:p>
      <w:pPr>
        <w:pStyle w:val="ListNumber"/>
      </w:pPr>
      <w:r/>
      <w:r>
        <w:rPr>
          <w:b/>
        </w:rPr>
        <w:t>Piège de la metformine</w:t>
      </w:r>
      <w:r>
        <w:t xml:space="preserve"> : Pour la voie orale/rectale sans passage systémique, l'arrêt de la metformine n'est pas nécessaire. Pour la voie IV, l'arrêt pendant 48 h est recommandé si l'eGFR &lt; 60.</w:t>
      </w:r>
    </w:p>
    <w:p>
      <w:pPr>
        <w:pStyle w:val="ListNumber"/>
      </w:pPr>
      <w:r/>
      <w:r>
        <w:rPr>
          <w:b/>
        </w:rPr>
        <w:t>Piège de la thyroïde</w:t>
      </w:r>
      <w:r>
        <w:t xml:space="preserve"> : Le contrôle TSH 4–6 semaines après l'examen est recommandé chez les patients âgés ou sous traitement thyroïdien.</w:t>
      </w:r>
    </w:p>
    <w:p>
      <w:pPr>
        <w:pStyle w:val="ListNumber"/>
      </w:pPr>
      <w:r/>
      <w:r>
        <w:rPr>
          <w:b/>
        </w:rPr>
        <w:t>Piège de l'allaitement</w:t>
      </w:r>
      <w:r>
        <w:t xml:space="preserve"> : L'allaitement n'est pas interrompu après administration orale/rectale d'amidotrizoate.</w:t>
      </w:r>
    </w:p>
    <w:p>
      <w:pPr>
        <w:pStyle w:val="ListNumber"/>
      </w:pPr>
      <w:r/>
      <w:r>
        <w:rPr>
          <w:b/>
        </w:rPr>
        <w:t>Piège du goitre</w:t>
      </w:r>
      <w:r>
        <w:t xml:space="preserve"> : Les patients avec goitre multinodulaire doivent avoir une scintigraphie thyroïdienne préalable pour éliminer un nodule hyperfonctionnel avant l'examen.</w:t>
      </w:r>
    </w:p>
    <w:p>
      <w:pPr>
        <w:pStyle w:val="Heading2"/>
      </w:pPr>
      <w:r>
        <w:t>213.2 Fiche DCI : IOXAGLATE DE SODIUM ET DE MEGLUMINE</w:t>
      </w:r>
    </w:p>
    <w:p>
      <w:pPr>
        <w:pStyle w:val="Heading3"/>
      </w:pPr>
      <w:r>
        <w:t>213.2.1 Liste des catégories thérapeutiques</w:t>
      </w:r>
    </w:p>
    <w:p>
      <w:pPr>
        <w:pStyle w:val="ListBullet"/>
      </w:pPr>
      <w:r/>
      <w:r>
        <w:rPr>
          <w:b/>
        </w:rPr>
        <w:t>Code ATC</w:t>
      </w:r>
      <w:r>
        <w:t xml:space="preserve"> : V08AB01 (Produits de contraste pour radiographie, non-ionique monomère — ioxaglate ; notons que ATC classe les dimères ioniques sous AB)</w:t>
      </w:r>
    </w:p>
    <w:p>
      <w:pPr>
        <w:pStyle w:val="ListBullet"/>
      </w:pPr>
      <w:r/>
      <w:r>
        <w:rPr>
          <w:b/>
        </w:rPr>
        <w:t>Classification pharmacologique</w:t>
      </w:r>
      <w:r>
        <w:t xml:space="preserve"> : Produit de contraste iodé ionique dimère, sel de sodium et de méglumine</w:t>
      </w:r>
    </w:p>
    <w:p>
      <w:pPr>
        <w:pStyle w:val="ListBullet"/>
      </w:pPr>
      <w:r/>
      <w:r>
        <w:rPr>
          <w:b/>
        </w:rPr>
        <w:t>Classe chimique</w:t>
      </w:r>
      <w:r>
        <w:t xml:space="preserve"> : Acide ioxaglique, formule C₂₄H₂₁I₆N₃O₈ ; sel de sodium et de méglumine</w:t>
      </w:r>
    </w:p>
    <w:p>
      <w:pPr>
        <w:pStyle w:val="ListBullet"/>
      </w:pPr>
      <w:r/>
      <w:r>
        <w:rPr>
          <w:b/>
        </w:rPr>
        <w:t>Statut réglementaire international</w:t>
      </w:r>
      <w:r>
        <w:t xml:space="preserve"> : Retrait progressif du marché mondial depuis 2010 ; RETRAIT Algérie (nomenclature Avril 2026)</w:t>
      </w:r>
    </w:p>
    <w:p>
      <w:pPr>
        <w:pStyle w:val="ListBullet"/>
      </w:pPr>
      <w:r/>
      <w:r>
        <w:rPr>
          <w:b/>
        </w:rPr>
        <w:t>Classement historique Algérie</w:t>
      </w:r>
      <w:r>
        <w:t xml:space="preserve"> : Liste I (avant retrait)</w:t>
      </w:r>
    </w:p>
    <w:p>
      <w:pPr>
        <w:pStyle w:val="ListBullet"/>
      </w:pPr>
      <w:r/>
      <w:r>
        <w:rPr>
          <w:b/>
        </w:rPr>
        <w:t>Indications AMM historiques</w:t>
      </w:r>
      <w:r>
        <w:t xml:space="preserve"> : Angiographie, urographie, phlébographie, coronarographie, opacification des cavités (utéro-hystérosalpingographie, arthrographie)</w:t>
      </w:r>
    </w:p>
    <w:p>
      <w:pPr>
        <w:pStyle w:val="Heading3"/>
      </w:pPr>
      <w:r>
        <w:t>213.2.2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HEXABRIX 320</w:t>
            </w:r>
          </w:p>
        </w:tc>
        <w:tc>
          <w:tcPr>
            <w:tcW w:type="dxa" w:w="1385"/>
          </w:tcPr>
          <w:p>
            <w:r>
              <w:rPr>
                <w:rFonts w:ascii="Times New Roman" w:hAnsi="Times New Roman"/>
                <w:sz w:val="20"/>
              </w:rPr>
              <w:t>GUERBET</w:t>
            </w:r>
          </w:p>
        </w:tc>
        <w:tc>
          <w:tcPr>
            <w:tcW w:type="dxa" w:w="1385"/>
          </w:tcPr>
          <w:p>
            <w:r>
              <w:rPr>
                <w:rFonts w:ascii="Times New Roman" w:hAnsi="Times New Roman"/>
                <w:sz w:val="20"/>
              </w:rPr>
              <w:t>Solution injectable intra-vasculaire, intra-utérine, intra-articulaire — I = 320 mg/mL</w:t>
            </w:r>
          </w:p>
        </w:tc>
        <w:tc>
          <w:tcPr>
            <w:tcW w:type="dxa" w:w="1385"/>
          </w:tcPr>
          <w:p>
            <w:r>
              <w:rPr>
                <w:rFonts w:ascii="Times New Roman" w:hAnsi="Times New Roman"/>
                <w:sz w:val="20"/>
              </w:rPr>
              <w:t>Fl 20 mL + Fl 100 mL</w:t>
            </w:r>
          </w:p>
        </w:tc>
        <w:tc>
          <w:tcPr>
            <w:tcW w:type="dxa" w:w="1385"/>
          </w:tcPr>
          <w:p>
            <w:r>
              <w:rPr>
                <w:rFonts w:ascii="Times New Roman" w:hAnsi="Times New Roman"/>
                <w:sz w:val="20"/>
              </w:rPr>
              <w:t>Liste I</w:t>
            </w:r>
          </w:p>
        </w:tc>
        <w:tc>
          <w:tcPr>
            <w:tcW w:type="dxa" w:w="1385"/>
          </w:tcPr>
          <w:p>
            <w:r>
              <w:rPr>
                <w:rFonts w:ascii="Times New Roman" w:hAnsi="Times New Roman"/>
                <w:sz w:val="20"/>
              </w:rPr>
              <w:t>RETRAIT (R)</w:t>
            </w:r>
          </w:p>
        </w:tc>
      </w:tr>
    </w:tbl>
    <w:p/>
    <w:p>
      <w:r/>
      <w:r>
        <w:rPr>
          <w:b/>
        </w:rPr>
        <w:t>Statut réglementaire algérien</w:t>
      </w:r>
      <w:r>
        <w:t xml:space="preserve"> : La spécialité HEXABRIX 320 (Guerbet) est RETIRÉE du marché algérien (nomenclature Avril 2026). Aucune marque générique n'est disponible. Cette molécule a été un produit de référence pour les années 1990–2000 en raison de son osmolalité modérée (faiblement hyperosmolaire) comparée aux ioniques monomères (amidotrizoate), mais elle a été progressivement supplantée par les non-ioniques monomères (iohexol, iopamidol) et surtout par l'iodixanol (non-ionique dimère iso-osmolaire).</w:t>
      </w:r>
    </w:p>
    <w:p>
      <w:r/>
      <w:r>
        <w:rPr>
          <w:b/>
        </w:rPr>
        <w:t>Alerte officinale</w:t>
      </w:r>
      <w:r>
        <w:t xml:space="preserve"> : Tout stock résiduel d'HEXABRIX doit être signalé et détruit selon la procédure DASRI. L'administration d'ioxaglate à un patient, y compris en urgence, constituerait une faute professionnelle. La substitution systématique par un non-ionique (iohexol — OMNIPAQUE, iopamidol — PAMIDOL, iopromide — ULTRAVIST, iobitridol — XENETIX) ou par l'iodixanol (VISIPAQUE) garantit une tolérance vasculaire supérieure et une efficacité diagnostique équivalente.</w:t>
      </w:r>
    </w:p>
    <w:p>
      <w:pPr>
        <w:pStyle w:val="Heading3"/>
      </w:pPr>
      <w:r>
        <w:t>213.2.3 Sous-classe et mécanisme d'action moléculaire</w:t>
      </w:r>
    </w:p>
    <w:p>
      <w:r>
        <w:t>L'ioxaglate de sodium et de méglumine appartient à la sous-classe des produits de contraste iodés ioniques dimères. Sa structure chimique est un dimère constitué de deux noyaux benzéniques triiodés reliés par un pont malonate, avec un seul groupe carboxylate (–COO⁻) libre pour l'ensemble du dimère. Cette structure originale permet de combiner les avantages d'une concentration élevée en iode (6 atomes d'iode par molécule au lieu de 3 pour les monomères) et d'une osmolalité réduite (1 particule osmotique active par molécule au lieu de 2 pour les ioniques monomères). L'osmolalité de l'ioxaglate à 320 mg/mL d'iode est de 600 mOsm/kg, soit environ 2 fois celle du plasma, ce qui est nettement inférieur aux ioniques monomères (1500–2100 mOsm/kg) et intermédiaire entre les non-ioniques monomères (600–800 mOsm/kg) et l'iodixanol iso-osmolaire (290 mOsm/kg).</w:t>
      </w:r>
    </w:p>
    <w:p>
      <w:r>
        <w:t>Le mécanisme d'action radiologique est identique à celui des autres produits de contraste iodés : absorption des rayons X par effet photoélectrique des électrons K de l'iode (Z = 53, K-edge = 33,2 keV), générant un contraste radiologique positif en scanographie et radiographie conventionnelle. L'élimination est exclusivement rénale par filtration glomérulaire, sans métabolisation, avec une demi-vie d'environ 100 minutes chez le sujet sain. La liaison protéique est négligeable (&lt; 5 %). Chez l'insuffisant rénal sévère (eGFR &lt; 30), la demi-vie est prolongée à 6–24 h, justifiant une surveillance prolongée et une hydratation renforcée. Le passage cérébral est négligeable (barrière hémato-encéphalique intacte), mais l'ioxaglate peut traverser le placenta.</w:t>
      </w:r>
    </w:p>
    <w:p>
      <w:pPr>
        <w:pStyle w:val="Heading3"/>
      </w:pPr>
      <w:r>
        <w:t>213.2.4 Profil pharmacologique</w:t>
      </w:r>
    </w:p>
    <w:p>
      <w:r/>
      <w:r>
        <w:rPr>
          <w:b/>
        </w:rPr>
        <w:t>Indications AMM historiques</w:t>
      </w:r>
      <w:r>
        <w:t xml:space="preserve"> : Angiographie numérisée (coronarographie, angio-IRM, angiographie pulmonaire, angiographie cérébrale), urographie intraveineuse, phlébographie des membres, opacification des cavités (utéro-hystérosalpingographie, arthrographie, myélographie exceptionnelle). Toutes ces indications sont aujourd'hui traitées par les non-ioniques monomères (iohexol, iopamidol, iopromide, iobitridol) ou l'iodixanol.</w:t>
      </w:r>
    </w:p>
    <w:p>
      <w:r/>
      <w:r>
        <w:rPr>
          <w:b/>
        </w:rPr>
        <w:t>Contre-indications absolues (historiques, pré-retrait)</w:t>
      </w:r>
      <w:r>
        <w:t xml:space="preserve"> : hypersensibilité connue à l'ioxaglate ; hypertyroïdie non contrôlée ; grossesse et allaitement ; insuffisance rénale sévère (eGFR &lt; 30 mL/min/1,73 m²) ; myélome multiple ; phéochromocytome (risque de crise hypertensive par libération de catécholamines).</w:t>
      </w:r>
    </w:p>
    <w:p>
      <w:r/>
      <w:r>
        <w:rPr>
          <w:b/>
        </w:rPr>
        <w:t>Effets indésirables</w:t>
      </w:r>
      <w:r>
        <w:t xml:space="preserve"> : Sensation de chaleur diffuse, goût métallique, nausées, vomissements, hypotension transitoire, urticaire, douleur au point d'injection (en raison de l'osmolalité modérée, moins marquée que pour les ioniques monomères). Réactions anaphylactoïdes sévères (incidence 0,04 %). Néphropathie post-contraste (CIN, incidence 5–10 % chez les patients à risque). Dysthyroïdie jod-basedow (rare mais documentée). Les autres EI sont superposables à ceux de l'amidotrizoate mais avec une fréquence atténuée en raison de l'osmolalité réduite.</w:t>
      </w:r>
    </w:p>
    <w:p>
      <w:pPr>
        <w:pStyle w:val="Heading3"/>
      </w:pPr>
      <w:r>
        <w:t>213.2.5 Prévention et gestion des effets indésirables</w:t>
      </w:r>
    </w:p>
    <w:p>
      <w:r>
        <w:t>La prévention des effets indésirables de l'ioxaglate suivait les mêmes principes que pour les autres produits de contraste iodés : hydratation préalable, prémédication antiallergique pour les patients à risque, kit d'urgence anaphylaxie en salle d'imagerie, surveillance post-injection de 30 min. La néphropathie post-contraste était prévenue par hydratation IV (NaCl 0,9 %) et arrêt transitoire de la metformine. Aujourd'hui, ces protocoles sont obsolètes en raison du retrait du produit. La substitution par les non-ioniques (iohexol, iopamidol, iopromide, iobitridol) ou l'iodixanol garantit une tolérance vasculaire supérieure et une incidence réduite de CIN.</w:t>
      </w:r>
    </w:p>
    <w:p>
      <w:pPr>
        <w:pStyle w:val="Heading3"/>
      </w:pPr>
      <w:r>
        <w:t>213.2.6 Interactions médicamenteuses</w:t>
      </w:r>
    </w:p>
    <w:p>
      <w:r/>
      <w:r>
        <w:rPr>
          <w:b/>
        </w:rPr>
        <w:t>La metformine</w:t>
      </w:r>
      <w:r>
        <w:t xml:space="preserve"> : L'arrêt transitoire pendant 48 h avec contrôle de la créatininémie avant reprise était recommandé en cas d'utilisation IV chez les patients avec eGFR &lt; 60 mL/min/1,73 m². Les autres interactions sont superposables à celles de l'amidotrizoate.</w:t>
      </w:r>
    </w:p>
    <w:p>
      <w:pPr>
        <w:pStyle w:val="Heading3"/>
      </w:pPr>
      <w:r>
        <w:t>213.2.7 Grossesse et allaitement (CRAT)</w:t>
      </w:r>
    </w:p>
    <w:p>
      <w:r/>
      <w:r>
        <w:rPr>
          <w:b/>
        </w:rPr>
        <w:t>Grossesse</w:t>
      </w:r>
      <w:r>
        <w:t xml:space="preserve"> : L'ioxaglate traverse la barrière placentaire et son utilisation pendant la grossesse était contre-indiquée par principe de précaution, sauf urgence vitale. </w:t>
      </w:r>
      <w:r>
        <w:rPr>
          <w:b/>
        </w:rPr>
        <w:t>Allaitement</w:t>
      </w:r>
      <w:r>
        <w:t xml:space="preserve"> : Le passage dans le lait maternel était négligeable, mais l'arrêt pendant 24 h était recommandé par prudence. Aujourd'hui, ces considérations sont caduques en raison du retrait du produit.</w:t>
      </w:r>
    </w:p>
    <w:p>
      <w:pPr>
        <w:pStyle w:val="Heading3"/>
      </w:pPr>
      <w:r>
        <w:t>213.2.8 Posologie et mode d'administration</w:t>
      </w:r>
    </w:p>
    <w:p>
      <w:r/>
      <w:r>
        <w:rPr>
          <w:b/>
        </w:rPr>
        <w:t>Posologie adulte historique</w:t>
      </w:r>
      <w:r>
        <w:t xml:space="preserve"> : Angiographie : 30–60 mL par injection IV, à renouveler selon les besoins (max 4 mL/kg). Urographie : 50 mL en injection IV lente. Arthrographie : 5–15 mL intra-articulaire. Hystérosalpingographie : 5–10 mL intra-utérine.</w:t>
      </w:r>
    </w:p>
    <w:p>
      <w:r/>
      <w:r>
        <w:rPr>
          <w:b/>
        </w:rPr>
        <w:t>Mode d'administration historique</w:t>
      </w:r>
      <w:r>
        <w:t xml:space="preserve"> : Injection IV dans une veine de gros calibre, rincage par NaCl 0,9 % après injection. Pour les voies intra-articulaire et intra-utérine, condition stérile stricte, fluoroscopie de guidage. Aujourd'hui, ces protocoles sont obsolètes.</w:t>
      </w:r>
    </w:p>
    <w:p>
      <w:pPr>
        <w:pStyle w:val="Heading3"/>
      </w:pPr>
      <w:r>
        <w:t>213.2.9 Arbitrage et bénéfices des formes galéniques</w:t>
      </w:r>
    </w:p>
    <w:p>
      <w:r>
        <w:t>Le HEXABRIX 320 (Guerbet) était conditionné en flacons de 20 mL et 100 mL à la concentration 320 mg/mL d'iode, permettant une utilisation flexible selon l'indication (angiographie, urographie, arthrographie, hystérosalpingographie). Son retrait du marché a fait disparaître toute forme galénique. L'arbitrage galénique n'est plus pertinent aujourd'hui. Historiquement, l'ioxaglate occupait une position intermédiaire entre les ioniques monomères (amidotrizoate — moins cher mais moins bien toléré) et les non-ioniques monomères (iohexol, iopamidol — plus chers mais mieux tolérés), en raison de son osmolalité réduite à coût modéré. L'évolution des pratiques et la baisse des prix des non-ioniques ont conduit à son abandon progressif.</w:t>
      </w:r>
    </w:p>
    <w:p>
      <w:pPr>
        <w:pStyle w:val="Heading3"/>
      </w:pPr>
      <w:r>
        <w:t>213.2.10 Instructions et conseils au patient (en cas d'antécédent d'injection passée)</w:t>
      </w:r>
    </w:p>
    <w:p>
      <w:r/>
      <w:r>
        <w:rPr>
          <w:b/>
        </w:rPr>
        <w:t>Patients ayant reçu de l'ioxaglate dans le passé</w:t>
      </w:r>
      <w:r>
        <w:t xml:space="preserve"> : Le profil de tolérance de l'ioxaglate était correct (intermédiaire entre ioniques et non-ioniques), et aucun effet tardif spécifique n'a été documenté. Les patients peuvent être rassurés. En cas de réaction allergique antérieure documentée à l'ioxaglate, le patient doit être informé du risque de réaction croisée avec les autres produits de contraste iodés et bénéficier d'une prémédication antiallergique systématique avant tout examen radiologique injecté ultérieur.</w:t>
      </w:r>
    </w:p>
    <w:p>
      <w:pPr>
        <w:pStyle w:val="Heading3"/>
      </w:pPr>
      <w:r>
        <w:t>213.2.11 Notes, règles d'or et pièges au comptoir</w:t>
      </w:r>
    </w:p>
    <w:p>
      <w:pPr>
        <w:pStyle w:val="ListNumber"/>
      </w:pPr>
      <w:r/>
      <w:r>
        <w:rPr>
          <w:b/>
        </w:rPr>
        <w:t>Règle d'or absolue n°1</w:t>
      </w:r>
      <w:r>
        <w:t xml:space="preserve"> : L'ioxaglate (HEXABRIX 320) est RETIRÉ du marché algérien. Aucune injection ne doit être pratiquée. Tout stock résiduel doit être signalé et détruit.</w:t>
      </w:r>
    </w:p>
    <w:p>
      <w:pPr>
        <w:pStyle w:val="ListNumber"/>
      </w:pPr>
      <w:r/>
      <w:r>
        <w:rPr>
          <w:b/>
        </w:rPr>
        <w:t>Piège du comptoir</w:t>
      </w:r>
      <w:r>
        <w:t xml:space="preserve"> : Un patient se présentant avec une ordonnance ancienne mentionnant "HEXABRIX" doit être redirigé vers son médecin prescripteur pour substitution par iohexol (OMNIPAQUE), iopamidol (PAMIDOL), iopromide (ULTRAVIST), iobitridol (XENETIX) ou iodixanol (VISIPAQUE).</w:t>
      </w:r>
    </w:p>
    <w:p>
      <w:pPr>
        <w:pStyle w:val="ListNumber"/>
      </w:pPr>
      <w:r/>
      <w:r>
        <w:rPr>
          <w:b/>
        </w:rPr>
        <w:t>Piège de la littérature</w:t>
      </w:r>
      <w:r>
        <w:t xml:space="preserve"> : Les anciennes publications et protocoles hospitaliers peuvent encore mentionner l'ioxaglate ; substituer systématiquement par un non-ionique.</w:t>
      </w:r>
    </w:p>
    <w:p>
      <w:pPr>
        <w:pStyle w:val="ListNumber"/>
      </w:pPr>
      <w:r/>
      <w:r>
        <w:rPr>
          <w:b/>
        </w:rPr>
        <w:t>Piège de l'identification visuelle</w:t>
      </w:r>
      <w:r>
        <w:t xml:space="preserve"> : Les flacons d'HEXABRIX peuvent être confondus avec ceux d'OMNIPAQUE ou de VISIPAQUE (même type de flacon). La lecture du nom commercial est impérative avant toute administration.</w:t>
      </w:r>
    </w:p>
    <w:p>
      <w:pPr>
        <w:pStyle w:val="ListNumber"/>
      </w:pPr>
      <w:r/>
      <w:r>
        <w:rPr>
          <w:b/>
        </w:rPr>
        <w:t>Piège de l'allergie croisée</w:t>
      </w:r>
      <w:r>
        <w:t xml:space="preserve"> : En cas de réaction allergique antérieure à l'ioxaglate, prémédication systématique avant tout examen radiologique injecté ultérieur.</w:t>
      </w:r>
    </w:p>
    <w:p>
      <w:pPr>
        <w:pStyle w:val="ListNumber"/>
      </w:pPr>
      <w:r/>
      <w:r>
        <w:rPr>
          <w:b/>
        </w:rPr>
        <w:t>Piège de la thyroïde</w:t>
      </w:r>
      <w:r>
        <w:t xml:space="preserve"> : Les patients avec antécédent thyroïdien (nodule, Basedow) doivent avoir un contrôle TSH 4–6 semaines après l'examen, même en cas d'utilisation passée d'ioxaglate.</w:t>
      </w:r>
    </w:p>
    <w:p>
      <w:pPr>
        <w:pStyle w:val="Heading2"/>
      </w:pPr>
      <w:r>
        <w:t>213.3 Tableau comparatif de sous-classe : Contrastes iodés ioniques</w:t>
      </w:r>
    </w:p>
    <w:tbl>
      <w:tblPr>
        <w:tblStyle w:val="LightGrid-Accent1"/>
        <w:tblW w:type="auto" w:w="0"/>
        <w:tblLayout w:type="autofit"/>
        <w:tblLook w:firstColumn="1" w:firstRow="1" w:lastColumn="0" w:lastRow="0" w:noHBand="0" w:noVBand="1" w:val="04A0"/>
      </w:tblPr>
      <w:tblGrid>
        <w:gridCol w:w="2771"/>
        <w:gridCol w:w="2771"/>
        <w:gridCol w:w="2771"/>
      </w:tblGrid>
      <w:tr>
        <w:tc>
          <w:tcPr>
            <w:tcW w:type="dxa" w:w="2771"/>
            <w:shd w:val="clear" w:color="auto" w:fill="F2F2F2"/>
          </w:tcPr>
          <w:p>
            <w:r>
              <w:rPr>
                <w:rFonts w:ascii="Times New Roman" w:hAnsi="Times New Roman"/>
                <w:b/>
                <w:sz w:val="20"/>
              </w:rPr>
              <w:t>Paramètre</w:t>
            </w:r>
          </w:p>
        </w:tc>
        <w:tc>
          <w:tcPr>
            <w:tcW w:type="dxa" w:w="2771"/>
            <w:shd w:val="clear" w:color="auto" w:fill="F2F2F2"/>
          </w:tcPr>
          <w:p>
            <w:r>
              <w:rPr>
                <w:rFonts w:ascii="Times New Roman" w:hAnsi="Times New Roman"/>
                <w:b/>
                <w:sz w:val="20"/>
              </w:rPr>
              <w:t>Amidotrizoate Na/Méglumine (GASTROGRAFINE)</w:t>
            </w:r>
          </w:p>
        </w:tc>
        <w:tc>
          <w:tcPr>
            <w:tcW w:type="dxa" w:w="2771"/>
            <w:shd w:val="clear" w:color="auto" w:fill="F2F2F2"/>
          </w:tcPr>
          <w:p>
            <w:r>
              <w:rPr>
                <w:rFonts w:ascii="Times New Roman" w:hAnsi="Times New Roman"/>
                <w:b/>
                <w:sz w:val="20"/>
              </w:rPr>
              <w:t>Ioxaglate Na/Méglumine (HEXABRIX 320)</w:t>
            </w:r>
          </w:p>
        </w:tc>
      </w:tr>
      <w:tr>
        <w:tc>
          <w:tcPr>
            <w:tcW w:type="dxa" w:w="2771"/>
          </w:tcPr>
          <w:p>
            <w:r>
              <w:rPr>
                <w:rFonts w:ascii="Times New Roman" w:hAnsi="Times New Roman"/>
                <w:sz w:val="20"/>
              </w:rPr>
              <w:t>**Code ATC**</w:t>
            </w:r>
          </w:p>
        </w:tc>
        <w:tc>
          <w:tcPr>
            <w:tcW w:type="dxa" w:w="2771"/>
          </w:tcPr>
          <w:p>
            <w:r>
              <w:rPr>
                <w:rFonts w:ascii="Times New Roman" w:hAnsi="Times New Roman"/>
                <w:sz w:val="20"/>
              </w:rPr>
              <w:t>V08AA01 / V08AA02</w:t>
            </w:r>
          </w:p>
        </w:tc>
        <w:tc>
          <w:tcPr>
            <w:tcW w:type="dxa" w:w="2771"/>
          </w:tcPr>
          <w:p>
            <w:r>
              <w:rPr>
                <w:rFonts w:ascii="Times New Roman" w:hAnsi="Times New Roman"/>
                <w:sz w:val="20"/>
              </w:rPr>
              <w:t>V08AB01 (dimère ionique)</w:t>
            </w:r>
          </w:p>
        </w:tc>
      </w:tr>
      <w:tr>
        <w:tc>
          <w:tcPr>
            <w:tcW w:type="dxa" w:w="2771"/>
          </w:tcPr>
          <w:p>
            <w:r>
              <w:rPr>
                <w:rFonts w:ascii="Times New Roman" w:hAnsi="Times New Roman"/>
                <w:sz w:val="20"/>
              </w:rPr>
              <w:t>**Sous-classe**</w:t>
            </w:r>
          </w:p>
        </w:tc>
        <w:tc>
          <w:tcPr>
            <w:tcW w:type="dxa" w:w="2771"/>
          </w:tcPr>
          <w:p>
            <w:r>
              <w:rPr>
                <w:rFonts w:ascii="Times New Roman" w:hAnsi="Times New Roman"/>
                <w:sz w:val="20"/>
              </w:rPr>
              <w:t>Ionique monomère</w:t>
            </w:r>
          </w:p>
        </w:tc>
        <w:tc>
          <w:tcPr>
            <w:tcW w:type="dxa" w:w="2771"/>
          </w:tcPr>
          <w:p>
            <w:r>
              <w:rPr>
                <w:rFonts w:ascii="Times New Roman" w:hAnsi="Times New Roman"/>
                <w:sz w:val="20"/>
              </w:rPr>
              <w:t>Ionique dimère</w:t>
            </w:r>
          </w:p>
        </w:tc>
      </w:tr>
      <w:tr>
        <w:tc>
          <w:tcPr>
            <w:tcW w:type="dxa" w:w="2771"/>
          </w:tcPr>
          <w:p>
            <w:r>
              <w:rPr>
                <w:rFonts w:ascii="Times New Roman" w:hAnsi="Times New Roman"/>
                <w:sz w:val="20"/>
              </w:rPr>
              <w:t>**Formule chimique**</w:t>
            </w:r>
          </w:p>
        </w:tc>
        <w:tc>
          <w:tcPr>
            <w:tcW w:type="dxa" w:w="2771"/>
          </w:tcPr>
          <w:p>
            <w:r>
              <w:rPr>
                <w:rFonts w:ascii="Times New Roman" w:hAnsi="Times New Roman"/>
                <w:sz w:val="20"/>
              </w:rPr>
              <w:t>C₁₁H₉I₃N₂O₄</w:t>
            </w:r>
          </w:p>
        </w:tc>
        <w:tc>
          <w:tcPr>
            <w:tcW w:type="dxa" w:w="2771"/>
          </w:tcPr>
          <w:p>
            <w:r>
              <w:rPr>
                <w:rFonts w:ascii="Times New Roman" w:hAnsi="Times New Roman"/>
                <w:sz w:val="20"/>
              </w:rPr>
              <w:t>C₂₄H₂₁I₆N₃O₈</w:t>
            </w:r>
          </w:p>
        </w:tc>
      </w:tr>
      <w:tr>
        <w:tc>
          <w:tcPr>
            <w:tcW w:type="dxa" w:w="2771"/>
          </w:tcPr>
          <w:p>
            <w:r>
              <w:rPr>
                <w:rFonts w:ascii="Times New Roman" w:hAnsi="Times New Roman"/>
                <w:sz w:val="20"/>
              </w:rPr>
              <w:t>**Atomes d'iode / molécule**</w:t>
            </w:r>
          </w:p>
        </w:tc>
        <w:tc>
          <w:tcPr>
            <w:tcW w:type="dxa" w:w="2771"/>
          </w:tcPr>
          <w:p>
            <w:r>
              <w:rPr>
                <w:rFonts w:ascii="Times New Roman" w:hAnsi="Times New Roman"/>
                <w:sz w:val="20"/>
              </w:rPr>
              <w:t>3</w:t>
            </w:r>
          </w:p>
        </w:tc>
        <w:tc>
          <w:tcPr>
            <w:tcW w:type="dxa" w:w="2771"/>
          </w:tcPr>
          <w:p>
            <w:r>
              <w:rPr>
                <w:rFonts w:ascii="Times New Roman" w:hAnsi="Times New Roman"/>
                <w:sz w:val="20"/>
              </w:rPr>
              <w:t>6</w:t>
            </w:r>
          </w:p>
        </w:tc>
      </w:tr>
      <w:tr>
        <w:tc>
          <w:tcPr>
            <w:tcW w:type="dxa" w:w="2771"/>
          </w:tcPr>
          <w:p>
            <w:r>
              <w:rPr>
                <w:rFonts w:ascii="Times New Roman" w:hAnsi="Times New Roman"/>
                <w:sz w:val="20"/>
              </w:rPr>
              <w:t>**Particules osmotiques / molécule**</w:t>
            </w:r>
          </w:p>
        </w:tc>
        <w:tc>
          <w:tcPr>
            <w:tcW w:type="dxa" w:w="2771"/>
          </w:tcPr>
          <w:p>
            <w:r>
              <w:rPr>
                <w:rFonts w:ascii="Times New Roman" w:hAnsi="Times New Roman"/>
                <w:sz w:val="20"/>
              </w:rPr>
              <w:t>2 (1 anion + 1 cation)</w:t>
            </w:r>
          </w:p>
        </w:tc>
        <w:tc>
          <w:tcPr>
            <w:tcW w:type="dxa" w:w="2771"/>
          </w:tcPr>
          <w:p>
            <w:r>
              <w:rPr>
                <w:rFonts w:ascii="Times New Roman" w:hAnsi="Times New Roman"/>
                <w:sz w:val="20"/>
              </w:rPr>
              <w:t>2 (1 anion + 1 cation)</w:t>
            </w:r>
          </w:p>
        </w:tc>
      </w:tr>
      <w:tr>
        <w:tc>
          <w:tcPr>
            <w:tcW w:type="dxa" w:w="2771"/>
          </w:tcPr>
          <w:p>
            <w:r>
              <w:rPr>
                <w:rFonts w:ascii="Times New Roman" w:hAnsi="Times New Roman"/>
                <w:sz w:val="20"/>
              </w:rPr>
              <w:t>**Concentration (mg I/mL)**</w:t>
            </w:r>
          </w:p>
        </w:tc>
        <w:tc>
          <w:tcPr>
            <w:tcW w:type="dxa" w:w="2771"/>
          </w:tcPr>
          <w:p>
            <w:r>
              <w:rPr>
                <w:rFonts w:ascii="Times New Roman" w:hAnsi="Times New Roman"/>
                <w:sz w:val="20"/>
              </w:rPr>
              <w:t>370</w:t>
            </w:r>
          </w:p>
        </w:tc>
        <w:tc>
          <w:tcPr>
            <w:tcW w:type="dxa" w:w="2771"/>
          </w:tcPr>
          <w:p>
            <w:r>
              <w:rPr>
                <w:rFonts w:ascii="Times New Roman" w:hAnsi="Times New Roman"/>
                <w:sz w:val="20"/>
              </w:rPr>
              <w:t>320</w:t>
            </w:r>
          </w:p>
        </w:tc>
      </w:tr>
      <w:tr>
        <w:tc>
          <w:tcPr>
            <w:tcW w:type="dxa" w:w="2771"/>
          </w:tcPr>
          <w:p>
            <w:r>
              <w:rPr>
                <w:rFonts w:ascii="Times New Roman" w:hAnsi="Times New Roman"/>
                <w:sz w:val="20"/>
              </w:rPr>
              <w:t>**Osmolalité (mOsm/kg)**</w:t>
            </w:r>
          </w:p>
        </w:tc>
        <w:tc>
          <w:tcPr>
            <w:tcW w:type="dxa" w:w="2771"/>
          </w:tcPr>
          <w:p>
            <w:r>
              <w:rPr>
                <w:rFonts w:ascii="Times New Roman" w:hAnsi="Times New Roman"/>
                <w:sz w:val="20"/>
              </w:rPr>
              <w:t>2100 (hyperosmolaire 7× plasma)</w:t>
            </w:r>
          </w:p>
        </w:tc>
        <w:tc>
          <w:tcPr>
            <w:tcW w:type="dxa" w:w="2771"/>
          </w:tcPr>
          <w:p>
            <w:r>
              <w:rPr>
                <w:rFonts w:ascii="Times New Roman" w:hAnsi="Times New Roman"/>
                <w:sz w:val="20"/>
              </w:rPr>
              <w:t>600 (modérément hyperosmolaire 2× plasma)</w:t>
            </w:r>
          </w:p>
        </w:tc>
      </w:tr>
      <w:tr>
        <w:tc>
          <w:tcPr>
            <w:tcW w:type="dxa" w:w="2771"/>
          </w:tcPr>
          <w:p>
            <w:r>
              <w:rPr>
                <w:rFonts w:ascii="Times New Roman" w:hAnsi="Times New Roman"/>
                <w:sz w:val="20"/>
              </w:rPr>
              <w:t>**Viscosité 37 °C (mPa·s)**</w:t>
            </w:r>
          </w:p>
        </w:tc>
        <w:tc>
          <w:tcPr>
            <w:tcW w:type="dxa" w:w="2771"/>
          </w:tcPr>
          <w:p>
            <w:r>
              <w:rPr>
                <w:rFonts w:ascii="Times New Roman" w:hAnsi="Times New Roman"/>
                <w:sz w:val="20"/>
              </w:rPr>
              <w:t>8,9</w:t>
            </w:r>
          </w:p>
        </w:tc>
        <w:tc>
          <w:tcPr>
            <w:tcW w:type="dxa" w:w="2771"/>
          </w:tcPr>
          <w:p>
            <w:r>
              <w:rPr>
                <w:rFonts w:ascii="Times New Roman" w:hAnsi="Times New Roman"/>
                <w:sz w:val="20"/>
              </w:rPr>
              <w:t>7,5</w:t>
            </w:r>
          </w:p>
        </w:tc>
      </w:tr>
      <w:tr>
        <w:tc>
          <w:tcPr>
            <w:tcW w:type="dxa" w:w="2771"/>
          </w:tcPr>
          <w:p>
            <w:r>
              <w:rPr>
                <w:rFonts w:ascii="Times New Roman" w:hAnsi="Times New Roman"/>
                <w:sz w:val="20"/>
              </w:rPr>
              <w:t>**Demi-vie d'élimination (min)**</w:t>
            </w:r>
          </w:p>
        </w:tc>
        <w:tc>
          <w:tcPr>
            <w:tcW w:type="dxa" w:w="2771"/>
          </w:tcPr>
          <w:p>
            <w:r>
              <w:rPr>
                <w:rFonts w:ascii="Times New Roman" w:hAnsi="Times New Roman"/>
                <w:sz w:val="20"/>
              </w:rPr>
              <w:t>120</w:t>
            </w:r>
          </w:p>
        </w:tc>
        <w:tc>
          <w:tcPr>
            <w:tcW w:type="dxa" w:w="2771"/>
          </w:tcPr>
          <w:p>
            <w:r>
              <w:rPr>
                <w:rFonts w:ascii="Times New Roman" w:hAnsi="Times New Roman"/>
                <w:sz w:val="20"/>
              </w:rPr>
              <w:t>100</w:t>
            </w:r>
          </w:p>
        </w:tc>
      </w:tr>
      <w:tr>
        <w:tc>
          <w:tcPr>
            <w:tcW w:type="dxa" w:w="2771"/>
          </w:tcPr>
          <w:p>
            <w:r>
              <w:rPr>
                <w:rFonts w:ascii="Times New Roman" w:hAnsi="Times New Roman"/>
                <w:sz w:val="20"/>
              </w:rPr>
              <w:t>**Élimination**</w:t>
            </w:r>
          </w:p>
        </w:tc>
        <w:tc>
          <w:tcPr>
            <w:tcW w:type="dxa" w:w="2771"/>
          </w:tcPr>
          <w:p>
            <w:r>
              <w:rPr>
                <w:rFonts w:ascii="Times New Roman" w:hAnsi="Times New Roman"/>
                <w:sz w:val="20"/>
              </w:rPr>
              <w:t>Rénale 100 %</w:t>
            </w:r>
          </w:p>
        </w:tc>
        <w:tc>
          <w:tcPr>
            <w:tcW w:type="dxa" w:w="2771"/>
          </w:tcPr>
          <w:p>
            <w:r>
              <w:rPr>
                <w:rFonts w:ascii="Times New Roman" w:hAnsi="Times New Roman"/>
                <w:sz w:val="20"/>
              </w:rPr>
              <w:t>Rénale 100 %</w:t>
            </w:r>
          </w:p>
        </w:tc>
      </w:tr>
      <w:tr>
        <w:tc>
          <w:tcPr>
            <w:tcW w:type="dxa" w:w="2771"/>
          </w:tcPr>
          <w:p>
            <w:r>
              <w:rPr>
                <w:rFonts w:ascii="Times New Roman" w:hAnsi="Times New Roman"/>
                <w:sz w:val="20"/>
              </w:rPr>
              <w:t>**Liaison protéique**</w:t>
            </w:r>
          </w:p>
        </w:tc>
        <w:tc>
          <w:tcPr>
            <w:tcW w:type="dxa" w:w="2771"/>
          </w:tcPr>
          <w:p>
            <w:r>
              <w:rPr>
                <w:rFonts w:ascii="Times New Roman" w:hAnsi="Times New Roman"/>
                <w:sz w:val="20"/>
              </w:rPr>
              <w:t>&lt; 5 %</w:t>
            </w:r>
          </w:p>
        </w:tc>
        <w:tc>
          <w:tcPr>
            <w:tcW w:type="dxa" w:w="2771"/>
          </w:tcPr>
          <w:p>
            <w:r>
              <w:rPr>
                <w:rFonts w:ascii="Times New Roman" w:hAnsi="Times New Roman"/>
                <w:sz w:val="20"/>
              </w:rPr>
              <w:t>&lt; 5 %</w:t>
            </w:r>
          </w:p>
        </w:tc>
      </w:tr>
      <w:tr>
        <w:tc>
          <w:tcPr>
            <w:tcW w:type="dxa" w:w="2771"/>
          </w:tcPr>
          <w:p>
            <w:r>
              <w:rPr>
                <w:rFonts w:ascii="Times New Roman" w:hAnsi="Times New Roman"/>
                <w:sz w:val="20"/>
              </w:rPr>
              <w:t>**Marque en Algérie**</w:t>
            </w:r>
          </w:p>
        </w:tc>
        <w:tc>
          <w:tcPr>
            <w:tcW w:type="dxa" w:w="2771"/>
          </w:tcPr>
          <w:p>
            <w:r>
              <w:rPr>
                <w:rFonts w:ascii="Times New Roman" w:hAnsi="Times New Roman"/>
                <w:sz w:val="20"/>
              </w:rPr>
              <w:t>GASTROGRAFINE (Bayer)</w:t>
            </w:r>
          </w:p>
        </w:tc>
        <w:tc>
          <w:tcPr>
            <w:tcW w:type="dxa" w:w="2771"/>
          </w:tcPr>
          <w:p>
            <w:r>
              <w:rPr>
                <w:rFonts w:ascii="Times New Roman" w:hAnsi="Times New Roman"/>
                <w:sz w:val="20"/>
              </w:rPr>
              <w:t>HEXABRIX 320 (Guerbet)</w:t>
            </w:r>
          </w:p>
        </w:tc>
      </w:tr>
      <w:tr>
        <w:tc>
          <w:tcPr>
            <w:tcW w:type="dxa" w:w="2771"/>
          </w:tcPr>
          <w:p>
            <w:r>
              <w:rPr>
                <w:rFonts w:ascii="Times New Roman" w:hAnsi="Times New Roman"/>
                <w:sz w:val="20"/>
              </w:rPr>
              <w:t>**Statut Algérie (Avril 2026)**</w:t>
            </w:r>
          </w:p>
        </w:tc>
        <w:tc>
          <w:tcPr>
            <w:tcW w:type="dxa" w:w="2771"/>
          </w:tcPr>
          <w:p>
            <w:r>
              <w:rPr>
                <w:rFonts w:ascii="Times New Roman" w:hAnsi="Times New Roman"/>
                <w:sz w:val="20"/>
              </w:rPr>
              <w:t>GASTROGRAFINE ACTIF ; RADIOSELECTAN NR/R</w:t>
            </w:r>
          </w:p>
        </w:tc>
        <w:tc>
          <w:tcPr>
            <w:tcW w:type="dxa" w:w="2771"/>
          </w:tcPr>
          <w:p>
            <w:r>
              <w:rPr>
                <w:rFonts w:ascii="Times New Roman" w:hAnsi="Times New Roman"/>
                <w:sz w:val="20"/>
              </w:rPr>
              <w:t>RETRAIT</w:t>
            </w:r>
          </w:p>
        </w:tc>
      </w:tr>
      <w:tr>
        <w:tc>
          <w:tcPr>
            <w:tcW w:type="dxa" w:w="2771"/>
          </w:tcPr>
          <w:p>
            <w:r>
              <w:rPr>
                <w:rFonts w:ascii="Times New Roman" w:hAnsi="Times New Roman"/>
                <w:sz w:val="20"/>
              </w:rPr>
              <w:t>**Voie d'administration dominante**</w:t>
            </w:r>
          </w:p>
        </w:tc>
        <w:tc>
          <w:tcPr>
            <w:tcW w:type="dxa" w:w="2771"/>
          </w:tcPr>
          <w:p>
            <w:r>
              <w:rPr>
                <w:rFonts w:ascii="Times New Roman" w:hAnsi="Times New Roman"/>
                <w:sz w:val="20"/>
              </w:rPr>
              <w:t>Orale / rectale (digestif)</w:t>
            </w:r>
          </w:p>
        </w:tc>
        <w:tc>
          <w:tcPr>
            <w:tcW w:type="dxa" w:w="2771"/>
          </w:tcPr>
          <w:p>
            <w:r>
              <w:rPr>
                <w:rFonts w:ascii="Times New Roman" w:hAnsi="Times New Roman"/>
                <w:sz w:val="20"/>
              </w:rPr>
              <w:t>IV (angiographie, urographie)</w:t>
            </w:r>
          </w:p>
        </w:tc>
      </w:tr>
      <w:tr>
        <w:tc>
          <w:tcPr>
            <w:tcW w:type="dxa" w:w="2771"/>
          </w:tcPr>
          <w:p>
            <w:r>
              <w:rPr>
                <w:rFonts w:ascii="Times New Roman" w:hAnsi="Times New Roman"/>
                <w:sz w:val="20"/>
              </w:rPr>
              <w:t>**Sensation chaleur au point d'injection**</w:t>
            </w:r>
          </w:p>
        </w:tc>
        <w:tc>
          <w:tcPr>
            <w:tcW w:type="dxa" w:w="2771"/>
          </w:tcPr>
          <w:p>
            <w:r>
              <w:rPr>
                <w:rFonts w:ascii="Times New Roman" w:hAnsi="Times New Roman"/>
                <w:sz w:val="20"/>
              </w:rPr>
              <w:t>Intense (7× plasma)</w:t>
            </w:r>
          </w:p>
        </w:tc>
        <w:tc>
          <w:tcPr>
            <w:tcW w:type="dxa" w:w="2771"/>
          </w:tcPr>
          <w:p>
            <w:r>
              <w:rPr>
                <w:rFonts w:ascii="Times New Roman" w:hAnsi="Times New Roman"/>
                <w:sz w:val="20"/>
              </w:rPr>
              <w:t>Modérée (2× plasma)</w:t>
            </w:r>
          </w:p>
        </w:tc>
      </w:tr>
      <w:tr>
        <w:tc>
          <w:tcPr>
            <w:tcW w:type="dxa" w:w="2771"/>
          </w:tcPr>
          <w:p>
            <w:r>
              <w:rPr>
                <w:rFonts w:ascii="Times New Roman" w:hAnsi="Times New Roman"/>
                <w:sz w:val="20"/>
              </w:rPr>
              <w:t>**Douleur injection IV**</w:t>
            </w:r>
          </w:p>
        </w:tc>
        <w:tc>
          <w:tcPr>
            <w:tcW w:type="dxa" w:w="2771"/>
          </w:tcPr>
          <w:p>
            <w:r>
              <w:rPr>
                <w:rFonts w:ascii="Times New Roman" w:hAnsi="Times New Roman"/>
                <w:sz w:val="20"/>
              </w:rPr>
              <w:t>Marquée</w:t>
            </w:r>
          </w:p>
        </w:tc>
        <w:tc>
          <w:tcPr>
            <w:tcW w:type="dxa" w:w="2771"/>
          </w:tcPr>
          <w:p>
            <w:r>
              <w:rPr>
                <w:rFonts w:ascii="Times New Roman" w:hAnsi="Times New Roman"/>
                <w:sz w:val="20"/>
              </w:rPr>
              <w:t>Modérée</w:t>
            </w:r>
          </w:p>
        </w:tc>
      </w:tr>
      <w:tr>
        <w:tc>
          <w:tcPr>
            <w:tcW w:type="dxa" w:w="2771"/>
          </w:tcPr>
          <w:p>
            <w:r>
              <w:rPr>
                <w:rFonts w:ascii="Times New Roman" w:hAnsi="Times New Roman"/>
                <w:sz w:val="20"/>
              </w:rPr>
              <w:t>**CIN (incidence, eGFR&lt;60)**</w:t>
            </w:r>
          </w:p>
        </w:tc>
        <w:tc>
          <w:tcPr>
            <w:tcW w:type="dxa" w:w="2771"/>
          </w:tcPr>
          <w:p>
            <w:r>
              <w:rPr>
                <w:rFonts w:ascii="Times New Roman" w:hAnsi="Times New Roman"/>
                <w:sz w:val="20"/>
              </w:rPr>
              <w:t>10–20 %</w:t>
            </w:r>
          </w:p>
        </w:tc>
        <w:tc>
          <w:tcPr>
            <w:tcW w:type="dxa" w:w="2771"/>
          </w:tcPr>
          <w:p>
            <w:r>
              <w:rPr>
                <w:rFonts w:ascii="Times New Roman" w:hAnsi="Times New Roman"/>
                <w:sz w:val="20"/>
              </w:rPr>
              <w:t>5–10 %</w:t>
            </w:r>
          </w:p>
        </w:tc>
      </w:tr>
      <w:tr>
        <w:tc>
          <w:tcPr>
            <w:tcW w:type="dxa" w:w="2771"/>
          </w:tcPr>
          <w:p>
            <w:r>
              <w:rPr>
                <w:rFonts w:ascii="Times New Roman" w:hAnsi="Times New Roman"/>
                <w:sz w:val="20"/>
              </w:rPr>
              <w:t>**Indication de substitution**</w:t>
            </w:r>
          </w:p>
        </w:tc>
        <w:tc>
          <w:tcPr>
            <w:tcW w:type="dxa" w:w="2771"/>
          </w:tcPr>
          <w:p>
            <w:r>
              <w:rPr>
                <w:rFonts w:ascii="Times New Roman" w:hAnsi="Times New Roman"/>
                <w:sz w:val="20"/>
              </w:rPr>
              <w:t>Iohexol, iopamidol, iobitridol (non-ioniques monomères)</w:t>
            </w:r>
          </w:p>
        </w:tc>
        <w:tc>
          <w:tcPr>
            <w:tcW w:type="dxa" w:w="2771"/>
          </w:tcPr>
          <w:p>
            <w:r>
              <w:rPr>
                <w:rFonts w:ascii="Times New Roman" w:hAnsi="Times New Roman"/>
                <w:sz w:val="20"/>
              </w:rPr>
              <w:t>Iodixanol (non-ionique dimère)</w:t>
            </w:r>
          </w:p>
        </w:tc>
      </w:tr>
      <w:tr>
        <w:tc>
          <w:tcPr>
            <w:tcW w:type="dxa" w:w="2771"/>
          </w:tcPr>
          <w:p>
            <w:r>
              <w:rPr>
                <w:rFonts w:ascii="Times New Roman" w:hAnsi="Times New Roman"/>
                <w:sz w:val="20"/>
              </w:rPr>
              <w:t>**Dose historique adulte**</w:t>
            </w:r>
          </w:p>
        </w:tc>
        <w:tc>
          <w:tcPr>
            <w:tcW w:type="dxa" w:w="2771"/>
          </w:tcPr>
          <w:p>
            <w:r>
              <w:rPr>
                <w:rFonts w:ascii="Times New Roman" w:hAnsi="Times New Roman"/>
                <w:sz w:val="20"/>
              </w:rPr>
              <w:t>50–100 mL voie orale ; 1–2 mL/kg IV</w:t>
            </w:r>
          </w:p>
        </w:tc>
        <w:tc>
          <w:tcPr>
            <w:tcW w:type="dxa" w:w="2771"/>
          </w:tcPr>
          <w:p>
            <w:r>
              <w:rPr>
                <w:rFonts w:ascii="Times New Roman" w:hAnsi="Times New Roman"/>
                <w:sz w:val="20"/>
              </w:rPr>
              <w:t>30–60 mL angiographie ; 50 mL urographie</w:t>
            </w:r>
          </w:p>
        </w:tc>
      </w:tr>
      <w:tr>
        <w:tc>
          <w:tcPr>
            <w:tcW w:type="dxa" w:w="2771"/>
          </w:tcPr>
          <w:p>
            <w:r>
              <w:rPr>
                <w:rFonts w:ascii="Times New Roman" w:hAnsi="Times New Roman"/>
                <w:sz w:val="20"/>
              </w:rPr>
              <w:t>**CI absolue historique**</w:t>
            </w:r>
          </w:p>
        </w:tc>
        <w:tc>
          <w:tcPr>
            <w:tcW w:type="dxa" w:w="2771"/>
          </w:tcPr>
          <w:p>
            <w:r>
              <w:rPr>
                <w:rFonts w:ascii="Times New Roman" w:hAnsi="Times New Roman"/>
                <w:sz w:val="20"/>
              </w:rPr>
              <w:t>eGFR &lt; 30 (voie IV), hypertyroïdie non contrôlée, grossesse, myélome</w:t>
            </w:r>
          </w:p>
        </w:tc>
        <w:tc>
          <w:tcPr>
            <w:tcW w:type="dxa" w:w="2771"/>
          </w:tcPr>
          <w:p>
            <w:r>
              <w:rPr>
                <w:rFonts w:ascii="Times New Roman" w:hAnsi="Times New Roman"/>
                <w:sz w:val="20"/>
              </w:rPr>
              <w:t>eGFR &lt; 30, hypertyroïdie non contrôlée, grossesse, myélome, phéochromocytome</w:t>
            </w:r>
          </w:p>
        </w:tc>
      </w:tr>
      <w:tr>
        <w:tc>
          <w:tcPr>
            <w:tcW w:type="dxa" w:w="2771"/>
          </w:tcPr>
          <w:p>
            <w:r>
              <w:rPr>
                <w:rFonts w:ascii="Times New Roman" w:hAnsi="Times New Roman"/>
                <w:sz w:val="20"/>
              </w:rPr>
              <w:t>**AMM initiale**</w:t>
            </w:r>
          </w:p>
        </w:tc>
        <w:tc>
          <w:tcPr>
            <w:tcW w:type="dxa" w:w="2771"/>
          </w:tcPr>
          <w:p>
            <w:r>
              <w:rPr>
                <w:rFonts w:ascii="Times New Roman" w:hAnsi="Times New Roman"/>
                <w:sz w:val="20"/>
              </w:rPr>
              <w:t>1954 (Schering AG)</w:t>
            </w:r>
          </w:p>
        </w:tc>
        <w:tc>
          <w:tcPr>
            <w:tcW w:type="dxa" w:w="2771"/>
          </w:tcPr>
          <w:p>
            <w:r>
              <w:rPr>
                <w:rFonts w:ascii="Times New Roman" w:hAnsi="Times New Roman"/>
                <w:sz w:val="20"/>
              </w:rPr>
              <w:t>1979 (Guerbet)</w:t>
            </w:r>
          </w:p>
        </w:tc>
      </w:tr>
      <w:tr>
        <w:tc>
          <w:tcPr>
            <w:tcW w:type="dxa" w:w="2771"/>
          </w:tcPr>
          <w:p>
            <w:r>
              <w:rPr>
                <w:rFonts w:ascii="Times New Roman" w:hAnsi="Times New Roman"/>
                <w:sz w:val="20"/>
              </w:rPr>
              <w:t>**Date retrait Algérie**</w:t>
            </w:r>
          </w:p>
        </w:tc>
        <w:tc>
          <w:tcPr>
            <w:tcW w:type="dxa" w:w="2771"/>
          </w:tcPr>
          <w:p>
            <w:r>
              <w:rPr>
                <w:rFonts w:ascii="Times New Roman" w:hAnsi="Times New Roman"/>
                <w:sz w:val="20"/>
              </w:rPr>
              <w:t>Partiel (voie IV retirée, voie digestive maintenue)</w:t>
            </w:r>
          </w:p>
        </w:tc>
        <w:tc>
          <w:tcPr>
            <w:tcW w:type="dxa" w:w="2771"/>
          </w:tcPr>
          <w:p>
            <w:r>
              <w:rPr>
                <w:rFonts w:ascii="Times New Roman" w:hAnsi="Times New Roman"/>
                <w:sz w:val="20"/>
              </w:rPr>
              <w:t>Complet (HEXABRIX RETRAIT)</w:t>
            </w:r>
          </w:p>
        </w:tc>
      </w:tr>
    </w:tbl>
    <w:p/>
    <w:p>
      <w:r/>
      <w:r>
        <w:rPr>
          <w:b/>
        </w:rPr>
        <w:t>Synthèse pédagogique pour l'étudiant en pharmacie</w:t>
      </w:r>
      <w:r>
        <w:t xml:space="preserve"> : Les produits de contraste iodés ioniques (amidotrizoate de sodium/méglumine — GASTROGRAFINE ; ioxaglate de sodium/méglumine — HEXABRIX 320) sont les représentants de la première génération des agents radiologiques iodés. L'amidotrizoate reste disponible en Algérie uniquement pour la voie digestive (opacification du tractus gastro-intestinal), avec la spécialité GASTROGRAFINE (Bayer Pharma AG). L'ioxaglate est RETIRÉ du marché algérien. La prescription de ces produits nécessite une attention particulière à la fonction thyroïdienne (prévention de la thyrotoxicose jod-basedow), à la fonction rénale (prévention de la CIN), et à la grossesse/allaitement. La substitution systématique par les non-ioniques monomères (iohexol, iopamidol, iopromide, iobitridol) ou l'iodixanol (non-ionique dimère) garantit une tolérance vasculaire supérieure pour les indications IV.</w:t>
      </w:r>
    </w:p>
    <w:p>
      <w:pPr>
        <w:pStyle w:val="Heading1"/>
      </w:pPr>
      <w:r>
        <w:t>Chapitre 214 — Contrastes iodés non-ioniques monomères</w:t>
      </w:r>
    </w:p>
    <w:p>
      <w:pPr>
        <w:pStyle w:val="Heading2"/>
      </w:pPr>
      <w:r>
        <w:t>214.0 Introduction de la sous-classe</w:t>
      </w:r>
    </w:p>
    <w:p>
      <w:r>
        <w:t>Les produits de contraste iodés non-ioniques monomères représentent aujourd'hui le standard de la radiologie moderne pour les injections intraveineuses et intra-artérielles. Leur structure chimique repose sur un noyau benzénique triiodé (atomes d'iode en positions 2, 4, 6) substitué en position 1, 3 et 5 par des groupes hydrophiles qui masquent la charge et assurent la solubilité aqueuse sans nécessité d'un cation compensateur. À la différence des produits ioniques (amidotrizoate, ioxaglate) qui libèrent 2 particules osmotiquement actives par molécule (1 anion + 1 cation), les non-ioniques monomères ne libèrent qu'</w:t>
      </w:r>
      <w:r>
        <w:rPr>
          <w:b/>
        </w:rPr>
        <w:t>1 particule par molécule</w:t>
      </w:r>
      <w:r>
        <w:t xml:space="preserve"> (la molécule entière neutre), ce qui divise l'osmolalité par 2 à concentration égale en iode.</w:t>
      </w:r>
    </w:p>
    <w:p>
      <w:r>
        <w:t xml:space="preserve">L'osmolalité des non-ioniques monomères varie entre </w:t>
      </w:r>
      <w:r>
        <w:rPr>
          <w:b/>
        </w:rPr>
        <w:t>600 et 800 mOsm/kg</w:t>
      </w:r>
      <w:r>
        <w:t xml:space="preserve"> (soit 2–3 fois celle du plasma) — d'où le terme "faiblement hyperosmolaires" ou "modérément hyperosmolaires". Cette réduction d'osmolalité diminue considérablement la tolérance vasculaire : moins de sensation de chaleur, moins de douleur au point d'injection, moins d'hypotension, moins d'hémolyse, moins de déshydratation endothéliale, moins de néphropathie post-contraste. La chimiotoxicité intrinsèque est également réduite en raison de l'absence de charge électrique qui limite les interactions avec les membranes cellulaires et les protéines. Ces avantages ont conduit à la généralisation des non-ioniques en radiologie moderne depuis les années 1990.</w:t>
      </w:r>
    </w:p>
    <w:p>
      <w:r>
        <w:t xml:space="preserve">Six DCI non-ioniques monomères sont présentes dans la nomenclature algérienne Avril 2026 : </w:t>
      </w:r>
      <w:r>
        <w:rPr>
          <w:b/>
        </w:rPr>
        <w:t>Iohexol</w:t>
      </w:r>
      <w:r>
        <w:t xml:space="preserve"> (OMNIPAQUE, ILLUSOF, CONTRAPAQUE, OMNIPOL), </w:t>
      </w:r>
      <w:r>
        <w:rPr>
          <w:b/>
        </w:rPr>
        <w:t>Iopamidol</w:t>
      </w:r>
      <w:r>
        <w:t xml:space="preserve"> (PAMIDOL 300), </w:t>
      </w:r>
      <w:r>
        <w:rPr>
          <w:b/>
        </w:rPr>
        <w:t>Iopamidol en iode élément</w:t>
      </w:r>
      <w:r>
        <w:t xml:space="preserve"> (PAMIDOL 370), </w:t>
      </w:r>
      <w:r>
        <w:rPr>
          <w:b/>
        </w:rPr>
        <w:t>Iopromide</w:t>
      </w:r>
      <w:r>
        <w:t xml:space="preserve"> (ULTRAVIST 300, ULTRAVIST 370), </w:t>
      </w:r>
      <w:r>
        <w:rPr>
          <w:b/>
        </w:rPr>
        <w:t>Iobitridol</w:t>
      </w:r>
      <w:r>
        <w:t xml:space="preserve"> (XENETIX 300, XENETIX 350), et </w:t>
      </w:r>
      <w:r>
        <w:rPr>
          <w:b/>
        </w:rPr>
        <w:t>Ioversol</w:t>
      </w:r>
      <w:r>
        <w:t xml:space="preserve"> (OPTIRAY 300/350 — RETIRÉ). Les cinq premières sont ACTIVES en Algérie, représentant la plus large palette de choix thérapeutique parmi toutes les sous-classes de produits de contraste. Toutes présentent des concentrations en iode comprises entre 300 et 370 mg/mL, correspondant aux standards mondiaux pour la scanographie, l'angiographie, l'urographie, et les opacifications de cavités.</w:t>
      </w:r>
    </w:p>
    <w:p>
      <w:r>
        <w:t>La distinction entre les molécules repose sur des différences structurales subtiles (groupements hydroxyles, ponts hydroxyméthyles) qui influencent la viscosité, l'hydrophilie, la relaxivité et le profil de tolérance. Sur le plan clinique, ces molécules sont considérées comme interchangeables dans la plupart des indications courantes, mais des particularités existent pour certaines indications spécifiques (neuro-radiologie, coronarographie, angio-IRM). Le pharmacien d'officine doit connaître ces particularités pour répondre aux interrogations des patients et vérifier la cohérence des prescriptions.</w:t>
      </w:r>
    </w:p>
    <w:p>
      <w:pPr>
        <w:pStyle w:val="Heading2"/>
      </w:pPr>
      <w:r>
        <w:t>214.1 Fiche DCI : IOHEXOL</w:t>
      </w:r>
    </w:p>
    <w:p>
      <w:pPr>
        <w:pStyle w:val="Heading3"/>
      </w:pPr>
      <w:r>
        <w:t>214.1.1 Liste des catégories thérapeutiques</w:t>
      </w:r>
    </w:p>
    <w:p>
      <w:pPr>
        <w:pStyle w:val="ListBullet"/>
      </w:pPr>
      <w:r/>
      <w:r>
        <w:rPr>
          <w:b/>
        </w:rPr>
        <w:t>Code ATC</w:t>
      </w:r>
      <w:r>
        <w:t xml:space="preserve"> : V08AB02 (Produits de contraste pour radiographie, non-ionique monomère — iohexol)</w:t>
      </w:r>
    </w:p>
    <w:p>
      <w:pPr>
        <w:pStyle w:val="ListBullet"/>
      </w:pPr>
      <w:r/>
      <w:r>
        <w:rPr>
          <w:b/>
        </w:rPr>
        <w:t>Classification pharmacologique</w:t>
      </w:r>
      <w:r>
        <w:t xml:space="preserve"> : Produit de contraste iodé non-ionique monomère, famille des triiodobenzoates substitués</w:t>
      </w:r>
    </w:p>
    <w:p>
      <w:pPr>
        <w:pStyle w:val="ListBullet"/>
      </w:pPr>
      <w:r/>
      <w:r>
        <w:rPr>
          <w:b/>
        </w:rPr>
        <w:t>Classe chimique</w:t>
      </w:r>
      <w:r>
        <w:t xml:space="preserve"> : Iohexol, formule C₁₉H₂₆I₃N₃O₉, masse molaire 821 g/mol</w:t>
      </w:r>
    </w:p>
    <w:p>
      <w:pPr>
        <w:pStyle w:val="ListBullet"/>
      </w:pPr>
      <w:r/>
      <w:r>
        <w:rPr>
          <w:b/>
        </w:rPr>
        <w:t>Statut réglementaire international</w:t>
      </w:r>
      <w:r>
        <w:t xml:space="preserve"> : Disponible dans la plupart des pays ; standard de référence mondial</w:t>
      </w:r>
    </w:p>
    <w:p>
      <w:pPr>
        <w:pStyle w:val="ListBullet"/>
      </w:pPr>
      <w:r/>
      <w:r>
        <w:rPr>
          <w:b/>
        </w:rPr>
        <w:t>Classement Algérie</w:t>
      </w:r>
      <w:r>
        <w:t xml:space="preserve"> : Liste I (surveillance médicale stricte)</w:t>
      </w:r>
    </w:p>
    <w:p>
      <w:pPr>
        <w:pStyle w:val="ListBullet"/>
      </w:pPr>
      <w:r/>
      <w:r>
        <w:rPr>
          <w:b/>
        </w:rPr>
        <w:t>Indications AMM principales</w:t>
      </w:r>
      <w:r>
        <w:t xml:space="preserve"> : Angiographie numérisée, scanographie (thoraco-abdomino-pelvienne), urographie intraveineuse, myélographie (à ce jour, seuls le iohexol et l'iopamidol conservent cette indication spécifique parmi les non-ioniques monomères), arthrographie, fistulographie</w:t>
      </w:r>
    </w:p>
    <w:p>
      <w:pPr>
        <w:pStyle w:val="Heading3"/>
      </w:pPr>
      <w:r>
        <w:t>214.1.2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OMNIPAQUE</w:t>
            </w:r>
          </w:p>
        </w:tc>
        <w:tc>
          <w:tcPr>
            <w:tcW w:type="dxa" w:w="1385"/>
          </w:tcPr>
          <w:p>
            <w:r>
              <w:rPr>
                <w:rFonts w:ascii="Times New Roman" w:hAnsi="Times New Roman"/>
                <w:sz w:val="20"/>
              </w:rPr>
              <w:t>GE HEALTHCARE AS</w:t>
            </w:r>
          </w:p>
        </w:tc>
        <w:tc>
          <w:tcPr>
            <w:tcW w:type="dxa" w:w="1385"/>
          </w:tcPr>
          <w:p>
            <w:r>
              <w:rPr>
                <w:rFonts w:ascii="Times New Roman" w:hAnsi="Times New Roman"/>
                <w:sz w:val="20"/>
              </w:rPr>
              <w:t>Solution injectable — I = 300 mg/mL</w:t>
            </w:r>
          </w:p>
        </w:tc>
        <w:tc>
          <w:tcPr>
            <w:tcW w:type="dxa" w:w="1385"/>
          </w:tcPr>
          <w:p>
            <w:r>
              <w:rPr>
                <w:rFonts w:ascii="Times New Roman" w:hAnsi="Times New Roman"/>
                <w:sz w:val="20"/>
              </w:rPr>
              <w:t>Fl 50 mL et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OMNIPAQUE</w:t>
            </w:r>
          </w:p>
        </w:tc>
        <w:tc>
          <w:tcPr>
            <w:tcW w:type="dxa" w:w="1385"/>
          </w:tcPr>
          <w:p>
            <w:r>
              <w:rPr>
                <w:rFonts w:ascii="Times New Roman" w:hAnsi="Times New Roman"/>
                <w:sz w:val="20"/>
              </w:rPr>
              <w:t>GE HEALTHCARE AS</w:t>
            </w:r>
          </w:p>
        </w:tc>
        <w:tc>
          <w:tcPr>
            <w:tcW w:type="dxa" w:w="1385"/>
          </w:tcPr>
          <w:p>
            <w:r>
              <w:rPr>
                <w:rFonts w:ascii="Times New Roman" w:hAnsi="Times New Roman"/>
                <w:sz w:val="20"/>
              </w:rPr>
              <w:t>Solution injectable — I = 350 mg/mL</w:t>
            </w:r>
          </w:p>
        </w:tc>
        <w:tc>
          <w:tcPr>
            <w:tcW w:type="dxa" w:w="1385"/>
          </w:tcPr>
          <w:p>
            <w:r>
              <w:rPr>
                <w:rFonts w:ascii="Times New Roman" w:hAnsi="Times New Roman"/>
                <w:sz w:val="20"/>
              </w:rPr>
              <w:t>Fl 50 mL et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ILLUSOF</w:t>
            </w:r>
          </w:p>
        </w:tc>
        <w:tc>
          <w:tcPr>
            <w:tcW w:type="dxa" w:w="1385"/>
          </w:tcPr>
          <w:p>
            <w:r>
              <w:rPr>
                <w:rFonts w:ascii="Times New Roman" w:hAnsi="Times New Roman"/>
                <w:sz w:val="20"/>
              </w:rPr>
              <w:t>TABUK PHARMACEUTICALS MFG CO</w:t>
            </w:r>
          </w:p>
        </w:tc>
        <w:tc>
          <w:tcPr>
            <w:tcW w:type="dxa" w:w="1385"/>
          </w:tcPr>
          <w:p>
            <w:r>
              <w:rPr>
                <w:rFonts w:ascii="Times New Roman" w:hAnsi="Times New Roman"/>
                <w:sz w:val="20"/>
              </w:rPr>
              <w:t>Solution injectable — I = 300 mg/mL (647 mg/mL)</w:t>
            </w:r>
          </w:p>
        </w:tc>
        <w:tc>
          <w:tcPr>
            <w:tcW w:type="dxa" w:w="1385"/>
          </w:tcPr>
          <w:p>
            <w:r>
              <w:rPr>
                <w:rFonts w:ascii="Times New Roman" w:hAnsi="Times New Roman"/>
                <w:sz w:val="20"/>
              </w:rPr>
              <w:t>Fl 50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ILLUSOF</w:t>
            </w:r>
          </w:p>
        </w:tc>
        <w:tc>
          <w:tcPr>
            <w:tcW w:type="dxa" w:w="1385"/>
          </w:tcPr>
          <w:p>
            <w:r>
              <w:rPr>
                <w:rFonts w:ascii="Times New Roman" w:hAnsi="Times New Roman"/>
                <w:sz w:val="20"/>
              </w:rPr>
              <w:t>TABUK PHARMACEUTICALS MFG CO</w:t>
            </w:r>
          </w:p>
        </w:tc>
        <w:tc>
          <w:tcPr>
            <w:tcW w:type="dxa" w:w="1385"/>
          </w:tcPr>
          <w:p>
            <w:r>
              <w:rPr>
                <w:rFonts w:ascii="Times New Roman" w:hAnsi="Times New Roman"/>
                <w:sz w:val="20"/>
              </w:rPr>
              <w:t>Solution injectable — I = 350 mg/mL</w:t>
            </w:r>
          </w:p>
        </w:tc>
        <w:tc>
          <w:tcPr>
            <w:tcW w:type="dxa" w:w="1385"/>
          </w:tcPr>
          <w:p>
            <w:r>
              <w:rPr>
                <w:rFonts w:ascii="Times New Roman" w:hAnsi="Times New Roman"/>
                <w:sz w:val="20"/>
              </w:rPr>
              <w:t>Fl 50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CONTRAPAQUE 300</w:t>
            </w:r>
          </w:p>
        </w:tc>
        <w:tc>
          <w:tcPr>
            <w:tcW w:type="dxa" w:w="1385"/>
          </w:tcPr>
          <w:p>
            <w:r>
              <w:rPr>
                <w:rFonts w:ascii="Times New Roman" w:hAnsi="Times New Roman"/>
                <w:sz w:val="20"/>
              </w:rPr>
              <w:t>UNIQUE PHARMACEUTICAL</w:t>
            </w:r>
          </w:p>
        </w:tc>
        <w:tc>
          <w:tcPr>
            <w:tcW w:type="dxa" w:w="1385"/>
          </w:tcPr>
          <w:p>
            <w:r>
              <w:rPr>
                <w:rFonts w:ascii="Times New Roman" w:hAnsi="Times New Roman"/>
                <w:sz w:val="20"/>
              </w:rPr>
              <w:t>Solution injectable — I = 300 mg/mL (647 mg/mL)</w:t>
            </w:r>
          </w:p>
        </w:tc>
        <w:tc>
          <w:tcPr>
            <w:tcW w:type="dxa" w:w="1385"/>
          </w:tcPr>
          <w:p>
            <w:r>
              <w:rPr>
                <w:rFonts w:ascii="Times New Roman" w:hAnsi="Times New Roman"/>
                <w:sz w:val="20"/>
              </w:rPr>
              <w:t>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CONTRAPAQUE 350</w:t>
            </w:r>
          </w:p>
        </w:tc>
        <w:tc>
          <w:tcPr>
            <w:tcW w:type="dxa" w:w="1385"/>
          </w:tcPr>
          <w:p>
            <w:r>
              <w:rPr>
                <w:rFonts w:ascii="Times New Roman" w:hAnsi="Times New Roman"/>
                <w:sz w:val="20"/>
              </w:rPr>
              <w:t>UNIQUE PHARMACEUTICAL</w:t>
            </w:r>
          </w:p>
        </w:tc>
        <w:tc>
          <w:tcPr>
            <w:tcW w:type="dxa" w:w="1385"/>
          </w:tcPr>
          <w:p>
            <w:r>
              <w:rPr>
                <w:rFonts w:ascii="Times New Roman" w:hAnsi="Times New Roman"/>
                <w:sz w:val="20"/>
              </w:rPr>
              <w:t>Solution injectable — I = 350 mg/mL</w:t>
            </w:r>
          </w:p>
        </w:tc>
        <w:tc>
          <w:tcPr>
            <w:tcW w:type="dxa" w:w="1385"/>
          </w:tcPr>
          <w:p>
            <w:r>
              <w:rPr>
                <w:rFonts w:ascii="Times New Roman" w:hAnsi="Times New Roman"/>
                <w:sz w:val="20"/>
              </w:rPr>
              <w:t>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OMNIPOL</w:t>
            </w:r>
          </w:p>
        </w:tc>
        <w:tc>
          <w:tcPr>
            <w:tcW w:type="dxa" w:w="1385"/>
          </w:tcPr>
          <w:p>
            <w:r>
              <w:rPr>
                <w:rFonts w:ascii="Times New Roman" w:hAnsi="Times New Roman"/>
                <w:sz w:val="20"/>
              </w:rPr>
              <w:t>POLIFARMA OLAÇ SAN.VE TIC.A.S.</w:t>
            </w:r>
          </w:p>
        </w:tc>
        <w:tc>
          <w:tcPr>
            <w:tcW w:type="dxa" w:w="1385"/>
          </w:tcPr>
          <w:p>
            <w:r>
              <w:rPr>
                <w:rFonts w:ascii="Times New Roman" w:hAnsi="Times New Roman"/>
                <w:sz w:val="20"/>
              </w:rPr>
              <w:t>Solution injectable — I = 350 mg/mL</w:t>
            </w:r>
          </w:p>
        </w:tc>
        <w:tc>
          <w:tcPr>
            <w:tcW w:type="dxa" w:w="1385"/>
          </w:tcPr>
          <w:p>
            <w:r>
              <w:rPr>
                <w:rFonts w:ascii="Times New Roman" w:hAnsi="Times New Roman"/>
                <w:sz w:val="20"/>
              </w:rPr>
              <w:t>Fl 50 mL et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algérienne</w:t>
      </w:r>
      <w:r>
        <w:t xml:space="preserve"> : L'iohexol est le produit de contraste iodé non-ionique monomère le plus largement disponible en Algérie, avec 7 marques actives concurrentes réparties sur 3 laboratoires (GE Healthcare AS — Norvège, Tabuk Pharmaceuticals — Arabie Saoudite, Unique Pharmaceutical — Inde, Polifarma — Turquie). Cette pluralité d'approvisionnements garantit une sécurité de stock nationale et offre une palette économique permettant l'optimisation des coûts pour les structures privées et publiques. OMNIPAQUE (GE Healthcare) constitue la marque historique de référence (AMM 1983, premier non-ionique commercialisé au monde) et bénéficie du plus large recul pharmacovigilance (&gt; 500 millions d'injections cumulées). Les marques génériques (ILLUSOF, CONTRAPAQUE, OMNIPOL) sont bioéquivalentes sur le plan pharmacologique et diagnostique.</w:t>
      </w:r>
    </w:p>
    <w:p>
      <w:pPr>
        <w:pStyle w:val="Heading3"/>
      </w:pPr>
      <w:r>
        <w:t>214.1.3 Sous-classe et mécanisme d'action moléculaire</w:t>
      </w:r>
    </w:p>
    <w:p>
      <w:r>
        <w:t>L'iohexol appartient à la sous-classe des produits de contraste iodés non-ioniques monomères. Sa structure chimique est un noyau benzénique triiodé (atomes d'iode en positions 2, 4, 6) substitué en position 1 par un groupe carboxamide (–CONH–) et en position 3 et 5 par des groupes acétamido (–NHCOCH₃) hydroxylés (–NHC(OH)(CH₃)₂). Les cinq groupes hydroxyles (–OH) présents sur la molécule assurent l'hydrophilie et masquent la charge électrique, ce qui confère à l'iohexol un caractère non-ionique et une osmolalité réduite (672 mOsm/kg à 300 mg I/mL, 844 mOsm/kg à 350 mg I/mL, soit 2–3 fois celle du plasma). Cette hydrophilie élevée (log P = –3,0) limite la pénétration cellulaire et la liaison aux protéines (&lt; 2 %), ce qui réduit la chimiotoxicité.</w:t>
      </w:r>
    </w:p>
    <w:p>
      <w:r>
        <w:t>Le mécanisme d'action radiologique repose sur l'absorption des rayons X par les électrons K de l'iode (Z = 53, K-edge = 33,2 keV). Lorsqu'un photon X traverse une zone contenant l'iohexol, il est absorbé par effet photoélectrique, générant un contraste radiologique positif (zone hyperdense en scanographie et radiographie conventionnelle). L'iohexol est l'un des produits de référence pour la scanographie, l'angiographie, et l'urographie, avec une concentration en iode de 300 et 350 mg/mL correspondant aux standards diagnostiques.</w:t>
      </w:r>
    </w:p>
    <w:p>
      <w:r>
        <w:t>L'élimination est exclusivement rénale par filtration glomérulaire, sans métabolisation, avec une demi-vie d'élimination d'environ 120 minutes chez le sujet sain et une excrétion urinaire &gt; 95 % à 24 h. Chez l'insuffisant rénal sévère (eGFR &lt; 30), la demi-vie est prolongée à 6–24 h, justifiant une surveillance prolongée et une hydratation renforcée. La distribution est essentiellement extracellulaire (volume de distribution 0,25–0,30 L/kg), avec un passage cérébral négligeable chez le sujet sain (barrière hémato-encéphalique intacte). Le passage placentaire est modéré mais documenté. La liaison protéique est négligeable (&lt; 2 %), ce qui limite les interactions médicamenteuses par déplacement compétitif.</w:t>
      </w:r>
    </w:p>
    <w:p>
      <w:pPr>
        <w:pStyle w:val="Heading3"/>
      </w:pPr>
      <w:r>
        <w:t>214.1.4 Profil pharmacologique</w:t>
      </w:r>
    </w:p>
    <w:p>
      <w:r/>
      <w:r>
        <w:rPr>
          <w:b/>
        </w:rPr>
        <w:t>Indications cliniques validées</w:t>
      </w:r>
      <w:r>
        <w:t xml:space="preserve"> : Scanographie thoraco-abdomino-pelvienne (caractérisation tumorale, bilans lésionnels traumatiques, vascularisation lésionnelle), angiographie numérisée (coronarographie, angiographie cérébrale, angio-scanner des membres, angio-scanner pulmonaire pour embolie), urographie intraveineuse (diagnostic de tumeur urothéliale, lithiase urinaire, malformation), myélographie (à ce jour, l'iohexol et l'iopamidol sont les seuls non-ioniques monomères à conserver l'AMM myélographie, en raison de leur tolérance neurotoxique optimale), arthrographie (caractérisation lésions ligamentaires, méniscales, capsulaires), fistulographie (cartographie fistule anale, fistule digestive).</w:t>
      </w:r>
    </w:p>
    <w:p>
      <w:r/>
      <w:r>
        <w:rPr>
          <w:b/>
        </w:rPr>
        <w:t>Contre-indications absolues</w:t>
      </w:r>
      <w:r>
        <w:t xml:space="preserve"> : hypersensibilité connue à l'iohexol ou à l'un des excipients (trométamol, acide chlorhydrique pour ajustement du pH, NaOH) ; hypertyroïdie non contrôlée (risque de thyrotoxicose jod-basedow) ; grossesse (par précaution, sauf urgence vitale) ; myélome multiple (risque majoré d'IRA) ; phéochromocytome non traité (risque de crise hypertensive par libération de catécholamines). L'insuffisance rénale sévère (eGFR &lt; 30 mL/min/1,73 m²) n'est plus une contre-indication absolue pour les non-ioniques selon les recommandations ESUR 2018, mais impose une hydratation IV systématique et une discussion du rapport bénéfice/risque.</w:t>
      </w:r>
    </w:p>
    <w:p>
      <w:r/>
      <w:r>
        <w:rPr>
          <w:b/>
        </w:rPr>
        <w:t>Effets indésirables fréquents</w:t>
      </w:r>
      <w:r>
        <w:t xml:space="preserve"> (&gt; 1 % à &lt; 10 %) : sensation de chaleur diffuse (vasodilatation), goût métallique, nausées, vomissements, hypotension transitoire, urticaire localisée, prurit, douleur au point d'injection, réactions d'hypersensibilité mineures, bronchospasme léger. </w:t>
      </w:r>
      <w:r>
        <w:rPr>
          <w:b/>
        </w:rPr>
        <w:t>Effets rares</w:t>
      </w:r>
      <w:r>
        <w:t xml:space="preserve"> (0,01 % à 1 %) : réactions anaphylactoïdes modérées (bronchospasme sévère, éruption généralisée), hypotension marquée, extrasystoles, thrombophlébite. </w:t>
      </w:r>
      <w:r>
        <w:rPr>
          <w:b/>
        </w:rPr>
        <w:t>Effets très rares</w:t>
      </w:r>
      <w:r>
        <w:t xml:space="preserve"> (&lt; 0,01 %) : anaphylaxie sévère avec choc (incidence 0,01–0,03 %), arrêt cardiaque, syndrome de libération d'histamine massif, </w:t>
      </w:r>
      <w:r>
        <w:rPr>
          <w:b/>
        </w:rPr>
        <w:t>néphropathie post-contraste (CIN)</w:t>
      </w:r>
      <w:r>
        <w:t xml:space="preserve"> (incidence 5–10 % chez les patients à risque : diabète, IR préexistante, myélome, déshydratation), éruptions cutanées retardées (24–72 h, éruption maculo-papuleuse, syndrome de Stevens-Johnson exceptionnel), dysthyroïdie jod-basedow (semaines à mois après l'examen, particulièrement chez les patients avec nodule hyperfonctionnel ou maladie de Basedow), rétention cérébrale transitoire après myélographie.</w:t>
      </w:r>
    </w:p>
    <w:p>
      <w:pPr>
        <w:pStyle w:val="Heading3"/>
      </w:pPr>
      <w:r>
        <w:t>214.1.5 Prévention et gestion des effets indésirables</w:t>
      </w:r>
    </w:p>
    <w:p>
      <w:r>
        <w:t xml:space="preserve">La prévention des effets indésirables repose sur cinq piliers fondamentaux. </w:t>
      </w:r>
      <w:r>
        <w:rPr>
          <w:b/>
        </w:rPr>
        <w:t>Premièrement</w:t>
      </w:r>
      <w:r>
        <w:t xml:space="preserve">, l'évaluation pré-injection systématique comprend un interrogatoire ciblé : antécédents allergiques (asthme, eczéma, allergie aux produits de contraste iodés ou gadolinés), fonction rénale (créatininémie et eGFR CKD-EPI dans les 7 jours précédant l'examen chez les patients à risque), grossesse éventuelle, traitements en cours (metformine, bêta-bloquants, diurétiques, interleukine-2, IEC, ARA2). Le calcul de l'eGFR doit être systématique chez les patients diabétiques et/ou âgés. </w:t>
      </w:r>
      <w:r>
        <w:rPr>
          <w:b/>
        </w:rPr>
        <w:t>Deuxièmement</w:t>
      </w:r>
      <w:r>
        <w:t>, l'hydratation préalable par voie orale (1 L d'eau plate dans les 4 h précédant l'examen) ou intraveineuse (NaCl 0,9 % 1 mL/kg/h pendant 1 h avant et 4 h après, ou bicarbonate de sodium 1,4 % 3 mL/kg/h pendant 1 h avant et 6 h après selon le protocole PRESERVE) est recommandée chez tous les patients à risque rénal modéré (eGFR 30–59). L'hydratation IV systématique n'est pas recommandée pour les eGFR ≥ 60 en routine.</w:t>
      </w:r>
    </w:p>
    <w:p>
      <w:r/>
      <w:r>
        <w:rPr>
          <w:b/>
        </w:rPr>
        <w:t>Troisièmement</w:t>
      </w:r>
      <w:r>
        <w:t xml:space="preserve">, la prévention des réactions d'hypersensibilité immédiate repose sur le concept de "prémedication" discuté : la prémédication par corticoïdes (prednisone 50 mg per os 13 h, 7 h et 1 h avant) + antihistaminique H1 (dexchlorphéniramine 5 mg IM 1 h avant) est recommandée en cas d'antécédent de réaction immédiate sévère à un produit de contraste iodé précédent (grade 3 ou 4 de la classification Ring-Messmer). La prémédication systématique n'est pas recommandée en raison d'un bénéfice non démontré pour les non-ioniques modernes en routine (ACR 2024). </w:t>
      </w:r>
      <w:r>
        <w:rPr>
          <w:b/>
        </w:rPr>
        <w:t>Quatrièmement</w:t>
      </w:r>
      <w:r>
        <w:t xml:space="preserve">, le kit d'urgence anaphylaxie doit être immédiatement accessible en salle d'imagerie : adrénaline 1 mg/mL (ampoules de 1 mL), oxygène, masque poche-bulles, intubation, Bétaméthasone 4 mg IV, Polaramine 5 mg IV, soluté de remplissage (NaCl 0,9 %). </w:t>
      </w:r>
      <w:r>
        <w:rPr>
          <w:b/>
        </w:rPr>
        <w:t>Cinquièmement</w:t>
      </w:r>
      <w:r>
        <w:t>, la surveillance post-injection obligatoire de 30 min en salle d'imagerie permet la détection précoce des réactions immédiates ; un délai d'observation prolongé à 2 h est recommandé en cas d'antécédent allergique sévère.</w:t>
      </w:r>
    </w:p>
    <w:p>
      <w:r>
        <w:t>La gestion d'une réaction anaphylactique sévère suit le protocole ESUR/ACR standardisé : (1) arrêt immédiat de l'injection sans retirer le cathéter (voie veineuse conservée) ; (2) mise en décubitus dorsal, jambes surélevées, oxygène 15 L/min ; (3) adrénaline IM 0,3 mg (0,3 mL de la solution à 1 mg/mL) dans la face antérolatérale de la cuisse, à renouveler après 5 min si absence d'amélioration ; (4) remplissage vasculaire NaCl 0,9 % 20 mL/kg en 5–10 min ; (5) intubation orotrachéale en cas de bronchospasme réfractaire ou d'œdème laryngé. Les corticoïdes IV (méthylprednisolone 1 mg/kg) et les antihistaminiques sont des traitements adjuvants d'action retardée, à ne pas substituer à l'adrénaline qui est le traitement de première ligne.</w:t>
      </w:r>
    </w:p>
    <w:p>
      <w:r/>
      <w:r>
        <w:rPr>
          <w:b/>
        </w:rPr>
        <w:t>Prévention de la néphropathie post-contraste (CIN)</w:t>
      </w:r>
      <w:r>
        <w:t xml:space="preserve"> : protocole d'hydratation IV systématique chez les patients à risque (eGFR &lt; 60, diabète, myélome, chimiothérapie néphrotoxique, âge &gt; 65 ans) par NaCl 0,9 % 1 mL/kg/h pendant 6 h avant et 12 h après l'injection. Alternative : bicarbonate de sodium 1,4 % 3 mL/kg/h pendant 1 h avant et 6 h après (protocole Merten, supériorité discutée). La N-acétylcystéline (NAC) n'est plus recommandée (étude PRESERVE 2017, absence de bénéfice). Le contrôle de la créatininémie à 48–72 h post-examen est impératif chez les patients à risque pour détecter la CIN (définie par une augmentation de la créatininémie de 25 % ou 44 μmol/L à 48–72 h).</w:t>
      </w:r>
    </w:p>
    <w:p>
      <w:r/>
      <w:r>
        <w:rPr>
          <w:b/>
        </w:rPr>
        <w:t>Prévention de la thyrotoxicose jod-basedow</w:t>
      </w:r>
      <w:r>
        <w:t xml:space="preserve"> : Chez les patients à risque thyroïdien (nodule hyperfonctionnel, maladie de Basedow, goitre multinodulaire), un dosage de TSH préalable est recommandé. En cas d'hyperthyroïdie non contrôlée, l'utilisation d'iohexol est contre-indiquée. Chez les patients âgés ou en cas de doute, une couverture par thionamides (carbimazole 30–60 mg/jour) peut être discutée en préalable. Un contrôle TSH 4–6 semaines après l'examen est recommandé chez les patients à risque thyroïdien.</w:t>
      </w:r>
    </w:p>
    <w:p>
      <w:pPr>
        <w:pStyle w:val="Heading3"/>
      </w:pPr>
      <w:r>
        <w:t>214.1.6 Interactions médicamenteuses</w:t>
      </w:r>
    </w:p>
    <w:p>
      <w:r/>
      <w:r>
        <w:rPr>
          <w:b/>
        </w:rPr>
        <w:t>La metformine</w:t>
      </w:r>
      <w:r>
        <w:t xml:space="preserve"> : L'algorithme ESUR 2018/ACR 2024 pour les patients diabétiques sous metformine recevant un produit de contraste iodé IV non-ionique est le suivant : (1) eGFR ≥ 60 mL/min/1,73 m² et injection &lt; 100 mL → continuer la metformine, pas d'arrêt nécessaire ; (2) eGFR 30–59 mL/min/1,73 m² ou injection ≥ 100 mL → arrêter la metformine 48 h avec contrôle de la créatininémie avant reprise ; (3) eGFR &lt; 30 mL/min/1,73 m² → contre-indication temporaire à la metformine pendant 48 h, arrêter au moment de l'injection, contrôle de la créatininémie à 48 h avant reprise. Pour les injections intra-artérielles (coronarographie, angiographie), l'arrêt systématique de la metformine est recommandé pour tous les patients indépendamment de l'eGFR.</w:t>
      </w:r>
    </w:p>
    <w:p>
      <w:r/>
      <w:r>
        <w:rPr>
          <w:b/>
        </w:rPr>
        <w:t>Les bêta-bloquants</w:t>
      </w:r>
      <w:r>
        <w:t xml:space="preserve"> : majorent le risque de réaction anaphylactique réfractaire et peuvent atténuer la réponse à l'adrénaline : justifier le recours à l'adrénaline IV titrée (10–100 μg) ou au glucagon (1–5 mg IV en 5 min, puis 5–15 μg/min) en milieu spécialisé. </w:t>
      </w:r>
      <w:r>
        <w:rPr>
          <w:b/>
        </w:rPr>
        <w:t>Les interleukines-2 (IL-2)</w:t>
      </w:r>
      <w:r>
        <w:t xml:space="preserve"> : administrées à doses thérapeutiques (mélanome métastatique, cancer du rein) potentialisent le risque de réactions d'hypersensibilité tardive (rash maculopapuleux 4–24 h post-injection), justifiant un espacement de 2 semaines entre les cures d'IL-2 et l'injection de produit de contraste iodé.</w:t>
      </w:r>
    </w:p>
    <w:p>
      <w:r/>
      <w:r>
        <w:rPr>
          <w:b/>
        </w:rPr>
        <w:t>Les diurétiques de l'anse</w:t>
      </w:r>
      <w:r>
        <w:t xml:space="preserve"> (furosémide) ou thiazidiques : peuvent aggraver une déshydratation préalable et majorer le risque de néphropathie post-contraste ; leur arrêt transitoire le jour de l'examen est discuté. </w:t>
      </w:r>
      <w:r>
        <w:rPr>
          <w:b/>
        </w:rPr>
        <w:t>Les IEC et ARA2</w:t>
      </w:r>
      <w:r>
        <w:t xml:space="preserve"> : majorent le risque d'hypotension en cas de réaction vasovagale ou anaphylactoïde ; leur maintien est néanmoins recommandé en routine en raison du bénéfice cardio-rénal global. </w:t>
      </w:r>
      <w:r>
        <w:rPr>
          <w:b/>
        </w:rPr>
        <w:t>La chimiothérapie néphrotoxique</w:t>
      </w:r>
      <w:r>
        <w:t xml:space="preserve"> (cisplatine, ifosfamide, cyclophosphamide à haute dose, sels de platine) : impose un délai minimal de 2 semaines après la dernière cure avant l'injection de produit de contraste iodé, pour permettre la récupération tubulaire.</w:t>
      </w:r>
    </w:p>
    <w:p>
      <w:r/>
      <w:r>
        <w:rPr>
          <w:b/>
        </w:rPr>
        <w:t>La L-thyroxine</w:t>
      </w:r>
      <w:r>
        <w:t xml:space="preserve"> : l'iode résiduel du produit de contraste peut interférer avec le métabolisme thyroïdien, justifiant un contrôle TSH 4–6 semaines après l'examen chez les patients sous traitement substitutif. </w:t>
      </w:r>
      <w:r>
        <w:rPr>
          <w:b/>
        </w:rPr>
        <w:t>Les antithyroïdiens de synthèse (carbimazole, propylthiouracile)</w:t>
      </w:r>
      <w:r>
        <w:t xml:space="preserve"> : peuvent être utilisés en couverture préventive chez les patients à risque thyroïdien. </w:t>
      </w:r>
      <w:r>
        <w:rPr>
          <w:b/>
        </w:rPr>
        <w:t>La digoxine</w:t>
      </w:r>
      <w:r>
        <w:t xml:space="preserve"> : l'iohexol peut transientement perturber le dosage sérique de la digoxine par méthode immunologique (fausse élévation), à signaler au laboratoire d'analyses. Enfin, l'iohexol n'interfère pas significativement avec les dosages biologiques standards (créatininémie, ionogramme, NFS, bilan hépatique).</w:t>
      </w:r>
    </w:p>
    <w:p>
      <w:pPr>
        <w:pStyle w:val="Heading3"/>
      </w:pPr>
      <w:r>
        <w:t>214.1.7 Grossesse et allaitement (CRAT)</w:t>
      </w:r>
    </w:p>
    <w:p>
      <w:r/>
      <w:r>
        <w:rPr>
          <w:b/>
        </w:rPr>
        <w:t>Grossesse</w:t>
      </w:r>
      <w:r>
        <w:t xml:space="preserve"> : L'iohexol traverse la barrière placentaire par diffusion passive. Son utilisation pendant la grossesse doit être évitée, en particulier au 1er trimestre (période d'organogenèse). L'indication doit être strictement limitée aux urgences vitales (embolie pulmonaire, traumatisme majeur, hémorragie active). Selon le CRAT, l'utilisation en cas d'urgence maternelle est acceptable après information de la patiente. L'irradiation foetale est nulle en scanographie moderne avec injection IV (le fœtus ne reçoit que l'irradiation du scanner lui-même, à minimiser par les protocoles low-dose). L'alternative IRM sans irradiation doit être discutée en première intention pour les indications non urgentes.</w:t>
      </w:r>
    </w:p>
    <w:p>
      <w:r/>
      <w:r>
        <w:rPr>
          <w:b/>
        </w:rPr>
        <w:t>Allaitement</w:t>
      </w:r>
      <w:r>
        <w:t xml:space="preserve"> : L'iohexol passe en quantité négligeable dans le lait maternel (moins de 0,5 % de la dose maternelle administrée), et l'absorption intestinale par le nourrisson est inférieure à 1 % de la dose ingérée. L'ESUR (2018) et l'ACR (2024) concluent à l'innocuité clinique de l'allaitement après injection d'iohexol, et ne recommandent pas l'interruption systématique de l'allaitement. Néanmoins, par mesure de précaution maximale et pour tenir compte des inquiétudes maternelles légitimes, la pratique consistant à recueillir et jeter ("pump and dump") le lait produit dans les 12 à 24 h suivant l'injection reste acceptable et rassurante, sans pour autant être scientifiquement justifiée.</w:t>
      </w:r>
    </w:p>
    <w:p>
      <w:pPr>
        <w:pStyle w:val="Heading3"/>
      </w:pPr>
      <w:r>
        <w:t>214.1.8 Posologie et mode d'administration</w:t>
      </w:r>
    </w:p>
    <w:p>
      <w:r/>
      <w:r>
        <w:rPr>
          <w:b/>
        </w:rPr>
        <w:t>Posologie adulte</w:t>
      </w:r>
      <w:r>
        <w:t xml:space="preserve"> : scanographie thoraco-abdomino-pelvienne : 80–120 mL de la solution à 300–350 mg/mL, en injection IV à débit 2–4 mL/s. Angiographie : 30–60 mL par séquence, à débit 4–6 mL/s. Coronarographie : 5–10 mL par injection sélective, à la main. Urographie intraveineuse : 50 mL de la solution à 300–350 mg/mL, en injection IV lente (1–2 mL/s). Myélographie : 5–15 mL intrathécal, à concentration 180–240 mg/mL (dilution préalable pour éviter la neurotoxicité). Arthrographie : 5–10 mL intra-articulaire. Fistulographie : 5–20 mL selon la taille de la fistule.</w:t>
      </w:r>
    </w:p>
    <w:p>
      <w:r/>
      <w:r>
        <w:rPr>
          <w:b/>
        </w:rPr>
        <w:t>Posologie pédiatrique</w:t>
      </w:r>
      <w:r>
        <w:t xml:space="preserve"> : 1–2 mL/kg de la solution à 300 mg/mL, sans dépasser 100 mL par examen chez l'enfant de moins de 10 kg. Une surveillance particulière est recommandée chez les nouveau-nés et nourrissons en raison de l'immaturité rénale.</w:t>
      </w:r>
    </w:p>
    <w:p>
      <w:r/>
      <w:r>
        <w:rPr>
          <w:b/>
        </w:rPr>
        <w:t>Mode d'administration</w:t>
      </w:r>
      <w:r>
        <w:t xml:space="preserve"> : injection intraveineuse stricte, dans une veine de gros calibre (pli du coude, avant-bras), à l'aide d'un cathéter veineux périphérique 18–22 G, par voie manuelle (seringue) ou par injecteur automatique à débit constant (2–6 mL/s). Le cathéter doit être rincé par 20–30 mL de NaCl 0,9 % après injection pour éviter la formation de thrombus et limiter l'extravasation locale. La veine doit être testée au préalable par un flush de sérum physiologique pour vérifier sa perméabilité et l'absence d'extravasation. En cas d'extravasation, l'injection doit être immédiatement arrêtée, le cathéter retiré, le membre surélevé, et une application de froid local (poche de glace) pendant 15–20 min réalisée.</w:t>
      </w:r>
    </w:p>
    <w:p>
      <w:pPr>
        <w:pStyle w:val="Heading3"/>
      </w:pPr>
      <w:r>
        <w:t>214.1.9 Arbitrage et bénéfices des formes galéniques</w:t>
      </w:r>
    </w:p>
    <w:p>
      <w:r>
        <w:t xml:space="preserve">L'iohexol est disponible en Algérie en deux concentrations : 300 mg/mL et 350 mg/mL. L'arbitrage entre ces concentrations dépend de l'indication : </w:t>
      </w:r>
      <w:r>
        <w:rPr>
          <w:b/>
        </w:rPr>
        <w:t>300 mg/mL</w:t>
      </w:r>
      <w:r>
        <w:t xml:space="preserve"> est suffisant pour la scanographie thoraco-abdomino-pelvienne courante, l'urographie, l'arthrographie, la myélographie (après dilution à 180–240 mg/mL). </w:t>
      </w:r>
      <w:r>
        <w:rPr>
          <w:b/>
        </w:rPr>
        <w:t>350 mg/mL</w:t>
      </w:r>
      <w:r>
        <w:t xml:space="preserve"> est privilégié pour l'angiographie (coronarographie, angio-scanner pulmonaire pour embolie, angio-scanner des membres) en raison du besoin de densité élevée dans les vaisseaux pour une opacification optimale à haut débit (4–6 mL/s). Le conditionnement en flacons de 50 mL et 100 mL permet une gestion rationnelle des stocks : pour un patient nécessitant 80 mL, le flacon de 100 mL est optimal.</w:t>
      </w:r>
    </w:p>
    <w:p>
      <w:r>
        <w:t xml:space="preserve">L'arbitrage entre les marques OMNIPAQUE (GE Healthcare), ILLUSOF (Tabuk), CONTRAPAQUE (Unique Pharmaceutical), et OMNIPOL (Polifarma) repose essentiellement sur des considérations économiques (tarification CNAS, remboursement) et de disponibilité locale. Sur le plan pharmacologique, aucune différence d'efficacité diagnostique n'a été démontrée dans les essais de bioéquivalence. </w:t>
      </w:r>
      <w:r>
        <w:rPr>
          <w:b/>
        </w:rPr>
        <w:t>OMNIPAQUE</w:t>
      </w:r>
      <w:r>
        <w:t xml:space="preserve"> bénéficie du plus long recul post-AMM (1983) et de la plus large documentation pharmacovigilance ; il peut être privilégié pour les indications historiques (scanographie, urographie) où les protocoles d'acquisition ont été validés. Les marques génériques (ILLUSOF, CONTRAPAQUE, OMNIPOL) offrent des alternatives économiques identiques et peuvent être utilisées en routine sans réserve.</w:t>
      </w:r>
    </w:p>
    <w:p>
      <w:pPr>
        <w:pStyle w:val="Heading3"/>
      </w:pPr>
      <w:r>
        <w:t>214.1.10 Instructions et conseils au patient</w:t>
      </w:r>
    </w:p>
    <w:p>
      <w:r/>
      <w:r>
        <w:rPr>
          <w:b/>
        </w:rPr>
        <w:t>Avant l'examen</w:t>
      </w:r>
      <w:r>
        <w:t xml:space="preserve"> : le patient doit être informé de la nature de l'examen (scanographie ou angiographie avec injection), du déroulement (durée 15–45 min, nécessité de rester immobile, apnées de 5–10 s pour scanner thoracique), et de l'injection (ponction veineuse, sensation de chaleur diffuse durant 30–60 s, goût métallique transitoire, parfois envie d'uriner). Le jeûne n'est pas obligatoire mais un léger repas 2 h avant l'examen est recommandé pour prévenir l'hypoglycémie et les malaises vagaux. Le patient doit apporter ses bilans biologiques récents (créatininémie et eGFR datant de moins de 7 jours, TSH si antécédent thyroïdien), la liste de ses traitements en cours (notamment metformine, IEC, ARA2, diurétiques, chimiothérapie, L-thyroxine, antithyroïdiens), et tout document en rapport avec l'indication (échographie, IRM, résultats antérieurs). Le patient doit signaler toute allergie médicamenteuse, alimentaire (iode, fruits de mer), ou aux produits de contraste ; toute grossesse éventuelle ou allaitement ; tout antécédent cardiaque, rénal, hépatique, thyroïdien ou d'asthme.</w:t>
      </w:r>
    </w:p>
    <w:p>
      <w:r/>
      <w:r>
        <w:rPr>
          <w:b/>
        </w:rPr>
        <w:t>Pendant l'examen</w:t>
      </w:r>
      <w:r>
        <w:t xml:space="preserve"> : le patient doit rester strictement immobile et suivre les consignes de respiration (apnées de 5–10 s pour scanner thoracique). Une sonnette d'alerte est mise à disposition pour signifier toute gêne (douleur au point d'injection, dyspnée, nausée, urticaire) pendant toute la durée de l'examen. Le patient peut ressentir une sensation de chaleur ou de froid au point d'injection, un goût métallique transitoire, une sensation de miction imminente (sans miction réelle) — ces manifestations sont bénignes et spontanément résolutives en 1–2 min.</w:t>
      </w:r>
    </w:p>
    <w:p>
      <w:r/>
      <w:r>
        <w:rPr>
          <w:b/>
        </w:rPr>
        <w:t>Après l'examen</w:t>
      </w:r>
      <w:r>
        <w:t xml:space="preserve"> : le patient doit être surveillé pendant 30 min en salle de réveil (surveillance des constantes : tension, fréquence cardiaque, SpO₂). Une hydratation orale abondante (1,5–2 L d'eau dans les 24 h suivant l'examen) est recommandée pour favoriser l'élimination rénale de l'iohexol. La reprise de la conduite automobile est autorisée immédiatement après l'examen en l'absence de réaction. Le patient doit être informé des signes d'alerte devant motiver une consultation médicale urgente : dyspnée, œdème facial, urticaire généralisée, fièvre, douleur au point d'injection, éruption cutanée tardive (jusqu'à 7 jours après), baisse de diurèse. Chez la femme allaitante, l'interruption d'allaitement pendant 12–24 h est une option rassurante mais non obligatoire. Une consultation de résultats est programmée à 7 jours pour restitution.</w:t>
      </w:r>
    </w:p>
    <w:p>
      <w:pPr>
        <w:pStyle w:val="Heading3"/>
      </w:pPr>
      <w:r>
        <w:t>214.1.11 Notes, règles d'or et pièges au comptoir</w:t>
      </w:r>
    </w:p>
    <w:p>
      <w:pPr>
        <w:pStyle w:val="ListNumber"/>
      </w:pPr>
      <w:r/>
      <w:r>
        <w:rPr>
          <w:b/>
        </w:rPr>
        <w:t>Règle d'or n°1</w:t>
      </w:r>
      <w:r>
        <w:t xml:space="preserve"> : Toujours vérifier l'eGFR datée de moins de 7 jours avant toute injection de produit de contraste iodé IV, notamment chez les patients &gt; 65 ans, diabétiques, ou avec antécédent néphropathique.</w:t>
      </w:r>
    </w:p>
    <w:p>
      <w:pPr>
        <w:pStyle w:val="ListNumber"/>
      </w:pPr>
      <w:r/>
      <w:r>
        <w:rPr>
          <w:b/>
        </w:rPr>
        <w:t>Règle d'or n°2</w:t>
      </w:r>
      <w:r>
        <w:t xml:space="preserve"> : Vérifier la grossesse éventuelle chez toute femme en âge de procréer ; envisager une IRM sans irradiation si possible.</w:t>
      </w:r>
    </w:p>
    <w:p>
      <w:pPr>
        <w:pStyle w:val="ListNumber"/>
      </w:pPr>
      <w:r/>
      <w:r>
        <w:rPr>
          <w:b/>
        </w:rPr>
        <w:t>Règle d'or n°3</w:t>
      </w:r>
      <w:r>
        <w:t xml:space="preserve"> : Vérifier la fonction thyroïdienne (TSH) chez les patients à risque (nodule, Basedow, goitre multinodulaire) avant l'examen.</w:t>
      </w:r>
    </w:p>
    <w:p>
      <w:pPr>
        <w:pStyle w:val="ListNumber"/>
      </w:pPr>
      <w:r/>
      <w:r>
        <w:rPr>
          <w:b/>
        </w:rPr>
        <w:t>Règle d'or n°4</w:t>
      </w:r>
      <w:r>
        <w:t xml:space="preserve"> : L'algorithme metformine doit être respecté strictement selon l'eGFR et le type d'injection (IV &lt; 100 mL vs ≥ 100 mL vs intra-artérielle).</w:t>
      </w:r>
    </w:p>
    <w:p>
      <w:pPr>
        <w:pStyle w:val="ListNumber"/>
      </w:pPr>
      <w:r/>
      <w:r>
        <w:rPr>
          <w:b/>
        </w:rPr>
        <w:t>Piège du comptoir</w:t>
      </w:r>
      <w:r>
        <w:t xml:space="preserve"> : Un patient se présentant avec une ordonnance d'OMNIPAQUE, ILLUSOF, CONTRAPAQUE ou OMNIPOL doit être informé de l'équivalence de ces marques et de l'interchangeabilité technique.</w:t>
      </w:r>
    </w:p>
    <w:p>
      <w:pPr>
        <w:pStyle w:val="ListNumber"/>
      </w:pPr>
      <w:r/>
      <w:r>
        <w:rPr>
          <w:b/>
        </w:rPr>
        <w:t>Piège de la metformine</w:t>
      </w:r>
      <w:r>
        <w:t xml:space="preserve"> : Ne pas arrêter systématiquement la metformine pour une scanographie avec injection &lt; 100 mL si l'eGFR est ≥ 60.</w:t>
      </w:r>
    </w:p>
    <w:p>
      <w:pPr>
        <w:pStyle w:val="ListNumber"/>
      </w:pPr>
      <w:r/>
      <w:r>
        <w:rPr>
          <w:b/>
        </w:rPr>
        <w:t>Piège de l'allaitement</w:t>
      </w:r>
      <w:r>
        <w:t xml:space="preserve"> : L'arrêt de l'allaitement n'est pas obligatoire après injection d'iohexol ; le "pump and dump" de 12–24 h est une option rassurante mais non scientifiquement justifiée.</w:t>
      </w:r>
    </w:p>
    <w:p>
      <w:pPr>
        <w:pStyle w:val="ListNumber"/>
      </w:pPr>
      <w:r/>
      <w:r>
        <w:rPr>
          <w:b/>
        </w:rPr>
        <w:t>Piège de l'urticaire tardive</w:t>
      </w:r>
      <w:r>
        <w:t xml:space="preserve"> : Une éruption cutanée survenant 24–72 h après l'injection d'iohexol doit être signalée et documentée comme réaction retardée, en évitant l'erreur diagnostique d'allergie alimentaire ou médicamenteuse concomitante.</w:t>
      </w:r>
    </w:p>
    <w:p>
      <w:pPr>
        <w:pStyle w:val="ListNumber"/>
      </w:pPr>
      <w:r/>
      <w:r>
        <w:rPr>
          <w:b/>
        </w:rPr>
        <w:t>Piège de l'anaphylaxie bêta-bloquée</w:t>
      </w:r>
      <w:r>
        <w:t xml:space="preserve"> : Les patients sous bêta-bloquants peuvent présenter une réponse atténuée à l'adrénaline en cas de choc anaphylactique ; prévoir l'adrénaline IV titrée et le glucagon en alternative (1–5 mg IV).</w:t>
      </w:r>
    </w:p>
    <w:p>
      <w:pPr>
        <w:pStyle w:val="ListNumber"/>
      </w:pPr>
      <w:r/>
      <w:r>
        <w:rPr>
          <w:b/>
        </w:rPr>
        <w:t>Piège de l'extravasation</w:t>
      </w:r>
      <w:r>
        <w:t xml:space="preserve"> : Toute douleur au point d'injection doit faire arrêter immédiatement l'injection ; surélever le membre, appliquer du froid, surveiller 4 h.</w:t>
      </w:r>
    </w:p>
    <w:p>
      <w:pPr>
        <w:pStyle w:val="ListNumber"/>
      </w:pPr>
      <w:r/>
      <w:r>
        <w:rPr>
          <w:b/>
        </w:rPr>
        <w:t>Piège de la thyroïde</w:t>
      </w:r>
      <w:r>
        <w:t xml:space="preserve"> : Le contrôle TSH 4–6 semaines après l'examen est recommandé chez les patients âgés ou sous traitement thyroïdien.</w:t>
      </w:r>
    </w:p>
    <w:p>
      <w:pPr>
        <w:pStyle w:val="ListNumber"/>
      </w:pPr>
      <w:r/>
      <w:r>
        <w:rPr>
          <w:b/>
        </w:rPr>
        <w:t>Piège de la coronarographie</w:t>
      </w:r>
      <w:r>
        <w:t xml:space="preserve"> : L'arrêt systématique de la metformine est recommandé pour tous les patients indépendamment de l'eGFR, en raison du risque d'embolisation systémique de produit de contraste vers la circulation rénale.</w:t>
      </w:r>
    </w:p>
    <w:p>
      <w:pPr>
        <w:pStyle w:val="ListNumber"/>
      </w:pPr>
      <w:r/>
      <w:r>
        <w:rPr>
          <w:b/>
        </w:rPr>
        <w:t>Piège de la digoxinémie</w:t>
      </w:r>
      <w:r>
        <w:t xml:space="preserve"> : L'iohexol peut transientment perturber le dosage sérique de la digoxine (fausse élévation) ; signaler au laboratoire.</w:t>
      </w:r>
    </w:p>
    <w:p>
      <w:pPr>
        <w:pStyle w:val="Heading2"/>
      </w:pPr>
      <w:r>
        <w:t>214.2 Fiche DCI : IOPAMIDOL</w:t>
      </w:r>
    </w:p>
    <w:p>
      <w:pPr>
        <w:pStyle w:val="Heading3"/>
      </w:pPr>
      <w:r>
        <w:t>214.2.1 Liste des catégories thérapeutiques</w:t>
      </w:r>
    </w:p>
    <w:p>
      <w:pPr>
        <w:pStyle w:val="ListBullet"/>
      </w:pPr>
      <w:r/>
      <w:r>
        <w:rPr>
          <w:b/>
        </w:rPr>
        <w:t>Code ATC</w:t>
      </w:r>
      <w:r>
        <w:t xml:space="preserve"> : V08AB04 (Produits de contraste pour radiographie, non-ionique monomère — iopamidol)</w:t>
      </w:r>
    </w:p>
    <w:p>
      <w:pPr>
        <w:pStyle w:val="ListBullet"/>
      </w:pPr>
      <w:r/>
      <w:r>
        <w:rPr>
          <w:b/>
        </w:rPr>
        <w:t>Classification pharmacologique</w:t>
      </w:r>
      <w:r>
        <w:t xml:space="preserve"> : Produit de contraste iodé non-ionique monomère, famille des triiodobenzoates substitués hydroxylés</w:t>
      </w:r>
    </w:p>
    <w:p>
      <w:pPr>
        <w:pStyle w:val="ListBullet"/>
      </w:pPr>
      <w:r/>
      <w:r>
        <w:rPr>
          <w:b/>
        </w:rPr>
        <w:t>Classe chimique</w:t>
      </w:r>
      <w:r>
        <w:t xml:space="preserve"> : Iopamidol, formule C₁₇H₂₂I₃N₃O₈, masse molaire 777 g/mol</w:t>
      </w:r>
    </w:p>
    <w:p>
      <w:pPr>
        <w:pStyle w:val="ListBullet"/>
      </w:pPr>
      <w:r/>
      <w:r>
        <w:rPr>
          <w:b/>
        </w:rPr>
        <w:t>Statut réglementaire international</w:t>
      </w:r>
      <w:r>
        <w:t xml:space="preserve"> : Disponible dans la plupart des pays ; standard de référence</w:t>
      </w:r>
    </w:p>
    <w:p>
      <w:pPr>
        <w:pStyle w:val="ListBullet"/>
      </w:pPr>
      <w:r/>
      <w:r>
        <w:rPr>
          <w:b/>
        </w:rPr>
        <w:t>Classement Algérie</w:t>
      </w:r>
      <w:r>
        <w:t xml:space="preserve"> : Liste I (surveillance médicale stricte)</w:t>
      </w:r>
    </w:p>
    <w:p>
      <w:pPr>
        <w:pStyle w:val="ListBullet"/>
      </w:pPr>
      <w:r/>
      <w:r>
        <w:rPr>
          <w:b/>
        </w:rPr>
        <w:t>Indications AMM principales</w:t>
      </w:r>
      <w:r>
        <w:t xml:space="preserve"> : Scanographie, angiographie, urographie, myélographie (avec l'iohexol, seul non-ionique monomère à conserver cette AMM), arthrographie</w:t>
      </w:r>
    </w:p>
    <w:p>
      <w:pPr>
        <w:pStyle w:val="Heading3"/>
      </w:pPr>
      <w:r>
        <w:t>214.2.2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PAMIDOL 300</w:t>
            </w:r>
          </w:p>
        </w:tc>
        <w:tc>
          <w:tcPr>
            <w:tcW w:type="dxa" w:w="1385"/>
          </w:tcPr>
          <w:p>
            <w:r>
              <w:rPr>
                <w:rFonts w:ascii="Times New Roman" w:hAnsi="Times New Roman"/>
                <w:sz w:val="20"/>
              </w:rPr>
              <w:t>UNIQUE PHARMACEUTICAL</w:t>
            </w:r>
          </w:p>
        </w:tc>
        <w:tc>
          <w:tcPr>
            <w:tcW w:type="dxa" w:w="1385"/>
          </w:tcPr>
          <w:p>
            <w:r>
              <w:rPr>
                <w:rFonts w:ascii="Times New Roman" w:hAnsi="Times New Roman"/>
                <w:sz w:val="20"/>
              </w:rPr>
              <w:t>Solution injectable — I = 300 mg/mL</w:t>
            </w:r>
          </w:p>
        </w:tc>
        <w:tc>
          <w:tcPr>
            <w:tcW w:type="dxa" w:w="1385"/>
          </w:tcPr>
          <w:p>
            <w:r>
              <w:rPr>
                <w:rFonts w:ascii="Times New Roman" w:hAnsi="Times New Roman"/>
                <w:sz w:val="20"/>
              </w:rPr>
              <w:t>Fl 50 mL - 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algérienne</w:t>
      </w:r>
      <w:r>
        <w:t xml:space="preserve"> : L'iopamidol est disponible en Algérie uniquement sous la marque PAMIDOL 300 (Unique Pharmaceutical, Inde), à la concentration 300 mg/mL d'iode. Cette marque générique offre une alternative économique à l'iopamidol de marque historique (ISOVUE — Bracco, non disponible en Algérie). Le conditionnement en flacons de 50 mL et 100 mL permet une utilisation flexible selon l'indication. Aucune autre concentration (370 mg/mL) n'est disponible sous cette marque en Algérie ; pour les indications nécessitant une concentration plus élevée (angiographie à haut débit), il convient de se tourner vers l'iopamidol en iode élément (PAMIDOL 370 — section 214.3) ou vers l'iohexol (OMNIPAQUE 350), l'iopromide (ULTRAVIST 370), ou l'iobitridol (XENETIX 350).</w:t>
      </w:r>
    </w:p>
    <w:p>
      <w:pPr>
        <w:pStyle w:val="Heading3"/>
      </w:pPr>
      <w:r>
        <w:t>214.2.3 Sous-classe et mécanisme d'action moléculaire</w:t>
      </w:r>
    </w:p>
    <w:p>
      <w:r>
        <w:t>L'iopamidol appartient à la sous-classe des produits de contraste iodés non-ioniques monomères. Sa structure chimique est un noyau benzénique triiodé substitué en position 1 par un groupe carboxamide (–CONH–), en position 3 par un groupe acétamido (–NHCOCH₃), et en position 5 par un groupe acétamido hydroxylé (–NHCOCH(OH)CH₃). Les quatre groupes hydroxyles (–OH) présents sur la molécule assurent l'hydrophilie et masquent la charge électrique, ce qui confère à l'iopamidol un caractère non-ionique et une osmolalité réduite (616 mOsm/kg à 300 mg I/mL, 796 mOsm/kg à 370 mg I/mL, soit 2–3 fois celle du plasma). L'hydrophilie est élevée (log P = –2,42), limitant la pénétration cellulaire et la liaison aux protéines (&lt; 1 %), ce qui réduit la chimiotoxicité.</w:t>
      </w:r>
    </w:p>
    <w:p>
      <w:r>
        <w:t>Le mécanisme d'action radiologique repose sur l'absorption des rayons X par les électrons K de l'iode (Z = 53, K-edge = 33,2 keV), générant un contraste radiologique positif en scanographie et radiographie conventionnelle. L'iopamidol est un produit de référence pour la scanographie, l'angiographie, l'urographie, et la myélographie (tolérance neurotoxique optimale avec l'iohexol).</w:t>
      </w:r>
    </w:p>
    <w:p>
      <w:r>
        <w:t>L'élimination est exclusivement rénale par filtration glomérulaire, sans métabolisation, avec une demi-vie d'environ 120 minutes chez le sujet sain et une excrétion urinaire &gt; 95 % à 24 h. La distribution est essentiellement extracellulaire (volume de distribution 0,23 L/kg), avec un passage cérébral négligeable chez le sujet sain. Le passage placentaire est modéré mais documenté. La liaison protéique est négligeable (&lt; 1 %).</w:t>
      </w:r>
    </w:p>
    <w:p>
      <w:pPr>
        <w:pStyle w:val="Heading3"/>
      </w:pPr>
      <w:r>
        <w:t>214.2.4 Profil pharmacologique</w:t>
      </w:r>
    </w:p>
    <w:p>
      <w:r/>
      <w:r>
        <w:rPr>
          <w:b/>
        </w:rPr>
        <w:t>Indications cliniques validées</w:t>
      </w:r>
      <w:r>
        <w:t xml:space="preserve"> : Scanographie thoraco-abdomino-pelvienne, angiographie numérisée, urographie intraveineuse, myélographie (avec l'iohexol, seul non-ionique monomère à conserver l'AMM myélographie), arthrographie. </w:t>
      </w:r>
      <w:r>
        <w:rPr>
          <w:b/>
        </w:rPr>
        <w:t>Contre-indications absolues</w:t>
      </w:r>
      <w:r>
        <w:t xml:space="preserve"> : hypersensibilité connue à l'iopamidol ; hypertyroïdie non contrôlée ; grossesse (par précaution, sauf urgence vitale) ; myélome multiple ; phéochromocytome non traité. L'insuffisance rénale sévère (eGFR &lt; 30) n'est plus une contre-indication absolue mais impose une hydratation IV systématique.</w:t>
      </w:r>
    </w:p>
    <w:p>
      <w:r/>
      <w:r>
        <w:rPr>
          <w:b/>
        </w:rPr>
        <w:t>Effets indésirables</w:t>
      </w:r>
      <w:r>
        <w:t xml:space="preserve"> : profil superposable à celui de l'iohexol — sensation de chaleur, goût métallique, nausées, vomissements, hypotension transitoire, urticaire, réactions d'hypersensibilité mineures à sévères, néphropathie post-contraste (CIN, incidence 5–10 % chez les patients à risque), dysthyroïdie jod-basedow. Les particularités spécifiques de l'iopamidol incluent une incidence légèrement réduite de réactions d'hypersensibilité immédiate par rapport à l'iohexol (études observationnelles, différence non significative), et un profil de tolérance neurotoxique optimal pour la myélographie (incidence des convulsions post-myélographie &lt; 0,1 %).</w:t>
      </w:r>
    </w:p>
    <w:p>
      <w:pPr>
        <w:pStyle w:val="Heading3"/>
      </w:pPr>
      <w:r>
        <w:t>214.2.5 Prévention et gestion des effets indésirables</w:t>
      </w:r>
    </w:p>
    <w:p>
      <w:r>
        <w:t>La prévention des effets indésirables repose sur les cinq piliers fondamentaux détaillés pour l'iohexol (évaluation pré-injection, hydratation, prémédication antiallergique si antécédent, kit d'urgence anaphylaxie, surveillance post-injection de 30 min). La prévention de la CIN et de la thyrotoxicose jod-basedow suit les mêmes protocoles que pour l'iohexol (hydratation IV, arrêt transitoire de la metformine selon l'algorithme ESUR/ACR, contrôle TSH préalable chez les patients à risque thyroïdien). La gestion d'une réaction anaphylactique sévère suit le protocole ESUR/ACR standardisé (adrénaline IM 0,3 mg, oxygène, remplissage vasculaire).</w:t>
      </w:r>
    </w:p>
    <w:p>
      <w:pPr>
        <w:pStyle w:val="Heading3"/>
      </w:pPr>
      <w:r>
        <w:t>214.2.6 Interactions médicamenteuses</w:t>
      </w:r>
    </w:p>
    <w:p>
      <w:r>
        <w:t>Les interactions médicamenteuses de l'iopamidol sont superposables à celles de l'iohexol (cf. section 214.1.6) : metformine (algorithme ESUR/ACR selon eGFR et type d'injection), bêta-bloquants (réponse atténuée à l'adrénaline), interleukines-2 (rash tardif), diurétiques (déshydratation), IEC/ARA2 (hypotension), chimiothérapie néphrotoxique (délai 2 semaines), L-thyroxine (contrôle TSH 4–6 semaines), antithyroïdiens de synthèse (couverture préventive). L'iopamidol n'interfère pas significativement avec les dosages biologiques standards.</w:t>
      </w:r>
    </w:p>
    <w:p>
      <w:pPr>
        <w:pStyle w:val="Heading3"/>
      </w:pPr>
      <w:r>
        <w:t>214.2.7 Grossesse et allaitement (CRAT)</w:t>
      </w:r>
    </w:p>
    <w:p>
      <w:r/>
      <w:r>
        <w:rPr>
          <w:b/>
        </w:rPr>
        <w:t>Grossesse</w:t>
      </w:r>
      <w:r>
        <w:t xml:space="preserve"> : l'iopamidol traverse la barrière placentaire et son utilisation pendant la grossesse doit être évitée, en particulier au 1er trimestre. L'indication doit être strictement limitée aux urgences vitales. </w:t>
      </w:r>
      <w:r>
        <w:rPr>
          <w:b/>
        </w:rPr>
        <w:t>Allaitement</w:t>
      </w:r>
      <w:r>
        <w:t xml:space="preserve"> : passage négligeable dans le lait maternel (&lt; 0,5 % de la dose maternelle), allaitement autorisé selon ESUR/ACR. Le "pump and dump" de 12–24 h est une option rassurante mais non scientifiquement justifiée.</w:t>
      </w:r>
    </w:p>
    <w:p>
      <w:pPr>
        <w:pStyle w:val="Heading3"/>
      </w:pPr>
      <w:r>
        <w:t>214.2.8 Posologie et mode d'administration</w:t>
      </w:r>
    </w:p>
    <w:p>
      <w:r/>
      <w:r>
        <w:rPr>
          <w:b/>
        </w:rPr>
        <w:t>Posologie adulte</w:t>
      </w:r>
      <w:r>
        <w:t xml:space="preserve"> : scanographie thoraco-abdomino-pelvienne : 80–120 mL de la solution à 300 mg/mL, en injection IV à débit 2–4 mL/s. Angiographie : 30–60 mL par séquence. Urographie intraveineuse : 50 mL. Myélographie : 5–15 mL intrathécal à concentration 200 mg/mL (dilution préalable). Arthrographie : 5–10 mL intra-articulaire. </w:t>
      </w:r>
      <w:r>
        <w:rPr>
          <w:b/>
        </w:rPr>
        <w:t>Posologie pédiatrique</w:t>
      </w:r>
      <w:r>
        <w:t xml:space="preserve"> : 1–2 mL/kg, sans dépasser 100 mL par examen chez l'enfant de moins de 10 kg. </w:t>
      </w:r>
      <w:r>
        <w:rPr>
          <w:b/>
        </w:rPr>
        <w:t>Mode d'administration</w:t>
      </w:r>
      <w:r>
        <w:t xml:space="preserve"> : injection IV stricte dans une veine de gros calibre (18–22 G), rincage par NaCl 0,9 % après injection.</w:t>
      </w:r>
    </w:p>
    <w:p>
      <w:pPr>
        <w:pStyle w:val="Heading3"/>
      </w:pPr>
      <w:r>
        <w:t>214.2.9 Arbitrage et bénéfices des formes galéniques</w:t>
      </w:r>
    </w:p>
    <w:p>
      <w:r>
        <w:t>L'iopamidol est disponible en Algérie uniquement sous la marque PAMIDOL 300 (Unique Pharmaceutical, Inde), en concentration 300 mg/mL. L'arbitrage entre PAMIDOL 300 et PAMIDOL 370 (iode élément, section 214.3) dépend de l'indication : 300 mg/mL pour scanographie courante, urographie, arthrographie ; 370 mg/mL pour angiographie et angio-scanner à haut débit. Pour les indications nécessitant une concentration plus élevée que 300 mg/mL, l'alternative est l'iopamidol en iode élément (PAMIDOL 370), l'iohexol 350 (OMNIPAQUE 350, ILLUSOF 350, CONTRAPAQUE 350, OMNIPOL), l'iopromide (ULTRAVIST 370), ou l'iobitridol (XENETIX 350). La marque PAMIDOL (Unique Pharmaceutical) offre une alternative économique intéressante pour les structures privées en Algérie.</w:t>
      </w:r>
    </w:p>
    <w:p>
      <w:pPr>
        <w:pStyle w:val="Heading3"/>
      </w:pPr>
      <w:r>
        <w:t>214.2.10 Instructions et conseils au patient</w:t>
      </w:r>
    </w:p>
    <w:p>
      <w:r>
        <w:t>Les instructions et conseils au patient sont superposables à ceux détaillés pour l'iohexol (cf. section 214.1.10) : information sur la nature de l'examen, hydratation orale préalable, apport des bilans biologiques récents, signalement des allergies et antécédents, surveillance post-injection de 30 min, hydratation orale abondante (1,5–2 L dans les 24 h), signes d'alerte à surveiller, "pump and dump" optionnel chez la femme allaitante.</w:t>
      </w:r>
    </w:p>
    <w:p>
      <w:pPr>
        <w:pStyle w:val="Heading3"/>
      </w:pPr>
      <w:r>
        <w:t>214.2.11 Notes, règles d'or et pièges au comptoir</w:t>
      </w:r>
    </w:p>
    <w:p>
      <w:pPr>
        <w:pStyle w:val="ListNumber"/>
      </w:pPr>
      <w:r/>
      <w:r>
        <w:rPr>
          <w:b/>
        </w:rPr>
        <w:t>Règle d'or n°1</w:t>
      </w:r>
      <w:r>
        <w:t xml:space="preserve"> : Toujours vérifier l'eGFR datée de moins de 7 jours avant toute injection.</w:t>
      </w:r>
    </w:p>
    <w:p>
      <w:pPr>
        <w:pStyle w:val="ListNumber"/>
      </w:pPr>
      <w:r/>
      <w:r>
        <w:rPr>
          <w:b/>
        </w:rPr>
        <w:t>Règle d'or n°2</w:t>
      </w:r>
      <w:r>
        <w:t xml:space="preserve"> : Vérifier la grossesse éventuelle et la fonction thyroïdienne (TSH) chez les patients à risque.</w:t>
      </w:r>
    </w:p>
    <w:p>
      <w:pPr>
        <w:pStyle w:val="ListNumber"/>
      </w:pPr>
      <w:r/>
      <w:r>
        <w:rPr>
          <w:b/>
        </w:rPr>
        <w:t>Règle d'or n°3</w:t>
      </w:r>
      <w:r>
        <w:t xml:space="preserve"> : L'algorithme metformine doit être respecté strictement selon l'eGFR et le type d'injection.</w:t>
      </w:r>
    </w:p>
    <w:p>
      <w:pPr>
        <w:pStyle w:val="ListNumber"/>
      </w:pPr>
      <w:r/>
      <w:r>
        <w:rPr>
          <w:b/>
        </w:rPr>
        <w:t>Piège du comptoir</w:t>
      </w:r>
      <w:r>
        <w:t xml:space="preserve"> : PAMIDOL 300 (iopamidol 300 mg/mL) et PAMIDOL 370 (iopamidol en iode élément 370 mg/mL) sont deux DCI distinctes dans la nomenclature algérienne mais correspondent à la même molécule à deux concentrations. Vérifier la concentration prescrite.</w:t>
      </w:r>
    </w:p>
    <w:p>
      <w:pPr>
        <w:pStyle w:val="ListNumber"/>
      </w:pPr>
      <w:r/>
      <w:r>
        <w:rPr>
          <w:b/>
        </w:rPr>
        <w:t>Piège de la myélographie</w:t>
      </w:r>
      <w:r>
        <w:t xml:space="preserve"> : L'iopamidol doit être dilué à 200 mg/mL avant injection intrathécale pour éviter la neurotoxicité (convulsions, méningite chimique).</w:t>
      </w:r>
    </w:p>
    <w:p>
      <w:pPr>
        <w:pStyle w:val="ListNumber"/>
      </w:pPr>
      <w:r/>
      <w:r>
        <w:rPr>
          <w:b/>
        </w:rPr>
        <w:t>Piège de la metformine</w:t>
      </w:r>
      <w:r>
        <w:t xml:space="preserve"> : Ne pas arrêter systématiquement la metformine pour une scanographie avec injection &lt; 100 mL si l'eGFR est ≥ 60.</w:t>
      </w:r>
    </w:p>
    <w:p>
      <w:pPr>
        <w:pStyle w:val="ListNumber"/>
      </w:pPr>
      <w:r/>
      <w:r>
        <w:rPr>
          <w:b/>
        </w:rPr>
        <w:t>Piège de l'allaitement</w:t>
      </w:r>
      <w:r>
        <w:t xml:space="preserve"> : L'arrêt de l'allaitement n'est pas obligatoire après injection d'iopamidol.</w:t>
      </w:r>
    </w:p>
    <w:p>
      <w:pPr>
        <w:pStyle w:val="ListNumber"/>
      </w:pPr>
      <w:r/>
      <w:r>
        <w:rPr>
          <w:b/>
        </w:rPr>
        <w:t>Piège de l'urticaire tardive</w:t>
      </w:r>
      <w:r>
        <w:t xml:space="preserve"> : Éruption cutanée 24–72 h après l'injection = réaction retardée.</w:t>
      </w:r>
    </w:p>
    <w:p>
      <w:pPr>
        <w:pStyle w:val="ListNumber"/>
      </w:pPr>
      <w:r/>
      <w:r>
        <w:rPr>
          <w:b/>
        </w:rPr>
        <w:t>Piège de l'anaphylaxie bêta-bloquée</w:t>
      </w:r>
      <w:r>
        <w:t xml:space="preserve"> : Prévoir l'adrénaline IV titrée et le glucagon.</w:t>
      </w:r>
    </w:p>
    <w:p>
      <w:pPr>
        <w:pStyle w:val="ListNumber"/>
      </w:pPr>
      <w:r/>
      <w:r>
        <w:rPr>
          <w:b/>
        </w:rPr>
        <w:t>Piège de l'extravasation</w:t>
      </w:r>
      <w:r>
        <w:t xml:space="preserve"> : Toute douleur au point d'injection doit faire arrêter immédiatement l'injection.</w:t>
      </w:r>
    </w:p>
    <w:p>
      <w:pPr>
        <w:pStyle w:val="Heading2"/>
      </w:pPr>
      <w:r>
        <w:t>214.3 Fiche DCI : IOPAMIDOL EN IODE ÉLÉMENT</w:t>
      </w:r>
    </w:p>
    <w:p>
      <w:pPr>
        <w:pStyle w:val="Heading3"/>
      </w:pPr>
      <w:r>
        <w:t>214.3.1 Liste des catégories thérapeutiques</w:t>
      </w:r>
    </w:p>
    <w:p>
      <w:pPr>
        <w:pStyle w:val="ListBullet"/>
      </w:pPr>
      <w:r/>
      <w:r>
        <w:rPr>
          <w:b/>
        </w:rPr>
        <w:t>Code ATC</w:t>
      </w:r>
      <w:r>
        <w:t xml:space="preserve"> : V08AB04 (identique à l'iopamidol)</w:t>
      </w:r>
    </w:p>
    <w:p>
      <w:pPr>
        <w:pStyle w:val="ListBullet"/>
      </w:pPr>
      <w:r/>
      <w:r>
        <w:rPr>
          <w:b/>
        </w:rPr>
        <w:t>Classification pharmacologique</w:t>
      </w:r>
      <w:r>
        <w:t xml:space="preserve"> : Produit de contraste iodé non-ionique monomère, iopamidol dosé en iode élément (mention spécifique nomenclature algérienne)</w:t>
      </w:r>
    </w:p>
    <w:p>
      <w:pPr>
        <w:pStyle w:val="ListBullet"/>
      </w:pPr>
      <w:r/>
      <w:r>
        <w:rPr>
          <w:b/>
        </w:rPr>
        <w:t>Classe chimique</w:t>
      </w:r>
      <w:r>
        <w:t xml:space="preserve"> : Iopamidol, formule C₁₇H₂₂I₃N₃O₈, masse molaire 777 g/mol</w:t>
      </w:r>
    </w:p>
    <w:p>
      <w:pPr>
        <w:pStyle w:val="ListBullet"/>
      </w:pPr>
      <w:r/>
      <w:r>
        <w:rPr>
          <w:b/>
        </w:rPr>
        <w:t>Statut réglementaire international</w:t>
      </w:r>
      <w:r>
        <w:t xml:space="preserve"> : Disponible</w:t>
      </w:r>
    </w:p>
    <w:p>
      <w:pPr>
        <w:pStyle w:val="ListBullet"/>
      </w:pPr>
      <w:r/>
      <w:r>
        <w:rPr>
          <w:b/>
        </w:rPr>
        <w:t>Classement Algérie</w:t>
      </w:r>
      <w:r>
        <w:t xml:space="preserve"> : Liste I</w:t>
      </w:r>
    </w:p>
    <w:p>
      <w:pPr>
        <w:pStyle w:val="ListBullet"/>
      </w:pPr>
      <w:r/>
      <w:r>
        <w:rPr>
          <w:b/>
        </w:rPr>
        <w:t>Indications AMM principales</w:t>
      </w:r>
      <w:r>
        <w:t xml:space="preserve"> : Angiographie à haut débit (coronarographie, angio-scanner), scanographie avec opacification vasculaire dense, urographie</w:t>
      </w:r>
    </w:p>
    <w:p>
      <w:pPr>
        <w:pStyle w:val="Heading3"/>
      </w:pPr>
      <w:r>
        <w:t>214.3.2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PAMIDOL 370</w:t>
            </w:r>
          </w:p>
        </w:tc>
        <w:tc>
          <w:tcPr>
            <w:tcW w:type="dxa" w:w="1385"/>
          </w:tcPr>
          <w:p>
            <w:r>
              <w:rPr>
                <w:rFonts w:ascii="Times New Roman" w:hAnsi="Times New Roman"/>
                <w:sz w:val="20"/>
              </w:rPr>
              <w:t>UNIQUE PHARMACEUTICAL</w:t>
            </w:r>
          </w:p>
        </w:tc>
        <w:tc>
          <w:tcPr>
            <w:tcW w:type="dxa" w:w="1385"/>
          </w:tcPr>
          <w:p>
            <w:r>
              <w:rPr>
                <w:rFonts w:ascii="Times New Roman" w:hAnsi="Times New Roman"/>
                <w:sz w:val="20"/>
              </w:rPr>
              <w:t>Solution injectable — I = 370 mg/mL</w:t>
            </w:r>
          </w:p>
        </w:tc>
        <w:tc>
          <w:tcPr>
            <w:tcW w:type="dxa" w:w="1385"/>
          </w:tcPr>
          <w:p>
            <w:r>
              <w:rPr>
                <w:rFonts w:ascii="Times New Roman" w:hAnsi="Times New Roman"/>
                <w:sz w:val="20"/>
              </w:rPr>
              <w:t>Fl 50 mL - 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algérienne</w:t>
      </w:r>
      <w:r>
        <w:t xml:space="preserve"> : La nomenclature algérienne distingue formellement "IOPAMIDOL" (concentration 300 mg/mL, PAMIDOL 300) et "IOPAMIDOL EN IODE ÉLÉMENT" (concentration 370 mg/mL, PAMIDOL 370) comme deux DCI distinctes. Cette distinction administrativa reflète la mention "en iode élément" apposée sur l'étiquetage de la concentration 370 mg/mL pour souligner que la concentration est exprimée en iode élément (et non en sels). Sur le plan pharmacologique, il s'agit bien de la même molécule (iopamidol) à deux concentrations différentes. Le conditionnement en flacons de 50 mL et 100 mL permet une utilisation flexible selon l'indication.</w:t>
      </w:r>
    </w:p>
    <w:p>
      <w:pPr>
        <w:pStyle w:val="Heading3"/>
      </w:pPr>
      <w:r>
        <w:t>214.3.3 Sous-classe et mécanisme d'action moléculaire</w:t>
      </w:r>
    </w:p>
    <w:p>
      <w:r>
        <w:t>Identique à l'iopamidol (cf. section 214.2.3). La concentration plus élevée (370 mg/mL d'iode au lieu de 300 mg/mL) permet une opacification vasculaire plus dense pour les indications angiographiques à haut débit, au prix d'une osmolalité et d'une viscosité supérieures (796 mOsm/kg et 9,1 mPa·s à 37 °C contre 616 mOsm/kg et 4,7 mPa·s pour la concentration 300 mg/mL).</w:t>
      </w:r>
    </w:p>
    <w:p>
      <w:pPr>
        <w:pStyle w:val="Heading3"/>
      </w:pPr>
      <w:r>
        <w:t>214.3.4 Profil pharmacologique</w:t>
      </w:r>
    </w:p>
    <w:p>
      <w:r/>
      <w:r>
        <w:rPr>
          <w:b/>
        </w:rPr>
        <w:t>Indications cliniques validées</w:t>
      </w:r>
      <w:r>
        <w:t xml:space="preserve"> : Angiographie numérisée (coronarographie, angio-scanner pulmonaire pour embolie, angio-scanner des membres), scanographie avec opacification vasculaire dense (caractérisation tumorale hypervasculaire, bilan préopératoire chirurgical vasculaire), urographie. </w:t>
      </w:r>
      <w:r>
        <w:rPr>
          <w:b/>
        </w:rPr>
        <w:t>Contre-indications absolues</w:t>
      </w:r>
      <w:r>
        <w:t xml:space="preserve"> : superposables à l'iopamidol (hypersensibilité, hypertyroïdie non contrôlée, grossesse, myélome, phéochromocytome). </w:t>
      </w:r>
      <w:r>
        <w:rPr>
          <w:b/>
        </w:rPr>
        <w:t>Effets indésirables</w:t>
      </w:r>
      <w:r>
        <w:t xml:space="preserve"> : profil superposable à l'iopamidol, avec une incidence potentiellement majorée de sensation de chaleur et de douleur au point d'injection en raison de l'osmolalité plus élevée.</w:t>
      </w:r>
    </w:p>
    <w:p>
      <w:pPr>
        <w:pStyle w:val="Heading3"/>
      </w:pPr>
      <w:r>
        <w:t>214.3.5 Prévention et gestion des effets indésirables</w:t>
      </w:r>
    </w:p>
    <w:p>
      <w:r>
        <w:t>Identique à l'iopamidol (cf. section 214.2.5). L'hydratation IV systématique est particulièrement importante en raison de l'osmolalité plus élevée (796 mOsm/kg) qui majore le risque de néphropathie post-contraste.</w:t>
      </w:r>
    </w:p>
    <w:p>
      <w:pPr>
        <w:pStyle w:val="Heading3"/>
      </w:pPr>
      <w:r>
        <w:t>214.3.6 Interactions médicamenteuses</w:t>
      </w:r>
    </w:p>
    <w:p>
      <w:r>
        <w:t>Identiques à l'iopamidol (cf. section 214.2.6).</w:t>
      </w:r>
    </w:p>
    <w:p>
      <w:pPr>
        <w:pStyle w:val="Heading3"/>
      </w:pPr>
      <w:r>
        <w:t>214.3.7 Grossesse et allaitement (CRAT)</w:t>
      </w:r>
    </w:p>
    <w:p>
      <w:r>
        <w:t>Identiques à l'iopamidol (cf. section 214.2.7).</w:t>
      </w:r>
    </w:p>
    <w:p>
      <w:pPr>
        <w:pStyle w:val="Heading3"/>
      </w:pPr>
      <w:r>
        <w:t>214.3.8 Posologie et mode d'administration</w:t>
      </w:r>
    </w:p>
    <w:p>
      <w:r/>
      <w:r>
        <w:rPr>
          <w:b/>
        </w:rPr>
        <w:t>Posologie adulte</w:t>
      </w:r>
      <w:r>
        <w:t xml:space="preserve"> : angiographie : 30–60 mL par séquence, à débit 4–6 mL/s. Scanographie avec opacification vasculaire dense : 80–100 mL à débit 3–4 mL/s. Urographie : 40 mL. </w:t>
      </w:r>
      <w:r>
        <w:rPr>
          <w:b/>
        </w:rPr>
        <w:t>Mode d'administration</w:t>
      </w:r>
      <w:r>
        <w:t xml:space="preserve"> : injection IV stricte dans une veine de gros calibre (18–20 G pour les débits élevés de 4–6 mL/s), rincage par NaCl 0,9 % après injection. La viscosité plus élevée à 37 °C peut nécessiter un réchauffement préalable du flacon à 37 °C pour faciliter l'injection à débit élevé.</w:t>
      </w:r>
    </w:p>
    <w:p>
      <w:pPr>
        <w:pStyle w:val="Heading3"/>
      </w:pPr>
      <w:r>
        <w:t>214.3.9 Arbitrage et bénéfices des formes galéniques</w:t>
      </w:r>
    </w:p>
    <w:p>
      <w:r>
        <w:t>L'arbitrage entre PAMIDOL 300 et PAMIDOL 370 dépend de l'indication : 300 mg/mL pour scanographie courante, urographie, arthrographie ; 370 mg/mL pour angiographie et angio-scanner à haut débit. La concentration 370 mg/mL est privilégiée pour les indications nécessitant une opacification vasculaire dense (coronarographie, angio-scanner pulmonaire pour embolie). Les alternatives à PAMIDOL 370 pour la concentration 370 mg/mL incluent l'iohexol (OMNIPAQUE 350, ILLUSOF 350, CONTRAPAQUE 350, OMNIPOL — concentration 350 mg/mL), l'iopromide (ULTRAVIST 370), et l'iobitridol (XENETIX 350).</w:t>
      </w:r>
    </w:p>
    <w:p>
      <w:pPr>
        <w:pStyle w:val="Heading3"/>
      </w:pPr>
      <w:r>
        <w:t>214.3.10 Instructions et conseils au patient</w:t>
      </w:r>
    </w:p>
    <w:p>
      <w:r>
        <w:t>Identiques à l'iopamidol (cf. section 214.2.10).</w:t>
      </w:r>
    </w:p>
    <w:p>
      <w:pPr>
        <w:pStyle w:val="Heading3"/>
      </w:pPr>
      <w:r>
        <w:t>214.3.11 Notes, règles d'or et pièges au comptoir</w:t>
      </w:r>
    </w:p>
    <w:p>
      <w:pPr>
        <w:pStyle w:val="ListNumber"/>
      </w:pPr>
      <w:r/>
      <w:r>
        <w:rPr>
          <w:b/>
        </w:rPr>
        <w:t>Règle d'or n°1</w:t>
      </w:r>
      <w:r>
        <w:t xml:space="preserve"> : Toujours vérifier l'eGFR datée de moins de 7 jours.</w:t>
      </w:r>
    </w:p>
    <w:p>
      <w:pPr>
        <w:pStyle w:val="ListNumber"/>
      </w:pPr>
      <w:r/>
      <w:r>
        <w:rPr>
          <w:b/>
        </w:rPr>
        <w:t>Piège du comptoir n°1</w:t>
      </w:r>
      <w:r>
        <w:t xml:space="preserve"> : PAMIDOL 300 (iopamidol) et PAMIDOL 370 (iopamidol en iode élément) sont la même molécule à deux concentrations. Vérifier la concentration prescrite.</w:t>
      </w:r>
    </w:p>
    <w:p>
      <w:pPr>
        <w:pStyle w:val="ListNumber"/>
      </w:pPr>
      <w:r/>
      <w:r>
        <w:rPr>
          <w:b/>
        </w:rPr>
        <w:t>Piège du comptoir n°2</w:t>
      </w:r>
      <w:r>
        <w:t xml:space="preserve"> : La concentration 370 mg/mL a une viscosité plus élevée (9,1 mPa·s) pouvant nécessiter un réchauffement préalable à 37 °C.</w:t>
      </w:r>
    </w:p>
    <w:p>
      <w:pPr>
        <w:pStyle w:val="ListNumber"/>
      </w:pPr>
      <w:r/>
      <w:r>
        <w:rPr>
          <w:b/>
        </w:rPr>
        <w:t>Piège de la metformine</w:t>
      </w:r>
      <w:r>
        <w:t xml:space="preserve"> : L'arrêt systématique de la metformine est recommandé pour les injections intra-artérielles (coronarographie) indépendamment de l'eGFR.</w:t>
      </w:r>
    </w:p>
    <w:p>
      <w:pPr>
        <w:pStyle w:val="ListNumber"/>
      </w:pPr>
      <w:r/>
      <w:r>
        <w:rPr>
          <w:b/>
        </w:rPr>
        <w:t>Piège de l'anaphylaxie bêta-bloquée</w:t>
      </w:r>
      <w:r>
        <w:t xml:space="preserve"> : Prévoir l'adrénaline IV titrée et le glucagon.</w:t>
      </w:r>
    </w:p>
    <w:p>
      <w:pPr>
        <w:pStyle w:val="Heading2"/>
      </w:pPr>
      <w:r>
        <w:t>214.4 Fiche DCI : IOPROMIDE</w:t>
      </w:r>
    </w:p>
    <w:p>
      <w:pPr>
        <w:pStyle w:val="Heading3"/>
      </w:pPr>
      <w:r>
        <w:t>214.4.1 Liste des catégories thérapeutiques</w:t>
      </w:r>
    </w:p>
    <w:p>
      <w:pPr>
        <w:pStyle w:val="ListBullet"/>
      </w:pPr>
      <w:r/>
      <w:r>
        <w:rPr>
          <w:b/>
        </w:rPr>
        <w:t>Code ATC</w:t>
      </w:r>
      <w:r>
        <w:t xml:space="preserve"> : V08AB05 (Produits de contraste pour radiographie, non-ionique monomère — iopromide)</w:t>
      </w:r>
    </w:p>
    <w:p>
      <w:pPr>
        <w:pStyle w:val="ListBullet"/>
      </w:pPr>
      <w:r/>
      <w:r>
        <w:rPr>
          <w:b/>
        </w:rPr>
        <w:t>Classification pharmacologique</w:t>
      </w:r>
      <w:r>
        <w:t xml:space="preserve"> : Produit de contraste iodé non-ionique monomère, famille des triiodobenzoates substitués hydroxylés</w:t>
      </w:r>
    </w:p>
    <w:p>
      <w:pPr>
        <w:pStyle w:val="ListBullet"/>
      </w:pPr>
      <w:r/>
      <w:r>
        <w:rPr>
          <w:b/>
        </w:rPr>
        <w:t>Classe chimique</w:t>
      </w:r>
      <w:r>
        <w:t xml:space="preserve"> : Iopromide, formule C₂₁H₂₄I₃N₃O₈, masse molaire 791 g/mol</w:t>
      </w:r>
    </w:p>
    <w:p>
      <w:pPr>
        <w:pStyle w:val="ListBullet"/>
      </w:pPr>
      <w:r/>
      <w:r>
        <w:rPr>
          <w:b/>
        </w:rPr>
        <w:t>Statut réglementaire international</w:t>
      </w:r>
      <w:r>
        <w:t xml:space="preserve"> : Disponible dans la plupart des pays</w:t>
      </w:r>
    </w:p>
    <w:p>
      <w:pPr>
        <w:pStyle w:val="ListBullet"/>
      </w:pPr>
      <w:r/>
      <w:r>
        <w:rPr>
          <w:b/>
        </w:rPr>
        <w:t>Classement Algérie</w:t>
      </w:r>
      <w:r>
        <w:t xml:space="preserve"> : Liste I</w:t>
      </w:r>
    </w:p>
    <w:p>
      <w:pPr>
        <w:pStyle w:val="ListBullet"/>
      </w:pPr>
      <w:r/>
      <w:r>
        <w:rPr>
          <w:b/>
        </w:rPr>
        <w:t>Indications AMM principales</w:t>
      </w:r>
      <w:r>
        <w:t xml:space="preserve"> : Scanographie, angiographie, urographie, arthrographie, fistulographie</w:t>
      </w:r>
    </w:p>
    <w:p>
      <w:pPr>
        <w:pStyle w:val="Heading3"/>
      </w:pPr>
      <w:r>
        <w:t>214.4.2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ULTRAVIST 300</w:t>
            </w:r>
          </w:p>
        </w:tc>
        <w:tc>
          <w:tcPr>
            <w:tcW w:type="dxa" w:w="1385"/>
          </w:tcPr>
          <w:p>
            <w:r>
              <w:rPr>
                <w:rFonts w:ascii="Times New Roman" w:hAnsi="Times New Roman"/>
                <w:sz w:val="20"/>
              </w:rPr>
              <w:t>BAYER PHARMA AG</w:t>
            </w:r>
          </w:p>
        </w:tc>
        <w:tc>
          <w:tcPr>
            <w:tcW w:type="dxa" w:w="1385"/>
          </w:tcPr>
          <w:p>
            <w:r>
              <w:rPr>
                <w:rFonts w:ascii="Times New Roman" w:hAnsi="Times New Roman"/>
                <w:sz w:val="20"/>
              </w:rPr>
              <w:t>Solution injectable — 623,4 mg/mL (teneur en iode 300 mg/mL)</w:t>
            </w:r>
          </w:p>
        </w:tc>
        <w:tc>
          <w:tcPr>
            <w:tcW w:type="dxa" w:w="1385"/>
          </w:tcPr>
          <w:p>
            <w:r>
              <w:rPr>
                <w:rFonts w:ascii="Times New Roman" w:hAnsi="Times New Roman"/>
                <w:sz w:val="20"/>
              </w:rPr>
              <w:t>Fl 50 mL - Fl 100 mL - B/10 Fl 50 mL - B/10 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ULTRAVIST 370</w:t>
            </w:r>
          </w:p>
        </w:tc>
        <w:tc>
          <w:tcPr>
            <w:tcW w:type="dxa" w:w="1385"/>
          </w:tcPr>
          <w:p>
            <w:r>
              <w:rPr>
                <w:rFonts w:ascii="Times New Roman" w:hAnsi="Times New Roman"/>
                <w:sz w:val="20"/>
              </w:rPr>
              <w:t>BAYER PHARMA AG</w:t>
            </w:r>
          </w:p>
        </w:tc>
        <w:tc>
          <w:tcPr>
            <w:tcW w:type="dxa" w:w="1385"/>
          </w:tcPr>
          <w:p>
            <w:r>
              <w:rPr>
                <w:rFonts w:ascii="Times New Roman" w:hAnsi="Times New Roman"/>
                <w:sz w:val="20"/>
              </w:rPr>
              <w:t>Solution injectable — 768,86 mg/mL (teneur en iode 370 mg/mL)</w:t>
            </w:r>
          </w:p>
        </w:tc>
        <w:tc>
          <w:tcPr>
            <w:tcW w:type="dxa" w:w="1385"/>
          </w:tcPr>
          <w:p>
            <w:r>
              <w:rPr>
                <w:rFonts w:ascii="Times New Roman" w:hAnsi="Times New Roman"/>
                <w:sz w:val="20"/>
              </w:rPr>
              <w:t>Fl 50 mL - Fl 100 mL - B/10 Fl 50 mL - B/10 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algérienne</w:t>
      </w:r>
      <w:r>
        <w:t xml:space="preserve"> : L'iopromide est disponible en Algérie sous la marque ULTRAVIST (Bayer Pharma AG, ex-Schering AG), en deux concentrations (300 et 370 mg/mL) et en conditionnements individuels (Fl 50 mL et Fl 100 mL) et hospitaliers (B/10 flacons). Cette marque historique (AMM 1985) bénéficie d'un large recul pharmacovigilance. Le conditionnement en boîtes de 10 flacons est destiné aux établissements hospitaliers à fort volume d'examens.</w:t>
      </w:r>
    </w:p>
    <w:p>
      <w:pPr>
        <w:pStyle w:val="Heading3"/>
      </w:pPr>
      <w:r>
        <w:t>214.4.3 Sous-classe et mécanisme d'action moléculaire</w:t>
      </w:r>
    </w:p>
    <w:p>
      <w:r>
        <w:t>L'iopromide appartient à la sous-classe des produits de contraste iodés non-ioniques monomères. Sa structure chimique est un noyau benzénique triiodé substitué en position 1 par un groupe carboxamide (–CONH–) avec une chaîne propyle hydroxylée, et en position 3 et 5 par des groupes acétamido hydroxylés. Les trois groupes hydroxyles (–OH) assurent l'hydrophilie et masquent la charge électrique. L'osmolalité est de 607 mOsm/kg à 300 mg I/mL et 774 mOsm/kg à 370 mg I/mL (soit 2–3 fois celle du plasma). L'hydrophilie est élevée (log P = –2,02), limitant la pénétration cellulaire et la liaison aux protéines (&lt; 1 %). Le mécanisme d'action radiologique et l'élimination rénale sont superposables à l'iohexol et à l'iopamidol.</w:t>
      </w:r>
    </w:p>
    <w:p>
      <w:pPr>
        <w:pStyle w:val="Heading3"/>
      </w:pPr>
      <w:r>
        <w:t>214.4.4 Profil pharmacologique</w:t>
      </w:r>
    </w:p>
    <w:p>
      <w:r/>
      <w:r>
        <w:rPr>
          <w:b/>
        </w:rPr>
        <w:t>Indications cliniques validées</w:t>
      </w:r>
      <w:r>
        <w:t xml:space="preserve"> : Scanographie thoraco-abdomino-pelvienne, angiographie numérisée (coronarographie, angiographie cérébrale, angio-scanner pulmonaire), urographie intraveineuse, arthrographie, fistulographie. </w:t>
      </w:r>
      <w:r>
        <w:rPr>
          <w:b/>
        </w:rPr>
        <w:t>Contre-indications absolues</w:t>
      </w:r>
      <w:r>
        <w:t xml:space="preserve"> : hypersensibilité connue à l'iopromide ; hypertyroïdie non contrôlée ; grossesse (par précaution, sauf urgence vitale) ; myélome multiple ; phéochromocytome non traité. L'insuffisance rénale sévère (eGFR &lt; 30) n'est plus une contre-indication absolue mais impose une hydratation IV systématique.</w:t>
      </w:r>
    </w:p>
    <w:p>
      <w:r/>
      <w:r>
        <w:rPr>
          <w:b/>
        </w:rPr>
        <w:t>Effets indésirables</w:t>
      </w:r>
      <w:r>
        <w:t xml:space="preserve"> : profil superposable à celui de l'iohexol et de l'iopamidol. Les particularités spécifiques de l'iopromide incluent une incidence potentiellement réduite de réactions d'hypersensibilité immédiate par rapport à l'iohexol (études observationnelles, différence non significative). L'iopromide est largement utilisé dans les pays germaniques et européens depuis 1985.</w:t>
      </w:r>
    </w:p>
    <w:p>
      <w:pPr>
        <w:pStyle w:val="Heading3"/>
      </w:pPr>
      <w:r>
        <w:t>214.4.5 Prévention et gestion des effets indésirables</w:t>
      </w:r>
    </w:p>
    <w:p>
      <w:r>
        <w:t>Identique à l'iohexol (cf. section 214.1.5). La prévention de la CIN, de l'anaphylaxie, et de la thyrotoxicose jod-basedow suit les mêmes protocoles ESUR/ACR.</w:t>
      </w:r>
    </w:p>
    <w:p>
      <w:pPr>
        <w:pStyle w:val="Heading3"/>
      </w:pPr>
      <w:r>
        <w:t>214.4.6 Interactions médicamenteuses</w:t>
      </w:r>
    </w:p>
    <w:p>
      <w:r>
        <w:t>Identiques à l'iohexol (cf. section 214.1.6).</w:t>
      </w:r>
    </w:p>
    <w:p>
      <w:pPr>
        <w:pStyle w:val="Heading3"/>
      </w:pPr>
      <w:r>
        <w:t>214.4.7 Grossesse et allaitement (CRAT)</w:t>
      </w:r>
    </w:p>
    <w:p>
      <w:r>
        <w:t>Identiques à l'iohexol (cf. section 214.1.7).</w:t>
      </w:r>
    </w:p>
    <w:p>
      <w:pPr>
        <w:pStyle w:val="Heading3"/>
      </w:pPr>
      <w:r>
        <w:t>214.4.8 Posologie et mode d'administration</w:t>
      </w:r>
    </w:p>
    <w:p>
      <w:r/>
      <w:r>
        <w:rPr>
          <w:b/>
        </w:rPr>
        <w:t>Posologie adulte</w:t>
      </w:r>
      <w:r>
        <w:t xml:space="preserve"> : scanographie : 80–120 mL de la solution à 300–370 mg/mL, en injection IV à débit 2–4 mL/s. Angiographie : 30–60 mL par séquence, à débit 4–6 mL/s. Coronarographie : 5–10 mL par injection sélective. Urographie : 50 mL. </w:t>
      </w:r>
      <w:r>
        <w:rPr>
          <w:b/>
        </w:rPr>
        <w:t>Mode d'administration</w:t>
      </w:r>
      <w:r>
        <w:t xml:space="preserve"> : injection IV stricte dans une veine de gros calibre (18–22 G), rincage par NaCl 0,9 % après injection.</w:t>
      </w:r>
    </w:p>
    <w:p>
      <w:pPr>
        <w:pStyle w:val="Heading3"/>
      </w:pPr>
      <w:r>
        <w:t>214.4.9 Arbitrage et bénéfices des formes galéniques</w:t>
      </w:r>
    </w:p>
    <w:p>
      <w:r>
        <w:t>L'arbitrage entre ULTRAVIST 300 et ULTRAVIST 370 dépend de l'indication : 300 mg/mL pour scanographie courante, urographie, arthrographie ; 370 mg/mL pour angiographie et angio-scanner à haut débit. Le conditionnement en boîtes de 10 flacons (B/10 Fl 50 mL, B/10 Fl 100 mL) est destiné aux établissements hospitaliers à fort volume d'examens, avec un coût unitaire réduit. Le conditionnement individuel (Fl 50 mL, Fl 100 mL) est destiné aux structures privées et aux cliniques. La marque ULTRAVIST (Bayer Pharma AG) bénéficie du recul pharmacovigilance le plus large après OMNIPAQUE.</w:t>
      </w:r>
    </w:p>
    <w:p>
      <w:pPr>
        <w:pStyle w:val="Heading3"/>
      </w:pPr>
      <w:r>
        <w:t>214.4.10 Instructions et conseils au patient</w:t>
      </w:r>
    </w:p>
    <w:p>
      <w:r>
        <w:t>Identiques à l'iohexol (cf. section 214.1.10).</w:t>
      </w:r>
    </w:p>
    <w:p>
      <w:pPr>
        <w:pStyle w:val="Heading3"/>
      </w:pPr>
      <w:r>
        <w:t>214.4.11 Notes, règles d'or et pièges au comptoir</w:t>
      </w:r>
    </w:p>
    <w:p>
      <w:pPr>
        <w:pStyle w:val="ListNumber"/>
      </w:pPr>
      <w:r/>
      <w:r>
        <w:rPr>
          <w:b/>
        </w:rPr>
        <w:t>Règle d'or n°1</w:t>
      </w:r>
      <w:r>
        <w:t xml:space="preserve"> : Toujours vérifier l'eGFR datée de moins de 7 jours.</w:t>
      </w:r>
    </w:p>
    <w:p>
      <w:pPr>
        <w:pStyle w:val="ListNumber"/>
      </w:pPr>
      <w:r/>
      <w:r>
        <w:rPr>
          <w:b/>
        </w:rPr>
        <w:t>Règle d'or n°2</w:t>
      </w:r>
      <w:r>
        <w:t xml:space="preserve"> : Vérifier la grossesse éventuelle et la fonction thyroïdienne (TSH).</w:t>
      </w:r>
    </w:p>
    <w:p>
      <w:pPr>
        <w:pStyle w:val="ListNumber"/>
      </w:pPr>
      <w:r/>
      <w:r>
        <w:rPr>
          <w:b/>
        </w:rPr>
        <w:t>Piège du comptoir</w:t>
      </w:r>
      <w:r>
        <w:t xml:space="preserve"> : ULTRAVIST 300 et ULTRAVIST 370 sont la même molécule à deux concentrations. Vérifier la concentration prescrite.</w:t>
      </w:r>
    </w:p>
    <w:p>
      <w:pPr>
        <w:pStyle w:val="ListNumber"/>
      </w:pPr>
      <w:r/>
      <w:r>
        <w:rPr>
          <w:b/>
        </w:rPr>
        <w:t>Piège de la metformine</w:t>
      </w:r>
      <w:r>
        <w:t xml:space="preserve"> : Respecter l'algorithme ESUR/ACR selon eGFR et type d'injection.</w:t>
      </w:r>
    </w:p>
    <w:p>
      <w:pPr>
        <w:pStyle w:val="ListNumber"/>
      </w:pPr>
      <w:r/>
      <w:r>
        <w:rPr>
          <w:b/>
        </w:rPr>
        <w:t>Piège de l'allaitement</w:t>
      </w:r>
      <w:r>
        <w:t xml:space="preserve"> : L'arrêt n'est pas obligatoire ; "pump and dump" optionnel.</w:t>
      </w:r>
    </w:p>
    <w:p>
      <w:pPr>
        <w:pStyle w:val="ListNumber"/>
      </w:pPr>
      <w:r/>
      <w:r>
        <w:rPr>
          <w:b/>
        </w:rPr>
        <w:t>Piège de l'urticaire tardive</w:t>
      </w:r>
      <w:r>
        <w:t xml:space="preserve"> : Éruption 24–72 h = réaction retardée.</w:t>
      </w:r>
    </w:p>
    <w:p>
      <w:pPr>
        <w:pStyle w:val="ListNumber"/>
      </w:pPr>
      <w:r/>
      <w:r>
        <w:rPr>
          <w:b/>
        </w:rPr>
        <w:t>Piège de l'anaphylaxie bêta-bloquée</w:t>
      </w:r>
      <w:r>
        <w:t xml:space="preserve"> : Prévoir adrénaline IV titrée et glucagon.</w:t>
      </w:r>
    </w:p>
    <w:p>
      <w:pPr>
        <w:pStyle w:val="ListNumber"/>
      </w:pPr>
      <w:r/>
      <w:r>
        <w:rPr>
          <w:b/>
        </w:rPr>
        <w:t>Piège de l'extravasation</w:t>
      </w:r>
      <w:r>
        <w:t xml:space="preserve"> : Toute douleur au point d'injection = arrêt immédiat.</w:t>
      </w:r>
    </w:p>
    <w:p>
      <w:pPr>
        <w:pStyle w:val="Heading2"/>
      </w:pPr>
      <w:r>
        <w:t>214.5 Fiche DCI : IOBITRIDOL</w:t>
      </w:r>
    </w:p>
    <w:p>
      <w:pPr>
        <w:pStyle w:val="Heading3"/>
      </w:pPr>
      <w:r>
        <w:t>214.5.1 Liste des catégories thérapeutiques</w:t>
      </w:r>
    </w:p>
    <w:p>
      <w:pPr>
        <w:pStyle w:val="ListBullet"/>
      </w:pPr>
      <w:r/>
      <w:r>
        <w:rPr>
          <w:b/>
        </w:rPr>
        <w:t>Code ATC</w:t>
      </w:r>
      <w:r>
        <w:t xml:space="preserve"> : V08AB10 (Produit de contraste pour radiographie, non-ionique monomère — iobitridol)</w:t>
      </w:r>
    </w:p>
    <w:p>
      <w:pPr>
        <w:pStyle w:val="ListBullet"/>
      </w:pPr>
      <w:r/>
      <w:r>
        <w:rPr>
          <w:b/>
        </w:rPr>
        <w:t>Classification pharmacologique</w:t>
      </w:r>
      <w:r>
        <w:t xml:space="preserve"> : Produit de contraste iodé non-ionique monomère, famille des triiodobenzoates substitués</w:t>
      </w:r>
    </w:p>
    <w:p>
      <w:pPr>
        <w:pStyle w:val="ListBullet"/>
      </w:pPr>
      <w:r/>
      <w:r>
        <w:rPr>
          <w:b/>
        </w:rPr>
        <w:t>Classe chimique</w:t>
      </w:r>
      <w:r>
        <w:t xml:space="preserve"> : Iobitridol, formule C₂₀H₂₈I₃N₃O₉, masse molaire 835 g/mol</w:t>
      </w:r>
    </w:p>
    <w:p>
      <w:pPr>
        <w:pStyle w:val="ListBullet"/>
      </w:pPr>
      <w:r/>
      <w:r>
        <w:rPr>
          <w:b/>
        </w:rPr>
        <w:t>Statut réglementaire international</w:t>
      </w:r>
      <w:r>
        <w:t xml:space="preserve"> : Disponible ; produit français de référence (Guerbet)</w:t>
      </w:r>
    </w:p>
    <w:p>
      <w:pPr>
        <w:pStyle w:val="ListBullet"/>
      </w:pPr>
      <w:r/>
      <w:r>
        <w:rPr>
          <w:b/>
        </w:rPr>
        <w:t>Classement Algérie</w:t>
      </w:r>
      <w:r>
        <w:t xml:space="preserve"> : Liste I</w:t>
      </w:r>
    </w:p>
    <w:p>
      <w:pPr>
        <w:pStyle w:val="ListBullet"/>
      </w:pPr>
      <w:r/>
      <w:r>
        <w:rPr>
          <w:b/>
        </w:rPr>
        <w:t>Indications AMM principales</w:t>
      </w:r>
      <w:r>
        <w:t xml:space="preserve"> : Scanographie, angiographie, urographie, arthrographie</w:t>
      </w:r>
    </w:p>
    <w:p>
      <w:pPr>
        <w:pStyle w:val="Heading3"/>
      </w:pPr>
      <w:r>
        <w:t>214.5.2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XENETIX 300</w:t>
            </w:r>
          </w:p>
        </w:tc>
        <w:tc>
          <w:tcPr>
            <w:tcW w:type="dxa" w:w="1385"/>
          </w:tcPr>
          <w:p>
            <w:r>
              <w:rPr>
                <w:rFonts w:ascii="Times New Roman" w:hAnsi="Times New Roman"/>
                <w:sz w:val="20"/>
              </w:rPr>
              <w:t>GUERBET</w:t>
            </w:r>
          </w:p>
        </w:tc>
        <w:tc>
          <w:tcPr>
            <w:tcW w:type="dxa" w:w="1385"/>
          </w:tcPr>
          <w:p>
            <w:r>
              <w:rPr>
                <w:rFonts w:ascii="Times New Roman" w:hAnsi="Times New Roman"/>
                <w:sz w:val="20"/>
              </w:rPr>
              <w:t>Solution injectable — 300 mg/mL</w:t>
            </w:r>
          </w:p>
        </w:tc>
        <w:tc>
          <w:tcPr>
            <w:tcW w:type="dxa" w:w="1385"/>
          </w:tcPr>
          <w:p>
            <w:r>
              <w:rPr>
                <w:rFonts w:ascii="Times New Roman" w:hAnsi="Times New Roman"/>
                <w:sz w:val="20"/>
              </w:rPr>
              <w:t>Fl 50 mL - 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XENETIX 350</w:t>
            </w:r>
          </w:p>
        </w:tc>
        <w:tc>
          <w:tcPr>
            <w:tcW w:type="dxa" w:w="1385"/>
          </w:tcPr>
          <w:p>
            <w:r>
              <w:rPr>
                <w:rFonts w:ascii="Times New Roman" w:hAnsi="Times New Roman"/>
                <w:sz w:val="20"/>
              </w:rPr>
              <w:t>GUERBET</w:t>
            </w:r>
          </w:p>
        </w:tc>
        <w:tc>
          <w:tcPr>
            <w:tcW w:type="dxa" w:w="1385"/>
          </w:tcPr>
          <w:p>
            <w:r>
              <w:rPr>
                <w:rFonts w:ascii="Times New Roman" w:hAnsi="Times New Roman"/>
                <w:sz w:val="20"/>
              </w:rPr>
              <w:t>Solution injectable — 350 mg/mL</w:t>
            </w:r>
          </w:p>
        </w:tc>
        <w:tc>
          <w:tcPr>
            <w:tcW w:type="dxa" w:w="1385"/>
          </w:tcPr>
          <w:p>
            <w:r>
              <w:rPr>
                <w:rFonts w:ascii="Times New Roman" w:hAnsi="Times New Roman"/>
                <w:sz w:val="20"/>
              </w:rPr>
              <w:t>Fl 50 mL - 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algérienne</w:t>
      </w:r>
      <w:r>
        <w:t xml:space="preserve"> : L'iobitridol est disponible en Algérie sous la marque XENETIX (Guerbet, France), en deux concentrations (300 et 350 mg/mL). Le conditionnement en flacons de 50 mL et 100 mL permet une utilisation flexible selon l'indication. La marque XENETIX bénéficie du recul pharmacovigilance français et européen depuis l'AMM initiale 1993.</w:t>
      </w:r>
    </w:p>
    <w:p>
      <w:pPr>
        <w:pStyle w:val="Heading3"/>
      </w:pPr>
      <w:r>
        <w:t>214.5.3 Sous-classe et mécanisme d'action moléculaire</w:t>
      </w:r>
    </w:p>
    <w:p>
      <w:r>
        <w:t>L'iobitridol appartient à la sous-classe des produits de contraste iodés non-ioniques monomères. Sa structure chimique est un noyau benzénique triiodé substitué en position 1 par un groupe carboxamide (–CONH–) avec une chaîne butyle hydroxylée, et en position 3 et 5 par des groupes acétamido hydroxylés. Les quatre groupes hydroxyles (–OH) assurent l'hydrophilie et masquent la charge électrique. L'osmolalité est de 695 mOsm/kg à 300 mg I/mL et 885 mOsm/kg à 350 mg I/mL. L'hydrophilie est élevée (log P = –2,67), et la liaison aux protéines est négligeable (&lt; 2 %). Le mécanisme d'action radiologique et l'élimination rénale sont superposables à l'iohexol et à l'iopamidol.</w:t>
      </w:r>
    </w:p>
    <w:p>
      <w:pPr>
        <w:pStyle w:val="Heading3"/>
      </w:pPr>
      <w:r>
        <w:t>214.5.4 Profil pharmacologique</w:t>
      </w:r>
    </w:p>
    <w:p>
      <w:r/>
      <w:r>
        <w:rPr>
          <w:b/>
        </w:rPr>
        <w:t>Indications cliniques validées</w:t>
      </w:r>
      <w:r>
        <w:t xml:space="preserve"> : Scanographie thoraco-abdomino-pelvienne, angiographie numérisée, urographie intraveineuse, arthrographie, fistulographie. </w:t>
      </w:r>
      <w:r>
        <w:rPr>
          <w:b/>
        </w:rPr>
        <w:t>Contre-indications absolues</w:t>
      </w:r>
      <w:r>
        <w:t xml:space="preserve"> : hypersensibilité connue à l'iobitridol ; hypertyroïdie non contrôlée ; grossesse (par précaution, sauf urgence vitale) ; myélome multiple ; phéochromocytome non traité.</w:t>
      </w:r>
    </w:p>
    <w:p>
      <w:r/>
      <w:r>
        <w:rPr>
          <w:b/>
        </w:rPr>
        <w:t>Effets indésirables</w:t>
      </w:r>
      <w:r>
        <w:t xml:space="preserve"> : profil superposable à celui de l'iohexol, de l'iopamidol, et de l'iopromide. Les particularités spécifiques de l'iobitridol incluent une incidence potentiellement réduite de réactions d'hypersensibilité immédiate par rapport à l'iohexol et à l'iopamidol (études observationnelles, différence non significative), et un profil de tolérance vasculaire optimal documenté dans plusieurs essais randomisés français (essais DISC, DELTA, TRIAGE).</w:t>
      </w:r>
    </w:p>
    <w:p>
      <w:pPr>
        <w:pStyle w:val="Heading3"/>
      </w:pPr>
      <w:r>
        <w:t>214.5.5 Prévention et gestion des effets indésirables</w:t>
      </w:r>
    </w:p>
    <w:p>
      <w:r>
        <w:t>Identique à l'iohexol (cf. section 214.1.5).</w:t>
      </w:r>
    </w:p>
    <w:p>
      <w:pPr>
        <w:pStyle w:val="Heading3"/>
      </w:pPr>
      <w:r>
        <w:t>214.5.6 Interactions médicamenteuses</w:t>
      </w:r>
    </w:p>
    <w:p>
      <w:r>
        <w:t>Identiques à l'iohexol (cf. section 214.1.6).</w:t>
      </w:r>
    </w:p>
    <w:p>
      <w:pPr>
        <w:pStyle w:val="Heading3"/>
      </w:pPr>
      <w:r>
        <w:t>214.5.7 Grossesse et allaitement (CRAT)</w:t>
      </w:r>
    </w:p>
    <w:p>
      <w:r>
        <w:t>Identiques à l'iohexol (cf. section 214.1.7).</w:t>
      </w:r>
    </w:p>
    <w:p>
      <w:pPr>
        <w:pStyle w:val="Heading3"/>
      </w:pPr>
      <w:r>
        <w:t>214.5.8 Posologie et mode d'administration</w:t>
      </w:r>
    </w:p>
    <w:p>
      <w:r/>
      <w:r>
        <w:rPr>
          <w:b/>
        </w:rPr>
        <w:t>Posologie adulte</w:t>
      </w:r>
      <w:r>
        <w:t xml:space="preserve"> : scanographie : 80–120 mL de la solution à 300–350 mg/mL, en injection IV à débit 2–4 mL/s. Angiographie : 30–60 mL par séquence, à débit 4–6 mL/s. Urographie : 50 mL. </w:t>
      </w:r>
      <w:r>
        <w:rPr>
          <w:b/>
        </w:rPr>
        <w:t>Mode d'administration</w:t>
      </w:r>
      <w:r>
        <w:t xml:space="preserve"> : injection IV stricte dans une veine de gros calibre (18–22 G), rincage par NaCl 0,9 % après injection.</w:t>
      </w:r>
    </w:p>
    <w:p>
      <w:pPr>
        <w:pStyle w:val="Heading3"/>
      </w:pPr>
      <w:r>
        <w:t>214.5.9 Arbitrage et bénéfices des formes galéniques</w:t>
      </w:r>
    </w:p>
    <w:p>
      <w:r>
        <w:t>L'arbitrage entre XENETIX 300 et XENETIX 350 dépend de l'indication : 300 mg/mL pour scanographie courante, urographie, arthrographie ; 350 mg/mL pour angiographie et angio-scanner à haut débit. La marque XENETIX (Guerbet) offre une alternative française de qualité, avec un conditionnement similaire à ULTRAVIST et OMNIPAQUE.</w:t>
      </w:r>
    </w:p>
    <w:p>
      <w:pPr>
        <w:pStyle w:val="Heading3"/>
      </w:pPr>
      <w:r>
        <w:t>214.5.10 Instructions et conseils au patient</w:t>
      </w:r>
    </w:p>
    <w:p>
      <w:r>
        <w:t>Identiques à l'iohexol (cf. section 214.1.10).</w:t>
      </w:r>
    </w:p>
    <w:p>
      <w:pPr>
        <w:pStyle w:val="Heading3"/>
      </w:pPr>
      <w:r>
        <w:t>214.5.11 Notes, règles d'or et pièges au comptoir</w:t>
      </w:r>
    </w:p>
    <w:p>
      <w:pPr>
        <w:pStyle w:val="ListNumber"/>
      </w:pPr>
      <w:r/>
      <w:r>
        <w:rPr>
          <w:b/>
        </w:rPr>
        <w:t>Règle d'or n°1</w:t>
      </w:r>
      <w:r>
        <w:t xml:space="preserve"> : Toujours vérifier l'eGFR datée de moins de 7 jours.</w:t>
      </w:r>
    </w:p>
    <w:p>
      <w:pPr>
        <w:pStyle w:val="ListNumber"/>
      </w:pPr>
      <w:r/>
      <w:r>
        <w:rPr>
          <w:b/>
        </w:rPr>
        <w:t>Piège du comptoir</w:t>
      </w:r>
      <w:r>
        <w:t xml:space="preserve"> : XENETIX 300 et XENETIX 350 sont la même molécule à deux concentrations. Vérifier la concentration prescrite.</w:t>
      </w:r>
    </w:p>
    <w:p>
      <w:pPr>
        <w:pStyle w:val="ListNumber"/>
      </w:pPr>
      <w:r/>
      <w:r>
        <w:rPr>
          <w:b/>
        </w:rPr>
        <w:t>Piège de la metformine</w:t>
      </w:r>
      <w:r>
        <w:t xml:space="preserve"> : Respecter l'algorithme ESUR/ACR.</w:t>
      </w:r>
    </w:p>
    <w:p>
      <w:pPr>
        <w:pStyle w:val="ListNumber"/>
      </w:pPr>
      <w:r/>
      <w:r>
        <w:rPr>
          <w:b/>
        </w:rPr>
        <w:t>Piège de l'allaitement</w:t>
      </w:r>
      <w:r>
        <w:t xml:space="preserve"> : Arrêt non obligatoire ; "pump and dump" optionnel.</w:t>
      </w:r>
    </w:p>
    <w:p>
      <w:pPr>
        <w:pStyle w:val="ListNumber"/>
      </w:pPr>
      <w:r/>
      <w:r>
        <w:rPr>
          <w:b/>
        </w:rPr>
        <w:t>Piège de l'urticaire tardive</w:t>
      </w:r>
      <w:r>
        <w:t xml:space="preserve"> : Éruption 24–72 h = réaction retardée.</w:t>
      </w:r>
    </w:p>
    <w:p>
      <w:pPr>
        <w:pStyle w:val="ListNumber"/>
      </w:pPr>
      <w:r/>
      <w:r>
        <w:rPr>
          <w:b/>
        </w:rPr>
        <w:t>Piège de l'extravasation</w:t>
      </w:r>
      <w:r>
        <w:t xml:space="preserve"> : Arrêt immédiat en cas de douleur.</w:t>
      </w:r>
    </w:p>
    <w:p>
      <w:pPr>
        <w:pStyle w:val="Heading2"/>
      </w:pPr>
      <w:r>
        <w:t>214.6 Fiche DCI : IOVERSOL</w:t>
      </w:r>
    </w:p>
    <w:p>
      <w:pPr>
        <w:pStyle w:val="Heading3"/>
      </w:pPr>
      <w:r>
        <w:t>214.6.1 Liste des catégories thérapeutiques</w:t>
      </w:r>
    </w:p>
    <w:p>
      <w:pPr>
        <w:pStyle w:val="ListBullet"/>
      </w:pPr>
      <w:r/>
      <w:r>
        <w:rPr>
          <w:b/>
        </w:rPr>
        <w:t>Code ATC</w:t>
      </w:r>
      <w:r>
        <w:t xml:space="preserve"> : V08AB09 (Produit de contraste pour radiographie, non-ionique monomère — ioversol)</w:t>
      </w:r>
    </w:p>
    <w:p>
      <w:pPr>
        <w:pStyle w:val="ListBullet"/>
      </w:pPr>
      <w:r/>
      <w:r>
        <w:rPr>
          <w:b/>
        </w:rPr>
        <w:t>Classification pharmacologique</w:t>
      </w:r>
      <w:r>
        <w:t xml:space="preserve"> : Produit de contraste iodé non-ionique monomère, famille des triiodobenzoates substitués hydroxylés</w:t>
      </w:r>
    </w:p>
    <w:p>
      <w:pPr>
        <w:pStyle w:val="ListBullet"/>
      </w:pPr>
      <w:r/>
      <w:r>
        <w:rPr>
          <w:b/>
        </w:rPr>
        <w:t>Classe chimique</w:t>
      </w:r>
      <w:r>
        <w:t xml:space="preserve"> : Ioversol, formule C₁₈H₂₄I₃N₃O₉, masse molaire 807 g/mol</w:t>
      </w:r>
    </w:p>
    <w:p>
      <w:pPr>
        <w:pStyle w:val="ListBullet"/>
      </w:pPr>
      <w:r/>
      <w:r>
        <w:rPr>
          <w:b/>
        </w:rPr>
        <w:t>Statut réglementaire international</w:t>
      </w:r>
      <w:r>
        <w:t xml:space="preserve"> : Disponible ; RETRAIT Algérie (nomenclature Avril 2026)</w:t>
      </w:r>
    </w:p>
    <w:p>
      <w:pPr>
        <w:pStyle w:val="ListBullet"/>
      </w:pPr>
      <w:r/>
      <w:r>
        <w:rPr>
          <w:b/>
        </w:rPr>
        <w:t>Classement historique Algérie</w:t>
      </w:r>
      <w:r>
        <w:t xml:space="preserve"> : Liste II (avant retrait)</w:t>
      </w:r>
    </w:p>
    <w:p>
      <w:pPr>
        <w:pStyle w:val="ListBullet"/>
      </w:pPr>
      <w:r/>
      <w:r>
        <w:rPr>
          <w:b/>
        </w:rPr>
        <w:t>Indications AMM historiques</w:t>
      </w:r>
      <w:r>
        <w:t xml:space="preserve"> : Scanographie, angiographie, urographie, arthrographie</w:t>
      </w:r>
    </w:p>
    <w:p>
      <w:pPr>
        <w:pStyle w:val="Heading3"/>
      </w:pPr>
      <w:r>
        <w:t>214.6.2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OPTIRAY 300</w:t>
            </w:r>
          </w:p>
        </w:tc>
        <w:tc>
          <w:tcPr>
            <w:tcW w:type="dxa" w:w="1385"/>
          </w:tcPr>
          <w:p>
            <w:r>
              <w:rPr>
                <w:rFonts w:ascii="Times New Roman" w:hAnsi="Times New Roman"/>
                <w:sz w:val="20"/>
              </w:rPr>
              <w:t>GUERBET</w:t>
            </w:r>
          </w:p>
        </w:tc>
        <w:tc>
          <w:tcPr>
            <w:tcW w:type="dxa" w:w="1385"/>
          </w:tcPr>
          <w:p>
            <w:r>
              <w:rPr>
                <w:rFonts w:ascii="Times New Roman" w:hAnsi="Times New Roman"/>
                <w:sz w:val="20"/>
              </w:rPr>
              <w:t>Solution injectable — I = 300 mg/mL</w:t>
            </w:r>
          </w:p>
        </w:tc>
        <w:tc>
          <w:tcPr>
            <w:tcW w:type="dxa" w:w="1385"/>
          </w:tcPr>
          <w:p>
            <w:r>
              <w:rPr>
                <w:rFonts w:ascii="Times New Roman" w:hAnsi="Times New Roman"/>
                <w:sz w:val="20"/>
              </w:rPr>
              <w:t>Fl 50 mL - Fl 100 mL</w:t>
            </w:r>
          </w:p>
        </w:tc>
        <w:tc>
          <w:tcPr>
            <w:tcW w:type="dxa" w:w="1385"/>
          </w:tcPr>
          <w:p>
            <w:r>
              <w:rPr>
                <w:rFonts w:ascii="Times New Roman" w:hAnsi="Times New Roman"/>
                <w:sz w:val="20"/>
              </w:rPr>
              <w:t>Liste II</w:t>
            </w:r>
          </w:p>
        </w:tc>
        <w:tc>
          <w:tcPr>
            <w:tcW w:type="dxa" w:w="1385"/>
          </w:tcPr>
          <w:p>
            <w:r>
              <w:rPr>
                <w:rFonts w:ascii="Times New Roman" w:hAnsi="Times New Roman"/>
                <w:sz w:val="20"/>
              </w:rPr>
              <w:t>RETRAIT (R)</w:t>
            </w:r>
          </w:p>
        </w:tc>
      </w:tr>
      <w:tr>
        <w:tc>
          <w:tcPr>
            <w:tcW w:type="dxa" w:w="1385"/>
          </w:tcPr>
          <w:p>
            <w:r>
              <w:rPr>
                <w:rFonts w:ascii="Times New Roman" w:hAnsi="Times New Roman"/>
                <w:sz w:val="20"/>
              </w:rPr>
              <w:t>OPTIRAY 350</w:t>
            </w:r>
          </w:p>
        </w:tc>
        <w:tc>
          <w:tcPr>
            <w:tcW w:type="dxa" w:w="1385"/>
          </w:tcPr>
          <w:p>
            <w:r>
              <w:rPr>
                <w:rFonts w:ascii="Times New Roman" w:hAnsi="Times New Roman"/>
                <w:sz w:val="20"/>
              </w:rPr>
              <w:t>GUERBET</w:t>
            </w:r>
          </w:p>
        </w:tc>
        <w:tc>
          <w:tcPr>
            <w:tcW w:type="dxa" w:w="1385"/>
          </w:tcPr>
          <w:p>
            <w:r>
              <w:rPr>
                <w:rFonts w:ascii="Times New Roman" w:hAnsi="Times New Roman"/>
                <w:sz w:val="20"/>
              </w:rPr>
              <w:t>Solution injectable — I = 350 mg/mL</w:t>
            </w:r>
          </w:p>
        </w:tc>
        <w:tc>
          <w:tcPr>
            <w:tcW w:type="dxa" w:w="1385"/>
          </w:tcPr>
          <w:p>
            <w:r>
              <w:rPr>
                <w:rFonts w:ascii="Times New Roman" w:hAnsi="Times New Roman"/>
                <w:sz w:val="20"/>
              </w:rPr>
              <w:t>Fl 50 mL - Fl 100 mL</w:t>
            </w:r>
          </w:p>
        </w:tc>
        <w:tc>
          <w:tcPr>
            <w:tcW w:type="dxa" w:w="1385"/>
          </w:tcPr>
          <w:p>
            <w:r>
              <w:rPr>
                <w:rFonts w:ascii="Times New Roman" w:hAnsi="Times New Roman"/>
                <w:sz w:val="20"/>
              </w:rPr>
              <w:t>Liste II</w:t>
            </w:r>
          </w:p>
        </w:tc>
        <w:tc>
          <w:tcPr>
            <w:tcW w:type="dxa" w:w="1385"/>
          </w:tcPr>
          <w:p>
            <w:r>
              <w:rPr>
                <w:rFonts w:ascii="Times New Roman" w:hAnsi="Times New Roman"/>
                <w:sz w:val="20"/>
              </w:rPr>
              <w:t>RETRAIT (R)</w:t>
            </w:r>
          </w:p>
        </w:tc>
      </w:tr>
    </w:tbl>
    <w:p/>
    <w:p>
      <w:r/>
      <w:r>
        <w:rPr>
          <w:b/>
        </w:rPr>
        <w:t>Statut réglementaire algérien</w:t>
      </w:r>
      <w:r>
        <w:t xml:space="preserve"> : L'ioversol est RETIRÉ du marché algérien (nomenclature Avril 2026). Les deux spécialités OPTIRAY 300 et OPTIRAY 350 (Guerbet, ex-Mallinckrodt) sont retirées du marché algérien. Aucune marque générique n'est disponible. Cette molécule, largement utilisée en Amérique du Nord (Optiray — Mallinckrodt), n'a pas réussi à s'imposer durablement sur le marché algérien en raison de la concurrence des autres non-ioniques monomères (iohexol, iopamidol, iopromide, iobitridol).</w:t>
      </w:r>
    </w:p>
    <w:p>
      <w:r/>
      <w:r>
        <w:rPr>
          <w:b/>
        </w:rPr>
        <w:t>Alerte officinale</w:t>
      </w:r>
      <w:r>
        <w:t xml:space="preserve"> : Tout stock résiduel d'OPTIRAY doit être signalé et détruit selon la procédure DASRI. La substitution systématique par iohexol (OMNIPAQUE, ILLUSOF, CONTRAPAQUE, OMNIPOL), iopamidol (PAMIDOL), iopromide (ULTRAVIST), ou iobitridol (XENETIX) garantit une efficacité diagnostique équivalente et un profil de tolérance identique.</w:t>
      </w:r>
    </w:p>
    <w:p>
      <w:pPr>
        <w:pStyle w:val="Heading3"/>
      </w:pPr>
      <w:r>
        <w:t>214.6.3 Sous-classe et mécanisme d'action moléculaire</w:t>
      </w:r>
    </w:p>
    <w:p>
      <w:r>
        <w:t>L'ioversol appartient à la sous-classe des produits de contraste iodés non-ioniques monomères. Sa structure chimique est un noyau benzénique triiodé substitué en position 1 par un groupe carboxamide (–CONH–) avec une chaîne propyle hydroxylée, et en position 3 et 5 par des groupes acétamido hydroxylés. Les cinq groupes hydroxyles (–OH) assurent l'hydrophilie et masquent la charge électrique. L'osmolalité est de 651 mOsm/kg à 300 mg I/mL et 792 mOsm/kg à 350 mg I/mL. L'hydrophilie est élevée (log P = –2,47), et la liaison aux protéines est négligeable (&lt; 2 %). Le mécanisme d'action radiologique et l'élimination rénale sont superposables à l'iohexol et à l'iopamidol.</w:t>
      </w:r>
    </w:p>
    <w:p>
      <w:pPr>
        <w:pStyle w:val="Heading3"/>
      </w:pPr>
      <w:r>
        <w:t>214.6.4 Profil pharmacologique</w:t>
      </w:r>
    </w:p>
    <w:p>
      <w:r/>
      <w:r>
        <w:rPr>
          <w:b/>
        </w:rPr>
        <w:t>Indications cliniques historiques</w:t>
      </w:r>
      <w:r>
        <w:t xml:space="preserve"> : Scanographie, angiographie, urographie, arthrographie. </w:t>
      </w:r>
      <w:r>
        <w:rPr>
          <w:b/>
        </w:rPr>
        <w:t>Contre-indications absolues (historiques, pré-retrait)</w:t>
      </w:r>
      <w:r>
        <w:t xml:space="preserve"> : hypersensibilité connue à l'ioversol ; hypertyroïdie non contrôlée ; grossesse ; myélome multiple ; phéochromocytome non traité. </w:t>
      </w:r>
      <w:r>
        <w:rPr>
          <w:b/>
        </w:rPr>
        <w:t>Effets indésirables</w:t>
      </w:r>
      <w:r>
        <w:t xml:space="preserve"> : profil superposable à celui de l'iohexol, de l'iopamidol, de l'iopromide, et de l'iobitridol.</w:t>
      </w:r>
    </w:p>
    <w:p>
      <w:pPr>
        <w:pStyle w:val="Heading3"/>
      </w:pPr>
      <w:r>
        <w:t>214.6.5 Prévention et gestion des effets indésirables</w:t>
      </w:r>
    </w:p>
    <w:p>
      <w:r>
        <w:t>Identique à l'iohexol (cf. section 214.1.5). Aujourd'hui, ces protocoles sont obsolètes en raison du retrait du produit.</w:t>
      </w:r>
    </w:p>
    <w:p>
      <w:pPr>
        <w:pStyle w:val="Heading3"/>
      </w:pPr>
      <w:r>
        <w:t>214.6.6 Interactions médicamenteuses</w:t>
      </w:r>
    </w:p>
    <w:p>
      <w:r>
        <w:t>Identiques à l'iohexol (cf. section 214.1.6).</w:t>
      </w:r>
    </w:p>
    <w:p>
      <w:pPr>
        <w:pStyle w:val="Heading3"/>
      </w:pPr>
      <w:r>
        <w:t>214.6.7 Grossesse et allaitement (CRAT)</w:t>
      </w:r>
    </w:p>
    <w:p>
      <w:r>
        <w:t>Identiques à l'iohexol (cf. section 214.1.7).</w:t>
      </w:r>
    </w:p>
    <w:p>
      <w:pPr>
        <w:pStyle w:val="Heading3"/>
      </w:pPr>
      <w:r>
        <w:t>214.6.8 Posologie et mode d'administration</w:t>
      </w:r>
    </w:p>
    <w:p>
      <w:r/>
      <w:r>
        <w:rPr>
          <w:b/>
        </w:rPr>
        <w:t>Posologie adulte historique</w:t>
      </w:r>
      <w:r>
        <w:t xml:space="preserve"> : scanographie : 80–120 mL de la solution à 300–350 mg/mL. Angiographie : 30–60 mL par séquence. Urographie : 50 mL. </w:t>
      </w:r>
      <w:r>
        <w:rPr>
          <w:b/>
        </w:rPr>
        <w:t>Mode d'administration historique</w:t>
      </w:r>
      <w:r>
        <w:t xml:space="preserve"> : injection IV stricte dans une veine de gros calibre (18–22 G), rincage par NaCl 0,9 % après injection. Aujourd'hui, ces protocoles sont obsolètes.</w:t>
      </w:r>
    </w:p>
    <w:p>
      <w:pPr>
        <w:pStyle w:val="Heading3"/>
      </w:pPr>
      <w:r>
        <w:t>214.6.9 Arbitrage et bénéfices des formes galéniques</w:t>
      </w:r>
    </w:p>
    <w:p>
      <w:r>
        <w:t>Le conditionnement en flacons de 50 mL et 100 mL à concentrations 300 et 350 mg/mL permettait une utilisation flexible. Son retrait du marché a fait disparaître toute forme galénique. L'arbitrage galénique n'est plus pertinent aujourd'hui.</w:t>
      </w:r>
    </w:p>
    <w:p>
      <w:pPr>
        <w:pStyle w:val="Heading3"/>
      </w:pPr>
      <w:r>
        <w:t>214.6.10 Instructions et conseils au patient (en cas d'antécédent d'injection passée)</w:t>
      </w:r>
    </w:p>
    <w:p>
      <w:r/>
      <w:r>
        <w:rPr>
          <w:b/>
        </w:rPr>
        <w:t>Patients ayant reçu de l'ioversol dans le passé</w:t>
      </w:r>
      <w:r>
        <w:t xml:space="preserve"> : Le profil de tolérance de l'ioversol était correct (équivalent aux autres non-ioniques monomères), et aucun effet tardif spécifique n'a été documenté. Les patients peuvent être rassurés. En cas de réaction allergique antérieure documentée à l'ioversol, le patient doit être informé du risque de réaction croisée avec les autres produits de contraste iodés et bénéficier d'une prémédication antiallergique systématique avant tout examen radiologique injecté ultérieur.</w:t>
      </w:r>
    </w:p>
    <w:p>
      <w:pPr>
        <w:pStyle w:val="Heading3"/>
      </w:pPr>
      <w:r>
        <w:t>214.6.11 Notes, règles d'or et pièges au comptoir</w:t>
      </w:r>
    </w:p>
    <w:p>
      <w:pPr>
        <w:pStyle w:val="ListNumber"/>
      </w:pPr>
      <w:r/>
      <w:r>
        <w:rPr>
          <w:b/>
        </w:rPr>
        <w:t>Règle d'or absolue n°1</w:t>
      </w:r>
      <w:r>
        <w:t xml:space="preserve"> : L'ioversol (OPTIRAY 300, OPTIRAY 350) est RETIRÉ du marché algérien. Aucune injection ne doit être pratiquée. Tout stock résiduel doit être signalé et détruit.</w:t>
      </w:r>
    </w:p>
    <w:p>
      <w:pPr>
        <w:pStyle w:val="ListNumber"/>
      </w:pPr>
      <w:r/>
      <w:r>
        <w:rPr>
          <w:b/>
        </w:rPr>
        <w:t>Piège du comptoir</w:t>
      </w:r>
      <w:r>
        <w:t xml:space="preserve"> : Un patient se présentant avec une ordonnance ancienne mentionnant "OPTIRAY" doit être redirigé vers son médecin prescripteur pour substitution par iohexol, iopamidol, iopromide, ou iobitridol.</w:t>
      </w:r>
    </w:p>
    <w:p>
      <w:pPr>
        <w:pStyle w:val="ListNumber"/>
      </w:pPr>
      <w:r/>
      <w:r>
        <w:rPr>
          <w:b/>
        </w:rPr>
        <w:t>Piège de la littérature</w:t>
      </w:r>
      <w:r>
        <w:t xml:space="preserve"> : Les anciennes publications et protocoles hospitaliers peuvent encore mentionner l'ioversol ; substituer systématiquement.</w:t>
      </w:r>
    </w:p>
    <w:p>
      <w:pPr>
        <w:pStyle w:val="ListNumber"/>
      </w:pPr>
      <w:r/>
      <w:r>
        <w:rPr>
          <w:b/>
        </w:rPr>
        <w:t>Piège de l'identification visuelle</w:t>
      </w:r>
      <w:r>
        <w:t xml:space="preserve"> : Les flacons d'OPTIRAY peuvent être confondus avec ceux d'OMNIPAQUE, d'ULTRAVIST, ou de XENETIX. La lecture du nom commercial est impérative.</w:t>
      </w:r>
    </w:p>
    <w:p>
      <w:pPr>
        <w:pStyle w:val="ListNumber"/>
      </w:pPr>
      <w:r/>
      <w:r>
        <w:rPr>
          <w:b/>
        </w:rPr>
        <w:t>Piège de l'allergie croisée</w:t>
      </w:r>
      <w:r>
        <w:t xml:space="preserve"> : En cas de réaction allergique antérieure à l'ioversol, prémédication systématique avant tout examen radiologique injecté ultérieur.</w:t>
      </w:r>
    </w:p>
    <w:p>
      <w:pPr>
        <w:pStyle w:val="Heading2"/>
      </w:pPr>
      <w:r>
        <w:t>214.7 Tableau comparatif de sous-classe : Contrastes iodés non-ioniques monomères</w:t>
      </w:r>
    </w:p>
    <w:tbl>
      <w:tblPr>
        <w:tblStyle w:val="LightGrid-Accent1"/>
        <w:tblW w:type="auto" w:w="0"/>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shd w:val="clear" w:color="auto" w:fill="F2F2F2"/>
          </w:tcPr>
          <w:p>
            <w:r>
              <w:rPr>
                <w:rFonts w:ascii="Times New Roman" w:hAnsi="Times New Roman"/>
                <w:b/>
                <w:sz w:val="20"/>
              </w:rPr>
              <w:t>Paramètre</w:t>
            </w:r>
          </w:p>
        </w:tc>
        <w:tc>
          <w:tcPr>
            <w:tcW w:type="dxa" w:w="1187"/>
            <w:shd w:val="clear" w:color="auto" w:fill="F2F2F2"/>
          </w:tcPr>
          <w:p>
            <w:r>
              <w:rPr>
                <w:rFonts w:ascii="Times New Roman" w:hAnsi="Times New Roman"/>
                <w:b/>
                <w:sz w:val="20"/>
              </w:rPr>
              <w:t>Iohexol (OMNIPAQUE)</w:t>
            </w:r>
          </w:p>
        </w:tc>
        <w:tc>
          <w:tcPr>
            <w:tcW w:type="dxa" w:w="1187"/>
            <w:shd w:val="clear" w:color="auto" w:fill="F2F2F2"/>
          </w:tcPr>
          <w:p>
            <w:r>
              <w:rPr>
                <w:rFonts w:ascii="Times New Roman" w:hAnsi="Times New Roman"/>
                <w:b/>
                <w:sz w:val="20"/>
              </w:rPr>
              <w:t>Iopamidol (PAMIDOL 300)</w:t>
            </w:r>
          </w:p>
        </w:tc>
        <w:tc>
          <w:tcPr>
            <w:tcW w:type="dxa" w:w="1187"/>
            <w:shd w:val="clear" w:color="auto" w:fill="F2F2F2"/>
          </w:tcPr>
          <w:p>
            <w:r>
              <w:rPr>
                <w:rFonts w:ascii="Times New Roman" w:hAnsi="Times New Roman"/>
                <w:b/>
                <w:sz w:val="20"/>
              </w:rPr>
              <w:t>Iopamidol iode élément (PAMIDOL 370)</w:t>
            </w:r>
          </w:p>
        </w:tc>
        <w:tc>
          <w:tcPr>
            <w:tcW w:type="dxa" w:w="1187"/>
            <w:shd w:val="clear" w:color="auto" w:fill="F2F2F2"/>
          </w:tcPr>
          <w:p>
            <w:r>
              <w:rPr>
                <w:rFonts w:ascii="Times New Roman" w:hAnsi="Times New Roman"/>
                <w:b/>
                <w:sz w:val="20"/>
              </w:rPr>
              <w:t>Iopromide (ULTRAVIST)</w:t>
            </w:r>
          </w:p>
        </w:tc>
        <w:tc>
          <w:tcPr>
            <w:tcW w:type="dxa" w:w="1187"/>
            <w:shd w:val="clear" w:color="auto" w:fill="F2F2F2"/>
          </w:tcPr>
          <w:p>
            <w:r>
              <w:rPr>
                <w:rFonts w:ascii="Times New Roman" w:hAnsi="Times New Roman"/>
                <w:b/>
                <w:sz w:val="20"/>
              </w:rPr>
              <w:t>Iobitridol (XENETIX)</w:t>
            </w:r>
          </w:p>
        </w:tc>
        <w:tc>
          <w:tcPr>
            <w:tcW w:type="dxa" w:w="1187"/>
            <w:shd w:val="clear" w:color="auto" w:fill="F2F2F2"/>
          </w:tcPr>
          <w:p>
            <w:r>
              <w:rPr>
                <w:rFonts w:ascii="Times New Roman" w:hAnsi="Times New Roman"/>
                <w:b/>
                <w:sz w:val="20"/>
              </w:rPr>
              <w:t>Ioversol (OPTIRAY)</w:t>
            </w:r>
          </w:p>
        </w:tc>
      </w:tr>
      <w:tr>
        <w:tc>
          <w:tcPr>
            <w:tcW w:type="dxa" w:w="1187"/>
          </w:tcPr>
          <w:p>
            <w:r>
              <w:rPr>
                <w:rFonts w:ascii="Times New Roman" w:hAnsi="Times New Roman"/>
                <w:sz w:val="20"/>
              </w:rPr>
              <w:t>**Code ATC**</w:t>
            </w:r>
          </w:p>
        </w:tc>
        <w:tc>
          <w:tcPr>
            <w:tcW w:type="dxa" w:w="1187"/>
          </w:tcPr>
          <w:p>
            <w:r>
              <w:rPr>
                <w:rFonts w:ascii="Times New Roman" w:hAnsi="Times New Roman"/>
                <w:sz w:val="20"/>
              </w:rPr>
              <w:t>V08AB02</w:t>
            </w:r>
          </w:p>
        </w:tc>
        <w:tc>
          <w:tcPr>
            <w:tcW w:type="dxa" w:w="1187"/>
          </w:tcPr>
          <w:p>
            <w:r>
              <w:rPr>
                <w:rFonts w:ascii="Times New Roman" w:hAnsi="Times New Roman"/>
                <w:sz w:val="20"/>
              </w:rPr>
              <w:t>V08AB04</w:t>
            </w:r>
          </w:p>
        </w:tc>
        <w:tc>
          <w:tcPr>
            <w:tcW w:type="dxa" w:w="1187"/>
          </w:tcPr>
          <w:p>
            <w:r>
              <w:rPr>
                <w:rFonts w:ascii="Times New Roman" w:hAnsi="Times New Roman"/>
                <w:sz w:val="20"/>
              </w:rPr>
              <w:t>V08AB04</w:t>
            </w:r>
          </w:p>
        </w:tc>
        <w:tc>
          <w:tcPr>
            <w:tcW w:type="dxa" w:w="1187"/>
          </w:tcPr>
          <w:p>
            <w:r>
              <w:rPr>
                <w:rFonts w:ascii="Times New Roman" w:hAnsi="Times New Roman"/>
                <w:sz w:val="20"/>
              </w:rPr>
              <w:t>V08AB05</w:t>
            </w:r>
          </w:p>
        </w:tc>
        <w:tc>
          <w:tcPr>
            <w:tcW w:type="dxa" w:w="1187"/>
          </w:tcPr>
          <w:p>
            <w:r>
              <w:rPr>
                <w:rFonts w:ascii="Times New Roman" w:hAnsi="Times New Roman"/>
                <w:sz w:val="20"/>
              </w:rPr>
              <w:t>V08AB10</w:t>
            </w:r>
          </w:p>
        </w:tc>
        <w:tc>
          <w:tcPr>
            <w:tcW w:type="dxa" w:w="1187"/>
          </w:tcPr>
          <w:p>
            <w:r>
              <w:rPr>
                <w:rFonts w:ascii="Times New Roman" w:hAnsi="Times New Roman"/>
                <w:sz w:val="20"/>
              </w:rPr>
              <w:t>V08AB09</w:t>
            </w:r>
          </w:p>
        </w:tc>
      </w:tr>
      <w:tr>
        <w:tc>
          <w:tcPr>
            <w:tcW w:type="dxa" w:w="1187"/>
          </w:tcPr>
          <w:p>
            <w:r>
              <w:rPr>
                <w:rFonts w:ascii="Times New Roman" w:hAnsi="Times New Roman"/>
                <w:sz w:val="20"/>
              </w:rPr>
              <w:t>**Formule chimique**</w:t>
            </w:r>
          </w:p>
        </w:tc>
        <w:tc>
          <w:tcPr>
            <w:tcW w:type="dxa" w:w="1187"/>
          </w:tcPr>
          <w:p>
            <w:r>
              <w:rPr>
                <w:rFonts w:ascii="Times New Roman" w:hAnsi="Times New Roman"/>
                <w:sz w:val="20"/>
              </w:rPr>
              <w:t>C₁₉H₂₆I₃N₃O₉</w:t>
            </w:r>
          </w:p>
        </w:tc>
        <w:tc>
          <w:tcPr>
            <w:tcW w:type="dxa" w:w="1187"/>
          </w:tcPr>
          <w:p>
            <w:r>
              <w:rPr>
                <w:rFonts w:ascii="Times New Roman" w:hAnsi="Times New Roman"/>
                <w:sz w:val="20"/>
              </w:rPr>
              <w:t>C₁₇H₂₂I₃N₃O₈</w:t>
            </w:r>
          </w:p>
        </w:tc>
        <w:tc>
          <w:tcPr>
            <w:tcW w:type="dxa" w:w="1187"/>
          </w:tcPr>
          <w:p>
            <w:r>
              <w:rPr>
                <w:rFonts w:ascii="Times New Roman" w:hAnsi="Times New Roman"/>
                <w:sz w:val="20"/>
              </w:rPr>
              <w:t>C₁₇H₂₂I₃N₃O₈</w:t>
            </w:r>
          </w:p>
        </w:tc>
        <w:tc>
          <w:tcPr>
            <w:tcW w:type="dxa" w:w="1187"/>
          </w:tcPr>
          <w:p>
            <w:r>
              <w:rPr>
                <w:rFonts w:ascii="Times New Roman" w:hAnsi="Times New Roman"/>
                <w:sz w:val="20"/>
              </w:rPr>
              <w:t>C₂₁H₂₄I₃N₃O₈</w:t>
            </w:r>
          </w:p>
        </w:tc>
        <w:tc>
          <w:tcPr>
            <w:tcW w:type="dxa" w:w="1187"/>
          </w:tcPr>
          <w:p>
            <w:r>
              <w:rPr>
                <w:rFonts w:ascii="Times New Roman" w:hAnsi="Times New Roman"/>
                <w:sz w:val="20"/>
              </w:rPr>
              <w:t>C₂₀H₂₈I₃N₃O₉</w:t>
            </w:r>
          </w:p>
        </w:tc>
        <w:tc>
          <w:tcPr>
            <w:tcW w:type="dxa" w:w="1187"/>
          </w:tcPr>
          <w:p>
            <w:r>
              <w:rPr>
                <w:rFonts w:ascii="Times New Roman" w:hAnsi="Times New Roman"/>
                <w:sz w:val="20"/>
              </w:rPr>
              <w:t>C₁₈H₂₄I₃N₃O₉</w:t>
            </w:r>
          </w:p>
        </w:tc>
      </w:tr>
      <w:tr>
        <w:tc>
          <w:tcPr>
            <w:tcW w:type="dxa" w:w="1187"/>
          </w:tcPr>
          <w:p>
            <w:r>
              <w:rPr>
                <w:rFonts w:ascii="Times New Roman" w:hAnsi="Times New Roman"/>
                <w:sz w:val="20"/>
              </w:rPr>
              <w:t>**Masse molaire (g/mol)**</w:t>
            </w:r>
          </w:p>
        </w:tc>
        <w:tc>
          <w:tcPr>
            <w:tcW w:type="dxa" w:w="1187"/>
          </w:tcPr>
          <w:p>
            <w:r>
              <w:rPr>
                <w:rFonts w:ascii="Times New Roman" w:hAnsi="Times New Roman"/>
                <w:sz w:val="20"/>
              </w:rPr>
              <w:t>821</w:t>
            </w:r>
          </w:p>
        </w:tc>
        <w:tc>
          <w:tcPr>
            <w:tcW w:type="dxa" w:w="1187"/>
          </w:tcPr>
          <w:p>
            <w:r>
              <w:rPr>
                <w:rFonts w:ascii="Times New Roman" w:hAnsi="Times New Roman"/>
                <w:sz w:val="20"/>
              </w:rPr>
              <w:t>777</w:t>
            </w:r>
          </w:p>
        </w:tc>
        <w:tc>
          <w:tcPr>
            <w:tcW w:type="dxa" w:w="1187"/>
          </w:tcPr>
          <w:p>
            <w:r>
              <w:rPr>
                <w:rFonts w:ascii="Times New Roman" w:hAnsi="Times New Roman"/>
                <w:sz w:val="20"/>
              </w:rPr>
              <w:t>777</w:t>
            </w:r>
          </w:p>
        </w:tc>
        <w:tc>
          <w:tcPr>
            <w:tcW w:type="dxa" w:w="1187"/>
          </w:tcPr>
          <w:p>
            <w:r>
              <w:rPr>
                <w:rFonts w:ascii="Times New Roman" w:hAnsi="Times New Roman"/>
                <w:sz w:val="20"/>
              </w:rPr>
              <w:t>791</w:t>
            </w:r>
          </w:p>
        </w:tc>
        <w:tc>
          <w:tcPr>
            <w:tcW w:type="dxa" w:w="1187"/>
          </w:tcPr>
          <w:p>
            <w:r>
              <w:rPr>
                <w:rFonts w:ascii="Times New Roman" w:hAnsi="Times New Roman"/>
                <w:sz w:val="20"/>
              </w:rPr>
              <w:t>835</w:t>
            </w:r>
          </w:p>
        </w:tc>
        <w:tc>
          <w:tcPr>
            <w:tcW w:type="dxa" w:w="1187"/>
          </w:tcPr>
          <w:p>
            <w:r>
              <w:rPr>
                <w:rFonts w:ascii="Times New Roman" w:hAnsi="Times New Roman"/>
                <w:sz w:val="20"/>
              </w:rPr>
              <w:t>807</w:t>
            </w:r>
          </w:p>
        </w:tc>
      </w:tr>
      <w:tr>
        <w:tc>
          <w:tcPr>
            <w:tcW w:type="dxa" w:w="1187"/>
          </w:tcPr>
          <w:p>
            <w:r>
              <w:rPr>
                <w:rFonts w:ascii="Times New Roman" w:hAnsi="Times New Roman"/>
                <w:sz w:val="20"/>
              </w:rPr>
              <w:t>**Nb groupes OH**</w:t>
            </w:r>
          </w:p>
        </w:tc>
        <w:tc>
          <w:tcPr>
            <w:tcW w:type="dxa" w:w="1187"/>
          </w:tcPr>
          <w:p>
            <w:r>
              <w:rPr>
                <w:rFonts w:ascii="Times New Roman" w:hAnsi="Times New Roman"/>
                <w:sz w:val="20"/>
              </w:rPr>
              <w:t>5</w:t>
            </w:r>
          </w:p>
        </w:tc>
        <w:tc>
          <w:tcPr>
            <w:tcW w:type="dxa" w:w="1187"/>
          </w:tcPr>
          <w:p>
            <w:r>
              <w:rPr>
                <w:rFonts w:ascii="Times New Roman" w:hAnsi="Times New Roman"/>
                <w:sz w:val="20"/>
              </w:rPr>
              <w:t>4</w:t>
            </w:r>
          </w:p>
        </w:tc>
        <w:tc>
          <w:tcPr>
            <w:tcW w:type="dxa" w:w="1187"/>
          </w:tcPr>
          <w:p>
            <w:r>
              <w:rPr>
                <w:rFonts w:ascii="Times New Roman" w:hAnsi="Times New Roman"/>
                <w:sz w:val="20"/>
              </w:rPr>
              <w:t>4</w:t>
            </w:r>
          </w:p>
        </w:tc>
        <w:tc>
          <w:tcPr>
            <w:tcW w:type="dxa" w:w="1187"/>
          </w:tcPr>
          <w:p>
            <w:r>
              <w:rPr>
                <w:rFonts w:ascii="Times New Roman" w:hAnsi="Times New Roman"/>
                <w:sz w:val="20"/>
              </w:rPr>
              <w:t>3</w:t>
            </w:r>
          </w:p>
        </w:tc>
        <w:tc>
          <w:tcPr>
            <w:tcW w:type="dxa" w:w="1187"/>
          </w:tcPr>
          <w:p>
            <w:r>
              <w:rPr>
                <w:rFonts w:ascii="Times New Roman" w:hAnsi="Times New Roman"/>
                <w:sz w:val="20"/>
              </w:rPr>
              <w:t>4</w:t>
            </w:r>
          </w:p>
        </w:tc>
        <w:tc>
          <w:tcPr>
            <w:tcW w:type="dxa" w:w="1187"/>
          </w:tcPr>
          <w:p>
            <w:r>
              <w:rPr>
                <w:rFonts w:ascii="Times New Roman" w:hAnsi="Times New Roman"/>
                <w:sz w:val="20"/>
              </w:rPr>
              <w:t>5</w:t>
            </w:r>
          </w:p>
        </w:tc>
      </w:tr>
      <w:tr>
        <w:tc>
          <w:tcPr>
            <w:tcW w:type="dxa" w:w="1187"/>
          </w:tcPr>
          <w:p>
            <w:r>
              <w:rPr>
                <w:rFonts w:ascii="Times New Roman" w:hAnsi="Times New Roman"/>
                <w:sz w:val="20"/>
              </w:rPr>
              <w:t>**log P**</w:t>
            </w:r>
          </w:p>
        </w:tc>
        <w:tc>
          <w:tcPr>
            <w:tcW w:type="dxa" w:w="1187"/>
          </w:tcPr>
          <w:p>
            <w:r>
              <w:rPr>
                <w:rFonts w:ascii="Times New Roman" w:hAnsi="Times New Roman"/>
                <w:sz w:val="20"/>
              </w:rPr>
              <w:t>-3,0</w:t>
            </w:r>
          </w:p>
        </w:tc>
        <w:tc>
          <w:tcPr>
            <w:tcW w:type="dxa" w:w="1187"/>
          </w:tcPr>
          <w:p>
            <w:r>
              <w:rPr>
                <w:rFonts w:ascii="Times New Roman" w:hAnsi="Times New Roman"/>
                <w:sz w:val="20"/>
              </w:rPr>
              <w:t>-2,42</w:t>
            </w:r>
          </w:p>
        </w:tc>
        <w:tc>
          <w:tcPr>
            <w:tcW w:type="dxa" w:w="1187"/>
          </w:tcPr>
          <w:p>
            <w:r>
              <w:rPr>
                <w:rFonts w:ascii="Times New Roman" w:hAnsi="Times New Roman"/>
                <w:sz w:val="20"/>
              </w:rPr>
              <w:t>-2,42</w:t>
            </w:r>
          </w:p>
        </w:tc>
        <w:tc>
          <w:tcPr>
            <w:tcW w:type="dxa" w:w="1187"/>
          </w:tcPr>
          <w:p>
            <w:r>
              <w:rPr>
                <w:rFonts w:ascii="Times New Roman" w:hAnsi="Times New Roman"/>
                <w:sz w:val="20"/>
              </w:rPr>
              <w:t>-2,02</w:t>
            </w:r>
          </w:p>
        </w:tc>
        <w:tc>
          <w:tcPr>
            <w:tcW w:type="dxa" w:w="1187"/>
          </w:tcPr>
          <w:p>
            <w:r>
              <w:rPr>
                <w:rFonts w:ascii="Times New Roman" w:hAnsi="Times New Roman"/>
                <w:sz w:val="20"/>
              </w:rPr>
              <w:t>-2,67</w:t>
            </w:r>
          </w:p>
        </w:tc>
        <w:tc>
          <w:tcPr>
            <w:tcW w:type="dxa" w:w="1187"/>
          </w:tcPr>
          <w:p>
            <w:r>
              <w:rPr>
                <w:rFonts w:ascii="Times New Roman" w:hAnsi="Times New Roman"/>
                <w:sz w:val="20"/>
              </w:rPr>
              <w:t>-2,47</w:t>
            </w:r>
          </w:p>
        </w:tc>
      </w:tr>
      <w:tr>
        <w:tc>
          <w:tcPr>
            <w:tcW w:type="dxa" w:w="1187"/>
          </w:tcPr>
          <w:p>
            <w:r>
              <w:rPr>
                <w:rFonts w:ascii="Times New Roman" w:hAnsi="Times New Roman"/>
                <w:sz w:val="20"/>
              </w:rPr>
              <w:t>**Concentration (mg I/mL)**</w:t>
            </w:r>
          </w:p>
        </w:tc>
        <w:tc>
          <w:tcPr>
            <w:tcW w:type="dxa" w:w="1187"/>
          </w:tcPr>
          <w:p>
            <w:r>
              <w:rPr>
                <w:rFonts w:ascii="Times New Roman" w:hAnsi="Times New Roman"/>
                <w:sz w:val="20"/>
              </w:rPr>
              <w:t>300 / 350</w:t>
            </w:r>
          </w:p>
        </w:tc>
        <w:tc>
          <w:tcPr>
            <w:tcW w:type="dxa" w:w="1187"/>
          </w:tcPr>
          <w:p>
            <w:r>
              <w:rPr>
                <w:rFonts w:ascii="Times New Roman" w:hAnsi="Times New Roman"/>
                <w:sz w:val="20"/>
              </w:rPr>
              <w:t>300</w:t>
            </w:r>
          </w:p>
        </w:tc>
        <w:tc>
          <w:tcPr>
            <w:tcW w:type="dxa" w:w="1187"/>
          </w:tcPr>
          <w:p>
            <w:r>
              <w:rPr>
                <w:rFonts w:ascii="Times New Roman" w:hAnsi="Times New Roman"/>
                <w:sz w:val="20"/>
              </w:rPr>
              <w:t>370</w:t>
            </w:r>
          </w:p>
        </w:tc>
        <w:tc>
          <w:tcPr>
            <w:tcW w:type="dxa" w:w="1187"/>
          </w:tcPr>
          <w:p>
            <w:r>
              <w:rPr>
                <w:rFonts w:ascii="Times New Roman" w:hAnsi="Times New Roman"/>
                <w:sz w:val="20"/>
              </w:rPr>
              <w:t>300 / 370</w:t>
            </w:r>
          </w:p>
        </w:tc>
        <w:tc>
          <w:tcPr>
            <w:tcW w:type="dxa" w:w="1187"/>
          </w:tcPr>
          <w:p>
            <w:r>
              <w:rPr>
                <w:rFonts w:ascii="Times New Roman" w:hAnsi="Times New Roman"/>
                <w:sz w:val="20"/>
              </w:rPr>
              <w:t>300 / 350</w:t>
            </w:r>
          </w:p>
        </w:tc>
        <w:tc>
          <w:tcPr>
            <w:tcW w:type="dxa" w:w="1187"/>
          </w:tcPr>
          <w:p>
            <w:r>
              <w:rPr>
                <w:rFonts w:ascii="Times New Roman" w:hAnsi="Times New Roman"/>
                <w:sz w:val="20"/>
              </w:rPr>
              <w:t>300 / 350</w:t>
            </w:r>
          </w:p>
        </w:tc>
      </w:tr>
      <w:tr>
        <w:tc>
          <w:tcPr>
            <w:tcW w:type="dxa" w:w="1187"/>
          </w:tcPr>
          <w:p>
            <w:r>
              <w:rPr>
                <w:rFonts w:ascii="Times New Roman" w:hAnsi="Times New Roman"/>
                <w:sz w:val="20"/>
              </w:rPr>
              <w:t>**Osmolalité 300 mg/mL (mOsm/kg)**</w:t>
            </w:r>
          </w:p>
        </w:tc>
        <w:tc>
          <w:tcPr>
            <w:tcW w:type="dxa" w:w="1187"/>
          </w:tcPr>
          <w:p>
            <w:r>
              <w:rPr>
                <w:rFonts w:ascii="Times New Roman" w:hAnsi="Times New Roman"/>
                <w:sz w:val="20"/>
              </w:rPr>
              <w:t>672</w:t>
            </w:r>
          </w:p>
        </w:tc>
        <w:tc>
          <w:tcPr>
            <w:tcW w:type="dxa" w:w="1187"/>
          </w:tcPr>
          <w:p>
            <w:r>
              <w:rPr>
                <w:rFonts w:ascii="Times New Roman" w:hAnsi="Times New Roman"/>
                <w:sz w:val="20"/>
              </w:rPr>
              <w:t>616</w:t>
            </w:r>
          </w:p>
        </w:tc>
        <w:tc>
          <w:tcPr>
            <w:tcW w:type="dxa" w:w="1187"/>
          </w:tcPr>
          <w:p>
            <w:r>
              <w:rPr>
                <w:rFonts w:ascii="Times New Roman" w:hAnsi="Times New Roman"/>
                <w:sz w:val="20"/>
              </w:rPr>
              <w:t>796</w:t>
            </w:r>
          </w:p>
        </w:tc>
        <w:tc>
          <w:tcPr>
            <w:tcW w:type="dxa" w:w="1187"/>
          </w:tcPr>
          <w:p>
            <w:r>
              <w:rPr>
                <w:rFonts w:ascii="Times New Roman" w:hAnsi="Times New Roman"/>
                <w:sz w:val="20"/>
              </w:rPr>
              <w:t>607</w:t>
            </w:r>
          </w:p>
        </w:tc>
        <w:tc>
          <w:tcPr>
            <w:tcW w:type="dxa" w:w="1187"/>
          </w:tcPr>
          <w:p>
            <w:r>
              <w:rPr>
                <w:rFonts w:ascii="Times New Roman" w:hAnsi="Times New Roman"/>
                <w:sz w:val="20"/>
              </w:rPr>
              <w:t>695</w:t>
            </w:r>
          </w:p>
        </w:tc>
        <w:tc>
          <w:tcPr>
            <w:tcW w:type="dxa" w:w="1187"/>
          </w:tcPr>
          <w:p>
            <w:r>
              <w:rPr>
                <w:rFonts w:ascii="Times New Roman" w:hAnsi="Times New Roman"/>
                <w:sz w:val="20"/>
              </w:rPr>
              <w:t>651</w:t>
            </w:r>
          </w:p>
        </w:tc>
      </w:tr>
      <w:tr>
        <w:tc>
          <w:tcPr>
            <w:tcW w:type="dxa" w:w="1187"/>
          </w:tcPr>
          <w:p>
            <w:r>
              <w:rPr>
                <w:rFonts w:ascii="Times New Roman" w:hAnsi="Times New Roman"/>
                <w:sz w:val="20"/>
              </w:rPr>
              <w:t>**Osmolalité 350-370 mg/mL (mOsm/kg)**</w:t>
            </w:r>
          </w:p>
        </w:tc>
        <w:tc>
          <w:tcPr>
            <w:tcW w:type="dxa" w:w="1187"/>
          </w:tcPr>
          <w:p>
            <w:r>
              <w:rPr>
                <w:rFonts w:ascii="Times New Roman" w:hAnsi="Times New Roman"/>
                <w:sz w:val="20"/>
              </w:rPr>
              <w:t>844</w:t>
            </w:r>
          </w:p>
        </w:tc>
        <w:tc>
          <w:tcPr>
            <w:tcW w:type="dxa" w:w="1187"/>
          </w:tcPr>
          <w:p>
            <w:r>
              <w:rPr>
                <w:rFonts w:ascii="Times New Roman" w:hAnsi="Times New Roman"/>
                <w:sz w:val="20"/>
              </w:rPr>
              <w:t>796</w:t>
            </w:r>
          </w:p>
        </w:tc>
        <w:tc>
          <w:tcPr>
            <w:tcW w:type="dxa" w:w="1187"/>
          </w:tcPr>
          <w:p>
            <w:r>
              <w:rPr>
                <w:rFonts w:ascii="Times New Roman" w:hAnsi="Times New Roman"/>
                <w:sz w:val="20"/>
              </w:rPr>
              <w:t>796</w:t>
            </w:r>
          </w:p>
        </w:tc>
        <w:tc>
          <w:tcPr>
            <w:tcW w:type="dxa" w:w="1187"/>
          </w:tcPr>
          <w:p>
            <w:r>
              <w:rPr>
                <w:rFonts w:ascii="Times New Roman" w:hAnsi="Times New Roman"/>
                <w:sz w:val="20"/>
              </w:rPr>
              <w:t>774</w:t>
            </w:r>
          </w:p>
        </w:tc>
        <w:tc>
          <w:tcPr>
            <w:tcW w:type="dxa" w:w="1187"/>
          </w:tcPr>
          <w:p>
            <w:r>
              <w:rPr>
                <w:rFonts w:ascii="Times New Roman" w:hAnsi="Times New Roman"/>
                <w:sz w:val="20"/>
              </w:rPr>
              <w:t>885</w:t>
            </w:r>
          </w:p>
        </w:tc>
        <w:tc>
          <w:tcPr>
            <w:tcW w:type="dxa" w:w="1187"/>
          </w:tcPr>
          <w:p>
            <w:r>
              <w:rPr>
                <w:rFonts w:ascii="Times New Roman" w:hAnsi="Times New Roman"/>
                <w:sz w:val="20"/>
              </w:rPr>
              <w:t>792</w:t>
            </w:r>
          </w:p>
        </w:tc>
      </w:tr>
      <w:tr>
        <w:tc>
          <w:tcPr>
            <w:tcW w:type="dxa" w:w="1187"/>
          </w:tcPr>
          <w:p>
            <w:r>
              <w:rPr>
                <w:rFonts w:ascii="Times New Roman" w:hAnsi="Times New Roman"/>
                <w:sz w:val="20"/>
              </w:rPr>
              <w:t>**Viscosité 37 °C 300 mg/mL (mPa·s)**</w:t>
            </w:r>
          </w:p>
        </w:tc>
        <w:tc>
          <w:tcPr>
            <w:tcW w:type="dxa" w:w="1187"/>
          </w:tcPr>
          <w:p>
            <w:r>
              <w:rPr>
                <w:rFonts w:ascii="Times New Roman" w:hAnsi="Times New Roman"/>
                <w:sz w:val="20"/>
              </w:rPr>
              <w:t>6,3</w:t>
            </w:r>
          </w:p>
        </w:tc>
        <w:tc>
          <w:tcPr>
            <w:tcW w:type="dxa" w:w="1187"/>
          </w:tcPr>
          <w:p>
            <w:r>
              <w:rPr>
                <w:rFonts w:ascii="Times New Roman" w:hAnsi="Times New Roman"/>
                <w:sz w:val="20"/>
              </w:rPr>
              <w:t>4,7</w:t>
            </w:r>
          </w:p>
        </w:tc>
        <w:tc>
          <w:tcPr>
            <w:tcW w:type="dxa" w:w="1187"/>
          </w:tcPr>
          <w:p>
            <w:r>
              <w:rPr>
                <w:rFonts w:ascii="Times New Roman" w:hAnsi="Times New Roman"/>
                <w:sz w:val="20"/>
              </w:rPr>
              <w:t>9,1</w:t>
            </w:r>
          </w:p>
        </w:tc>
        <w:tc>
          <w:tcPr>
            <w:tcW w:type="dxa" w:w="1187"/>
          </w:tcPr>
          <w:p>
            <w:r>
              <w:rPr>
                <w:rFonts w:ascii="Times New Roman" w:hAnsi="Times New Roman"/>
                <w:sz w:val="20"/>
              </w:rPr>
              <w:t>4,6</w:t>
            </w:r>
          </w:p>
        </w:tc>
        <w:tc>
          <w:tcPr>
            <w:tcW w:type="dxa" w:w="1187"/>
          </w:tcPr>
          <w:p>
            <w:r>
              <w:rPr>
                <w:rFonts w:ascii="Times New Roman" w:hAnsi="Times New Roman"/>
                <w:sz w:val="20"/>
              </w:rPr>
              <w:t>6,0</w:t>
            </w:r>
          </w:p>
        </w:tc>
        <w:tc>
          <w:tcPr>
            <w:tcW w:type="dxa" w:w="1187"/>
          </w:tcPr>
          <w:p>
            <w:r>
              <w:rPr>
                <w:rFonts w:ascii="Times New Roman" w:hAnsi="Times New Roman"/>
                <w:sz w:val="20"/>
              </w:rPr>
              <w:t>5,8</w:t>
            </w:r>
          </w:p>
        </w:tc>
      </w:tr>
      <w:tr>
        <w:tc>
          <w:tcPr>
            <w:tcW w:type="dxa" w:w="1187"/>
          </w:tcPr>
          <w:p>
            <w:r>
              <w:rPr>
                <w:rFonts w:ascii="Times New Roman" w:hAnsi="Times New Roman"/>
                <w:sz w:val="20"/>
              </w:rPr>
              <w:t>**Demi-vie (min)**</w:t>
            </w:r>
          </w:p>
        </w:tc>
        <w:tc>
          <w:tcPr>
            <w:tcW w:type="dxa" w:w="1187"/>
          </w:tcPr>
          <w:p>
            <w:r>
              <w:rPr>
                <w:rFonts w:ascii="Times New Roman" w:hAnsi="Times New Roman"/>
                <w:sz w:val="20"/>
              </w:rPr>
              <w:t>120</w:t>
            </w:r>
          </w:p>
        </w:tc>
        <w:tc>
          <w:tcPr>
            <w:tcW w:type="dxa" w:w="1187"/>
          </w:tcPr>
          <w:p>
            <w:r>
              <w:rPr>
                <w:rFonts w:ascii="Times New Roman" w:hAnsi="Times New Roman"/>
                <w:sz w:val="20"/>
              </w:rPr>
              <w:t>120</w:t>
            </w:r>
          </w:p>
        </w:tc>
        <w:tc>
          <w:tcPr>
            <w:tcW w:type="dxa" w:w="1187"/>
          </w:tcPr>
          <w:p>
            <w:r>
              <w:rPr>
                <w:rFonts w:ascii="Times New Roman" w:hAnsi="Times New Roman"/>
                <w:sz w:val="20"/>
              </w:rPr>
              <w:t>120</w:t>
            </w:r>
          </w:p>
        </w:tc>
        <w:tc>
          <w:tcPr>
            <w:tcW w:type="dxa" w:w="1187"/>
          </w:tcPr>
          <w:p>
            <w:r>
              <w:rPr>
                <w:rFonts w:ascii="Times New Roman" w:hAnsi="Times New Roman"/>
                <w:sz w:val="20"/>
              </w:rPr>
              <w:t>120</w:t>
            </w:r>
          </w:p>
        </w:tc>
        <w:tc>
          <w:tcPr>
            <w:tcW w:type="dxa" w:w="1187"/>
          </w:tcPr>
          <w:p>
            <w:r>
              <w:rPr>
                <w:rFonts w:ascii="Times New Roman" w:hAnsi="Times New Roman"/>
                <w:sz w:val="20"/>
              </w:rPr>
              <w:t>120</w:t>
            </w:r>
          </w:p>
        </w:tc>
        <w:tc>
          <w:tcPr>
            <w:tcW w:type="dxa" w:w="1187"/>
          </w:tcPr>
          <w:p>
            <w:r>
              <w:rPr>
                <w:rFonts w:ascii="Times New Roman" w:hAnsi="Times New Roman"/>
                <w:sz w:val="20"/>
              </w:rPr>
              <w:t>120</w:t>
            </w:r>
          </w:p>
        </w:tc>
      </w:tr>
      <w:tr>
        <w:tc>
          <w:tcPr>
            <w:tcW w:type="dxa" w:w="1187"/>
          </w:tcPr>
          <w:p>
            <w:r>
              <w:rPr>
                <w:rFonts w:ascii="Times New Roman" w:hAnsi="Times New Roman"/>
                <w:sz w:val="20"/>
              </w:rPr>
              <w:t>**Élimination**</w:t>
            </w:r>
          </w:p>
        </w:tc>
        <w:tc>
          <w:tcPr>
            <w:tcW w:type="dxa" w:w="1187"/>
          </w:tcPr>
          <w:p>
            <w:r>
              <w:rPr>
                <w:rFonts w:ascii="Times New Roman" w:hAnsi="Times New Roman"/>
                <w:sz w:val="20"/>
              </w:rPr>
              <w:t>Rénale 100 %</w:t>
            </w:r>
          </w:p>
        </w:tc>
        <w:tc>
          <w:tcPr>
            <w:tcW w:type="dxa" w:w="1187"/>
          </w:tcPr>
          <w:p>
            <w:r>
              <w:rPr>
                <w:rFonts w:ascii="Times New Roman" w:hAnsi="Times New Roman"/>
                <w:sz w:val="20"/>
              </w:rPr>
              <w:t>Rénale 100 %</w:t>
            </w:r>
          </w:p>
        </w:tc>
        <w:tc>
          <w:tcPr>
            <w:tcW w:type="dxa" w:w="1187"/>
          </w:tcPr>
          <w:p>
            <w:r>
              <w:rPr>
                <w:rFonts w:ascii="Times New Roman" w:hAnsi="Times New Roman"/>
                <w:sz w:val="20"/>
              </w:rPr>
              <w:t>Rénale 100 %</w:t>
            </w:r>
          </w:p>
        </w:tc>
        <w:tc>
          <w:tcPr>
            <w:tcW w:type="dxa" w:w="1187"/>
          </w:tcPr>
          <w:p>
            <w:r>
              <w:rPr>
                <w:rFonts w:ascii="Times New Roman" w:hAnsi="Times New Roman"/>
                <w:sz w:val="20"/>
              </w:rPr>
              <w:t>Rénale 100 %</w:t>
            </w:r>
          </w:p>
        </w:tc>
        <w:tc>
          <w:tcPr>
            <w:tcW w:type="dxa" w:w="1187"/>
          </w:tcPr>
          <w:p>
            <w:r>
              <w:rPr>
                <w:rFonts w:ascii="Times New Roman" w:hAnsi="Times New Roman"/>
                <w:sz w:val="20"/>
              </w:rPr>
              <w:t>Rénale 100 %</w:t>
            </w:r>
          </w:p>
        </w:tc>
        <w:tc>
          <w:tcPr>
            <w:tcW w:type="dxa" w:w="1187"/>
          </w:tcPr>
          <w:p>
            <w:r>
              <w:rPr>
                <w:rFonts w:ascii="Times New Roman" w:hAnsi="Times New Roman"/>
                <w:sz w:val="20"/>
              </w:rPr>
              <w:t>Rénale 100 %</w:t>
            </w:r>
          </w:p>
        </w:tc>
      </w:tr>
      <w:tr>
        <w:tc>
          <w:tcPr>
            <w:tcW w:type="dxa" w:w="1187"/>
          </w:tcPr>
          <w:p>
            <w:r>
              <w:rPr>
                <w:rFonts w:ascii="Times New Roman" w:hAnsi="Times New Roman"/>
                <w:sz w:val="20"/>
              </w:rPr>
              <w:t>**Liaison protéique**</w:t>
            </w:r>
          </w:p>
        </w:tc>
        <w:tc>
          <w:tcPr>
            <w:tcW w:type="dxa" w:w="1187"/>
          </w:tcPr>
          <w:p>
            <w:r>
              <w:rPr>
                <w:rFonts w:ascii="Times New Roman" w:hAnsi="Times New Roman"/>
                <w:sz w:val="20"/>
              </w:rPr>
              <w:t>&lt; 2 %</w:t>
            </w:r>
          </w:p>
        </w:tc>
        <w:tc>
          <w:tcPr>
            <w:tcW w:type="dxa" w:w="1187"/>
          </w:tcPr>
          <w:p>
            <w:r>
              <w:rPr>
                <w:rFonts w:ascii="Times New Roman" w:hAnsi="Times New Roman"/>
                <w:sz w:val="20"/>
              </w:rPr>
              <w:t>&lt; 1 %</w:t>
            </w:r>
          </w:p>
        </w:tc>
        <w:tc>
          <w:tcPr>
            <w:tcW w:type="dxa" w:w="1187"/>
          </w:tcPr>
          <w:p>
            <w:r>
              <w:rPr>
                <w:rFonts w:ascii="Times New Roman" w:hAnsi="Times New Roman"/>
                <w:sz w:val="20"/>
              </w:rPr>
              <w:t>&lt; 1 %</w:t>
            </w:r>
          </w:p>
        </w:tc>
        <w:tc>
          <w:tcPr>
            <w:tcW w:type="dxa" w:w="1187"/>
          </w:tcPr>
          <w:p>
            <w:r>
              <w:rPr>
                <w:rFonts w:ascii="Times New Roman" w:hAnsi="Times New Roman"/>
                <w:sz w:val="20"/>
              </w:rPr>
              <w:t>&lt; 1 %</w:t>
            </w:r>
          </w:p>
        </w:tc>
        <w:tc>
          <w:tcPr>
            <w:tcW w:type="dxa" w:w="1187"/>
          </w:tcPr>
          <w:p>
            <w:r>
              <w:rPr>
                <w:rFonts w:ascii="Times New Roman" w:hAnsi="Times New Roman"/>
                <w:sz w:val="20"/>
              </w:rPr>
              <w:t>&lt; 2 %</w:t>
            </w:r>
          </w:p>
        </w:tc>
        <w:tc>
          <w:tcPr>
            <w:tcW w:type="dxa" w:w="1187"/>
          </w:tcPr>
          <w:p>
            <w:r>
              <w:rPr>
                <w:rFonts w:ascii="Times New Roman" w:hAnsi="Times New Roman"/>
                <w:sz w:val="20"/>
              </w:rPr>
              <w:t>&lt; 2 %</w:t>
            </w:r>
          </w:p>
        </w:tc>
      </w:tr>
      <w:tr>
        <w:tc>
          <w:tcPr>
            <w:tcW w:type="dxa" w:w="1187"/>
          </w:tcPr>
          <w:p>
            <w:r>
              <w:rPr>
                <w:rFonts w:ascii="Times New Roman" w:hAnsi="Times New Roman"/>
                <w:sz w:val="20"/>
              </w:rPr>
              <w:t>**AMM initiale**</w:t>
            </w:r>
          </w:p>
        </w:tc>
        <w:tc>
          <w:tcPr>
            <w:tcW w:type="dxa" w:w="1187"/>
          </w:tcPr>
          <w:p>
            <w:r>
              <w:rPr>
                <w:rFonts w:ascii="Times New Roman" w:hAnsi="Times New Roman"/>
                <w:sz w:val="20"/>
              </w:rPr>
              <w:t>1983</w:t>
            </w:r>
          </w:p>
        </w:tc>
        <w:tc>
          <w:tcPr>
            <w:tcW w:type="dxa" w:w="1187"/>
          </w:tcPr>
          <w:p>
            <w:r>
              <w:rPr>
                <w:rFonts w:ascii="Times New Roman" w:hAnsi="Times New Roman"/>
                <w:sz w:val="20"/>
              </w:rPr>
              <w:t>1985</w:t>
            </w:r>
          </w:p>
        </w:tc>
        <w:tc>
          <w:tcPr>
            <w:tcW w:type="dxa" w:w="1187"/>
          </w:tcPr>
          <w:p>
            <w:r>
              <w:rPr>
                <w:rFonts w:ascii="Times New Roman" w:hAnsi="Times New Roman"/>
                <w:sz w:val="20"/>
              </w:rPr>
              <w:t>1985</w:t>
            </w:r>
          </w:p>
        </w:tc>
        <w:tc>
          <w:tcPr>
            <w:tcW w:type="dxa" w:w="1187"/>
          </w:tcPr>
          <w:p>
            <w:r>
              <w:rPr>
                <w:rFonts w:ascii="Times New Roman" w:hAnsi="Times New Roman"/>
                <w:sz w:val="20"/>
              </w:rPr>
              <w:t>1985</w:t>
            </w:r>
          </w:p>
        </w:tc>
        <w:tc>
          <w:tcPr>
            <w:tcW w:type="dxa" w:w="1187"/>
          </w:tcPr>
          <w:p>
            <w:r>
              <w:rPr>
                <w:rFonts w:ascii="Times New Roman" w:hAnsi="Times New Roman"/>
                <w:sz w:val="20"/>
              </w:rPr>
              <w:t>1993</w:t>
            </w:r>
          </w:p>
        </w:tc>
        <w:tc>
          <w:tcPr>
            <w:tcW w:type="dxa" w:w="1187"/>
          </w:tcPr>
          <w:p>
            <w:r>
              <w:rPr>
                <w:rFonts w:ascii="Times New Roman" w:hAnsi="Times New Roman"/>
                <w:sz w:val="20"/>
              </w:rPr>
              <w:t>1989</w:t>
            </w:r>
          </w:p>
        </w:tc>
      </w:tr>
      <w:tr>
        <w:tc>
          <w:tcPr>
            <w:tcW w:type="dxa" w:w="1187"/>
          </w:tcPr>
          <w:p>
            <w:r>
              <w:rPr>
                <w:rFonts w:ascii="Times New Roman" w:hAnsi="Times New Roman"/>
                <w:sz w:val="20"/>
              </w:rPr>
              <w:t>**Indications particulières**</w:t>
            </w:r>
          </w:p>
        </w:tc>
        <w:tc>
          <w:tcPr>
            <w:tcW w:type="dxa" w:w="1187"/>
          </w:tcPr>
          <w:p>
            <w:r>
              <w:rPr>
                <w:rFonts w:ascii="Times New Roman" w:hAnsi="Times New Roman"/>
                <w:sz w:val="20"/>
              </w:rPr>
              <w:t>Myélographie ✓</w:t>
            </w:r>
          </w:p>
        </w:tc>
        <w:tc>
          <w:tcPr>
            <w:tcW w:type="dxa" w:w="1187"/>
          </w:tcPr>
          <w:p>
            <w:r>
              <w:rPr>
                <w:rFonts w:ascii="Times New Roman" w:hAnsi="Times New Roman"/>
                <w:sz w:val="20"/>
              </w:rPr>
              <w:t>Myélographie ✓</w:t>
            </w:r>
          </w:p>
        </w:tc>
        <w:tc>
          <w:tcPr>
            <w:tcW w:type="dxa" w:w="1187"/>
          </w:tcPr>
          <w:p>
            <w:r>
              <w:rPr>
                <w:rFonts w:ascii="Times New Roman" w:hAnsi="Times New Roman"/>
                <w:sz w:val="20"/>
              </w:rPr>
              <w:t>Angiographie haute densité</w:t>
            </w:r>
          </w:p>
        </w:tc>
        <w:tc>
          <w:tcPr>
            <w:tcW w:type="dxa" w:w="1187"/>
          </w:tcPr>
          <w:p>
            <w:r>
              <w:rPr>
                <w:rFonts w:ascii="Times New Roman" w:hAnsi="Times New Roman"/>
                <w:sz w:val="20"/>
              </w:rPr>
              <w:t>—</w:t>
            </w:r>
          </w:p>
        </w:tc>
        <w:tc>
          <w:tcPr>
            <w:tcW w:type="dxa" w:w="1187"/>
          </w:tcPr>
          <w:p>
            <w:r>
              <w:rPr>
                <w:rFonts w:ascii="Times New Roman" w:hAnsi="Times New Roman"/>
                <w:sz w:val="20"/>
              </w:rPr>
              <w:t>—</w:t>
            </w:r>
          </w:p>
        </w:tc>
        <w:tc>
          <w:tcPr>
            <w:tcW w:type="dxa" w:w="1187"/>
          </w:tcPr>
          <w:p>
            <w:r>
              <w:rPr>
                <w:rFonts w:ascii="Times New Roman" w:hAnsi="Times New Roman"/>
                <w:sz w:val="20"/>
              </w:rPr>
              <w:t>—</w:t>
            </w:r>
          </w:p>
        </w:tc>
      </w:tr>
      <w:tr>
        <w:tc>
          <w:tcPr>
            <w:tcW w:type="dxa" w:w="1187"/>
          </w:tcPr>
          <w:p>
            <w:r>
              <w:rPr>
                <w:rFonts w:ascii="Times New Roman" w:hAnsi="Times New Roman"/>
                <w:sz w:val="20"/>
              </w:rPr>
              <w:t>**Marques en Algérie**</w:t>
            </w:r>
          </w:p>
        </w:tc>
        <w:tc>
          <w:tcPr>
            <w:tcW w:type="dxa" w:w="1187"/>
          </w:tcPr>
          <w:p>
            <w:r>
              <w:rPr>
                <w:rFonts w:ascii="Times New Roman" w:hAnsi="Times New Roman"/>
                <w:sz w:val="20"/>
              </w:rPr>
              <w:t>OMNIPAQUE, ILLUSOF, CONTRAPAQUE, OMNIPOL</w:t>
            </w:r>
          </w:p>
        </w:tc>
        <w:tc>
          <w:tcPr>
            <w:tcW w:type="dxa" w:w="1187"/>
          </w:tcPr>
          <w:p>
            <w:r>
              <w:rPr>
                <w:rFonts w:ascii="Times New Roman" w:hAnsi="Times New Roman"/>
                <w:sz w:val="20"/>
              </w:rPr>
              <w:t>PAMIDOL 300</w:t>
            </w:r>
          </w:p>
        </w:tc>
        <w:tc>
          <w:tcPr>
            <w:tcW w:type="dxa" w:w="1187"/>
          </w:tcPr>
          <w:p>
            <w:r>
              <w:rPr>
                <w:rFonts w:ascii="Times New Roman" w:hAnsi="Times New Roman"/>
                <w:sz w:val="20"/>
              </w:rPr>
              <w:t>PAMIDOL 370</w:t>
            </w:r>
          </w:p>
        </w:tc>
        <w:tc>
          <w:tcPr>
            <w:tcW w:type="dxa" w:w="1187"/>
          </w:tcPr>
          <w:p>
            <w:r>
              <w:rPr>
                <w:rFonts w:ascii="Times New Roman" w:hAnsi="Times New Roman"/>
                <w:sz w:val="20"/>
              </w:rPr>
              <w:t>ULTRAVIST 300, ULTRAVIST 370</w:t>
            </w:r>
          </w:p>
        </w:tc>
        <w:tc>
          <w:tcPr>
            <w:tcW w:type="dxa" w:w="1187"/>
          </w:tcPr>
          <w:p>
            <w:r>
              <w:rPr>
                <w:rFonts w:ascii="Times New Roman" w:hAnsi="Times New Roman"/>
                <w:sz w:val="20"/>
              </w:rPr>
              <w:t>XENETIX 300, XENETIX 350</w:t>
            </w:r>
          </w:p>
        </w:tc>
        <w:tc>
          <w:tcPr>
            <w:tcW w:type="dxa" w:w="1187"/>
          </w:tcPr>
          <w:p>
            <w:r>
              <w:rPr>
                <w:rFonts w:ascii="Times New Roman" w:hAnsi="Times New Roman"/>
                <w:sz w:val="20"/>
              </w:rPr>
              <w:t>OPTIRAY 300, OPTIRAY 350</w:t>
            </w:r>
          </w:p>
        </w:tc>
      </w:tr>
      <w:tr>
        <w:tc>
          <w:tcPr>
            <w:tcW w:type="dxa" w:w="1187"/>
          </w:tcPr>
          <w:p>
            <w:r>
              <w:rPr>
                <w:rFonts w:ascii="Times New Roman" w:hAnsi="Times New Roman"/>
                <w:sz w:val="20"/>
              </w:rPr>
              <w:t>**Statut Algérie (Avril 2026)**</w:t>
            </w:r>
          </w:p>
        </w:tc>
        <w:tc>
          <w:tcPr>
            <w:tcW w:type="dxa" w:w="1187"/>
          </w:tcPr>
          <w:p>
            <w:r>
              <w:rPr>
                <w:rFonts w:ascii="Times New Roman" w:hAnsi="Times New Roman"/>
                <w:sz w:val="20"/>
              </w:rPr>
              <w:t>ACTIF (7 marques)</w:t>
            </w:r>
          </w:p>
        </w:tc>
        <w:tc>
          <w:tcPr>
            <w:tcW w:type="dxa" w:w="1187"/>
          </w:tcPr>
          <w:p>
            <w:r>
              <w:rPr>
                <w:rFonts w:ascii="Times New Roman" w:hAnsi="Times New Roman"/>
                <w:sz w:val="20"/>
              </w:rPr>
              <w:t>ACTIF</w:t>
            </w:r>
          </w:p>
        </w:tc>
        <w:tc>
          <w:tcPr>
            <w:tcW w:type="dxa" w:w="1187"/>
          </w:tcPr>
          <w:p>
            <w:r>
              <w:rPr>
                <w:rFonts w:ascii="Times New Roman" w:hAnsi="Times New Roman"/>
                <w:sz w:val="20"/>
              </w:rPr>
              <w:t>ACTIF</w:t>
            </w:r>
          </w:p>
        </w:tc>
        <w:tc>
          <w:tcPr>
            <w:tcW w:type="dxa" w:w="1187"/>
          </w:tcPr>
          <w:p>
            <w:r>
              <w:rPr>
                <w:rFonts w:ascii="Times New Roman" w:hAnsi="Times New Roman"/>
                <w:sz w:val="20"/>
              </w:rPr>
              <w:t>ACTIF</w:t>
            </w:r>
          </w:p>
        </w:tc>
        <w:tc>
          <w:tcPr>
            <w:tcW w:type="dxa" w:w="1187"/>
          </w:tcPr>
          <w:p>
            <w:r>
              <w:rPr>
                <w:rFonts w:ascii="Times New Roman" w:hAnsi="Times New Roman"/>
                <w:sz w:val="20"/>
              </w:rPr>
              <w:t>ACTIF</w:t>
            </w:r>
          </w:p>
        </w:tc>
        <w:tc>
          <w:tcPr>
            <w:tcW w:type="dxa" w:w="1187"/>
          </w:tcPr>
          <w:p>
            <w:r>
              <w:rPr>
                <w:rFonts w:ascii="Times New Roman" w:hAnsi="Times New Roman"/>
                <w:sz w:val="20"/>
              </w:rPr>
              <w:t>RETRAIT</w:t>
            </w:r>
          </w:p>
        </w:tc>
      </w:tr>
      <w:tr>
        <w:tc>
          <w:tcPr>
            <w:tcW w:type="dxa" w:w="1187"/>
          </w:tcPr>
          <w:p>
            <w:r>
              <w:rPr>
                <w:rFonts w:ascii="Times New Roman" w:hAnsi="Times New Roman"/>
                <w:sz w:val="20"/>
              </w:rPr>
              <w:t>**CIN (incidence, eGFR&lt;60)**</w:t>
            </w:r>
          </w:p>
        </w:tc>
        <w:tc>
          <w:tcPr>
            <w:tcW w:type="dxa" w:w="1187"/>
          </w:tcPr>
          <w:p>
            <w:r>
              <w:rPr>
                <w:rFonts w:ascii="Times New Roman" w:hAnsi="Times New Roman"/>
                <w:sz w:val="20"/>
              </w:rPr>
              <w:t>5–10 %</w:t>
            </w:r>
          </w:p>
        </w:tc>
        <w:tc>
          <w:tcPr>
            <w:tcW w:type="dxa" w:w="1187"/>
          </w:tcPr>
          <w:p>
            <w:r>
              <w:rPr>
                <w:rFonts w:ascii="Times New Roman" w:hAnsi="Times New Roman"/>
                <w:sz w:val="20"/>
              </w:rPr>
              <w:t>5–10 %</w:t>
            </w:r>
          </w:p>
        </w:tc>
        <w:tc>
          <w:tcPr>
            <w:tcW w:type="dxa" w:w="1187"/>
          </w:tcPr>
          <w:p>
            <w:r>
              <w:rPr>
                <w:rFonts w:ascii="Times New Roman" w:hAnsi="Times New Roman"/>
                <w:sz w:val="20"/>
              </w:rPr>
              <w:t>5–10 %</w:t>
            </w:r>
          </w:p>
        </w:tc>
        <w:tc>
          <w:tcPr>
            <w:tcW w:type="dxa" w:w="1187"/>
          </w:tcPr>
          <w:p>
            <w:r>
              <w:rPr>
                <w:rFonts w:ascii="Times New Roman" w:hAnsi="Times New Roman"/>
                <w:sz w:val="20"/>
              </w:rPr>
              <w:t>5–10 %</w:t>
            </w:r>
          </w:p>
        </w:tc>
        <w:tc>
          <w:tcPr>
            <w:tcW w:type="dxa" w:w="1187"/>
          </w:tcPr>
          <w:p>
            <w:r>
              <w:rPr>
                <w:rFonts w:ascii="Times New Roman" w:hAnsi="Times New Roman"/>
                <w:sz w:val="20"/>
              </w:rPr>
              <w:t>5–10 %</w:t>
            </w:r>
          </w:p>
        </w:tc>
        <w:tc>
          <w:tcPr>
            <w:tcW w:type="dxa" w:w="1187"/>
          </w:tcPr>
          <w:p>
            <w:r>
              <w:rPr>
                <w:rFonts w:ascii="Times New Roman" w:hAnsi="Times New Roman"/>
                <w:sz w:val="20"/>
              </w:rPr>
              <w:t>5–10 %</w:t>
            </w:r>
          </w:p>
        </w:tc>
      </w:tr>
      <w:tr>
        <w:tc>
          <w:tcPr>
            <w:tcW w:type="dxa" w:w="1187"/>
          </w:tcPr>
          <w:p>
            <w:r>
              <w:rPr>
                <w:rFonts w:ascii="Times New Roman" w:hAnsi="Times New Roman"/>
                <w:sz w:val="20"/>
              </w:rPr>
              <w:t>**NSF**</w:t>
            </w:r>
          </w:p>
        </w:tc>
        <w:tc>
          <w:tcPr>
            <w:tcW w:type="dxa" w:w="1187"/>
          </w:tcPr>
          <w:p>
            <w:r>
              <w:rPr>
                <w:rFonts w:ascii="Times New Roman" w:hAnsi="Times New Roman"/>
                <w:sz w:val="20"/>
              </w:rPr>
              <w:t>0 (non-gadoliné)</w:t>
            </w:r>
          </w:p>
        </w:tc>
        <w:tc>
          <w:tcPr>
            <w:tcW w:type="dxa" w:w="1187"/>
          </w:tcPr>
          <w:p>
            <w:r>
              <w:rPr>
                <w:rFonts w:ascii="Times New Roman" w:hAnsi="Times New Roman"/>
                <w:sz w:val="20"/>
              </w:rPr>
              <w:t>0</w:t>
            </w:r>
          </w:p>
        </w:tc>
        <w:tc>
          <w:tcPr>
            <w:tcW w:type="dxa" w:w="1187"/>
          </w:tcPr>
          <w:p>
            <w:r>
              <w:rPr>
                <w:rFonts w:ascii="Times New Roman" w:hAnsi="Times New Roman"/>
                <w:sz w:val="20"/>
              </w:rPr>
              <w:t>0</w:t>
            </w:r>
          </w:p>
        </w:tc>
        <w:tc>
          <w:tcPr>
            <w:tcW w:type="dxa" w:w="1187"/>
          </w:tcPr>
          <w:p>
            <w:r>
              <w:rPr>
                <w:rFonts w:ascii="Times New Roman" w:hAnsi="Times New Roman"/>
                <w:sz w:val="20"/>
              </w:rPr>
              <w:t>0</w:t>
            </w:r>
          </w:p>
        </w:tc>
        <w:tc>
          <w:tcPr>
            <w:tcW w:type="dxa" w:w="1187"/>
          </w:tcPr>
          <w:p>
            <w:r>
              <w:rPr>
                <w:rFonts w:ascii="Times New Roman" w:hAnsi="Times New Roman"/>
                <w:sz w:val="20"/>
              </w:rPr>
              <w:t>0</w:t>
            </w:r>
          </w:p>
        </w:tc>
        <w:tc>
          <w:tcPr>
            <w:tcW w:type="dxa" w:w="1187"/>
          </w:tcPr>
          <w:p>
            <w:r>
              <w:rPr>
                <w:rFonts w:ascii="Times New Roman" w:hAnsi="Times New Roman"/>
                <w:sz w:val="20"/>
              </w:rPr>
              <w:t>0</w:t>
            </w:r>
          </w:p>
        </w:tc>
      </w:tr>
      <w:tr>
        <w:tc>
          <w:tcPr>
            <w:tcW w:type="dxa" w:w="1187"/>
          </w:tcPr>
          <w:p>
            <w:r>
              <w:rPr>
                <w:rFonts w:ascii="Times New Roman" w:hAnsi="Times New Roman"/>
                <w:sz w:val="20"/>
              </w:rPr>
              <w:t>**CI grossesse**</w:t>
            </w:r>
          </w:p>
        </w:tc>
        <w:tc>
          <w:tcPr>
            <w:tcW w:type="dxa" w:w="1187"/>
          </w:tcPr>
          <w:p>
            <w:r>
              <w:rPr>
                <w:rFonts w:ascii="Times New Roman" w:hAnsi="Times New Roman"/>
                <w:sz w:val="20"/>
              </w:rPr>
              <w:t>Relative (urgence vitale)</w:t>
            </w:r>
          </w:p>
        </w:tc>
        <w:tc>
          <w:tcPr>
            <w:tcW w:type="dxa" w:w="1187"/>
          </w:tcPr>
          <w:p>
            <w:r>
              <w:rPr>
                <w:rFonts w:ascii="Times New Roman" w:hAnsi="Times New Roman"/>
                <w:sz w:val="20"/>
              </w:rPr>
              <w:t>Relative</w:t>
            </w:r>
          </w:p>
        </w:tc>
        <w:tc>
          <w:tcPr>
            <w:tcW w:type="dxa" w:w="1187"/>
          </w:tcPr>
          <w:p>
            <w:r>
              <w:rPr>
                <w:rFonts w:ascii="Times New Roman" w:hAnsi="Times New Roman"/>
                <w:sz w:val="20"/>
              </w:rPr>
              <w:t>Relative</w:t>
            </w:r>
          </w:p>
        </w:tc>
        <w:tc>
          <w:tcPr>
            <w:tcW w:type="dxa" w:w="1187"/>
          </w:tcPr>
          <w:p>
            <w:r>
              <w:rPr>
                <w:rFonts w:ascii="Times New Roman" w:hAnsi="Times New Roman"/>
                <w:sz w:val="20"/>
              </w:rPr>
              <w:t>Relative</w:t>
            </w:r>
          </w:p>
        </w:tc>
        <w:tc>
          <w:tcPr>
            <w:tcW w:type="dxa" w:w="1187"/>
          </w:tcPr>
          <w:p>
            <w:r>
              <w:rPr>
                <w:rFonts w:ascii="Times New Roman" w:hAnsi="Times New Roman"/>
                <w:sz w:val="20"/>
              </w:rPr>
              <w:t>Relative</w:t>
            </w:r>
          </w:p>
        </w:tc>
        <w:tc>
          <w:tcPr>
            <w:tcW w:type="dxa" w:w="1187"/>
          </w:tcPr>
          <w:p>
            <w:r>
              <w:rPr>
                <w:rFonts w:ascii="Times New Roman" w:hAnsi="Times New Roman"/>
                <w:sz w:val="20"/>
              </w:rPr>
              <w:t>Relative</w:t>
            </w:r>
          </w:p>
        </w:tc>
      </w:tr>
      <w:tr>
        <w:tc>
          <w:tcPr>
            <w:tcW w:type="dxa" w:w="1187"/>
          </w:tcPr>
          <w:p>
            <w:r>
              <w:rPr>
                <w:rFonts w:ascii="Times New Roman" w:hAnsi="Times New Roman"/>
                <w:sz w:val="20"/>
              </w:rPr>
              <w:t>**Allaitement**</w:t>
            </w:r>
          </w:p>
        </w:tc>
        <w:tc>
          <w:tcPr>
            <w:tcW w:type="dxa" w:w="1187"/>
          </w:tcPr>
          <w:p>
            <w:r>
              <w:rPr>
                <w:rFonts w:ascii="Times New Roman" w:hAnsi="Times New Roman"/>
                <w:sz w:val="20"/>
              </w:rPr>
              <w:t>Autorisé, "pump and dump" optionnel</w:t>
            </w:r>
          </w:p>
        </w:tc>
        <w:tc>
          <w:tcPr>
            <w:tcW w:type="dxa" w:w="1187"/>
          </w:tcPr>
          <w:p>
            <w:r>
              <w:rPr>
                <w:rFonts w:ascii="Times New Roman" w:hAnsi="Times New Roman"/>
                <w:sz w:val="20"/>
              </w:rPr>
              <w:t>Autorisé</w:t>
            </w:r>
          </w:p>
        </w:tc>
        <w:tc>
          <w:tcPr>
            <w:tcW w:type="dxa" w:w="1187"/>
          </w:tcPr>
          <w:p>
            <w:r>
              <w:rPr>
                <w:rFonts w:ascii="Times New Roman" w:hAnsi="Times New Roman"/>
                <w:sz w:val="20"/>
              </w:rPr>
              <w:t>Autorisé</w:t>
            </w:r>
          </w:p>
        </w:tc>
        <w:tc>
          <w:tcPr>
            <w:tcW w:type="dxa" w:w="1187"/>
          </w:tcPr>
          <w:p>
            <w:r>
              <w:rPr>
                <w:rFonts w:ascii="Times New Roman" w:hAnsi="Times New Roman"/>
                <w:sz w:val="20"/>
              </w:rPr>
              <w:t>Autorisé</w:t>
            </w:r>
          </w:p>
        </w:tc>
        <w:tc>
          <w:tcPr>
            <w:tcW w:type="dxa" w:w="1187"/>
          </w:tcPr>
          <w:p>
            <w:r>
              <w:rPr>
                <w:rFonts w:ascii="Times New Roman" w:hAnsi="Times New Roman"/>
                <w:sz w:val="20"/>
              </w:rPr>
              <w:t>Autorisé</w:t>
            </w:r>
          </w:p>
        </w:tc>
        <w:tc>
          <w:tcPr>
            <w:tcW w:type="dxa" w:w="1187"/>
          </w:tcPr>
          <w:p>
            <w:r>
              <w:rPr>
                <w:rFonts w:ascii="Times New Roman" w:hAnsi="Times New Roman"/>
                <w:sz w:val="20"/>
              </w:rPr>
              <w:t>(Retrait)</w:t>
            </w:r>
          </w:p>
        </w:tc>
      </w:tr>
      <w:tr>
        <w:tc>
          <w:tcPr>
            <w:tcW w:type="dxa" w:w="1187"/>
          </w:tcPr>
          <w:p>
            <w:r>
              <w:rPr>
                <w:rFonts w:ascii="Times New Roman" w:hAnsi="Times New Roman"/>
                <w:sz w:val="20"/>
              </w:rPr>
              <w:t>**Indication de choix**</w:t>
            </w:r>
          </w:p>
        </w:tc>
        <w:tc>
          <w:tcPr>
            <w:tcW w:type="dxa" w:w="1187"/>
          </w:tcPr>
          <w:p>
            <w:r>
              <w:rPr>
                <w:rFonts w:ascii="Times New Roman" w:hAnsi="Times New Roman"/>
                <w:sz w:val="20"/>
              </w:rPr>
              <w:t>Scanographie, myélographie</w:t>
            </w:r>
          </w:p>
        </w:tc>
        <w:tc>
          <w:tcPr>
            <w:tcW w:type="dxa" w:w="1187"/>
          </w:tcPr>
          <w:p>
            <w:r>
              <w:rPr>
                <w:rFonts w:ascii="Times New Roman" w:hAnsi="Times New Roman"/>
                <w:sz w:val="20"/>
              </w:rPr>
              <w:t>Scanographie, myélographie</w:t>
            </w:r>
          </w:p>
        </w:tc>
        <w:tc>
          <w:tcPr>
            <w:tcW w:type="dxa" w:w="1187"/>
          </w:tcPr>
          <w:p>
            <w:r>
              <w:rPr>
                <w:rFonts w:ascii="Times New Roman" w:hAnsi="Times New Roman"/>
                <w:sz w:val="20"/>
              </w:rPr>
              <w:t>Angiographie haut débit</w:t>
            </w:r>
          </w:p>
        </w:tc>
        <w:tc>
          <w:tcPr>
            <w:tcW w:type="dxa" w:w="1187"/>
          </w:tcPr>
          <w:p>
            <w:r>
              <w:rPr>
                <w:rFonts w:ascii="Times New Roman" w:hAnsi="Times New Roman"/>
                <w:sz w:val="20"/>
              </w:rPr>
              <w:t>Scanographie, angiographie</w:t>
            </w:r>
          </w:p>
        </w:tc>
        <w:tc>
          <w:tcPr>
            <w:tcW w:type="dxa" w:w="1187"/>
          </w:tcPr>
          <w:p>
            <w:r>
              <w:rPr>
                <w:rFonts w:ascii="Times New Roman" w:hAnsi="Times New Roman"/>
                <w:sz w:val="20"/>
              </w:rPr>
              <w:t>Scanographie</w:t>
            </w:r>
          </w:p>
        </w:tc>
        <w:tc>
          <w:tcPr>
            <w:tcW w:type="dxa" w:w="1187"/>
          </w:tcPr>
          <w:p>
            <w:r>
              <w:rPr>
                <w:rFonts w:ascii="Times New Roman" w:hAnsi="Times New Roman"/>
                <w:sz w:val="20"/>
              </w:rPr>
              <w:t>(Retrait)</w:t>
            </w:r>
          </w:p>
        </w:tc>
      </w:tr>
      <w:tr>
        <w:tc>
          <w:tcPr>
            <w:tcW w:type="dxa" w:w="1187"/>
          </w:tcPr>
          <w:p>
            <w:r>
              <w:rPr>
                <w:rFonts w:ascii="Times New Roman" w:hAnsi="Times New Roman"/>
                <w:sz w:val="20"/>
              </w:rPr>
              <w:t>**Indication de substitution**</w:t>
            </w:r>
          </w:p>
        </w:tc>
        <w:tc>
          <w:tcPr>
            <w:tcW w:type="dxa" w:w="1187"/>
          </w:tcPr>
          <w:p>
            <w:r>
              <w:rPr>
                <w:rFonts w:ascii="Times New Roman" w:hAnsi="Times New Roman"/>
                <w:sz w:val="20"/>
              </w:rPr>
              <w:t>—</w:t>
            </w:r>
          </w:p>
        </w:tc>
        <w:tc>
          <w:tcPr>
            <w:tcW w:type="dxa" w:w="1187"/>
          </w:tcPr>
          <w:p>
            <w:r>
              <w:rPr>
                <w:rFonts w:ascii="Times New Roman" w:hAnsi="Times New Roman"/>
                <w:sz w:val="20"/>
              </w:rPr>
              <w:t>—</w:t>
            </w:r>
          </w:p>
        </w:tc>
        <w:tc>
          <w:tcPr>
            <w:tcW w:type="dxa" w:w="1187"/>
          </w:tcPr>
          <w:p>
            <w:r>
              <w:rPr>
                <w:rFonts w:ascii="Times New Roman" w:hAnsi="Times New Roman"/>
                <w:sz w:val="20"/>
              </w:rPr>
              <w:t>—</w:t>
            </w:r>
          </w:p>
        </w:tc>
        <w:tc>
          <w:tcPr>
            <w:tcW w:type="dxa" w:w="1187"/>
          </w:tcPr>
          <w:p>
            <w:r>
              <w:rPr>
                <w:rFonts w:ascii="Times New Roman" w:hAnsi="Times New Roman"/>
                <w:sz w:val="20"/>
              </w:rPr>
              <w:t>—</w:t>
            </w:r>
          </w:p>
        </w:tc>
        <w:tc>
          <w:tcPr>
            <w:tcW w:type="dxa" w:w="1187"/>
          </w:tcPr>
          <w:p>
            <w:r>
              <w:rPr>
                <w:rFonts w:ascii="Times New Roman" w:hAnsi="Times New Roman"/>
                <w:sz w:val="20"/>
              </w:rPr>
              <w:t>—</w:t>
            </w:r>
          </w:p>
        </w:tc>
        <w:tc>
          <w:tcPr>
            <w:tcW w:type="dxa" w:w="1187"/>
          </w:tcPr>
          <w:p>
            <w:r>
              <w:rPr>
                <w:rFonts w:ascii="Times New Roman" w:hAnsi="Times New Roman"/>
                <w:sz w:val="20"/>
              </w:rPr>
              <w:t>Iohexol, iopamidol, iopromide, iobitridol</w:t>
            </w:r>
          </w:p>
        </w:tc>
      </w:tr>
    </w:tbl>
    <w:p/>
    <w:p>
      <w:r/>
      <w:r>
        <w:rPr>
          <w:b/>
        </w:rPr>
        <w:t>Synthèse pédagogique pour l'étudiant en pharmacie</w:t>
      </w:r>
      <w:r>
        <w:t xml:space="preserve"> : Les produits de contraste iodés non-ioniques monomères (iohexol, iopamidol, iopamidol en iode élément, iopromide, iobitridol) sont les agents radiologiques les plus largement utilisés en pratique clinique courante. Tous présentent un profil d'efficacité diagnostique équivalent et un profil de tolérance acceptable, avec une osmolalité modérée (2–3× plasma) qui réduit considérablement la tolérance vasculaire par rapport aux ioniques. L'ioversol est RETIRÉ du marché algérien. La prescription de ces produits nécessite une attention particulière à la fonction rénale (prévention de la CIN par hydratation), à la fonction thyroïdienne (prévention de la thyrotoxicose jod-basedow), à la grossesse/allaitement, et à l'algorithme metformine selon l'eGFR et le type d'injection. Le pharmacien d'officine joue un rôle pivot dans la vérification de la cohérence des prescriptions et dans l'éducation thérapeutique des patients.</w:t>
      </w:r>
    </w:p>
    <w:p>
      <w:pPr>
        <w:pStyle w:val="Heading1"/>
      </w:pPr>
      <w:r>
        <w:t>Chapitre 215 — Contrastes iodés non-ioniques dimères</w:t>
      </w:r>
    </w:p>
    <w:p>
      <w:pPr>
        <w:pStyle w:val="Heading2"/>
      </w:pPr>
      <w:r>
        <w:t>215.0 Introduction de la sous-classe</w:t>
      </w:r>
    </w:p>
    <w:p>
      <w:r>
        <w:t xml:space="preserve">Les produits de contraste iodés non-ioniques dimères représentent la seconde génération des agents radiologiques non-ioniques, développés à partir des années 1990 (iodixanol — Visipaque, AMM 1996). Leur structure chimique repose sur la liaison covalente de </w:t>
      </w:r>
      <w:r>
        <w:rPr>
          <w:b/>
        </w:rPr>
        <w:t>deux noyaux benzéniques triiodés</w:t>
      </w:r>
      <w:r>
        <w:t xml:space="preserve"> (soit 6 atomes d'iode par molécule au lieu de 3 pour les monomères) par un pont chimique qui les associe en un seul ensemble moléculaire. Cette structure dimère permet de combiner deux avantages majeurs : (1) une concentration élevée en iode (6 atomes par molécule) qui autorise une opacification vasculaire dense ; (2) une osmolalité réduite à l'iso-osmolarité plasmatique (290 mOsm/kg), car la molécule dimère ne libère qu'</w:t>
      </w:r>
      <w:r>
        <w:rPr>
          <w:b/>
        </w:rPr>
        <w:t>1 particule osmotique par 6 atomes d'iode</w:t>
      </w:r>
      <w:r>
        <w:t xml:space="preserve"> (contre 1 particule pour 3 atomes d'iode pour les monomères non-ioniques, et 2 particules pour 3 atomes d'iode pour les monomères ioniques).</w:t>
      </w:r>
    </w:p>
    <w:p>
      <w:r>
        <w:t>Cette propriété d'iso-osmolarité confère aux dimères non-ioniques une tolérance vasculaire et tissulaire optimale : absence de sensation de chaleur au point d'injection, absence de douleur, hypotension minimale, hémolyse négligeable, déshydratation endothéliale absente, et incidence réduite de néphropathie post-contraste (CIN). L'incidence de la CIN avec l'iodixanol est estimée à 2–5 % chez les patients à risque (diabète, IR préexistante), contre 5–10 % pour les non-ioniques monomères et 10–20 % pour les ioniques. Cette supériorité de tolérance rénale a été documentée dans plusieurs essais randomisés (essai NEPHRIC, Aspelin 2003 ; essai VIP-i, Nguyen 2010), bien que l'étude PRESERVE (2017) n'ait pas confirmé une supériorité significative de l'iodixanol sur l'iopamidol en termes de CIN, suggérant que la différence est surtout marquée chez les patients à très haut risque rénal.</w:t>
      </w:r>
    </w:p>
    <w:p>
      <w:r>
        <w:t xml:space="preserve">Une seule DCI non-ionique dimère est présente dans la nomenclature algérienne Avril 2026 : </w:t>
      </w:r>
      <w:r>
        <w:rPr>
          <w:b/>
        </w:rPr>
        <w:t>l'iodixanol</w:t>
      </w:r>
      <w:r>
        <w:t xml:space="preserve"> (VISIPAQUE — GE Healthcare AS). Cette molécule est disponible en deux concentrations (270 mg/mL et 320 mg/mL), avec un statut ACTIF. Elle constitue le produit de choix pour les patients à haut risque rénal (eGFR 30–59, diabète, myélome), les angiographies complexes (coronarographie diagnostique et interventionnelle), et les patients avec antécédent de réaction modérée à un non-ionique monomère. Son coût supérieur aux non-ioniques monomères en limite l'utilisation en routine, justifiant un arbitrage économique et clinique au cas par cas.</w:t>
      </w:r>
    </w:p>
    <w:p>
      <w:pPr>
        <w:pStyle w:val="Heading2"/>
      </w:pPr>
      <w:r>
        <w:t>215.1 Fiche DCI : IODIXANOL</w:t>
      </w:r>
    </w:p>
    <w:p>
      <w:pPr>
        <w:pStyle w:val="Heading3"/>
      </w:pPr>
      <w:r>
        <w:t>215.1.1 Liste des catégories thérapeutiques</w:t>
      </w:r>
    </w:p>
    <w:p>
      <w:pPr>
        <w:pStyle w:val="ListBullet"/>
      </w:pPr>
      <w:r/>
      <w:r>
        <w:rPr>
          <w:b/>
        </w:rPr>
        <w:t>Code ATC</w:t>
      </w:r>
      <w:r>
        <w:t xml:space="preserve"> : V08AB09 (Produit de contraste pour radiographie, non-ionique dimère — iodixanol)</w:t>
      </w:r>
    </w:p>
    <w:p>
      <w:pPr>
        <w:pStyle w:val="ListBullet"/>
      </w:pPr>
      <w:r/>
      <w:r>
        <w:rPr>
          <w:b/>
        </w:rPr>
        <w:t>Classification pharmacologique</w:t>
      </w:r>
      <w:r>
        <w:t xml:space="preserve"> : Produit de contraste iodé non-ionique dimère, famille des bis(triiodobenzoates) liés</w:t>
      </w:r>
    </w:p>
    <w:p>
      <w:pPr>
        <w:pStyle w:val="ListBullet"/>
      </w:pPr>
      <w:r/>
      <w:r>
        <w:rPr>
          <w:b/>
        </w:rPr>
        <w:t>Classe chimique</w:t>
      </w:r>
      <w:r>
        <w:t xml:space="preserve"> : Iodixanol, formule C₃₅H₄₄I₆N₆O₁₅, masse molaire 1550 g/mol (dimère)</w:t>
      </w:r>
    </w:p>
    <w:p>
      <w:pPr>
        <w:pStyle w:val="ListBullet"/>
      </w:pPr>
      <w:r/>
      <w:r>
        <w:rPr>
          <w:b/>
        </w:rPr>
        <w:t>Statut réglementaire international</w:t>
      </w:r>
      <w:r>
        <w:t xml:space="preserve"> : Disponible ; standard de tolérance rénale optimale</w:t>
      </w:r>
    </w:p>
    <w:p>
      <w:pPr>
        <w:pStyle w:val="ListBullet"/>
      </w:pPr>
      <w:r/>
      <w:r>
        <w:rPr>
          <w:b/>
        </w:rPr>
        <w:t>Classement Algérie</w:t>
      </w:r>
      <w:r>
        <w:t xml:space="preserve"> : Liste I (surveillance médicale stricte)</w:t>
      </w:r>
    </w:p>
    <w:p>
      <w:pPr>
        <w:pStyle w:val="ListBullet"/>
      </w:pPr>
      <w:r/>
      <w:r>
        <w:rPr>
          <w:b/>
        </w:rPr>
        <w:t>Indications AMM principales</w:t>
      </w:r>
      <w:r>
        <w:t xml:space="preserve"> : Angiographie (coronarographie, angiographie cérébrale, angio-scanner), scanographie chez les patients à haut risque rénal, urographie, arthrographie, myélographie</w:t>
      </w:r>
    </w:p>
    <w:p>
      <w:pPr>
        <w:pStyle w:val="Heading3"/>
      </w:pPr>
      <w:r>
        <w:t>215.1.2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VISIPAQUE</w:t>
            </w:r>
          </w:p>
        </w:tc>
        <w:tc>
          <w:tcPr>
            <w:tcW w:type="dxa" w:w="1385"/>
          </w:tcPr>
          <w:p>
            <w:r>
              <w:rPr>
                <w:rFonts w:ascii="Times New Roman" w:hAnsi="Times New Roman"/>
                <w:sz w:val="20"/>
              </w:rPr>
              <w:t>GE HEALTHCARE AS</w:t>
            </w:r>
          </w:p>
        </w:tc>
        <w:tc>
          <w:tcPr>
            <w:tcW w:type="dxa" w:w="1385"/>
          </w:tcPr>
          <w:p>
            <w:r>
              <w:rPr>
                <w:rFonts w:ascii="Times New Roman" w:hAnsi="Times New Roman"/>
                <w:sz w:val="20"/>
              </w:rPr>
              <w:t>Solution injectable — 270 mg I/mL</w:t>
            </w:r>
          </w:p>
        </w:tc>
        <w:tc>
          <w:tcPr>
            <w:tcW w:type="dxa" w:w="1385"/>
          </w:tcPr>
          <w:p>
            <w:r>
              <w:rPr>
                <w:rFonts w:ascii="Times New Roman" w:hAnsi="Times New Roman"/>
                <w:sz w:val="20"/>
              </w:rPr>
              <w:t>Fl 50 mL - B/10 Fl 50 mL - Fl 100 mL - B/10 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VISIPAQUE</w:t>
            </w:r>
          </w:p>
        </w:tc>
        <w:tc>
          <w:tcPr>
            <w:tcW w:type="dxa" w:w="1385"/>
          </w:tcPr>
          <w:p>
            <w:r>
              <w:rPr>
                <w:rFonts w:ascii="Times New Roman" w:hAnsi="Times New Roman"/>
                <w:sz w:val="20"/>
              </w:rPr>
              <w:t>GE HEALTHCARE AS</w:t>
            </w:r>
          </w:p>
        </w:tc>
        <w:tc>
          <w:tcPr>
            <w:tcW w:type="dxa" w:w="1385"/>
          </w:tcPr>
          <w:p>
            <w:r>
              <w:rPr>
                <w:rFonts w:ascii="Times New Roman" w:hAnsi="Times New Roman"/>
                <w:sz w:val="20"/>
              </w:rPr>
              <w:t>Solution injectable — 320 mg I/mL</w:t>
            </w:r>
          </w:p>
        </w:tc>
        <w:tc>
          <w:tcPr>
            <w:tcW w:type="dxa" w:w="1385"/>
          </w:tcPr>
          <w:p>
            <w:r>
              <w:rPr>
                <w:rFonts w:ascii="Times New Roman" w:hAnsi="Times New Roman"/>
                <w:sz w:val="20"/>
              </w:rPr>
              <w:t>Fl 50 mL - B/10 Fl 50 mL - Fl 100 mL - B/10 Fl 100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 algérienne</w:t>
      </w:r>
      <w:r>
        <w:t xml:space="preserve"> : L'iodixanol est disponible en Algérie uniquement sous la marque VISIPAQUE (GE Healthcare AS, Norvège), en deux concentrations (270 et 320 mg/mL d'iode). Le conditionnement en flacons individuels (50 mL et 100 mL) et en boîtes hospitalières (B/10 flacons) permet une utilisation flexible selon le volume d'examens de la structure. Cette marque historique (AMM 1996, premier non-ionique dimère commercialisé au monde) bénéficie du plus large recul pharmacovigilance (&gt; 100 millions d'injections cumulées).</w:t>
      </w:r>
    </w:p>
    <w:p>
      <w:r/>
      <w:r>
        <w:rPr>
          <w:b/>
        </w:rPr>
        <w:t>Particularité clinique</w:t>
      </w:r>
      <w:r>
        <w:t xml:space="preserve"> : L'iodixanol est le seul produit de contraste iodé iso-osmolaire disponible en Algérie. Cette caractéristique en fait le produit de choix pour les patients à haut risque rénal (eGFR 30–59, diabète, myélome), les angiographies complexes (coronarographie), et les patients avec antécédent de réaction modérée à un non-ionique monomère. Son coût supérieur aux non-ioniques monomères en limite l'utilisation en routine, justifiant un arbitrage économique et clinique au cas par cas.</w:t>
      </w:r>
    </w:p>
    <w:p>
      <w:pPr>
        <w:pStyle w:val="Heading3"/>
      </w:pPr>
      <w:r>
        <w:t>215.1.3 Sous-classe et mécanisme d'action moléculaire</w:t>
      </w:r>
    </w:p>
    <w:p>
      <w:r>
        <w:t xml:space="preserve">L'iodixanol appartient à la sous-classe des produits de contraste iodés non-ioniques dimères. Sa structure chimique est composée de </w:t>
      </w:r>
      <w:r>
        <w:rPr>
          <w:b/>
        </w:rPr>
        <w:t>deux noyaux benzéniques triiodés</w:t>
      </w:r>
      <w:r>
        <w:t xml:space="preserve"> (atomes d'iode en positions 2, 4, 6 sur chaque noyau, soit 6 atomes d'iode par molécule) reliés par un pont malonamide (–NH–CO–CH₂–CO–NH–). Chaque noyau est substitué en position 1 par un groupe carboxamide (–CONH–) hydroxylé, et en position 3 et 5 par des groupes acétamido hydroxylés. Les dix groupes hydroxyles (–OH) présents sur la molécule assurent l'hydrophilie extrême et masquent la charge électrique. Cette hydrophilie élevée (log P = –4,46, la plus élevée de tous les produits de contraste iodés) limite la pénétration cellulaire et la liaison aux protéines (&lt; 2 %), ce qui réduit la chimiotoxicité.</w:t>
      </w:r>
    </w:p>
    <w:p>
      <w:r>
        <w:t xml:space="preserve">L'osmolalité de l'iodixanol est de </w:t>
      </w:r>
      <w:r>
        <w:rPr>
          <w:b/>
        </w:rPr>
        <w:t>290 mOsm/kg à 270 mg I/mL</w:t>
      </w:r>
      <w:r>
        <w:t xml:space="preserve"> et </w:t>
      </w:r>
      <w:r>
        <w:rPr>
          <w:b/>
        </w:rPr>
        <w:t>290 mOsm/kg à 320 mg I/mL</w:t>
      </w:r>
      <w:r>
        <w:t xml:space="preserve">, soit strictement </w:t>
      </w:r>
      <w:r>
        <w:rPr>
          <w:b/>
        </w:rPr>
        <w:t>iso-osmolaire au plasma</w:t>
      </w:r>
      <w:r>
        <w:t xml:space="preserve"> (290 mOsm/kg). Cette propriété unique — les deux concentrations ont la même osmolalité car la solution 320 mg/mL contient de l'iodixanol à concentration supérieure compensée par une quantité réduite d'agents d'osmolarité — confère à l'iodixanol une tolérance vasculaire et tissulaire optimale. La viscosité à 37 °C est de 11,8 mPa·s à 320 mg/mL (la plus élevée de tous les produits de contraste iodés), ce qui peut nécessiter un réchauffement préalable à 37 °C pour faciliter l'injection à débit élevé.</w:t>
      </w:r>
    </w:p>
    <w:p>
      <w:r>
        <w:t>Le mécanisme d'action radiologique repose sur l'absorption des rayons X par les électrons K de l'iode (Z = 53, K-edge = 33,2 keV), générant un contraste radiologique positif en scanographie et radiographie conventionnelle. L'iodixanol est un produit de référence pour la coronarographie, l'angiographie cérébrale, et la scanographie chez les patients à haut risque rénal.</w:t>
      </w:r>
    </w:p>
    <w:p>
      <w:r>
        <w:t>L'élimination est exclusivement rénale par filtration glomérulaire, sans métabolisation, avec une demi-vie d'environ 120 minutes chez le sujet sain et une excrétion urinaire &gt; 95 % à 24 h. La distribution est essentiellement extracellulaire (volume de distribution 0,26 L/kg), avec un passage cérébral négligeable chez le sujet sain. Le passage placentaire est modéré mais documenté. La liaison protéique est négligeable (&lt; 2 %). Chez l'insuffisant rénal sévère (eGFR &lt; 30), la demi-vie est prolongée à 6–24 h, justifiant une surveillance prolongée et une hydratation renforcée.</w:t>
      </w:r>
    </w:p>
    <w:p>
      <w:pPr>
        <w:pStyle w:val="Heading3"/>
      </w:pPr>
      <w:r>
        <w:t>215.1.4 Profil pharmacologique</w:t>
      </w:r>
    </w:p>
    <w:p>
      <w:r/>
      <w:r>
        <w:rPr>
          <w:b/>
        </w:rPr>
        <w:t>Indications cliniques validées</w:t>
      </w:r>
      <w:r>
        <w:t xml:space="preserve"> : Coronarographie diagnostique et interventionnelle (angioplastie, stenting), angiographie cérébrale (anévrismes, AVM, tumeurs vascularisées), angio-scanner (pulmonaire pour embolie, abdominal pour anévrisme aortique, des membres pour artériopathie), scanographie thoraco-abdomino-pelvienne chez les patients à haut risque rénal (eGFR 30–59, diabète, myélome, chimiothérapie néphrotoxique), urographie intraveineuse, arthrographie, myélographie (à concentration 270 mg/mL).</w:t>
      </w:r>
    </w:p>
    <w:p>
      <w:r/>
      <w:r>
        <w:rPr>
          <w:b/>
        </w:rPr>
        <w:t>Contre-indications absolues</w:t>
      </w:r>
      <w:r>
        <w:t xml:space="preserve"> : hypersensibilité connue à l'iodixanol ou à l'un des excipients (trométamol, NaCl, acide chlorhydrique pour ajustement du pH, NaOH, calcium chlorure, magnésium chlorure, potassium chlorure — l'iodixanol contient des électrolytes pour mimétisme plasmatique) ; hypertyroïdie non contrôlée (risque de thyrotoxicose jod-basedow) ; grossesse (par précaution, sauf urgence vitale) ; myélome multiple (risque majoré d'IRA) ; phéochromocytome non traité. L'insuffisance rénale sévère (eGFR &lt; 30 mL/min/1,73 m²) n'est plus une contre-indication absolue pour les non-ioniques dimères selon les recommandations ESUR 2018, mais impose une hydratation IV systématique et une discussion du rapport bénéfice/risque.</w:t>
      </w:r>
    </w:p>
    <w:p>
      <w:r/>
      <w:r>
        <w:rPr>
          <w:b/>
        </w:rPr>
        <w:t>Effets indésirables fréquents</w:t>
      </w:r>
      <w:r>
        <w:t xml:space="preserve"> (&gt; 1 % à &lt; 10 %) : la particularité de l'iodixanol est l'</w:t>
      </w:r>
      <w:r>
        <w:rPr>
          <w:b/>
        </w:rPr>
        <w:t>absence de sensation de chaleur</w:t>
      </w:r>
      <w:r>
        <w:t xml:space="preserve"> au point d'injection en raison de l'iso-osmolarité, contrairement aux non-ioniques monomères qui provoquent une vasodilatation locale. Les autres EI fréquents sont : goût métallique, nausées, vomissements, hypotension transitoire (moins marquée qu'avec les monomères), urticaire localisée, prurit, réactions d'hypersensibilité mineures. </w:t>
      </w:r>
      <w:r>
        <w:rPr>
          <w:b/>
        </w:rPr>
        <w:t>Effets rares</w:t>
      </w:r>
      <w:r>
        <w:t xml:space="preserve"> (0,01 % à 1 %) : réactions anaphylactoïdes modérées, hypotension marquée, extrasystoles, thrombophlébite. </w:t>
      </w:r>
      <w:r>
        <w:rPr>
          <w:b/>
        </w:rPr>
        <w:t>Effets très rares</w:t>
      </w:r>
      <w:r>
        <w:t xml:space="preserve"> (&lt; 0,01 %) : anaphylaxie sévère (incidence 0,01–0,02 %, légèrement inférieure aux monomères), </w:t>
      </w:r>
      <w:r>
        <w:rPr>
          <w:b/>
        </w:rPr>
        <w:t>néphropathie post-contraste (CIN)</w:t>
      </w:r>
      <w:r>
        <w:t xml:space="preserve"> (incidence 2–5 % chez les patients à risque, significativement inférieure aux monomères non-ioniques et aux ioniques), éruptions cutanées retardées (24–72 h), dysthyroïdie jod-basedow. La rétention cérébrale transitoire après myélographie est plus rare qu'avec les monomères.</w:t>
      </w:r>
    </w:p>
    <w:p>
      <w:pPr>
        <w:pStyle w:val="Heading3"/>
      </w:pPr>
      <w:r>
        <w:t>215.1.5 Prévention et gestion des effets indésirables</w:t>
      </w:r>
    </w:p>
    <w:p>
      <w:r>
        <w:t>La prévention des effets indésirables repose sur les cinq piliers fondamentaux détaillés pour les non-ioniques monomères (évaluation pré-injection, hydratation, prémédication antiallergique si antécédent, kit d'urgence anaphylaxie, surveillance post-injection de 30 min). La prévention de la CIN est particulièrement importante pour l'iodixanol en raison de ses indications préférentielles chez les patients à haut risque rénal : hydratation IV systématique par NaCl 0,9 % 1 mL/kg/h pendant 6 h avant et 12 h après l'injection (ou bicarbonate de sodium 1,4 % selon le protocole Merten). Le contrôle de la créatininémie à 48–72 h post-examen est impératif chez les patients à risque.</w:t>
      </w:r>
    </w:p>
    <w:p>
      <w:r>
        <w:t>La prévention de la thyrotoxicose jod-basedow suit les mêmes protocoles que pour les non-ioniques monomères : dosage de TSH préalable chez les patients à risque thyroïdien (nodule, Basedow, goitre multinodulaire), contre-indication en cas d'hyperthyroïdie non contrôlée, couverture par thionamides (carbimazole 30–60 mg/jour) discutée chez les patients à risque, contrôle TSH 4–6 semaines après l'examen. La gestion d'une réaction anaphylactique sévère suit le protocole ESUR/ACR standardisé (adrénaline IM 0,3 mg, oxygène, remplissage vasculaire, intubation si nécessaire).</w:t>
      </w:r>
    </w:p>
    <w:p>
      <w:pPr>
        <w:pStyle w:val="Heading3"/>
      </w:pPr>
      <w:r>
        <w:t>215.1.6 Interactions médicamenteuses</w:t>
      </w:r>
    </w:p>
    <w:p>
      <w:r/>
      <w:r>
        <w:rPr>
          <w:b/>
        </w:rPr>
        <w:t>La metformine</w:t>
      </w:r>
      <w:r>
        <w:t xml:space="preserve"> : L'algorithme ESUR 2018/ACR 2024 pour les patients diabétiques sous metformine recevant de l'iodixanol IV est identique à celui des non-ioniques monomères : (1) eGFR ≥ 60 et injection &lt; 100 mL → continuer la metformine ; (2) eGFR 30–59 ou injection ≥ 100 mL → arrêter la metformine 48 h avec contrôle de la créatininémie avant reprise ; (3) eGFR &lt; 30 → contre-indication temporaire à la metformine pendant 48 h. Pour les injections intra-artérielles (coronarographie), l'arrêt systématique de la metformine est recommandé pour tous les patients indépendamment de l'eGFR.</w:t>
      </w:r>
    </w:p>
    <w:p>
      <w:r/>
      <w:r>
        <w:rPr>
          <w:b/>
        </w:rPr>
        <w:t>Les bêta-bloquants</w:t>
      </w:r>
      <w:r>
        <w:t xml:space="preserve"> : majorent le risque de réaction anaphylactique réfractaire ; prévoir l'adrénaline IV titrée et le glucagon en alternative. </w:t>
      </w:r>
      <w:r>
        <w:rPr>
          <w:b/>
        </w:rPr>
        <w:t>Les interleukines-2 (IL-2)</w:t>
      </w:r>
      <w:r>
        <w:t xml:space="preserve"> : potentialisent le risque de réactions d'hypersensibilité tardive. </w:t>
      </w:r>
      <w:r>
        <w:rPr>
          <w:b/>
        </w:rPr>
        <w:t>Les diurétiques</w:t>
      </w:r>
      <w:r>
        <w:t xml:space="preserve"> : peuvent aggraver une déshydratation préalable. </w:t>
      </w:r>
      <w:r>
        <w:rPr>
          <w:b/>
        </w:rPr>
        <w:t>Les IEC et ARA2</w:t>
      </w:r>
      <w:r>
        <w:t xml:space="preserve"> : majorent le risque d'hypotension. </w:t>
      </w:r>
      <w:r>
        <w:rPr>
          <w:b/>
        </w:rPr>
        <w:t>La chimiothérapie néphrotoxique</w:t>
      </w:r>
      <w:r>
        <w:t xml:space="preserve"> : impose un délai minimal de 2 semaines avant l'injection d'iodixanol. </w:t>
      </w:r>
      <w:r>
        <w:rPr>
          <w:b/>
        </w:rPr>
        <w:t>La L-thyroxine</w:t>
      </w:r>
      <w:r>
        <w:t xml:space="preserve"> : contrôle TSH 4–6 semaines après l'examen. </w:t>
      </w:r>
      <w:r>
        <w:rPr>
          <w:b/>
        </w:rPr>
        <w:t>Les antithyroïdiens de synthèse</w:t>
      </w:r>
      <w:r>
        <w:t xml:space="preserve"> : couverture préventive chez les patients à risque thyroïdien.</w:t>
      </w:r>
    </w:p>
    <w:p>
      <w:pPr>
        <w:pStyle w:val="Heading3"/>
      </w:pPr>
      <w:r>
        <w:t>215.1.7 Grossesse et allaitement (CRAT)</w:t>
      </w:r>
    </w:p>
    <w:p>
      <w:r/>
      <w:r>
        <w:rPr>
          <w:b/>
        </w:rPr>
        <w:t>Grossesse</w:t>
      </w:r>
      <w:r>
        <w:t xml:space="preserve"> : L'iodixanol traverse la barrière placentaire par diffusion passive. Son utilisation pendant la grossesse doit être évitée, en particulier au 1er trimestre (période d'organogenèse). L'indication doit être strictement limitée aux urgences vitales (embolie pulmonaire, traumatisme majeur, hémorragie active). Selon le CRAT, l'utilisation en cas d'urgence maternelle est acceptable après information de la patiente. L'alternative IRM sans irradiation doit être discutée en première intention pour les indications non urgentes. L'iso-osmolarité de l'iodixanol réduit le risque théorique de perturbation osmotique fœtale par rapport aux non-ioniques monomères hyperosmolaires.</w:t>
      </w:r>
    </w:p>
    <w:p>
      <w:r/>
      <w:r>
        <w:rPr>
          <w:b/>
        </w:rPr>
        <w:t>Allaitement</w:t>
      </w:r>
      <w:r>
        <w:t xml:space="preserve"> : L'iodixanol passe en quantité négligeable dans le lait maternel (moins de 0,5 % de la dose maternelle administrée), et l'absorption intestinale par le nourrisson est inférieure à 1 % de la dose ingérée. L'ESUR (2018) et l'ACR (2024) concluent à l'innocuité clinique de l'allaitement après injection d'iodixanol, et ne recommandent pas l'interruption systématique de l'allaitement. Néanmoins, par mesure de précaution maximale, le "pump and dump" de 12–24 h est une option rassurante.</w:t>
      </w:r>
    </w:p>
    <w:p>
      <w:pPr>
        <w:pStyle w:val="Heading3"/>
      </w:pPr>
      <w:r>
        <w:t>215.1.8 Posologie et mode d'administration</w:t>
      </w:r>
    </w:p>
    <w:p>
      <w:r/>
      <w:r>
        <w:rPr>
          <w:b/>
        </w:rPr>
        <w:t>Posologie adulte</w:t>
      </w:r>
      <w:r>
        <w:t xml:space="preserve"> : Coronarographie : 5–15 mL par injection sélective, à la main. Angiographie cérébrale : 5–10 mL par séquence. Angio-scanner : 80–100 mL de la solution à 320 mg/mL, en injection IV à débit 3–5 mL/s. Scanographie chez les patients à haut risque rénal : 80–120 mL de la solution à 270 ou 320 mg/mL, à débit 2–4 mL/s. Urographie : 50 mL. Myélographie : 5–15 mL intrathécal à concentration 270 mg/mL. Arthrographie : 5–10 mL intra-articulaire.</w:t>
      </w:r>
    </w:p>
    <w:p>
      <w:r/>
      <w:r>
        <w:rPr>
          <w:b/>
        </w:rPr>
        <w:t>Posologie pédiatrique</w:t>
      </w:r>
      <w:r>
        <w:t xml:space="preserve"> : 1–2 mL/kg, sans dépasser 100 mL par examen chez l'enfant de moins de 10 kg. Une surveillance particulière est recommandée chez les nouveau-nés et nourrissons.</w:t>
      </w:r>
    </w:p>
    <w:p>
      <w:r/>
      <w:r>
        <w:rPr>
          <w:b/>
        </w:rPr>
        <w:t>Mode d'administration</w:t>
      </w:r>
      <w:r>
        <w:t xml:space="preserve"> : injection intraveineuse stricte, dans une veine de gros calibre (pli du coude, avant-bras), à l'aide d'un cathéter veineux périphérique 18–22 G (18 G pour les débits élevés de 4–6 mL/s). Le cathéter doit être rincé par 20–30 mL de NaCl 0,9 % après injection. La viscosité élevée à 37 °C (11,8 mPa·s à 320 mg/mL) peut nécessiter un réchauffement préalable du flacon à 37 °C pour faciliter l'injection à débit élevé. La veine doit être testée au préalable par un flush de sérum physiologique pour vérifier sa perméabilité et l'absence d'extravasation. En cas d'extravasation, l'injection doit être immédiatement arrêtée, le cathéter retiré, le membre surélevé, et une application de froid local pendant 15–20 min réalisée.</w:t>
      </w:r>
    </w:p>
    <w:p>
      <w:pPr>
        <w:pStyle w:val="Heading3"/>
      </w:pPr>
      <w:r>
        <w:t>215.1.9 Arbitrage et bénéfices des formes galéniques</w:t>
      </w:r>
    </w:p>
    <w:p>
      <w:r>
        <w:t xml:space="preserve">L'arbitrage entre VISIPAQUE 270 et VISIPAQUE 320 dépend de l'indication : </w:t>
      </w:r>
      <w:r>
        <w:rPr>
          <w:b/>
        </w:rPr>
        <w:t>270 mg/mL</w:t>
      </w:r>
      <w:r>
        <w:t xml:space="preserve"> est privilégié pour la myélographie, l'urographie, l'arthrographie, et la scanographie chez les patients à très haut risque rénal (eGFR &lt; 45, diabète décompensé, myélome). </w:t>
      </w:r>
      <w:r>
        <w:rPr>
          <w:b/>
        </w:rPr>
        <w:t>320 mg/mL</w:t>
      </w:r>
      <w:r>
        <w:t xml:space="preserve"> est privilégié pour la coronarographie, l'angiographie cérébrale, l'angio-scanner, et la scanographie chez les patients à risque rénal modéré (eGFR 30–59). Les deux concentrations présentent la même osmolalité (290 mOsm/kg), ce qui permet de choisir la concentration en fonction de la densité diagnostique souhaitée sans modifier le profil de tolérance.</w:t>
      </w:r>
    </w:p>
    <w:p>
      <w:r>
        <w:t>L'arbitrage entre l'iodixanol (VISIPAQUE) et les non-ioniques monomères (iohexol, iopamidol, iopromide, iobitridol) dépend du profil bénéfice/risque et économique : l'iodixanol est privilégié pour les patients à haut risque rénal (eGFR 30–59, diabète, myélome), les angiographies complexes (coronarographie), et les patients avec antécédent de réaction modérée à un non-ionique monomère. Les non-ioniques monomères sont privilégiés pour les indications courantes (scanographie de routine, urographie) chez les patients sans risque rénal majoré, en raison de leur coût inférieur et de leur disponibilité en concentrations 350–370 mg/mL (supérieures à l'iodixanol limité à 320 mg/mL). Le conditionnement en boîtes hospitalières (B/10 flacons) offre un coût unitaire réduit pour les établissements à fort volume d'examens.</w:t>
      </w:r>
    </w:p>
    <w:p>
      <w:pPr>
        <w:pStyle w:val="Heading3"/>
      </w:pPr>
      <w:r>
        <w:t>215.1.10 Instructions et conseils au patient</w:t>
      </w:r>
    </w:p>
    <w:p>
      <w:r/>
      <w:r>
        <w:rPr>
          <w:b/>
        </w:rPr>
        <w:t>Avant l'examen</w:t>
      </w:r>
      <w:r>
        <w:t xml:space="preserve"> : le patient doit être informé de la nature de l'examen (scanographie, angiographie, coronarographie avec injection), du déroulement, et de l'injection (ponction veineuse, </w:t>
      </w:r>
      <w:r>
        <w:rPr>
          <w:b/>
        </w:rPr>
        <w:t>absence de sensation de chaleur</w:t>
      </w:r>
      <w:r>
        <w:t xml:space="preserve"> caractéristique de l'iodixanol — particularité à signaler au patient pour le rassurer, goût métallique transitoire, parfois envie d'uriner). Le jeûne n'est pas obligatoire mais un léger repas 2 h avant l'examen est recommandé pour prévenir l'hypoglycémie et les malaises vagaux. Le patient doit apporter ses bilans biologiques récents (créatininémie et eGFR datant de moins de 7 jours, TSH si antécédent thyroïdien), la liste de ses traitements en cours (notamment metformine, IEC, ARA2, diurétiques, chimiothérapie, L-thyroxine, antithyroïdiens), et tout document en rapport avec l'indication.</w:t>
      </w:r>
    </w:p>
    <w:p>
      <w:r/>
      <w:r>
        <w:rPr>
          <w:b/>
        </w:rPr>
        <w:t>Pendant l'examen</w:t>
      </w:r>
      <w:r>
        <w:t xml:space="preserve"> : le patient doit rester strictement immobile et suivre les consignes de respiration (apnées de 5–10 s pour scanner thoracique). Une sonnette d'alerte est mise à disposition pour signifier toute gêne (douleur au point d'injection, dyspnée, nausée, urticaire). Le patient peut ressentir un goût métallique transitoire et une sensation de miction imminente (sans miction réelle) — manifestations bénignes et spontanément résolutives en 1–2 min.</w:t>
      </w:r>
    </w:p>
    <w:p>
      <w:r/>
      <w:r>
        <w:rPr>
          <w:b/>
        </w:rPr>
        <w:t>Après l'examen</w:t>
      </w:r>
      <w:r>
        <w:t xml:space="preserve"> : le patient doit être surveillé pendant 30 min en salle de réveil (surveillance des constantes : tension, fréquence cardiaque, SpO₂). Une hydratation orale abondante (1,5–2 L d'eau dans les 24 h) est recommandée pour favoriser l'élimination rénale de l'iodixanol. La reprise de la conduite automobile est autorisée immédiatement après l'examen en l'absence de réaction. Le patient doit être informé des signes d'alerte devant motiver une consultation médicale urgente : dyspnée, œdème facial, urticaire généralisée, fièvre, douleur au point d'injection, éruption cutanée tardive (jusqu'à 7 jours après), baisse de diurèse. Chez la femme allaitante, le "pump and dump" de 12–24 h est une option rassurante mais non obligatoire. Une consultation de résultats est programmée à 7 jours.</w:t>
      </w:r>
    </w:p>
    <w:p>
      <w:pPr>
        <w:pStyle w:val="Heading3"/>
      </w:pPr>
      <w:r>
        <w:t>215.1.11 Notes, règles d'or et pièges au comptoir</w:t>
      </w:r>
    </w:p>
    <w:p>
      <w:pPr>
        <w:pStyle w:val="ListNumber"/>
      </w:pPr>
      <w:r/>
      <w:r>
        <w:rPr>
          <w:b/>
        </w:rPr>
        <w:t>Règle d'or n°1</w:t>
      </w:r>
      <w:r>
        <w:t xml:space="preserve"> : Toujours vérifier l'eGFR datée de moins de 7 jours avant toute injection d'iodixanol, notamment chez les patients &gt; 65 ans, diabétiques, ou avec antécédent néphropathique. L'iodixanol est le produit de choix pour les patients à haut risque rénal.</w:t>
      </w:r>
    </w:p>
    <w:p>
      <w:pPr>
        <w:pStyle w:val="ListNumber"/>
      </w:pPr>
      <w:r/>
      <w:r>
        <w:rPr>
          <w:b/>
        </w:rPr>
        <w:t>Règle d'or n°2</w:t>
      </w:r>
      <w:r>
        <w:t xml:space="preserve"> : Vérifier la grossesse éventuelle chez toute femme en âge de procréer ; envisager une IRM sans irradiation si possible.</w:t>
      </w:r>
    </w:p>
    <w:p>
      <w:pPr>
        <w:pStyle w:val="ListNumber"/>
      </w:pPr>
      <w:r/>
      <w:r>
        <w:rPr>
          <w:b/>
        </w:rPr>
        <w:t>Règle d'or n°3</w:t>
      </w:r>
      <w:r>
        <w:t xml:space="preserve"> : Vérifier la fonction thyroïdienne (TSH) chez les patients à risque (nodule, Basedow, goitre multinodulaire) avant l'examen.</w:t>
      </w:r>
    </w:p>
    <w:p>
      <w:pPr>
        <w:pStyle w:val="ListNumber"/>
      </w:pPr>
      <w:r/>
      <w:r>
        <w:rPr>
          <w:b/>
        </w:rPr>
        <w:t>Règle d'or n°4</w:t>
      </w:r>
      <w:r>
        <w:t xml:space="preserve"> : L'algorithme metformine doit être respecté strictement selon l'eGFR et le type d'injection (IV &lt; 100 mL vs ≥ 100 mL vs intra-artérielle).</w:t>
      </w:r>
    </w:p>
    <w:p>
      <w:pPr>
        <w:pStyle w:val="ListNumber"/>
      </w:pPr>
      <w:r/>
      <w:r>
        <w:rPr>
          <w:b/>
        </w:rPr>
        <w:t>Piège du comptoir n°1</w:t>
      </w:r>
      <w:r>
        <w:t xml:space="preserve"> : VISIPAQUE 270 et VISIPAQUE 320 ont la </w:t>
      </w:r>
      <w:r>
        <w:rPr>
          <w:b/>
        </w:rPr>
        <w:t>même osmolalité</w:t>
      </w:r>
      <w:r>
        <w:t xml:space="preserve"> (290 mOsm/kg), contrairement aux autres marques (OMNIPAQUE, ULTRAVIST, XENETIX) où la concentration et l'osmolalité sont corrélées. Le choix de la concentration dépend uniquement de la densité diagnostique souhaitée.</w:t>
      </w:r>
    </w:p>
    <w:p>
      <w:pPr>
        <w:pStyle w:val="ListNumber"/>
      </w:pPr>
      <w:r/>
      <w:r>
        <w:rPr>
          <w:b/>
        </w:rPr>
        <w:t>Piège du comptoir n°2</w:t>
      </w:r>
      <w:r>
        <w:t xml:space="preserve"> : La viscosité élevée de VISIPAQUE (11,8 mPa·s à 320 mg/mL) peut nécessiter un réchauffement préalable à 37 °C pour faciliter l'injection à débit élevé (4–6 mL/s pour coronarographie).</w:t>
      </w:r>
    </w:p>
    <w:p>
      <w:pPr>
        <w:pStyle w:val="ListNumber"/>
      </w:pPr>
      <w:r/>
      <w:r>
        <w:rPr>
          <w:b/>
        </w:rPr>
        <w:t>Piège du comptoir n°3</w:t>
      </w:r>
      <w:r>
        <w:t xml:space="preserve"> : L'absence de sensation de chaleur au point d'injection avec l'iodixanol peut surprendre le patient habitué aux autres produits. Information préalable recommandée.</w:t>
      </w:r>
    </w:p>
    <w:p>
      <w:pPr>
        <w:pStyle w:val="ListNumber"/>
      </w:pPr>
      <w:r/>
      <w:r>
        <w:rPr>
          <w:b/>
        </w:rPr>
        <w:t>Piège de la metformine</w:t>
      </w:r>
      <w:r>
        <w:t xml:space="preserve"> : Ne pas arrêter systématiquement la metformine pour une scanographie avec injection &lt; 100 mL si l'eGFR est ≥ 60. Pour les coronarographies, l'arrêt systématique est recommandé.</w:t>
      </w:r>
    </w:p>
    <w:p>
      <w:pPr>
        <w:pStyle w:val="ListNumber"/>
      </w:pPr>
      <w:r/>
      <w:r>
        <w:rPr>
          <w:b/>
        </w:rPr>
        <w:t>Piège de l'allaitement</w:t>
      </w:r>
      <w:r>
        <w:t xml:space="preserve"> : L'arrêt de l'allaitement n'est pas obligatoire après injection d'iodixanol ; le "pump and dump" de 12–24 h est une option rassurante mais non scientifiquement justifiée.</w:t>
      </w:r>
    </w:p>
    <w:p>
      <w:pPr>
        <w:pStyle w:val="ListNumber"/>
      </w:pPr>
      <w:r/>
      <w:r>
        <w:rPr>
          <w:b/>
        </w:rPr>
        <w:t>Piège de l'urticaire tardive</w:t>
      </w:r>
      <w:r>
        <w:t xml:space="preserve"> : Une éruption cutanée survenant 24–72 h après l'injection doit être signalée et documentée comme réaction retardée.</w:t>
      </w:r>
    </w:p>
    <w:p>
      <w:pPr>
        <w:pStyle w:val="ListNumber"/>
      </w:pPr>
      <w:r/>
      <w:r>
        <w:rPr>
          <w:b/>
        </w:rPr>
        <w:t>Piège de l'anaphylaxie bêta-bloquée</w:t>
      </w:r>
      <w:r>
        <w:t xml:space="preserve"> : Les patients sous bêta-bloquants peuvent présenter une réponse atténuée à l'adrénaline ; prévoir l'adrénaline IV titrée et le glucagon.</w:t>
      </w:r>
    </w:p>
    <w:p>
      <w:pPr>
        <w:pStyle w:val="ListNumber"/>
      </w:pPr>
      <w:r/>
      <w:r>
        <w:rPr>
          <w:b/>
        </w:rPr>
        <w:t>Piège de l'extravasation</w:t>
      </w:r>
      <w:r>
        <w:t xml:space="preserve"> : Toute douleur au point d'injection doit faire arrêter immédiatement l'injection ; surélever le membre, appliquer du froid, surveiller 4 h.</w:t>
      </w:r>
    </w:p>
    <w:p>
      <w:pPr>
        <w:pStyle w:val="ListNumber"/>
      </w:pPr>
      <w:r/>
      <w:r>
        <w:rPr>
          <w:b/>
        </w:rPr>
        <w:t>Piège de la thyroïde</w:t>
      </w:r>
      <w:r>
        <w:t xml:space="preserve"> : Le contrôle TSH 4–6 semaines après l'examen est recommandé chez les patients âgés ou sous traitement thyroïdien.</w:t>
      </w:r>
    </w:p>
    <w:p>
      <w:pPr>
        <w:pStyle w:val="ListNumber"/>
      </w:pPr>
      <w:r/>
      <w:r>
        <w:rPr>
          <w:b/>
        </w:rPr>
        <w:t>Piège de la coronarographie</w:t>
      </w:r>
      <w:r>
        <w:t xml:space="preserve"> : L'arrêt systématique de la metformine est recommandé pour tous les patients indépendamment de l'eGFR, en raison du risque d'embolisation systémique de produit de contraste vers la circulation rénale.</w:t>
      </w:r>
    </w:p>
    <w:p>
      <w:pPr>
        <w:pStyle w:val="ListNumber"/>
      </w:pPr>
      <w:r/>
      <w:r>
        <w:rPr>
          <w:b/>
        </w:rPr>
        <w:t>Piège du choix économique</w:t>
      </w:r>
      <w:r>
        <w:t xml:space="preserve"> : L'iodixanol (VISIPAQUE) est plus coûteux que les non-ioniques monomères (iohexol, iopamidol, iopromide, iobitridol). Réserver son utilisation aux indications à haut risque rénal.</w:t>
      </w:r>
    </w:p>
    <w:p>
      <w:pPr>
        <w:pStyle w:val="Heading2"/>
      </w:pPr>
      <w:r>
        <w:t>215.2 Tableau comparatif de sous-classe : Contrastes iodés non-ioniques dimères</w:t>
      </w:r>
    </w:p>
    <w:tbl>
      <w:tblPr>
        <w:tblStyle w:val="LightGrid-Accent1"/>
        <w:tblW w:type="auto" w:w="0"/>
        <w:tblLayout w:type="autofit"/>
        <w:tblLook w:firstColumn="1" w:firstRow="1" w:lastColumn="0" w:lastRow="0" w:noHBand="0" w:noVBand="1" w:val="04A0"/>
      </w:tblPr>
      <w:tblGrid>
        <w:gridCol w:w="4156"/>
        <w:gridCol w:w="4156"/>
      </w:tblGrid>
      <w:tr>
        <w:tc>
          <w:tcPr>
            <w:tcW w:type="dxa" w:w="4156"/>
            <w:shd w:val="clear" w:color="auto" w:fill="F2F2F2"/>
          </w:tcPr>
          <w:p>
            <w:r>
              <w:rPr>
                <w:rFonts w:ascii="Times New Roman" w:hAnsi="Times New Roman"/>
                <w:b/>
                <w:sz w:val="20"/>
              </w:rPr>
              <w:t>Paramètre</w:t>
            </w:r>
          </w:p>
        </w:tc>
        <w:tc>
          <w:tcPr>
            <w:tcW w:type="dxa" w:w="4156"/>
            <w:shd w:val="clear" w:color="auto" w:fill="F2F2F2"/>
          </w:tcPr>
          <w:p>
            <w:r>
              <w:rPr>
                <w:rFonts w:ascii="Times New Roman" w:hAnsi="Times New Roman"/>
                <w:b/>
                <w:sz w:val="20"/>
              </w:rPr>
              <w:t>Iodixanol (VISIPAQUE)</w:t>
            </w:r>
          </w:p>
        </w:tc>
      </w:tr>
      <w:tr>
        <w:tc>
          <w:tcPr>
            <w:tcW w:type="dxa" w:w="4156"/>
          </w:tcPr>
          <w:p>
            <w:r>
              <w:rPr>
                <w:rFonts w:ascii="Times New Roman" w:hAnsi="Times New Roman"/>
                <w:sz w:val="20"/>
              </w:rPr>
              <w:t>**Code ATC**</w:t>
            </w:r>
          </w:p>
        </w:tc>
        <w:tc>
          <w:tcPr>
            <w:tcW w:type="dxa" w:w="4156"/>
          </w:tcPr>
          <w:p>
            <w:r>
              <w:rPr>
                <w:rFonts w:ascii="Times New Roman" w:hAnsi="Times New Roman"/>
                <w:sz w:val="20"/>
              </w:rPr>
              <w:t>V08AB09</w:t>
            </w:r>
          </w:p>
        </w:tc>
      </w:tr>
      <w:tr>
        <w:tc>
          <w:tcPr>
            <w:tcW w:type="dxa" w:w="4156"/>
          </w:tcPr>
          <w:p>
            <w:r>
              <w:rPr>
                <w:rFonts w:ascii="Times New Roman" w:hAnsi="Times New Roman"/>
                <w:sz w:val="20"/>
              </w:rPr>
              <w:t>**Sous-classe**</w:t>
            </w:r>
          </w:p>
        </w:tc>
        <w:tc>
          <w:tcPr>
            <w:tcW w:type="dxa" w:w="4156"/>
          </w:tcPr>
          <w:p>
            <w:r>
              <w:rPr>
                <w:rFonts w:ascii="Times New Roman" w:hAnsi="Times New Roman"/>
                <w:sz w:val="20"/>
              </w:rPr>
              <w:t>Non-ionique dimère</w:t>
            </w:r>
          </w:p>
        </w:tc>
      </w:tr>
      <w:tr>
        <w:tc>
          <w:tcPr>
            <w:tcW w:type="dxa" w:w="4156"/>
          </w:tcPr>
          <w:p>
            <w:r>
              <w:rPr>
                <w:rFonts w:ascii="Times New Roman" w:hAnsi="Times New Roman"/>
                <w:sz w:val="20"/>
              </w:rPr>
              <w:t>**Formule chimique**</w:t>
            </w:r>
          </w:p>
        </w:tc>
        <w:tc>
          <w:tcPr>
            <w:tcW w:type="dxa" w:w="4156"/>
          </w:tcPr>
          <w:p>
            <w:r>
              <w:rPr>
                <w:rFonts w:ascii="Times New Roman" w:hAnsi="Times New Roman"/>
                <w:sz w:val="20"/>
              </w:rPr>
              <w:t>C₃₅H₄₄I₆N₆O₁₅</w:t>
            </w:r>
          </w:p>
        </w:tc>
      </w:tr>
      <w:tr>
        <w:tc>
          <w:tcPr>
            <w:tcW w:type="dxa" w:w="4156"/>
          </w:tcPr>
          <w:p>
            <w:r>
              <w:rPr>
                <w:rFonts w:ascii="Times New Roman" w:hAnsi="Times New Roman"/>
                <w:sz w:val="20"/>
              </w:rPr>
              <w:t>**Masse molaire**</w:t>
            </w:r>
          </w:p>
        </w:tc>
        <w:tc>
          <w:tcPr>
            <w:tcW w:type="dxa" w:w="4156"/>
          </w:tcPr>
          <w:p>
            <w:r>
              <w:rPr>
                <w:rFonts w:ascii="Times New Roman" w:hAnsi="Times New Roman"/>
                <w:sz w:val="20"/>
              </w:rPr>
              <w:t>1550 g/mol (dimère)</w:t>
            </w:r>
          </w:p>
        </w:tc>
      </w:tr>
      <w:tr>
        <w:tc>
          <w:tcPr>
            <w:tcW w:type="dxa" w:w="4156"/>
          </w:tcPr>
          <w:p>
            <w:r>
              <w:rPr>
                <w:rFonts w:ascii="Times New Roman" w:hAnsi="Times New Roman"/>
                <w:sz w:val="20"/>
              </w:rPr>
              <w:t>**Atomes d'iode / molécule**</w:t>
            </w:r>
          </w:p>
        </w:tc>
        <w:tc>
          <w:tcPr>
            <w:tcW w:type="dxa" w:w="4156"/>
          </w:tcPr>
          <w:p>
            <w:r>
              <w:rPr>
                <w:rFonts w:ascii="Times New Roman" w:hAnsi="Times New Roman"/>
                <w:sz w:val="20"/>
              </w:rPr>
              <w:t>6</w:t>
            </w:r>
          </w:p>
        </w:tc>
      </w:tr>
      <w:tr>
        <w:tc>
          <w:tcPr>
            <w:tcW w:type="dxa" w:w="4156"/>
          </w:tcPr>
          <w:p>
            <w:r>
              <w:rPr>
                <w:rFonts w:ascii="Times New Roman" w:hAnsi="Times New Roman"/>
                <w:sz w:val="20"/>
              </w:rPr>
              <w:t>**Particules osmotiques / molécule**</w:t>
            </w:r>
          </w:p>
        </w:tc>
        <w:tc>
          <w:tcPr>
            <w:tcW w:type="dxa" w:w="4156"/>
          </w:tcPr>
          <w:p>
            <w:r>
              <w:rPr>
                <w:rFonts w:ascii="Times New Roman" w:hAnsi="Times New Roman"/>
                <w:sz w:val="20"/>
              </w:rPr>
              <w:t>1 (non-ionique)</w:t>
            </w:r>
          </w:p>
        </w:tc>
      </w:tr>
      <w:tr>
        <w:tc>
          <w:tcPr>
            <w:tcW w:type="dxa" w:w="4156"/>
          </w:tcPr>
          <w:p>
            <w:r>
              <w:rPr>
                <w:rFonts w:ascii="Times New Roman" w:hAnsi="Times New Roman"/>
                <w:sz w:val="20"/>
              </w:rPr>
              <w:t>**Concentration (mg I/mL)**</w:t>
            </w:r>
          </w:p>
        </w:tc>
        <w:tc>
          <w:tcPr>
            <w:tcW w:type="dxa" w:w="4156"/>
          </w:tcPr>
          <w:p>
            <w:r>
              <w:rPr>
                <w:rFonts w:ascii="Times New Roman" w:hAnsi="Times New Roman"/>
                <w:sz w:val="20"/>
              </w:rPr>
              <w:t>270 et 320</w:t>
            </w:r>
          </w:p>
        </w:tc>
      </w:tr>
      <w:tr>
        <w:tc>
          <w:tcPr>
            <w:tcW w:type="dxa" w:w="4156"/>
          </w:tcPr>
          <w:p>
            <w:r>
              <w:rPr>
                <w:rFonts w:ascii="Times New Roman" w:hAnsi="Times New Roman"/>
                <w:sz w:val="20"/>
              </w:rPr>
              <w:t>**Osmolalité (mOsm/kg)**</w:t>
            </w:r>
          </w:p>
        </w:tc>
        <w:tc>
          <w:tcPr>
            <w:tcW w:type="dxa" w:w="4156"/>
          </w:tcPr>
          <w:p>
            <w:r>
              <w:rPr>
                <w:rFonts w:ascii="Times New Roman" w:hAnsi="Times New Roman"/>
                <w:sz w:val="20"/>
              </w:rPr>
              <w:t>290 (iso-osmolaire plasma)</w:t>
            </w:r>
          </w:p>
        </w:tc>
      </w:tr>
      <w:tr>
        <w:tc>
          <w:tcPr>
            <w:tcW w:type="dxa" w:w="4156"/>
          </w:tcPr>
          <w:p>
            <w:r>
              <w:rPr>
                <w:rFonts w:ascii="Times New Roman" w:hAnsi="Times New Roman"/>
                <w:sz w:val="20"/>
              </w:rPr>
              <w:t>**Viscosité 37 °C (mPa·s)**</w:t>
            </w:r>
          </w:p>
        </w:tc>
        <w:tc>
          <w:tcPr>
            <w:tcW w:type="dxa" w:w="4156"/>
          </w:tcPr>
          <w:p>
            <w:r>
              <w:rPr>
                <w:rFonts w:ascii="Times New Roman" w:hAnsi="Times New Roman"/>
                <w:sz w:val="20"/>
              </w:rPr>
              <w:t>11,8 (la plus élevée de la classe)</w:t>
            </w:r>
          </w:p>
        </w:tc>
      </w:tr>
      <w:tr>
        <w:tc>
          <w:tcPr>
            <w:tcW w:type="dxa" w:w="4156"/>
          </w:tcPr>
          <w:p>
            <w:r>
              <w:rPr>
                <w:rFonts w:ascii="Times New Roman" w:hAnsi="Times New Roman"/>
                <w:sz w:val="20"/>
              </w:rPr>
              <w:t>**Hydrophilie (log P)**</w:t>
            </w:r>
          </w:p>
        </w:tc>
        <w:tc>
          <w:tcPr>
            <w:tcW w:type="dxa" w:w="4156"/>
          </w:tcPr>
          <w:p>
            <w:r>
              <w:rPr>
                <w:rFonts w:ascii="Times New Roman" w:hAnsi="Times New Roman"/>
                <w:sz w:val="20"/>
              </w:rPr>
              <w:t>-4,46 (la plus élevée)</w:t>
            </w:r>
          </w:p>
        </w:tc>
      </w:tr>
      <w:tr>
        <w:tc>
          <w:tcPr>
            <w:tcW w:type="dxa" w:w="4156"/>
          </w:tcPr>
          <w:p>
            <w:r>
              <w:rPr>
                <w:rFonts w:ascii="Times New Roman" w:hAnsi="Times New Roman"/>
                <w:sz w:val="20"/>
              </w:rPr>
              <w:t>**Liaison protéique**</w:t>
            </w:r>
          </w:p>
        </w:tc>
        <w:tc>
          <w:tcPr>
            <w:tcW w:type="dxa" w:w="4156"/>
          </w:tcPr>
          <w:p>
            <w:r>
              <w:rPr>
                <w:rFonts w:ascii="Times New Roman" w:hAnsi="Times New Roman"/>
                <w:sz w:val="20"/>
              </w:rPr>
              <w:t>&lt; 2 %</w:t>
            </w:r>
          </w:p>
        </w:tc>
      </w:tr>
      <w:tr>
        <w:tc>
          <w:tcPr>
            <w:tcW w:type="dxa" w:w="4156"/>
          </w:tcPr>
          <w:p>
            <w:r>
              <w:rPr>
                <w:rFonts w:ascii="Times New Roman" w:hAnsi="Times New Roman"/>
                <w:sz w:val="20"/>
              </w:rPr>
              <w:t>**Demi-vie (min)**</w:t>
            </w:r>
          </w:p>
        </w:tc>
        <w:tc>
          <w:tcPr>
            <w:tcW w:type="dxa" w:w="4156"/>
          </w:tcPr>
          <w:p>
            <w:r>
              <w:rPr>
                <w:rFonts w:ascii="Times New Roman" w:hAnsi="Times New Roman"/>
                <w:sz w:val="20"/>
              </w:rPr>
              <w:t>120</w:t>
            </w:r>
          </w:p>
        </w:tc>
      </w:tr>
      <w:tr>
        <w:tc>
          <w:tcPr>
            <w:tcW w:type="dxa" w:w="4156"/>
          </w:tcPr>
          <w:p>
            <w:r>
              <w:rPr>
                <w:rFonts w:ascii="Times New Roman" w:hAnsi="Times New Roman"/>
                <w:sz w:val="20"/>
              </w:rPr>
              <w:t>**Élimination**</w:t>
            </w:r>
          </w:p>
        </w:tc>
        <w:tc>
          <w:tcPr>
            <w:tcW w:type="dxa" w:w="4156"/>
          </w:tcPr>
          <w:p>
            <w:r>
              <w:rPr>
                <w:rFonts w:ascii="Times New Roman" w:hAnsi="Times New Roman"/>
                <w:sz w:val="20"/>
              </w:rPr>
              <w:t>Rénale 100 %</w:t>
            </w:r>
          </w:p>
        </w:tc>
      </w:tr>
      <w:tr>
        <w:tc>
          <w:tcPr>
            <w:tcW w:type="dxa" w:w="4156"/>
          </w:tcPr>
          <w:p>
            <w:r>
              <w:rPr>
                <w:rFonts w:ascii="Times New Roman" w:hAnsi="Times New Roman"/>
                <w:sz w:val="20"/>
              </w:rPr>
              <w:t>**Marque en Algérie**</w:t>
            </w:r>
          </w:p>
        </w:tc>
        <w:tc>
          <w:tcPr>
            <w:tcW w:type="dxa" w:w="4156"/>
          </w:tcPr>
          <w:p>
            <w:r>
              <w:rPr>
                <w:rFonts w:ascii="Times New Roman" w:hAnsi="Times New Roman"/>
                <w:sz w:val="20"/>
              </w:rPr>
              <w:t>VISIPAQUE (GE Healthcare)</w:t>
            </w:r>
          </w:p>
        </w:tc>
      </w:tr>
      <w:tr>
        <w:tc>
          <w:tcPr>
            <w:tcW w:type="dxa" w:w="4156"/>
          </w:tcPr>
          <w:p>
            <w:r>
              <w:rPr>
                <w:rFonts w:ascii="Times New Roman" w:hAnsi="Times New Roman"/>
                <w:sz w:val="20"/>
              </w:rPr>
              <w:t>**Statut Algérie (Avril 2026)**</w:t>
            </w:r>
          </w:p>
        </w:tc>
        <w:tc>
          <w:tcPr>
            <w:tcW w:type="dxa" w:w="4156"/>
          </w:tcPr>
          <w:p>
            <w:r>
              <w:rPr>
                <w:rFonts w:ascii="Times New Roman" w:hAnsi="Times New Roman"/>
                <w:sz w:val="20"/>
              </w:rPr>
              <w:t>ACTIF</w:t>
            </w:r>
          </w:p>
        </w:tc>
      </w:tr>
      <w:tr>
        <w:tc>
          <w:tcPr>
            <w:tcW w:type="dxa" w:w="4156"/>
          </w:tcPr>
          <w:p>
            <w:r>
              <w:rPr>
                <w:rFonts w:ascii="Times New Roman" w:hAnsi="Times New Roman"/>
                <w:sz w:val="20"/>
              </w:rPr>
              <w:t>**Conditionnement**</w:t>
            </w:r>
          </w:p>
        </w:tc>
        <w:tc>
          <w:tcPr>
            <w:tcW w:type="dxa" w:w="4156"/>
          </w:tcPr>
          <w:p>
            <w:r>
              <w:rPr>
                <w:rFonts w:ascii="Times New Roman" w:hAnsi="Times New Roman"/>
                <w:sz w:val="20"/>
              </w:rPr>
              <w:t>Fl 50 mL - Fl 100 mL - B/10 Fl 50 mL - B/10 Fl 100 mL</w:t>
            </w:r>
          </w:p>
        </w:tc>
      </w:tr>
      <w:tr>
        <w:tc>
          <w:tcPr>
            <w:tcW w:type="dxa" w:w="4156"/>
          </w:tcPr>
          <w:p>
            <w:r>
              <w:rPr>
                <w:rFonts w:ascii="Times New Roman" w:hAnsi="Times New Roman"/>
                <w:sz w:val="20"/>
              </w:rPr>
              <w:t>**Sensation chaleur au point d'injection**</w:t>
            </w:r>
          </w:p>
        </w:tc>
        <w:tc>
          <w:tcPr>
            <w:tcW w:type="dxa" w:w="4156"/>
          </w:tcPr>
          <w:p>
            <w:r>
              <w:rPr>
                <w:rFonts w:ascii="Times New Roman" w:hAnsi="Times New Roman"/>
                <w:sz w:val="20"/>
              </w:rPr>
              <w:t>Absente (iso-osmolaire)</w:t>
            </w:r>
          </w:p>
        </w:tc>
      </w:tr>
      <w:tr>
        <w:tc>
          <w:tcPr>
            <w:tcW w:type="dxa" w:w="4156"/>
          </w:tcPr>
          <w:p>
            <w:r>
              <w:rPr>
                <w:rFonts w:ascii="Times New Roman" w:hAnsi="Times New Roman"/>
                <w:sz w:val="20"/>
              </w:rPr>
              <w:t>**Douleur injection IV**</w:t>
            </w:r>
          </w:p>
        </w:tc>
        <w:tc>
          <w:tcPr>
            <w:tcW w:type="dxa" w:w="4156"/>
          </w:tcPr>
          <w:p>
            <w:r>
              <w:rPr>
                <w:rFonts w:ascii="Times New Roman" w:hAnsi="Times New Roman"/>
                <w:sz w:val="20"/>
              </w:rPr>
              <w:t>Absente</w:t>
            </w:r>
          </w:p>
        </w:tc>
      </w:tr>
      <w:tr>
        <w:tc>
          <w:tcPr>
            <w:tcW w:type="dxa" w:w="4156"/>
          </w:tcPr>
          <w:p>
            <w:r>
              <w:rPr>
                <w:rFonts w:ascii="Times New Roman" w:hAnsi="Times New Roman"/>
                <w:sz w:val="20"/>
              </w:rPr>
              <w:t>**CIN (incidence, eGFR 30-59)**</w:t>
            </w:r>
          </w:p>
        </w:tc>
        <w:tc>
          <w:tcPr>
            <w:tcW w:type="dxa" w:w="4156"/>
          </w:tcPr>
          <w:p>
            <w:r>
              <w:rPr>
                <w:rFonts w:ascii="Times New Roman" w:hAnsi="Times New Roman"/>
                <w:sz w:val="20"/>
              </w:rPr>
              <w:t>2–5 % (la plus basse de la classe)</w:t>
            </w:r>
          </w:p>
        </w:tc>
      </w:tr>
      <w:tr>
        <w:tc>
          <w:tcPr>
            <w:tcW w:type="dxa" w:w="4156"/>
          </w:tcPr>
          <w:p>
            <w:r>
              <w:rPr>
                <w:rFonts w:ascii="Times New Roman" w:hAnsi="Times New Roman"/>
                <w:sz w:val="20"/>
              </w:rPr>
              <w:t>**NSF**</w:t>
            </w:r>
          </w:p>
        </w:tc>
        <w:tc>
          <w:tcPr>
            <w:tcW w:type="dxa" w:w="4156"/>
          </w:tcPr>
          <w:p>
            <w:r>
              <w:rPr>
                <w:rFonts w:ascii="Times New Roman" w:hAnsi="Times New Roman"/>
                <w:sz w:val="20"/>
              </w:rPr>
              <w:t>0 (non-gadoliné)</w:t>
            </w:r>
          </w:p>
        </w:tc>
      </w:tr>
      <w:tr>
        <w:tc>
          <w:tcPr>
            <w:tcW w:type="dxa" w:w="4156"/>
          </w:tcPr>
          <w:p>
            <w:r>
              <w:rPr>
                <w:rFonts w:ascii="Times New Roman" w:hAnsi="Times New Roman"/>
                <w:sz w:val="20"/>
              </w:rPr>
              <w:t>**Indication préférentielle**</w:t>
            </w:r>
          </w:p>
        </w:tc>
        <w:tc>
          <w:tcPr>
            <w:tcW w:type="dxa" w:w="4156"/>
          </w:tcPr>
          <w:p>
            <w:r>
              <w:rPr>
                <w:rFonts w:ascii="Times New Roman" w:hAnsi="Times New Roman"/>
                <w:sz w:val="20"/>
              </w:rPr>
              <w:t>Coronarographie, angiographie, scanographie haut risque rénal</w:t>
            </w:r>
          </w:p>
        </w:tc>
      </w:tr>
      <w:tr>
        <w:tc>
          <w:tcPr>
            <w:tcW w:type="dxa" w:w="4156"/>
          </w:tcPr>
          <w:p>
            <w:r>
              <w:rPr>
                <w:rFonts w:ascii="Times New Roman" w:hAnsi="Times New Roman"/>
                <w:sz w:val="20"/>
              </w:rPr>
              <w:t>**Indication de substitution**</w:t>
            </w:r>
          </w:p>
        </w:tc>
        <w:tc>
          <w:tcPr>
            <w:tcW w:type="dxa" w:w="4156"/>
          </w:tcPr>
          <w:p>
            <w:r>
              <w:rPr>
                <w:rFonts w:ascii="Times New Roman" w:hAnsi="Times New Roman"/>
                <w:sz w:val="20"/>
              </w:rPr>
              <w:t>— (produit de référence pour haut risque rénal)</w:t>
            </w:r>
          </w:p>
        </w:tc>
      </w:tr>
      <w:tr>
        <w:tc>
          <w:tcPr>
            <w:tcW w:type="dxa" w:w="4156"/>
          </w:tcPr>
          <w:p>
            <w:r>
              <w:rPr>
                <w:rFonts w:ascii="Times New Roman" w:hAnsi="Times New Roman"/>
                <w:sz w:val="20"/>
              </w:rPr>
              <w:t>**Dose adulte standard**</w:t>
            </w:r>
          </w:p>
        </w:tc>
        <w:tc>
          <w:tcPr>
            <w:tcW w:type="dxa" w:w="4156"/>
          </w:tcPr>
          <w:p>
            <w:r>
              <w:rPr>
                <w:rFonts w:ascii="Times New Roman" w:hAnsi="Times New Roman"/>
                <w:sz w:val="20"/>
              </w:rPr>
              <w:t>80–120 mL IV selon indication</w:t>
            </w:r>
          </w:p>
        </w:tc>
      </w:tr>
      <w:tr>
        <w:tc>
          <w:tcPr>
            <w:tcW w:type="dxa" w:w="4156"/>
          </w:tcPr>
          <w:p>
            <w:r>
              <w:rPr>
                <w:rFonts w:ascii="Times New Roman" w:hAnsi="Times New Roman"/>
                <w:sz w:val="20"/>
              </w:rPr>
              <w:t>**CI absolue**</w:t>
            </w:r>
          </w:p>
        </w:tc>
        <w:tc>
          <w:tcPr>
            <w:tcW w:type="dxa" w:w="4156"/>
          </w:tcPr>
          <w:p>
            <w:r>
              <w:rPr>
                <w:rFonts w:ascii="Times New Roman" w:hAnsi="Times New Roman"/>
                <w:sz w:val="20"/>
              </w:rPr>
              <w:t>Hypersensibilité, hypertyroïdie non contrôlée, grossesse, myélome, phéochromocytome</w:t>
            </w:r>
          </w:p>
        </w:tc>
      </w:tr>
      <w:tr>
        <w:tc>
          <w:tcPr>
            <w:tcW w:type="dxa" w:w="4156"/>
          </w:tcPr>
          <w:p>
            <w:r>
              <w:rPr>
                <w:rFonts w:ascii="Times New Roman" w:hAnsi="Times New Roman"/>
                <w:sz w:val="20"/>
              </w:rPr>
              <w:t>**CI relative**</w:t>
            </w:r>
          </w:p>
        </w:tc>
        <w:tc>
          <w:tcPr>
            <w:tcW w:type="dxa" w:w="4156"/>
          </w:tcPr>
          <w:p>
            <w:r>
              <w:rPr>
                <w:rFonts w:ascii="Times New Roman" w:hAnsi="Times New Roman"/>
                <w:sz w:val="20"/>
              </w:rPr>
              <w:t>eGFR &lt; 30 (précaution, hydratation IV systématique)</w:t>
            </w:r>
          </w:p>
        </w:tc>
      </w:tr>
      <w:tr>
        <w:tc>
          <w:tcPr>
            <w:tcW w:type="dxa" w:w="4156"/>
          </w:tcPr>
          <w:p>
            <w:r>
              <w:rPr>
                <w:rFonts w:ascii="Times New Roman" w:hAnsi="Times New Roman"/>
                <w:sz w:val="20"/>
              </w:rPr>
              <w:t>**CI grossesse (CRAT)**</w:t>
            </w:r>
          </w:p>
        </w:tc>
        <w:tc>
          <w:tcPr>
            <w:tcW w:type="dxa" w:w="4156"/>
          </w:tcPr>
          <w:p>
            <w:r>
              <w:rPr>
                <w:rFonts w:ascii="Times New Roman" w:hAnsi="Times New Roman"/>
                <w:sz w:val="20"/>
              </w:rPr>
              <w:t>Relative (urgence vitale uniquement)</w:t>
            </w:r>
          </w:p>
        </w:tc>
      </w:tr>
      <w:tr>
        <w:tc>
          <w:tcPr>
            <w:tcW w:type="dxa" w:w="4156"/>
          </w:tcPr>
          <w:p>
            <w:r>
              <w:rPr>
                <w:rFonts w:ascii="Times New Roman" w:hAnsi="Times New Roman"/>
                <w:sz w:val="20"/>
              </w:rPr>
              <w:t>**Allaitement**</w:t>
            </w:r>
          </w:p>
        </w:tc>
        <w:tc>
          <w:tcPr>
            <w:tcW w:type="dxa" w:w="4156"/>
          </w:tcPr>
          <w:p>
            <w:r>
              <w:rPr>
                <w:rFonts w:ascii="Times New Roman" w:hAnsi="Times New Roman"/>
                <w:sz w:val="20"/>
              </w:rPr>
              <w:t>Autorisé, "pump and dump" 12–24 h optionnel</w:t>
            </w:r>
          </w:p>
        </w:tc>
      </w:tr>
      <w:tr>
        <w:tc>
          <w:tcPr>
            <w:tcW w:type="dxa" w:w="4156"/>
          </w:tcPr>
          <w:p>
            <w:r>
              <w:rPr>
                <w:rFonts w:ascii="Times New Roman" w:hAnsi="Times New Roman"/>
                <w:sz w:val="20"/>
              </w:rPr>
              <w:t>**AMM initiale**</w:t>
            </w:r>
          </w:p>
        </w:tc>
        <w:tc>
          <w:tcPr>
            <w:tcW w:type="dxa" w:w="4156"/>
          </w:tcPr>
          <w:p>
            <w:r>
              <w:rPr>
                <w:rFonts w:ascii="Times New Roman" w:hAnsi="Times New Roman"/>
                <w:sz w:val="20"/>
              </w:rPr>
              <w:t>1996 (GE Healthcare AS, Norvège)</w:t>
            </w:r>
          </w:p>
        </w:tc>
      </w:tr>
    </w:tbl>
    <w:p/>
    <w:p>
      <w:r/>
      <w:r>
        <w:rPr>
          <w:b/>
        </w:rPr>
        <w:t>Synthèse pédagogique pour l'étudiant en pharmacie</w:t>
      </w:r>
      <w:r>
        <w:t xml:space="preserve"> : L'iodixanol (VISIPAQUE — GE Healthcare AS) est le seul produit de contraste iodé non-ionique dimère disponible en Algérie. Sa propriété d'iso-osmolarité (290 mOsm/kg, identique au plasma) en fait le produit de choix pour les patients à haut risque rénal (eGFR 30–59, diabète, myélome), les angiographies complexes (coronarographie), et les patients avec antécédent de réaction modérée à un non-ionique monomère. L'absence de sensation de chaleur au point d'injection et la faible incidence de néphropathie post-contraste (2–5 % vs 5–10 % pour les monomères) sont ses avantages majeurs. Son coût supérieur et sa disponibilité limitée aux concentrations 270 et 320 mg/mL (vs 350–370 mg/mL pour les monomères) en limitent l'utilisation en routine. La prescription nécessite une attention particulière à la fonction rénale, à la fonction thyroïdienne, à la grossesse/allaitement, et à l'algorithme metformine selon l'eGFR et le type d'injection. L'arbitrage économique et clinique entre iodixanol et non-ioniques monomères (iohexol, iopamidol, iopromide, iobitridol) doit être discuté au cas par cas en fonction du profil de risque du patient et de l'indication clinique.</w:t>
      </w:r>
    </w:p>
    <w:p>
      <w:pPr>
        <w:pStyle w:val="Heading2"/>
      </w:pPr>
      <w:r>
        <w:t>215.3 Conclusion du Fascicule XXI — Synthèse pédagogique</w:t>
      </w:r>
    </w:p>
    <w:p>
      <w:r>
        <w:t>Le présent fascicule a couvert l'ensemble des 14 DCI de produits de contraste radiologique disponibles dans la nomenclature algérienne Avril 2026, réparties en 5 sous-classes pharmacologiques :</w:t>
      </w:r>
    </w:p>
    <w:p>
      <w:pPr>
        <w:pStyle w:val="ListNumber"/>
      </w:pPr>
      <w:r/>
      <w:r>
        <w:rPr>
          <w:b/>
        </w:rPr>
        <w:t>Gadolinium chélates macrocycliques</w:t>
      </w:r>
      <w:r>
        <w:t xml:space="preserve"> (2 DCI) : acide gadotérique (DOTAREM, CLARISCAN) et gadobutrol (GADOVIST) — standard de sécurité maximale pour l'IRM avec injection.</w:t>
      </w:r>
    </w:p>
    <w:p>
      <w:pPr>
        <w:pStyle w:val="ListNumber"/>
      </w:pPr>
      <w:r/>
      <w:r>
        <w:rPr>
          <w:b/>
        </w:rPr>
        <w:t>Gadolinium chélates linéaires</w:t>
      </w:r>
      <w:r>
        <w:t xml:space="preserve"> (2 DCI RETIRÉES) : gadopentate de dimeglumine (MAGNEVIST) et gadodiamide (OMNISCAN) — retirés du marché en raison du risque de fibrose systémique néphrogénique (NSF).</w:t>
      </w:r>
    </w:p>
    <w:p>
      <w:pPr>
        <w:pStyle w:val="ListNumber"/>
      </w:pPr>
      <w:r/>
      <w:r>
        <w:rPr>
          <w:b/>
        </w:rPr>
        <w:t>Contrastes iodés ioniques</w:t>
      </w:r>
      <w:r>
        <w:t xml:space="preserve"> (2 DCI) : amidotrizoate de sodium/méglumine (GASTROGRAFINE) et ioxaglate de sodium/méglumine (HEXABRIX 320 RETIRÉ).</w:t>
      </w:r>
    </w:p>
    <w:p>
      <w:pPr>
        <w:pStyle w:val="ListNumber"/>
      </w:pPr>
      <w:r/>
      <w:r>
        <w:rPr>
          <w:b/>
        </w:rPr>
        <w:t>Contrastes iodés non-ioniques monomères</w:t>
      </w:r>
      <w:r>
        <w:t xml:space="preserve"> (6 DCI) : iohexol (OMNIPAQUE, ILLUSOF, CONTRAPAQUE, OMNIPOL), iopamidol (PAMIDOL 300), iopamidol en iode élément (PAMIDOL 370), iopromide (ULTRAVIST 300, ULTRAVIST 370), iobitridol (XENETIX 300, XENETIX 350), ioversol (OPTIRAY RETIRÉ) — standard de la radiologie moderne.</w:t>
      </w:r>
    </w:p>
    <w:p>
      <w:pPr>
        <w:pStyle w:val="ListNumber"/>
      </w:pPr>
      <w:r/>
      <w:r>
        <w:rPr>
          <w:b/>
        </w:rPr>
        <w:t>Contrastes iodés non-ioniques dimères</w:t>
      </w:r>
      <w:r>
        <w:t xml:space="preserve"> (1 DCI) : iodixanol (VISIPAQUE) — produit de choix pour les patients à haut risque rénal.</w:t>
      </w:r>
    </w:p>
    <w:p>
      <w:r/>
      <w:r>
        <w:rPr>
          <w:b/>
        </w:rPr>
        <w:t>Messages clés transversaux pour la pratique pharmaceutique algérienne</w:t>
      </w:r>
      <w:r>
        <w:t xml:space="preserve"> :</w:t>
      </w:r>
    </w:p>
    <w:p>
      <w:pPr>
        <w:pStyle w:val="ListBullet"/>
      </w:pPr>
      <w:r/>
      <w:r>
        <w:rPr>
          <w:b/>
        </w:rPr>
        <w:t>La prévention de la NSF</w:t>
      </w:r>
      <w:r>
        <w:t xml:space="preserve"> repose sur l'éviction totale des chélates de gadolinium linéaires (MAGNEVIST, OMNISCAN) et l'utilisation exclusive de chélates macrocycliques (DOTAREM, CLARISCAN, GADOVIST).</w:t>
      </w:r>
    </w:p>
    <w:p>
      <w:pPr>
        <w:pStyle w:val="ListBullet"/>
      </w:pPr>
      <w:r/>
      <w:r>
        <w:rPr>
          <w:b/>
        </w:rPr>
        <w:t>La prévention de la néphropathie post-contraste (CIN)</w:t>
      </w:r>
      <w:r>
        <w:t xml:space="preserve"> repose sur l'hydratation IV systématique chez les patients à risque (eGFR &lt; 60, diabète, myélome), l'arrêt transitoire de la metformine selon l'algorithme ESUR/ACR, et le choix préférentiel de l'iodixanol (VISIPAQUE) pour les patients à haut risque rénal.</w:t>
      </w:r>
    </w:p>
    <w:p>
      <w:pPr>
        <w:pStyle w:val="ListBullet"/>
      </w:pPr>
      <w:r/>
      <w:r>
        <w:rPr>
          <w:b/>
        </w:rPr>
        <w:t>La prévention de l'anaphylaxie</w:t>
      </w:r>
      <w:r>
        <w:t xml:space="preserve"> repose sur l'interrogatoire préalable (antécédents allergiques), la prémédication antiallergique si antécédent sévère, le kit d'urgence en salle d'imagerie, et la surveillance post-injection de 30 min.</w:t>
      </w:r>
    </w:p>
    <w:p>
      <w:pPr>
        <w:pStyle w:val="ListBullet"/>
      </w:pPr>
      <w:r/>
      <w:r>
        <w:rPr>
          <w:b/>
        </w:rPr>
        <w:t>La prévention de la thyrotoxicose jod-basedow</w:t>
      </w:r>
      <w:r>
        <w:t xml:space="preserve"> repose sur le dosage de TSH préalable chez les patients à risque thyroïdien et le contrôle TSH 4–6 semaines après l'examen.</w:t>
      </w:r>
    </w:p>
    <w:p>
      <w:pPr>
        <w:pStyle w:val="ListBullet"/>
      </w:pPr>
      <w:r/>
      <w:r>
        <w:rPr>
          <w:b/>
        </w:rPr>
        <w:t>Le pharmacien d'officine</w:t>
      </w:r>
      <w:r>
        <w:t xml:space="preserve"> joue un rôle pivot dans la vérification de la cohérence des prescriptions, l'éducation thérapeutique des patients, et la détection des stocks résiduels de produits retirés (MAGNEVIST, OMNISCAN, HEXABRIX, OPTIRAY) à détruire selon la procédure DASRI.</w:t>
      </w:r>
    </w:p>
    <w:p>
      <w:r/>
      <w:r>
        <w:rPr>
          <w:b/>
        </w:rPr>
        <w:t>Sources bibliographiques mobilisées</w:t>
      </w:r>
      <w:r>
        <w:t xml:space="preserve"> :</w:t>
      </w:r>
    </w:p>
    <w:p>
      <w:pPr>
        <w:pStyle w:val="ListBullet"/>
      </w:pPr>
      <w:r>
        <w:t>ESUR (European Society of Urogenital Radiology) — Guidelines on Contrast Media, version 10.0 (2018, mises à jour 2024).</w:t>
      </w:r>
    </w:p>
    <w:p>
      <w:pPr>
        <w:pStyle w:val="ListBullet"/>
      </w:pPr>
      <w:r>
        <w:t>ACR (American College of Radiology) — Manual on Contrast Media, version 2024.</w:t>
      </w:r>
    </w:p>
    <w:p>
      <w:pPr>
        <w:pStyle w:val="ListBullet"/>
      </w:pPr>
      <w:r>
        <w:t>EMA (European Medicines Agency) — Recommandations restrictives sur les chélates de gadolinium linéaires (2017).</w:t>
      </w:r>
    </w:p>
    <w:p>
      <w:pPr>
        <w:pStyle w:val="ListBullet"/>
      </w:pPr>
      <w:r>
        <w:t>FDA (Food and Drug Administration) — Boxed warning sur la rétention cérébrale de gadolinium (2017) et recommandations sur la NSF.</w:t>
      </w:r>
    </w:p>
    <w:p>
      <w:pPr>
        <w:pStyle w:val="ListBullet"/>
      </w:pPr>
      <w:r>
        <w:t>CRAT (Centre de Renseignements sur les Agents Tératogènes) — Données françaises de référence sur la prescription chez la femme enceinte et allaitante.</w:t>
      </w:r>
    </w:p>
    <w:p>
      <w:pPr>
        <w:pStyle w:val="ListBullet"/>
      </w:pPr>
      <w:r>
        <w:t>VIDAL, ANSM, Thériaque — Référentiels français d'information sur le médicament.</w:t>
      </w:r>
    </w:p>
    <w:p>
      <w:pPr>
        <w:pStyle w:val="ListBullet"/>
      </w:pPr>
      <w:r>
        <w:t>Nomenclature algérienne Avril 2026 — Source primaire pour les spécialités disponibles en Algérie.</w:t>
      </w:r>
    </w:p>
    <w:p>
      <w:pPr>
        <w:pStyle w:val="ListBullet"/>
      </w:pPr>
      <w:r>
        <w:t>Cowper SE et al. (2006) — Description initiale de la NSF. Lancet.</w:t>
      </w:r>
    </w:p>
    <w:p>
      <w:pPr>
        <w:pStyle w:val="ListBullet"/>
      </w:pPr>
      <w:r>
        <w:t>Aspelin P et al. (2003) — Essai NEPHRIC, supériorité de l'iodixanol sur l'iohexol en termes de CIN. N Engl J Med.</w:t>
      </w:r>
    </w:p>
    <w:p>
      <w:pPr>
        <w:pStyle w:val="ListBullet"/>
      </w:pPr>
      <w:r>
        <w:t>Murata N et al. (2016) — Étude GBCA-Brain, rétention cérébrale de gadolinium. Radiology.</w:t>
      </w:r>
    </w:p>
    <w:p>
      <w:pPr>
        <w:pStyle w:val="ListBullet"/>
      </w:pPr>
      <w:r>
        <w:t>Radbruch A et al. (2019) — Suivi à long terme de la rétention cérébrale. Invest Radiol.</w:t>
      </w:r>
    </w:p>
    <w:p>
      <w:pPr>
        <w:pStyle w:val="Heading1"/>
      </w:pPr>
      <w:r>
        <w:t>Chapitre 216 — Annexes cliniques, protocoles et algorithmes</w:t>
      </w:r>
    </w:p>
    <w:p>
      <w:pPr>
        <w:pStyle w:val="Heading2"/>
      </w:pPr>
      <w:r>
        <w:t>216.1 Protocole d'hydratation pré- et post-contraste (ESUR 2018 / ACR 2024)</w:t>
      </w:r>
    </w:p>
    <w:p>
      <w:pPr>
        <w:pStyle w:val="Heading3"/>
      </w:pPr>
      <w:r>
        <w:t>216.1.1 Principes généraux de l'hydratation</w:t>
      </w:r>
    </w:p>
    <w:p>
      <w:r>
        <w:t>L'hydratation pré- et post-contraste constitue la pierre angulaire de la prévention de la néphropathie post-contraste (CIN), effet indésirable rénal caractérisé par une élévation de la créatininémie d'au moins 25 % ou 44 μmol/L (0,5 mg/dL) survenant dans les 48–72 h suivant l'injection de produit de contraste iodé, sans autre cause identifiable. L'incidence de la CIN varie de 2 % chez le sujet sain à 20–30 % chez les patients à haut risque rénal (eGFR &lt; 30, diabète décompensé, myélome, déshydratation, chimiothérapie néphrotoxique concomitante). La physiopathologie associe une vasoconstriction médullaire rénale, une toxicité tubulaire directe du produit de contraste, et une obstruction tubulaire par cylindres protéiques. L'hydratation permet de contrebalancer la vasoconstriction en maintenant une volémie optimale et un débit de filtration glomérulaire suffisant.</w:t>
      </w:r>
    </w:p>
    <w:p>
      <w:pPr>
        <w:pStyle w:val="Heading3"/>
      </w:pPr>
      <w:r>
        <w:t>216.1.2 Protocole d'hydratation selon l'eGFR</w:t>
      </w:r>
    </w:p>
    <w:p>
      <w:r>
        <w:t>Le protocole d'hydratation IV systématique n'est pas recommandé en routine pour tous les patients. Il est réservé aux patients à risque rénal modéré à sévère selon l'algorithme ESUR 2018/ACR 2024 :</w:t>
      </w:r>
    </w:p>
    <w:p>
      <w:r/>
      <w:r>
        <w:rPr>
          <w:b/>
        </w:rPr>
        <w:t>eGFR ≥ 60 mL/min/1,73 m²</w:t>
      </w:r>
      <w:r>
        <w:t xml:space="preserve"> : Aucune hydratation IV systématique n'est nécessaire. Une hydratation orale simple (1 L d'eau plate dans les 4 h précédant l'examen, puis 1,5–2 L dans les 24 h suivantes) est suffisante pour les indications courantes. La surveillance de la créatininémie post-examen n'est pas systématique. Les patients peuvent reprendre leurs activités immédiatement.</w:t>
      </w:r>
    </w:p>
    <w:p>
      <w:r/>
      <w:r>
        <w:rPr>
          <w:b/>
        </w:rPr>
        <w:t>eGFR 30–59 mL/min/1,73 m²</w:t>
      </w:r>
      <w:r>
        <w:t xml:space="preserve"> : Hydratation IV systématique recommandée par NaCl 0,9 % (sérum physiologique isotonique) à 1 mL/kg/h pendant 6 h avant l'injection et 12 h après l'injection, sans dépasser 1,5 L/h chez le sujet âgé ou cardiaque. Alternative : bicarbonate de sodium 1,4 % à 3 mL/kg/h pendant 1 h avant et 6 h après (protocole Merten 2004), avec une tolérance volémique identique et une durée réduite. Le contrôle de la créatininémie à 48–72 h post-examen est recommandé. L'arrêt transitoire de la metformine pendant 48 h avec contrôle de la créatininémie avant reprise est recommandé.</w:t>
      </w:r>
    </w:p>
    <w:p>
      <w:r/>
      <w:r>
        <w:rPr>
          <w:b/>
        </w:rPr>
        <w:t>eGFR &lt; 30 mL/min/1,73 m²</w:t>
      </w:r>
      <w:r>
        <w:t xml:space="preserve"> : Hydratation IV renforcée par NaCl 0,9 % 1 mL/kg/h pendant 12 h avant et 12 h après l'injection (soit une perfusion continue de 24 h). Alternative : bicarbonate de sodium 1,4 % selon protocole Merten. La surveillance de la diurèse horaire et de la tolérance hémodynamique (tension artérielle, fréquence cardiaque, SpO₂) est impérative. Le contrôle de la créatininémie à 48 h et 7 jours post-examen est recommandé. Une discussion multidisciplinaire (radiologue, néphrologue, cardiologue) préalable à l'examen est nécessaire pour évaluer le rapport bénéfice/risque. L'arrêt systématique de la metformine pendant 48 h est recommandé.</w:t>
      </w:r>
    </w:p>
    <w:p>
      <w:r/>
      <w:r>
        <w:rPr>
          <w:b/>
        </w:rPr>
        <w:t>Patients hémodialysés</w:t>
      </w:r>
      <w:r>
        <w:t xml:space="preserve"> : L'hydratation IV est contre-indiquée en raison du risque de surcharge volémique. Une hémodialyse post-examen peut être programmée sans urgence (le produit de contraste est dialysable mais la dialyse prophylactique n'a pas démontré de supériorité sur l'évolution spontanée de la CIN chez les patients déjà hémodialysés). Une séance d'hémodialyse supplémentaire peut être programmée le lendemain de l'examen pour accélérer l'élimination du produit de contraste. La surveillance du poids et de la volémie est impérative.</w:t>
      </w:r>
    </w:p>
    <w:p>
      <w:pPr>
        <w:pStyle w:val="Heading3"/>
      </w:pPr>
      <w:r>
        <w:t>216.1.3 Contre-indications de l'hydratation IV</w:t>
      </w:r>
    </w:p>
    <w:p>
      <w:r>
        <w:t xml:space="preserve">L'hydratation IV systématique par NaCl 0,9 % est contre-indiquée ou nécessite une adaptation chez les patients présentant : (1) </w:t>
      </w:r>
      <w:r>
        <w:rPr>
          <w:b/>
        </w:rPr>
        <w:t>insuffisance cardiaque congestive décompensée</w:t>
      </w:r>
      <w:r>
        <w:t xml:space="preserve"> (NYHA III–IV) en raison du risque de surcharge volémique et d'œdème aigu du poumon ; (2) </w:t>
      </w:r>
      <w:r>
        <w:rPr>
          <w:b/>
        </w:rPr>
        <w:t>insuffisance rénale aiguë hyperhydratée</w:t>
      </w:r>
      <w:r>
        <w:t xml:space="preserve"> (oligurique ou anurique) ; (3) </w:t>
      </w:r>
      <w:r>
        <w:rPr>
          <w:b/>
        </w:rPr>
        <w:t>cirrhose ascitique</w:t>
      </w:r>
      <w:r>
        <w:t xml:space="preserve"> avec risque d'hyponatrémie dilutionnelle ; (4) </w:t>
      </w:r>
      <w:r>
        <w:rPr>
          <w:b/>
        </w:rPr>
        <w:t>syndrome néphrotique</w:t>
      </w:r>
      <w:r>
        <w:t xml:space="preserve"> avec hypoprotidémie sévère ; (5) </w:t>
      </w:r>
      <w:r>
        <w:rPr>
          <w:b/>
        </w:rPr>
        <w:t>hypernatrémie préexistante</w:t>
      </w:r>
      <w:r>
        <w:t xml:space="preserve"> (Na &gt; 145 mmol/L). Dans ces cas, l'alternative est l'hydratation orale contrôlée (500 mL/h pendant 4 h avant et 4 h après, sous surveillance de la diurèse) ou la perfusion lente de NaCl 0,45 % à 0,5 mL/kg/h avec surveillance rapprochée. Le bicarbonate de sodium 1,4 % peut être préféré en cas de surcharge volémique relative car sa durée d'administration est plus courte (7 h vs 18 h pour le NaCl 0,9 %).</w:t>
      </w:r>
    </w:p>
    <w:p>
      <w:pPr>
        <w:pStyle w:val="Heading3"/>
      </w:pPr>
      <w:r>
        <w:t>216.1.4 Surveillance pendant l'hydratation</w:t>
      </w:r>
    </w:p>
    <w:p>
      <w:r>
        <w:t xml:space="preserve">La surveillance pendant l'hydratation IV comprend : (1) </w:t>
      </w:r>
      <w:r>
        <w:rPr>
          <w:b/>
        </w:rPr>
        <w:t>surveillance clinique</w:t>
      </w:r>
      <w:r>
        <w:t xml:space="preserve"> toutes les 4 h : tension artérielle, fréquence cardiaque, fréquence respiratoire, SpO₂, examen pulmonaire (recherche de crépitants), œdèmes des membres inférieurs, poids ; (2) </w:t>
      </w:r>
      <w:r>
        <w:rPr>
          <w:b/>
        </w:rPr>
        <w:t>surveillance de la diurèse horaire</w:t>
      </w:r>
      <w:r>
        <w:t xml:space="preserve"> par sonde vésicale ou recueil des urines (objectif : diurèse &gt; 0,5 mL/kg/h) ; (3) </w:t>
      </w:r>
      <w:r>
        <w:rPr>
          <w:b/>
        </w:rPr>
        <w:t>bilan biologique</w:t>
      </w:r>
      <w:r>
        <w:t xml:space="preserve"> à H0, H12, H24 : ionogramme sanguin (Na, K, Cl, HCO₃⁻), urée, créatinine, protidémie ; (4) </w:t>
      </w:r>
      <w:r>
        <w:rPr>
          <w:b/>
        </w:rPr>
        <w:t>ECG</w:t>
      </w:r>
      <w:r>
        <w:t xml:space="preserve"> en cas d'hyperkaliémie ou de trouble du rythme. En cas de surcharge volémique (dyspnée, crépitants, œdèmes, prise de poids &gt; 2 kg/24 h), la perfusion doit être immédiatement arrêtée et un traitement diurétique (furosémide 20–40 mg IV) discuté. L'avis d'un cardiologue ou d'un néphrologue est recommandé en cas de signes de gravité.</w:t>
      </w:r>
    </w:p>
    <w:p>
      <w:pPr>
        <w:pStyle w:val="Heading3"/>
      </w:pPr>
      <w:r>
        <w:t>216.1.5 Cas particuliers</w:t>
      </w:r>
    </w:p>
    <w:p>
      <w:r/>
      <w:r>
        <w:rPr>
          <w:b/>
        </w:rPr>
        <w:t>Patients diabétiques</w:t>
      </w:r>
      <w:r>
        <w:t xml:space="preserve"> : La glycémie capillaire doit être surveillée toutes les 4 h pendant l'hydratation IV, notamment chez les patients sous insuline ou sulfamides hypoglycémiants. L'hydratation par NaCl 0,9 % peut induire une hyperglycémie modérée (effet glucocorticoïde du sodium) ; l'adaptation des doses d'insuline est recommandée. L'arrêt transitoire de la metformine pendant 48 h avec contrôle de la créatininémie avant reprise est systématique pour les eGFR &lt; 60.</w:t>
      </w:r>
    </w:p>
    <w:p>
      <w:r/>
      <w:r>
        <w:rPr>
          <w:b/>
        </w:rPr>
        <w:t>Patients âgés (&gt; 75 ans)</w:t>
      </w:r>
      <w:r>
        <w:t xml:space="preserve"> : La tolérance cardiaque et rénale de l'hydratation IV est réduite. Le débit de perfusion doit être réduit à 0,5–0,8 mL/kg/h et la surveillance rapprochée (toutes les 2 h). L'alternative bicarbonate de sodium peut être préférée en raison de sa durée réduite. L'évaluation gériatrique préalable (cognition, autonomie, comorbidités) est recommandée pour anticiper les complications potentielles.</w:t>
      </w:r>
    </w:p>
    <w:p>
      <w:r/>
      <w:r>
        <w:rPr>
          <w:b/>
        </w:rPr>
        <w:t>Patients sous diurétiques</w:t>
      </w:r>
      <w:r>
        <w:t xml:space="preserve"> : Les diurétiques de l'anse (furosémide) ou thiazidiques peuvent aggraver une déshydratation préalable et majorer le risque de CIN. Leur arrêt transitoire le jour de l'examen et le lendemain est discuté au cas par cas, en pesant le bénéfice (prévention de la surcharge) contre le risque (aggravation de la déshydratation). En cas de maintien, la surveillance de la volémie et de l'ionogramme est renforcée.</w:t>
      </w:r>
    </w:p>
    <w:p>
      <w:r/>
      <w:r>
        <w:rPr>
          <w:b/>
        </w:rPr>
        <w:t>Patients sous IEC ou ARA2</w:t>
      </w:r>
      <w:r>
        <w:t xml:space="preserve"> : Ces médicaments majorent le risque d'hypotension et de Trouble Fonctionnel Rénal (TFR) en cas de déshydratation. Leur maintien est néanmoins recommandé en routine en raison du bénéfice cardio-rénal global, mais la surveillance de la tension artérielle et de la créatininémie est renforcée à 48 h post-examen.</w:t>
      </w:r>
    </w:p>
    <w:p>
      <w:pPr>
        <w:pStyle w:val="Heading2"/>
      </w:pPr>
      <w:r>
        <w:t>216.2 Algorithme détaillé de gestion de la metformine selon ESUR/ACR</w:t>
      </w:r>
    </w:p>
    <w:p>
      <w:pPr>
        <w:pStyle w:val="Heading3"/>
      </w:pPr>
      <w:r>
        <w:t>216.2.1 Contexte pharmacologique</w:t>
      </w:r>
    </w:p>
    <w:p>
      <w:r>
        <w:t xml:space="preserve">La metformine est le traitement de première intention du diabète de type 2, prescrit à plus de 150 millions de patients dans le monde. Son élimination est exclusivement rénale par filtration glomérulaire et sécrétion tubulaire active (via les transporteurs OCT2 et MATE1). En cas d'insuffisance rénale aiguë (IRA) post-contraste, la metformine s'accumule dans l'organisme et peut déclencher une </w:t>
      </w:r>
      <w:r>
        <w:rPr>
          <w:b/>
        </w:rPr>
        <w:t>acidose lactique</w:t>
      </w:r>
      <w:r>
        <w:t>, complication métabolique grave (mortalité 30–50 %). Le risque théorique d'acidose lactique sous metformine est estimé à 0,03–0,08 cas pour 1 000 patients-années, mais il est majoré en cas d'IRA, d'hypoxie tissulaire, de choc, ou d'insuffisance hépatocellulaire.</w:t>
      </w:r>
    </w:p>
    <w:p>
      <w:pPr>
        <w:pStyle w:val="Heading3"/>
      </w:pPr>
      <w:r>
        <w:t>216.2.2 Algorithme ESUR 2018 / ACR 2024</w:t>
      </w:r>
    </w:p>
    <w:p>
      <w:r>
        <w:t>L'algorithme décisionnel pour la gestion de la metformine avant et après injection de produit de contraste iodé IV non-ionique (iohexol, iopamidol, iopromide, iobitridol, iodixanol) est le suivant :</w:t>
      </w:r>
    </w:p>
    <w:p>
      <w:r/>
      <w:r>
        <w:rPr>
          <w:b/>
        </w:rPr>
        <w:t>eGFR ≥ 60 mL/min/1,73 m² + injection IV &lt; 100 mL (scanographie courante, urographie)</w:t>
      </w:r>
      <w:r>
        <w:t xml:space="preserve"> : La metformine peut être </w:t>
      </w:r>
      <w:r>
        <w:rPr>
          <w:b/>
        </w:rPr>
        <w:t>continuée sans interruption</w:t>
      </w:r>
      <w:r>
        <w:t>. Aucun contrôle de la créatininémie post-examen n'est nécessaire en routine. La surveillance clinique du patient (signes d'acidose : dyspnée, douleurs abdominales, hypothermie, hypotension, troubles de conscience) est recommandée pendant 48 h. Le patient doit être informé de consulter en urgence en cas de survenue de ces signes.</w:t>
      </w:r>
    </w:p>
    <w:p>
      <w:r/>
      <w:r>
        <w:rPr>
          <w:b/>
        </w:rPr>
        <w:t>eGFR ≥ 60 mL/min/1,73 m² + injection IV ≥ 100 mL (angio-scanner) ou injection intra-artérielle (coronarographie)</w:t>
      </w:r>
      <w:r>
        <w:t xml:space="preserve"> : La metformine doit être </w:t>
      </w:r>
      <w:r>
        <w:rPr>
          <w:b/>
        </w:rPr>
        <w:t>arrêtée au moment de l'injection</w:t>
      </w:r>
      <w:r>
        <w:t xml:space="preserve"> et pendant </w:t>
      </w:r>
      <w:r>
        <w:rPr>
          <w:b/>
        </w:rPr>
        <w:t>48 h</w:t>
      </w:r>
      <w:r>
        <w:t xml:space="preserve"> après l'examen. Le contrôle de la créatininémie à 48 h post-examen est recommandé avant reprise de la metformine. Si la créatininémie est stable (augmentation &lt; 25 %), la metformine peut être reprise à la dose antérieure. Si la créatininémie est élevée (augmentation ≥ 25 %), la metformine doit être maintenue arrêtée et une consultation néphrologique est recommandée.</w:t>
      </w:r>
    </w:p>
    <w:p>
      <w:r/>
      <w:r>
        <w:rPr>
          <w:b/>
        </w:rPr>
        <w:t>eGFR 30–59 mL/min/1,73 m² (insuffisance rénale modérée) — toute injection IV ou intra-artérielle</w:t>
      </w:r>
      <w:r>
        <w:t xml:space="preserve"> : La metformine doit être </w:t>
      </w:r>
      <w:r>
        <w:rPr>
          <w:b/>
        </w:rPr>
        <w:t>arrêtée 48 h avant l'examen</w:t>
      </w:r>
      <w:r>
        <w:t xml:space="preserve"> et pendant </w:t>
      </w:r>
      <w:r>
        <w:rPr>
          <w:b/>
        </w:rPr>
        <w:t>48 h après l'examen</w:t>
      </w:r>
      <w:r>
        <w:t>. Le contrôle de la créatininémie à 48 h post-examen est systématique avant reprise de la metformine. La glycémie capillaire doit être surveillée pendant l'arrêt (risque d'hyperglycémie), avec adaptation éventuelle de l'insuline si le patient est sous insuline associée.</w:t>
      </w:r>
    </w:p>
    <w:p>
      <w:r/>
      <w:r>
        <w:rPr>
          <w:b/>
        </w:rPr>
        <w:t>eGFR &lt; 30 mL/min/1,73 m² (insuffisance rénale sévère)</w:t>
      </w:r>
      <w:r>
        <w:t xml:space="preserve"> : La metformine est </w:t>
      </w:r>
      <w:r>
        <w:rPr>
          <w:b/>
        </w:rPr>
        <w:t>contre-indiquée</w:t>
      </w:r>
      <w:r>
        <w:t xml:space="preserve"> en pratique courante (selon l'AMM européenne) et doit être </w:t>
      </w:r>
      <w:r>
        <w:rPr>
          <w:b/>
        </w:rPr>
        <w:t>interrompue définitivement</w:t>
      </w:r>
      <w:r>
        <w:t>. L'alternative thérapeutique du diabète doit être discutée avec le diabétologue (insuline, sulfamides hypoglycémiants, inhibiteurs SGLT2 — empagliflozine, dapagliflozine — en l'absence de contre-indication rénale). L'injection de produit de contraste iodé doit être discutée en multidisciplinaire et l'alternative IRM (sans irradiation, sans CIN) envisagée si possible.</w:t>
      </w:r>
    </w:p>
    <w:p>
      <w:r/>
      <w:r>
        <w:rPr>
          <w:b/>
        </w:rPr>
        <w:t>Patients sous metformine pour syndrome des ovaires polykystiques (SOPK) sans diabète</w:t>
      </w:r>
      <w:r>
        <w:t xml:space="preserve"> : L'algorithme est identique. La metformine peut être arrêtée transitoirement pendant 48 h sans risque d'hyperglycémie majeure. Le contrôle de la créatininémie à 48 h post-examen est recommandé avant reprise.</w:t>
      </w:r>
    </w:p>
    <w:p>
      <w:pPr>
        <w:pStyle w:val="Heading3"/>
      </w:pPr>
      <w:r>
        <w:t>216.2.3 Cas particuliers et pièges</w:t>
      </w:r>
    </w:p>
    <w:p>
      <w:r/>
      <w:r>
        <w:rPr>
          <w:b/>
        </w:rPr>
        <w:t>Patients sous metformine à dose maximale (3 g/jour) ou en association avec sulfamides ou insuline</w:t>
      </w:r>
      <w:r>
        <w:t xml:space="preserve"> : Le risque d'hyperglycémie à l'arrêt est majoré. Une surveillance glycémique capillaire toutes les 4–6 h pendant l'arrêt est recommandée. L'adaptation transitoire des sulfamies ou de l'insuline peut être nécessaire (réduction de 30–50 % pour éviter l'hypoglycémie si l'arrêt de la metformine entraîne une réduction de l'insulinorésistance).</w:t>
      </w:r>
    </w:p>
    <w:p>
      <w:r/>
      <w:r>
        <w:rPr>
          <w:b/>
        </w:rPr>
        <w:t>Patients diabétiques âgés</w:t>
      </w:r>
      <w:r>
        <w:t xml:space="preserve"> : La tolérance rénale et cardiaque de l'arrêt de la metformine est réduite. La surveillance glycémique et tensionnelle est renforcée. L'alternative d'un examen non irradiant (IRM, échographie) doit être systématiquement discutée.</w:t>
      </w:r>
    </w:p>
    <w:p>
      <w:r/>
      <w:r>
        <w:rPr>
          <w:b/>
        </w:rPr>
        <w:t>Patients diabétiques en hémodialyse</w:t>
      </w:r>
      <w:r>
        <w:t xml:space="preserve"> : La metformine est contre-indiquée chez les patients hémodialysés (risque d'accumulation et d'acidose lactique). L'insuline est le traitement de choix du diabète en hémodialyse. L'injection de produit de contraste iodé est possible mais nécessite une discussion multidisciplinaire préalable (radiologue, néphrologue, diabétologue).</w:t>
      </w:r>
    </w:p>
    <w:p>
      <w:r/>
      <w:r>
        <w:rPr>
          <w:b/>
        </w:rPr>
        <w:t>Patients sous produits de contraste pour opacification de cavités (arthrographie, myélographie, fistulographie)</w:t>
      </w:r>
      <w:r>
        <w:t xml:space="preserve"> : L'algorithme est identique à celui des injections IV, en raison du passage systémique possible (10–30 % de la dose injectée).</w:t>
      </w:r>
    </w:p>
    <w:p>
      <w:r/>
      <w:r>
        <w:rPr>
          <w:b/>
        </w:rPr>
        <w:t>Patients recevant un produit de contraste gadoliné macrocyclique (acide gadotérique, gadobutrol)</w:t>
      </w:r>
      <w:r>
        <w:t xml:space="preserve"> : L'algorithme est </w:t>
      </w:r>
      <w:r>
        <w:rPr>
          <w:b/>
        </w:rPr>
        <w:t>plus permissif</w:t>
      </w:r>
      <w:r>
        <w:t xml:space="preserve"> : la metformine peut être continuée pour les eGFR ≥ 30 mL/min/1,73 m² et les doses standard (&lt; 0,2 mmol/kg). L'arrêt pendant 48 h est recommandé pour les eGFR &lt; 30 mL/min/1,73 m².</w:t>
      </w:r>
    </w:p>
    <w:p>
      <w:pPr>
        <w:pStyle w:val="Heading3"/>
      </w:pPr>
      <w:r>
        <w:t>216.2.4 Information du patient</w:t>
      </w:r>
    </w:p>
    <w:p>
      <w:r>
        <w:t>Le patient diabétique sous metformine doit être informé avant l'examen radiologique : (1) de la nécessité éventuelle d'arrêter la metformine selon son eGFR et le type d'injection ; (2) de la durée de l'arrêt (48 h) ; (3) des signes d'hyperglycémie à surveiller (soif, polyurie, asthénie, flou visuel) ; (4) des signes d'acidose lactique à surveiller (dyspnée, douleurs abdominales, hypothermie, hypotension, troubles de conscience) et de consulter en urgence en cas de survenue ; (5) de la nécessité d'un contrôle de la créatininémie à 48 h post-examen avant reprise de la metformine ; (6) de la conduite à tenir en cas de résultats biologiques anormaux (consultation diabétologique).</w:t>
      </w:r>
    </w:p>
    <w:p>
      <w:pPr>
        <w:pStyle w:val="Heading2"/>
      </w:pPr>
      <w:r>
        <w:t>216.3 Protocole de prise en charge de l'anaphylaxie aux produits de contraste</w:t>
      </w:r>
    </w:p>
    <w:p>
      <w:pPr>
        <w:pStyle w:val="Heading3"/>
      </w:pPr>
      <w:r>
        <w:t>216.3.1 Reconnaissance des signes d'anaphylaxie</w:t>
      </w:r>
    </w:p>
    <w:p>
      <w:r>
        <w:t>L'anaphylaxie aux produits de contraste iodés ou gadolinés survient dans les 30 minutes suivant l'injection dans 90 % des cas. Les réactions tardives (1–72 h) sont généralement modérées (rash maculopapuleux, prurit) et ne constituent pas une anaphylaxie vraie. Les signes d'anaphylaxie immédiate à reconnaître sont :</w:t>
      </w:r>
    </w:p>
    <w:p>
      <w:r/>
      <w:r>
        <w:rPr>
          <w:b/>
        </w:rPr>
        <w:t>Signes cutanéo-muqueux</w:t>
      </w:r>
      <w:r>
        <w:t xml:space="preserve"> (90 % des cas) : urticaire généralisée (plaques érythémateuses prurigineuses), érythème diffus, œdème de Quincke (lèvres, paupières, langue, gorge), prurit palmoplantaire, conjonctivite allergique. </w:t>
      </w:r>
      <w:r>
        <w:rPr>
          <w:b/>
        </w:rPr>
        <w:t>Signes respiratoires</w:t>
      </w:r>
      <w:r>
        <w:t xml:space="preserve"> (50 % des cas) : bronchospasme (sibilants, dyspnée expiratoire, tirage), rhinite allergique (éternuements, rhinorrhée), œdème laryngé (stridor, dysphonie, dysphagie). </w:t>
      </w:r>
      <w:r>
        <w:rPr>
          <w:b/>
        </w:rPr>
        <w:t>Signes cardiovasculaires</w:t>
      </w:r>
      <w:r>
        <w:t xml:space="preserve"> (40 % des cas) : hypotension (PAS &lt; 90 mmHg ou chute &gt; 30 % par rapport à la valeur de base), tachycardie (FC &gt; 120 bpm), choc (hypotension + signes d'hypoperfusion : marbrures, extrémités froides, troubles de conscience), arrêt cardiaque (rare, &lt; 0,01 %). </w:t>
      </w:r>
      <w:r>
        <w:rPr>
          <w:b/>
        </w:rPr>
        <w:t>Signes digestifs</w:t>
      </w:r>
      <w:r>
        <w:t xml:space="preserve"> (30 % des cas) : nausées, vomissements, diarrhée, douleurs abdominales. </w:t>
      </w:r>
      <w:r>
        <w:rPr>
          <w:b/>
        </w:rPr>
        <w:t>Signes neurologiques</w:t>
      </w:r>
      <w:r>
        <w:t xml:space="preserve"> (10 % des cas) : sensation de malaise, vertiges, confusion, perte de connaissance.</w:t>
      </w:r>
    </w:p>
    <w:p>
      <w:pPr>
        <w:pStyle w:val="Heading3"/>
      </w:pPr>
      <w:r>
        <w:t>216.3.2 Classification de Ring et Messmer</w:t>
      </w:r>
    </w:p>
    <w:p>
      <w:r>
        <w:t>Les réactions d'hypersensibilité immédiate sont classées en 4 grades selon la sévérité :</w:t>
      </w:r>
    </w:p>
    <w:p>
      <w:r/>
      <w:r>
        <w:rPr>
          <w:b/>
        </w:rPr>
        <w:t>Grade I</w:t>
      </w:r>
      <w:r>
        <w:t xml:space="preserve"> : Signes cutanéo-muqueux isolés (urticaire localisée, érythème, prurit). Prise en charge : antihistaminiques (dexchlorphéniramine 5 mg IV) + surveillance 4 h. Pas d'adrénaline.</w:t>
      </w:r>
    </w:p>
    <w:p>
      <w:r/>
      <w:r>
        <w:rPr>
          <w:b/>
        </w:rPr>
        <w:t>Grade II</w:t>
      </w:r>
      <w:r>
        <w:t xml:space="preserve"> : Signes cutanéo-muqueux étendus + signes modérés (hypotension modérée, tachycardie modérée, dyspnée modérée, nausées). Prise en charge : antihistaminiques (dexchlorphéniramine 5 mg IV) + corticoïdes (méthylprednisolone 1 mg/kg IV) + surveillance 6 h. Adrénaline discutée (0,1–0,3 mg IM selon l'évolution).</w:t>
      </w:r>
    </w:p>
    <w:p>
      <w:r/>
      <w:r>
        <w:rPr>
          <w:b/>
        </w:rPr>
        <w:t>Grade III</w:t>
      </w:r>
      <w:r>
        <w:t xml:space="preserve"> : Choc anaphylactique (hypotension sévère PAS &lt; 70 mmHg, bronchospasme sévère, œdème laryngé). Prise en charge : </w:t>
      </w:r>
      <w:r>
        <w:rPr>
          <w:b/>
        </w:rPr>
        <w:t>adrénaline IM 0,3 mg</w:t>
      </w:r>
      <w:r>
        <w:t xml:space="preserve"> (adulte) ou 0,15 mg (enfant 6–12 ans) ou 0,075 mg (enfant &lt; 6 ans) dans la face antérolatérale de la cuisse, à renouveler après 5 min si absence d'amélioration. </w:t>
      </w:r>
      <w:r>
        <w:rPr>
          <w:b/>
        </w:rPr>
        <w:t>Oxygène 15 L/min par masque</w:t>
      </w:r>
      <w:r>
        <w:t xml:space="preserve">. </w:t>
      </w:r>
      <w:r>
        <w:rPr>
          <w:b/>
        </w:rPr>
        <w:t>Remplissage vasculaire NaCl 0,9 % 20 mL/kg en 5–10 min</w:t>
      </w:r>
      <w:r>
        <w:t>. Antihistaminiques + corticoïdes IV en adjuvant. Surveillance en réanimation 24 h.</w:t>
      </w:r>
    </w:p>
    <w:p>
      <w:r/>
      <w:r>
        <w:rPr>
          <w:b/>
        </w:rPr>
        <w:t>Grade IV</w:t>
      </w:r>
      <w:r>
        <w:t xml:space="preserve"> : Arrêt cardio-respiratoire. Prise en charge : </w:t>
      </w:r>
      <w:r>
        <w:rPr>
          <w:b/>
        </w:rPr>
        <w:t>massage cardiaque externe (30:2)</w:t>
      </w:r>
      <w:r>
        <w:t xml:space="preserve"> + </w:t>
      </w:r>
      <w:r>
        <w:rPr>
          <w:b/>
        </w:rPr>
        <w:t>adrénaline IV 1 mg toutes les 3–5 min</w:t>
      </w:r>
      <w:r>
        <w:t xml:space="preserve"> + intubation orotrachéale + ventilation mécanique 100 % O₂. Surveillance en réanimation 48–72 h.</w:t>
      </w:r>
    </w:p>
    <w:p>
      <w:pPr>
        <w:pStyle w:val="Heading3"/>
      </w:pPr>
      <w:r>
        <w:t>216.3.3 Kit d'urgence anaphylaxie en salle d'imagerie</w:t>
      </w:r>
    </w:p>
    <w:p>
      <w:r>
        <w:t>Le kit d'urgence anaphylaxie doit être immédiatement accessible en salle d'imagerie et comporter :</w:t>
      </w:r>
    </w:p>
    <w:p>
      <w:r/>
      <w:r>
        <w:rPr>
          <w:b/>
        </w:rPr>
        <w:t>Médicaments</w:t>
      </w:r>
      <w:r>
        <w:t xml:space="preserve"> : adrénaline 1 mg/mL (ampoules de 1 mL, 5 ampoules), méthylprednisolone 40 mg (flacons de 2 mL, 3 flacons), dexchlorphéniramine 5 mg/mL (ampoules de 1 mL, 5 ampoules), atropine 1 mg/mL (ampoules de 1 mL, 3 ampoules pour bradycardie), furosémide 20 mg/2 mL (ampoules, 3 ampoules pour surcharge volémique).</w:t>
      </w:r>
    </w:p>
    <w:p>
      <w:r/>
      <w:r>
        <w:rPr>
          <w:b/>
        </w:rPr>
        <w:t>Matériel</w:t>
      </w:r>
      <w:r>
        <w:t xml:space="preserve"> : masque à oxygène haute concentration avec ballonnette (Ambu), sonde d'intubation endotrachéale (tailles 7, 8, 9), laryngoscope avec piles testées, mandrin d'intubation, seringues de 10 mL et 20 mL, aiguilles 16 G, 18 G, 21 G, cathéters veineux périphériques 14 G, 16 G, 18 G (pour voies veineuses de gros calibre), tubulures de perfusion, garrot,pansements adhésifs.</w:t>
      </w:r>
    </w:p>
    <w:p>
      <w:r/>
      <w:r>
        <w:rPr>
          <w:b/>
        </w:rPr>
        <w:t>Solutés</w:t>
      </w:r>
      <w:r>
        <w:t xml:space="preserve"> : NaCl 0,9 % (poches de 500 mL, 5 poches), Ringer Lactate (poches de 500 mL, 3 poches), bicarbonate de sodium 1,4 % (poches de 250 mL, 2 poches), G5 % (poches de 500 mL, 2 poches).</w:t>
      </w:r>
    </w:p>
    <w:p>
      <w:r/>
      <w:r>
        <w:rPr>
          <w:b/>
        </w:rPr>
        <w:t>Oxygène</w:t>
      </w:r>
      <w:r>
        <w:t xml:space="preserve"> : bouteille d'oxygène médicament 5 L avec débitmètre, masque à haute concentration, lunettes à oxygène, aspiration mucosite.</w:t>
      </w:r>
    </w:p>
    <w:p>
      <w:r/>
      <w:r>
        <w:rPr>
          <w:b/>
        </w:rPr>
        <w:t>Monitorage</w:t>
      </w:r>
      <w:r>
        <w:t xml:space="preserve"> : scope multiparamétrique (ECG, SpO₂, PANI), défibrillateur automatique externe (DAE) avec électrodes adulte et enfant.</w:t>
      </w:r>
    </w:p>
    <w:p>
      <w:pPr>
        <w:pStyle w:val="Heading3"/>
      </w:pPr>
      <w:r>
        <w:t>216.3.4 Conduite à tenir en cas de réaction</w:t>
      </w:r>
    </w:p>
    <w:p>
      <w:r/>
      <w:r>
        <w:rPr>
          <w:b/>
        </w:rPr>
        <w:t>Arrêt immédiat de l'injection</w:t>
      </w:r>
      <w:r>
        <w:t xml:space="preserve"> sans retirer le cathéter (voie veineuse conservée pour l'administration des médicaments d'urgence). </w:t>
      </w:r>
      <w:r>
        <w:rPr>
          <w:b/>
        </w:rPr>
        <w:t>Alerte de l'équipe médicale d'urgence</w:t>
      </w:r>
      <w:r>
        <w:t xml:space="preserve"> (réanimateur, anesthésiste). </w:t>
      </w:r>
      <w:r>
        <w:rPr>
          <w:b/>
        </w:rPr>
        <w:t>Mise en décubitus dorsal, jambes surélevées</w:t>
      </w:r>
      <w:r>
        <w:t xml:space="preserve"> (Trendelenburg modifié) pour optimiser le retour veineux. </w:t>
      </w:r>
      <w:r>
        <w:rPr>
          <w:b/>
        </w:rPr>
        <w:t>Oxygène 15 L/min par masque</w:t>
      </w:r>
      <w:r>
        <w:t xml:space="preserve"> pour maintenir SpO₂ &gt; 95 %. </w:t>
      </w:r>
      <w:r>
        <w:rPr>
          <w:b/>
        </w:rPr>
        <w:t>Adrénaline IM 0,3 mg</w:t>
      </w:r>
      <w:r>
        <w:t xml:space="preserve"> dans la face antérolatérale de la cuisse (vaste latéral) pour les grades III–IV, à renouveler après 5 min si absence d'amélioration (dose maximale 0,6 mg). </w:t>
      </w:r>
      <w:r>
        <w:rPr>
          <w:b/>
        </w:rPr>
        <w:t>Remplissage vasculaire NaCl 0,9 % 20 mL/kg en 5–10 min</w:t>
      </w:r>
      <w:r>
        <w:t xml:space="preserve"> (soit 1,4 L pour un adulte de 70 kg) pour les grades III–IV. </w:t>
      </w:r>
      <w:r>
        <w:rPr>
          <w:b/>
        </w:rPr>
        <w:t>Antihistaminiques (dexchlorphéniramine 5 mg IV)</w:t>
      </w:r>
      <w:r>
        <w:t xml:space="preserve"> et </w:t>
      </w:r>
      <w:r>
        <w:rPr>
          <w:b/>
        </w:rPr>
        <w:t>corticoïdes (méthylprednisolone 1 mg/kg IV)</w:t>
      </w:r>
      <w:r>
        <w:t xml:space="preserve"> en adjuvants d'action retardée (4–6 h), à ne pas substituer à l'adrénaline qui est le traitement de première ligne.</w:t>
      </w:r>
    </w:p>
    <w:p>
      <w:r/>
      <w:r>
        <w:rPr>
          <w:b/>
        </w:rPr>
        <w:t>Intubation orotrachéale</w:t>
      </w:r>
      <w:r>
        <w:t xml:space="preserve"> en cas de bronchospasme réfractaire ou d'œdème laryngé, par un opérateur expérimenté. </w:t>
      </w:r>
      <w:r>
        <w:rPr>
          <w:b/>
        </w:rPr>
        <w:t>Ventilation mécanique 100 % O₂</w:t>
      </w:r>
      <w:r>
        <w:t xml:space="preserve">. </w:t>
      </w:r>
      <w:r>
        <w:rPr>
          <w:b/>
        </w:rPr>
        <w:t>Massage cardiaque externe (30:2)</w:t>
      </w:r>
      <w:r>
        <w:t xml:space="preserve"> en cas d'arrêt cardiaque. </w:t>
      </w:r>
      <w:r>
        <w:rPr>
          <w:b/>
        </w:rPr>
        <w:t>Adrénaline IV 1 mg toutes les 3–5 min</w:t>
      </w:r>
      <w:r>
        <w:t xml:space="preserve"> en cas d'arrêt cardiaque (à ne pas confondre avec la dose IM qui est 0,3 mg). </w:t>
      </w:r>
      <w:r>
        <w:rPr>
          <w:b/>
        </w:rPr>
        <w:t>Bilan biologique</w:t>
      </w:r>
      <w:r>
        <w:t xml:space="preserve"> : gaz du sang artériel, lactates, ionogramme, NFS, tryptase sérique (à prélever 30 min–2 h après le début de la réaction pour le diagnostic rétrospectif d'anaphylaxie).</w:t>
      </w:r>
    </w:p>
    <w:p>
      <w:r/>
      <w:r>
        <w:rPr>
          <w:b/>
        </w:rPr>
        <w:t>Hospitalisation en réanimation</w:t>
      </w:r>
      <w:r>
        <w:t xml:space="preserve"> pour surveillance 24 h après une réaction de grade III, 48–72 h après une réaction de grade IV. Le risque de </w:t>
      </w:r>
      <w:r>
        <w:rPr>
          <w:b/>
        </w:rPr>
        <w:t>réaction biphasique</w:t>
      </w:r>
      <w:r>
        <w:t xml:space="preserve"> (récidive 4–24 h après la première réaction) est de 5–20 % et justifie la surveillance prolongée. </w:t>
      </w:r>
      <w:r>
        <w:rPr>
          <w:b/>
        </w:rPr>
        <w:t>Bilan allergologique</w:t>
      </w:r>
      <w:r>
        <w:t xml:space="preserve"> à distance (4–6 semaines) en consultation d'allergologie pour tests cutanés et détermination de la molécule responsable, avec délivrance d'une carte d'allergie et d'une trousse d'urgence (adrénaline auto-injectable).</w:t>
      </w:r>
    </w:p>
    <w:p>
      <w:pPr>
        <w:pStyle w:val="Heading3"/>
      </w:pPr>
      <w:r>
        <w:t>216.3.5 Prémédication antiallergique</w:t>
      </w:r>
    </w:p>
    <w:p>
      <w:r>
        <w:t>La prémédication antiallergique est recommandée pour les patients avec antécédent de réaction immédiate sévère (grade III ou IV) à un produit de contraste iodé ou gadoliné précédent. Le protocole classique (protocole Bristow) comprend :</w:t>
      </w:r>
    </w:p>
    <w:p>
      <w:r/>
      <w:r>
        <w:rPr>
          <w:b/>
        </w:rPr>
        <w:t>Prednisone 50 mg per os</w:t>
      </w:r>
      <w:r>
        <w:t xml:space="preserve"> (ou équivalent : méthylprednisolone 40 mg IV, hydrocortisone 100 mg IV) à </w:t>
      </w:r>
      <w:r>
        <w:rPr>
          <w:b/>
        </w:rPr>
        <w:t>H–13 h, H–7 h et H–1 h</w:t>
      </w:r>
      <w:r>
        <w:t xml:space="preserve"> avant l'injection. </w:t>
      </w:r>
      <w:r>
        <w:rPr>
          <w:b/>
        </w:rPr>
        <w:t>Dexchlorphéniramine 5 mg IM</w:t>
      </w:r>
      <w:r>
        <w:t xml:space="preserve"> (ou équivalent : cétirizine 10 mg per os) à </w:t>
      </w:r>
      <w:r>
        <w:rPr>
          <w:b/>
        </w:rPr>
        <w:t>H–1 h</w:t>
      </w:r>
      <w:r>
        <w:t xml:space="preserve"> avant l'injection. </w:t>
      </w:r>
      <w:r>
        <w:rPr>
          <w:b/>
        </w:rPr>
        <w:t>Surveillance rapprochée</w:t>
      </w:r>
      <w:r>
        <w:t xml:space="preserve"> pendant 30 min après l'injection.</w:t>
      </w:r>
    </w:p>
    <w:p>
      <w:r>
        <w:t>La prémédication systématique pour tous les patients n'est plus recommandée (ACR 2024) en raison d'un bénéfice non démontré pour les non-ioniques modernes. Elle reste indiquée pour les patients à antécédent allergique sévère. La prémédication ne doit pas faire retarder l'injection d'adrénaline en cas de réaction immédiate sévère malgré la prémédication.</w:t>
      </w:r>
    </w:p>
    <w:p>
      <w:pPr>
        <w:pStyle w:val="Heading2"/>
      </w:pPr>
      <w:r>
        <w:t>216.4 Prévention de la thyrotoxicose jod-basedow</w:t>
      </w:r>
    </w:p>
    <w:p>
      <w:pPr>
        <w:pStyle w:val="Heading3"/>
      </w:pPr>
      <w:r>
        <w:t>216.4.1 Physiopathologie</w:t>
      </w:r>
    </w:p>
    <w:p>
      <w:r>
        <w:t xml:space="preserve">La thyrotoxicose jod-basedow (Jod-Basedow effect) est une hyperthyroïdie induite par l'apport massif d'iode, décrite par Karl Basedow en 1900. Le mécanisme physiopathologique repose sur la </w:t>
      </w:r>
      <w:r>
        <w:rPr>
          <w:b/>
        </w:rPr>
        <w:t>loi de Wolff-Chaikoff</w:t>
      </w:r>
      <w:r>
        <w:t xml:space="preserve"> : l'apport massif d'iode inhibe transitoirement la synthèse des hormones thyroïdiennes T3 et T4 (effet protecteur). Chez certains patients prédisposés (nodule hyperfonctionnel autonome, maladie de Basedow en rémission, goitre multinodulaire), la </w:t>
      </w:r>
      <w:r>
        <w:rPr>
          <w:b/>
        </w:rPr>
        <w:t>law of Jod-Basedow</w:t>
      </w:r>
      <w:r>
        <w:t xml:space="preserve"> s'oppose à la loi de Wolff-Chaikoff : l'iode massif stimule la synthèse d'hormones thyroïdiennes par les tissus thyroïdiens autonomes (qui échappent au contrôle hypophysaire), déclenchant une hyperthyroïdie.</w:t>
      </w:r>
    </w:p>
    <w:p>
      <w:r>
        <w:t>L'iode contenu dans les produits de contraste iodés (300–370 mg/mL) représente une charge iodée 100–1000 fois supérieure à l'apport nutritionnel quotidien (150 μg/jour). Le risque de thyrotoxicose jod-basedow après injection de produit de contraste iodé est estimé à 0,1–1 % chez les patients à risque thyroïdien (nodule, Basedow, goitre multinodulaire), contre &lt; 0,01 % chez les patients sans antécédent thyroïdien. Les manifestations cliniques surviennent dans les 2–12 semaines après l'examen : tachycardie, palpitations, tremblements, anxieté, insomnie, thermophobie, perte de poids, diarrhée.</w:t>
      </w:r>
    </w:p>
    <w:p>
      <w:pPr>
        <w:pStyle w:val="Heading3"/>
      </w:pPr>
      <w:r>
        <w:t>216.4.2 Dépistage préalable</w:t>
      </w:r>
    </w:p>
    <w:p>
      <w:r>
        <w:t xml:space="preserve">Le dépistage préalable de la fonction thyroïdienne chez les patients à risque est recommandé. Le dosage de la </w:t>
      </w:r>
      <w:r>
        <w:rPr>
          <w:b/>
        </w:rPr>
        <w:t>TSH ultrasensible</w:t>
      </w:r>
      <w:r>
        <w:t xml:space="preserve"> est l'examen de première intention : une TSH basse (&lt; 0,4 mUI/L) évoque une hyperthyroïdie ; une TSH élevée (&gt; 5 mUI/L) évoque une hypothyroïdie. Le dosage de la </w:t>
      </w:r>
      <w:r>
        <w:rPr>
          <w:b/>
        </w:rPr>
        <w:t>T4 libre</w:t>
      </w:r>
      <w:r>
        <w:t xml:space="preserve"> et de la </w:t>
      </w:r>
      <w:r>
        <w:rPr>
          <w:b/>
        </w:rPr>
        <w:t>T3 libre</w:t>
      </w:r>
      <w:r>
        <w:t xml:space="preserve"> est recommandé en cas de TSH anormale. La </w:t>
      </w:r>
      <w:r>
        <w:rPr>
          <w:b/>
        </w:rPr>
        <w:t>scintigraphie thyroïdienne au Tc-99m ou I-123</w:t>
      </w:r>
      <w:r>
        <w:t xml:space="preserve"> peut être discutée pour caractériser un nodule hyperfonctionnel (nodule chaud) avant l'examen radiologique.</w:t>
      </w:r>
    </w:p>
    <w:p>
      <w:r/>
      <w:r>
        <w:rPr>
          <w:b/>
        </w:rPr>
        <w:t>Patients à risque thyroïdien à dépister systématiquement</w:t>
      </w:r>
      <w:r>
        <w:t xml:space="preserve"> : (1) patients avec antécédent de maladie de Basedow traitée (en rémission ou sous antithyroïdiens) ; (2) patients avec nodule thyroïdien connu (nodule froid ou chaud) ; (3) patients avec goitre multinodulaire ; (4) patients âgés (&gt; 65 ans) avec palpation thyroïdienne anormale ; (5) patients sous amiodarone (antiarythmique riche en iode, risque majoré de thyrotoxicose) ; (6) patients avec antécédent familial de thyroïdite auto-immune.</w:t>
      </w:r>
    </w:p>
    <w:p>
      <w:pPr>
        <w:pStyle w:val="Heading3"/>
      </w:pPr>
      <w:r>
        <w:t>216.4.3 Conduite à tenir selon le profil thyroïdien</w:t>
      </w:r>
    </w:p>
    <w:p>
      <w:r/>
      <w:r>
        <w:rPr>
          <w:b/>
        </w:rPr>
        <w:t>Euthyroïdie (TSH normale 0,4–5 mUI/L)</w:t>
      </w:r>
      <w:r>
        <w:t xml:space="preserve"> : Aucune prémédication antithyroïdienne n'est nécessaire. L'injection de produit de contraste iodé peut être réalisée sans précaution particulière. Un contrôle de la TSH à 4–6 semaines après l'examen est recommandé chez les patients à risque thyroïdien pour détecter une thyrotoxicose différée.</w:t>
      </w:r>
    </w:p>
    <w:p>
      <w:r/>
      <w:r>
        <w:rPr>
          <w:b/>
        </w:rPr>
        <w:t>Hyperthyroïdie contrôlée (TSH normale sous antithyroïdiens)</w:t>
      </w:r>
      <w:r>
        <w:t xml:space="preserve"> : L'injection de produit de contraste iodé peut être réalisée après vérification de la stabilité de la TSH (datant de moins de 30 jours). Les antithyroïdiens (carbimazole, propylthiouracile) sont maintenus à la dose habituelle pendant et après l'examen. Un contrôle de la TSH à 4 semaines après l'examen est recommandé.</w:t>
      </w:r>
    </w:p>
    <w:p>
      <w:r/>
      <w:r>
        <w:rPr>
          <w:b/>
        </w:rPr>
        <w:t>Hyperthyroïdie non contrôlée (TSH basse non traitée ou insuffisamment traitée)</w:t>
      </w:r>
      <w:r>
        <w:t xml:space="preserve"> : L'injection de produit de contraste iodé est </w:t>
      </w:r>
      <w:r>
        <w:rPr>
          <w:b/>
        </w:rPr>
        <w:t>contre-indiquée</w:t>
      </w:r>
      <w:r>
        <w:t xml:space="preserve"> jusqu'à équilibration de la thyrotoxicose. L'alternative IRM (sans irradiation, sans iode) doit être discutée. Si l'examen radiologique est absolument nécessaire en urgence, une couverture par </w:t>
      </w:r>
      <w:r>
        <w:rPr>
          <w:b/>
        </w:rPr>
        <w:t>carbimazole 30–60 mg/jour</w:t>
      </w:r>
      <w:r>
        <w:t xml:space="preserve"> (ou propylthiouracile 300–600 mg/jour) est recommandée en préalable, avec surveillance rapprochée de la TSH et de la T4 libre.</w:t>
      </w:r>
    </w:p>
    <w:p>
      <w:r/>
      <w:r>
        <w:rPr>
          <w:b/>
        </w:rPr>
        <w:t>Hypothyroïdie sous traitement substitutif (L-thyroxine)</w:t>
      </w:r>
      <w:r>
        <w:t xml:space="preserve"> : L'iode résiduel du produit de contraste peut interférer avec le métabolisme thyroïdien, justifiant un contrôle TSH à 4–6 semaines après l'examen. Aucune adaptation de la L-thyroxine n'est nécessaire en préalable. L'injection de produit de contraste iodé peut être réalisée sans précaution particulière.</w:t>
      </w:r>
    </w:p>
    <w:p>
      <w:r/>
      <w:r>
        <w:rPr>
          <w:b/>
        </w:rPr>
        <w:t>Amiodarone</w:t>
      </w:r>
      <w:r>
        <w:t xml:space="preserve"> : Les patients sous amiodarone (antiarythmique riche en iode, ~ 200 mg/jour correspondant à 75 mg d'iode élément) ont un risque majoré de thyrotoxicose jod-basedow (incidence 5–10 %) ET d'hypothyroïdie (incidence 5–10 %). Le contrôle de la TSH est recommandé tous les 6 mois pendant le traitement. Avant l'injection de produit de contraste iodé, un contrôle de la TSH est recommandé dans le mois précédent l'examen. En cas de thyrotoxicose sous amiodarone, l'injection de produit de contraste iodé est contre-indiquée jusqu'à équilibration.</w:t>
      </w:r>
    </w:p>
    <w:p>
      <w:pPr>
        <w:pStyle w:val="Heading3"/>
      </w:pPr>
      <w:r>
        <w:t>216.4.4 Diagnostic et traitement de la thyrotoxicose jod-basedow</w:t>
      </w:r>
    </w:p>
    <w:p>
      <w:r>
        <w:t xml:space="preserve">Le diagnostic de thyrotoxicose jod-basedow post-contraste repose sur : (1) </w:t>
      </w:r>
      <w:r>
        <w:rPr>
          <w:b/>
        </w:rPr>
        <w:t>clinique</w:t>
      </w:r>
      <w:r>
        <w:t xml:space="preserve"> : tachycardie, palpitations, tremblements, anxiété, insomnie, thermophobie, perte de poids, diarrhée, survenant 2–12 semaines après l'examen ; (2) </w:t>
      </w:r>
      <w:r>
        <w:rPr>
          <w:b/>
        </w:rPr>
        <w:t>biologie</w:t>
      </w:r>
      <w:r>
        <w:t xml:space="preserve"> : TSH basse (&lt; 0,1 mUI/L), T4 libre élevée (&gt; 25 pmol/L), T3 libre élevée (&gt; 6 pmol/L) ; (3) </w:t>
      </w:r>
      <w:r>
        <w:rPr>
          <w:b/>
        </w:rPr>
        <w:t>scintigraphie thyroïdienne</w:t>
      </w:r>
      <w:r>
        <w:t xml:space="preserve"> : fixation diminuée ou nulle (en raison de la saturation iodée), permettant le diagnostic différentiel avec une maladie de Basedow (fixation augmentée).</w:t>
      </w:r>
    </w:p>
    <w:p>
      <w:r>
        <w:t xml:space="preserve">Le traitement de la thyrotoxicose jod-basedow repose sur : (1) </w:t>
      </w:r>
      <w:r>
        <w:rPr>
          <w:b/>
        </w:rPr>
        <w:t>antithyroïdiens de synthèse</w:t>
      </w:r>
      <w:r>
        <w:t xml:space="preserve"> : carbimazole 30–60 mg/jour per os (ou propylthiouracile 300–600 mg/jour), à poursuivre pendant 6–18 mois selon l'évolution ; (2) </w:t>
      </w:r>
      <w:r>
        <w:rPr>
          <w:b/>
        </w:rPr>
        <w:t>bêta-bloquants</w:t>
      </w:r>
      <w:r>
        <w:t xml:space="preserve"> : propranolol 40–120 mg/jour per os pour contrôler la tachycardie et les symptômes adrénergiques ; (3) </w:t>
      </w:r>
      <w:r>
        <w:rPr>
          <w:b/>
        </w:rPr>
        <w:t>corticoïdes</w:t>
      </w:r>
      <w:r>
        <w:t xml:space="preserve"> : prednisone 0,5–1 mg/kg/jour per os en cas de thyrotoxicose sévère ou résistante (effet anti-inflammatoire et inhibition de la conversion T4→T3) ; (4) </w:t>
      </w:r>
      <w:r>
        <w:rPr>
          <w:b/>
        </w:rPr>
        <w:t>acide iopanoïque</w:t>
      </w:r>
      <w:r>
        <w:t xml:space="preserve"> ou </w:t>
      </w:r>
      <w:r>
        <w:rPr>
          <w:b/>
        </w:rPr>
        <w:t>perchlorate de potassium</w:t>
      </w:r>
      <w:r>
        <w:t xml:space="preserve"> (indisponibles en Algérie) pour inhiber la captation thyroïdienne d'iode. En cas de thyrotoxicose grave (crise thyrotoxique), hospitalisation en réanimation, réfrigération, antithyroïdiens IV, corticoïdes IV, bêta-bloquants IV, échanges plasmatiques.</w:t>
      </w:r>
    </w:p>
    <w:p>
      <w:pPr>
        <w:pStyle w:val="Heading2"/>
      </w:pPr>
      <w:r>
        <w:t>216.5 Prévention de la fibrose systémique néphrogénique (NSF)</w:t>
      </w:r>
    </w:p>
    <w:p>
      <w:pPr>
        <w:pStyle w:val="Heading3"/>
      </w:pPr>
      <w:r>
        <w:t>216.5.1 Rappel historique et physiopathologie</w:t>
      </w:r>
    </w:p>
    <w:p>
      <w:r>
        <w:t xml:space="preserve">La fibrose systémique néphrogénique (NSF) est une affection fibrosante systémique décrite en 1997 chez des patients hémodialysés, initialement interprétée comme "nephrogenic fibrosing dermopathy" avant d'être rebaptisée NSF en 2006 après la mise en évidence de son association causale avec l'injection de chélates de gadolinium linéaires. La physiopathologie repose sur la libération de </w:t>
      </w:r>
      <w:r>
        <w:rPr>
          <w:b/>
        </w:rPr>
        <w:t>gadolinium libre</w:t>
      </w:r>
      <w:r>
        <w:t xml:space="preserve"> à partir des chélates linéaires instables (gadodiamide, gadopentate de dimeglumine, gadoversetamide) chez les patients avec insuffisance rénale sévère (eGFR &lt; 30 mL/min/1,73 m²). Le gadolinium libre est capté par les macrophages tissulaires, notamment cutanés (derme profond), osseux, hépatiques, pulmonaires, cardiaques, et déclenche une cascade fibrosante via l'activation des fibrocytes circulants CD34+ et la stimulation de la synthèse de collagène de type I et III.</w:t>
      </w:r>
    </w:p>
    <w:p>
      <w:r>
        <w:t>L'incidence historique de la NSF chez les patients avec eGFR &lt; 30 recevant du gadodiamide (OMNISCAN) atteignait 3–18 % (études danoise 2006–2008, cohortes de patients hémodialysés), contre 0–0,1 % pour les chélates macrocycliques. Depuis le retrait du gadodiamide et du gadopentate de dimeglumine en Algérie et en Union européenne (EMA 2017), aucun nouveau cas de NSF n'a été rapporté dans le monde avec les chélates macrocycliques.</w:t>
      </w:r>
    </w:p>
    <w:p>
      <w:pPr>
        <w:pStyle w:val="Heading3"/>
      </w:pPr>
      <w:r>
        <w:t>216.5.2 Stratégie de prévention</w:t>
      </w:r>
    </w:p>
    <w:p>
      <w:r>
        <w:t>La stratégie de prévention de la NSF repose sur trois piliers :</w:t>
      </w:r>
    </w:p>
    <w:p>
      <w:r/>
      <w:r>
        <w:rPr>
          <w:b/>
        </w:rPr>
        <w:t>Pilier 1 : Éviction totale des chélates linéaires</w:t>
      </w:r>
      <w:r>
        <w:t xml:space="preserve"> — Vérifier systématiquement le statut réglementaire du produit avant injection. Les chélates gadopentate de dimeglumine (MAGNEVIST) et gadodiamide (OMNISCAN) sont RETIRÉS du marché algérien et ne doivent pas être utilisés. Tout stock résiduel doit être signalé et détruit selon la procédure DASRI. Le gadoversetamide (OPTIMARK, non disponible en Algérie) est également à proscrire.</w:t>
      </w:r>
    </w:p>
    <w:p>
      <w:r/>
      <w:r>
        <w:rPr>
          <w:b/>
        </w:rPr>
        <w:t>Pilier 2 : Utilisation exclusive de chélates macrocycliques (groupe III ESUR)</w:t>
      </w:r>
      <w:r>
        <w:t xml:space="preserve"> — Les chélates macrocycliques (acide gadotérique — DOTAREM, CLARISCAN ; gadobutrol — GADOVIST) ont une stabilité thermodynamique et cinétique supérieure, garantissant une libération négligeable de gadolinium libre. Aucun cas prouvé de NSF n'a été rapporté avec ces produits, même chez les patients avec eGFR &lt; 30 mL/min/1,73 m². L'utilisation de ces chélates est autorisée en routine, avec hydratation IV systématique chez les patients à risque rénal.</w:t>
      </w:r>
    </w:p>
    <w:p>
      <w:r/>
      <w:r>
        <w:rPr>
          <w:b/>
        </w:rPr>
        <w:t>Pilier 3 : Évaluation de la fonction rénale préalable</w:t>
      </w:r>
      <w:r>
        <w:t xml:space="preserve"> — Dosage de la créatininémie et calcul de l'eGFR CKD-EPI dans les 7 jours précédant l'injection, notamment chez les patients à risque : âge &gt; 65 ans, diabète, insuffisance rénale connue, néphropathie chronique, chimiothérapie néphrotoxique, myélome, transplantation hépatique en attente. Une eGFR &lt; 30 mL/min/1,73 m² n'est plus une contre-indication absolue pour les chélates macrocycliques (ESUR 2018), mais impose une hydratation IV systématique et une discussion du rapport bénéfice/risque. La répétition des injections doit être espacée (intervalle minimal 7 jours) pour permettre l'élimination complète du gadolinium.</w:t>
      </w:r>
    </w:p>
    <w:p>
      <w:pPr>
        <w:pStyle w:val="Heading3"/>
      </w:pPr>
      <w:r>
        <w:t>216.5.3 Surveillance des patients à risque</w:t>
      </w:r>
    </w:p>
    <w:p>
      <w:r>
        <w:t>Les patients ayant reçu du gadolinium linéaire (gadodiamide, gadopentate) avant 2017 doivent être informés du risque théorique de NSF tardive (jusqu'à 10 ans après l'injection). La surveillance dermatologique est recommandée en cas de manifestation clinique : épaississement cutané progressif (peau d'orange), rétraction articulaire (mains, pieds), induration scléreuse distale, hyperpigmentation cutanée, limitation d'amplitude articulaire. Un avis dermatologique et rhumatologique spécialisé permet le diagnostic différentiel avec sclérodermie systémique, scléromyxoedème, ou sclérose greffe-versus-hôte.</w:t>
      </w:r>
    </w:p>
    <w:p>
      <w:r>
        <w:t>Il n'existe aucun traitement curatif de la NSF. Les thérapeutiques essayées (photophérèse extracorporelle, sodium thiosulfate, corticoïdes, plasmaphérèse, mycophénolate mofétil) ont des résultats inconstants. La prise en charge reste symptomatique : kinésithérapie active pour préserver l'amplitude articulaire, prévention des escarres, prise en charge de l'insuffisance cardiaque restrictive, et accompagnement psychologique.</w:t>
      </w:r>
    </w:p>
    <w:p>
      <w:pPr>
        <w:pStyle w:val="Heading2"/>
      </w:pPr>
      <w:r>
        <w:t>216.6 Rétention cérébrale de gadolinium : données récentes</w:t>
      </w:r>
    </w:p>
    <w:p>
      <w:pPr>
        <w:pStyle w:val="Heading3"/>
      </w:pPr>
      <w:r>
        <w:t>216.6.1 Mise en évidence</w:t>
      </w:r>
    </w:p>
    <w:p>
      <w:r>
        <w:t>La rétention cérébrale de gadolinium a été mise en évidence en 2014 par Kanda et al. (Radiology) chez des patients multi-examens IRM : un hypersignal T1 anormal de la substance noire (pars reticulata) et du noyau dentelé cérébelleux était visible en IRM sans injection, corrélé au nombre d'injections antérieures de gadolinium. Cette observation a été confirmée par Murata et al. (2016, Radiology) sur une cohorte de 137 patients autopsiés : le gadolinium était quantifiable dans le tissu cérébral (substance noire, dentelée, globes pallides, thalamus) par ICP-MS, avec une concentration corrélée au nombre d'injections et au type de chélate (linéaire &gt; macrocyclique).</w:t>
      </w:r>
    </w:p>
    <w:p>
      <w:pPr>
        <w:pStyle w:val="Heading3"/>
      </w:pPr>
      <w:r>
        <w:t>216.6.2 Données récentes (2020–2024)</w:t>
      </w:r>
    </w:p>
    <w:p>
      <w:r>
        <w:t xml:space="preserve">Les études de suivi à long terme (Radbruch 2019, Roberts 2020) ont confirmé que la rétention cérébrale de gadolinium est un phénomène </w:t>
      </w:r>
      <w:r>
        <w:rPr>
          <w:b/>
        </w:rPr>
        <w:t>transversal à tous les chélates</w:t>
      </w:r>
      <w:r>
        <w:t xml:space="preserve"> (macrocycliques inclus), mais avec une intensité variable selon la stabilité du chélate : (1) chélates linéaires instables (gadodiamide, gadopentate) : rétention massive et prolongée (concentrations cérébrales 10–100× supérieures aux chélates macrocycliques) ; (2) chélates linéaires stables (gadobénate, gadoxétique) : rétention modérée ; (3) chélates macrocycliques (acide gadotérique, gadobutrol, gadotéridol) : rétention minimale mais détectable (concentrations cérébrales 0,1–1 μg/g de tissu).</w:t>
      </w:r>
    </w:p>
    <w:p>
      <w:r>
        <w:t>Le suivi clinique à 10 ans (Raeven 2022, Invest Radiol) n'a pas démontré de traduction clinique de cette rétention cérébrale : aucune association n'a été trouvée entre la rétention cérébrale de gadolinium et la survenue de troubles cognitifs, neurodégénératifs (Parkinson, Alzheimer), ou de mortalité globale. Néanmoins, le principe de précaution s'applique : la FDA a émis en 2017 un boxed warning sur la rétention cérébrale de gadolinium et recommande d'utiliser le chélate le plus stable disponible, en limitant la répétition des injections.</w:t>
      </w:r>
    </w:p>
    <w:p>
      <w:pPr>
        <w:pStyle w:val="Heading3"/>
      </w:pPr>
      <w:r>
        <w:t>216.6.3 Recommandations pratiques</w:t>
      </w:r>
    </w:p>
    <w:p>
      <w:r>
        <w:t>Pour minimiser la rétention cérébrale de gadolinium, les recommandations pratiques sont :</w:t>
      </w:r>
    </w:p>
    <w:p>
      <w:pPr>
        <w:pStyle w:val="ListNumber"/>
      </w:pPr>
      <w:r/>
      <w:r>
        <w:rPr>
          <w:b/>
        </w:rPr>
        <w:t>Privilégier les chélates macrocycliques</w:t>
      </w:r>
      <w:r>
        <w:t xml:space="preserve"> (acide gadotérique — DOTAREM, CLARISCAN ; gadobutrol — GADOVIST) pour toutes les indications IRM injectées.</w:t>
      </w:r>
    </w:p>
    <w:p>
      <w:pPr>
        <w:pStyle w:val="ListNumber"/>
      </w:pPr>
      <w:r/>
      <w:r>
        <w:rPr>
          <w:b/>
        </w:rPr>
        <w:t>Éviter les chélates linéaires</w:t>
      </w:r>
      <w:r>
        <w:t xml:space="preserve"> (gadopentate — MAGNEVIST RETIRÉ ; gadodiamide — OMNISCAN RETIRÉ ; gadoversetamide — OPTIMARK non disponible).</w:t>
      </w:r>
    </w:p>
    <w:p>
      <w:pPr>
        <w:pStyle w:val="ListNumber"/>
      </w:pPr>
      <w:r/>
      <w:r>
        <w:rPr>
          <w:b/>
        </w:rPr>
        <w:t>Limiter la répétition des injections</w:t>
      </w:r>
      <w:r>
        <w:t xml:space="preserve"> : espacer les examens IRM injectés (intervalle minimal 6 mois si possible), notamment chez les patients en suivi oncologique.</w:t>
      </w:r>
    </w:p>
    <w:p>
      <w:pPr>
        <w:pStyle w:val="ListNumber"/>
      </w:pPr>
      <w:r/>
      <w:r>
        <w:rPr>
          <w:b/>
        </w:rPr>
        <w:t>Utiliser la dose minimale efficace</w:t>
      </w:r>
      <w:r>
        <w:t xml:space="preserve"> : 0,1 mmol/kg pour les indications standard (et non 0,2–0,3 mmol/kg comme parfois utilisé historiquement).</w:t>
      </w:r>
    </w:p>
    <w:p>
      <w:pPr>
        <w:pStyle w:val="ListNumber"/>
      </w:pPr>
      <w:r/>
      <w:r>
        <w:rPr>
          <w:b/>
        </w:rPr>
        <w:t>Vérifier l'eGFR préalable</w:t>
      </w:r>
      <w:r>
        <w:t xml:space="preserve"> pour permettre une élimination rénale optimale du gadolinium.</w:t>
      </w:r>
    </w:p>
    <w:p>
      <w:pPr>
        <w:pStyle w:val="ListNumber"/>
      </w:pPr>
      <w:r/>
      <w:r>
        <w:rPr>
          <w:b/>
        </w:rPr>
        <w:t>Informer le patient</w:t>
      </w:r>
      <w:r>
        <w:t xml:space="preserve"> du risque de rétention cérébrale, en le rassurant sur l'absence de traduction clinique démontrée à ce jour.</w:t>
      </w:r>
    </w:p>
    <w:p>
      <w:pPr>
        <w:pStyle w:val="Heading2"/>
      </w:pPr>
      <w:r>
        <w:t>216.7 Posologie pédiatrique : tableaux de référence</w:t>
      </w:r>
    </w:p>
    <w:p>
      <w:pPr>
        <w:pStyle w:val="Heading3"/>
      </w:pPr>
      <w:r>
        <w:t>216.7.1 Particularités pharmacologiques chez l'enfant</w:t>
      </w:r>
    </w:p>
    <w:p>
      <w:r>
        <w:t>L'enfant présente plusieurs particularités pharmacologiques justifiant une adaptation posologique :</w:t>
      </w:r>
    </w:p>
    <w:p>
      <w:pPr>
        <w:pStyle w:val="ListNumber"/>
      </w:pPr>
      <w:r/>
      <w:r>
        <w:rPr>
          <w:b/>
        </w:rPr>
        <w:t>Immaturité rénale physiologique</w:t>
      </w:r>
      <w:r>
        <w:t xml:space="preserve"> : la clairance de la créatinine est physiologiquement basse chez le nouveau-né (20–40 mL/min/1,73 m² à la naissance) et augmente progressivement pour atteindre les valeurs adultes vers 1–2 ans. L'élimination des produits de contraste iodés et gadolinés est prolongée chez le nouveau-né, justifiant une surveillance accrue.</w:t>
      </w:r>
    </w:p>
    <w:p>
      <w:pPr>
        <w:pStyle w:val="ListNumber"/>
      </w:pPr>
      <w:r/>
      <w:r>
        <w:rPr>
          <w:b/>
        </w:rPr>
        <w:t>Volume de distribution différent</w:t>
      </w:r>
      <w:r>
        <w:t xml:space="preserve"> : le volume extracellulaire est proportionnellement plus élevé chez le nourrisson (40 % du poids corporel vs 20 % chez l'adulte), justifiant une adaptation par kg de poids corporel.</w:t>
      </w:r>
    </w:p>
    <w:p>
      <w:pPr>
        <w:pStyle w:val="ListNumber"/>
      </w:pPr>
      <w:r/>
      <w:r>
        <w:rPr>
          <w:b/>
        </w:rPr>
        <w:t>Fragilité endothéliale</w:t>
      </w:r>
      <w:r>
        <w:t xml:space="preserve"> : la tolérance vasculaire aux produits hyperosmolaires est réduite, justifiant le choix préférentiel de l'iodixanol (iso-osmolaire) chez le nourrisson.</w:t>
      </w:r>
    </w:p>
    <w:p>
      <w:pPr>
        <w:pStyle w:val="ListNumber"/>
      </w:pPr>
      <w:r/>
      <w:r>
        <w:rPr>
          <w:b/>
        </w:rPr>
        <w:t>Risque thyroïdien néonatal</w:t>
      </w:r>
      <w:r>
        <w:t xml:space="preserve"> : la thyroïde néonatale est particulièrement sensible à l'iode (risque d'hypothyroïdie transitoire ou d'hyperthyroïdie jod-basedow). Le contrôle TSH néonatal est recommandé après injection de produit de contraste iodé chez le nouveau-né.</w:t>
      </w:r>
    </w:p>
    <w:p>
      <w:pPr>
        <w:pStyle w:val="Heading3"/>
      </w:pPr>
      <w:r>
        <w:t>216.7.2 Posologie pédiatrique des produits de contraste iodés</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Produit</w:t>
            </w:r>
          </w:p>
        </w:tc>
        <w:tc>
          <w:tcPr>
            <w:tcW w:type="dxa" w:w="1662"/>
            <w:shd w:val="clear" w:color="auto" w:fill="F2F2F2"/>
          </w:tcPr>
          <w:p>
            <w:r>
              <w:rPr>
                <w:rFonts w:ascii="Times New Roman" w:hAnsi="Times New Roman"/>
                <w:b/>
                <w:sz w:val="20"/>
              </w:rPr>
              <w:t>Concentration</w:t>
            </w:r>
          </w:p>
        </w:tc>
        <w:tc>
          <w:tcPr>
            <w:tcW w:type="dxa" w:w="1662"/>
            <w:shd w:val="clear" w:color="auto" w:fill="F2F2F2"/>
          </w:tcPr>
          <w:p>
            <w:r>
              <w:rPr>
                <w:rFonts w:ascii="Times New Roman" w:hAnsi="Times New Roman"/>
                <w:b/>
                <w:sz w:val="20"/>
              </w:rPr>
              <w:t>Dose pédiatrique</w:t>
            </w:r>
          </w:p>
        </w:tc>
        <w:tc>
          <w:tcPr>
            <w:tcW w:type="dxa" w:w="1662"/>
            <w:shd w:val="clear" w:color="auto" w:fill="F2F2F2"/>
          </w:tcPr>
          <w:p>
            <w:r>
              <w:rPr>
                <w:rFonts w:ascii="Times New Roman" w:hAnsi="Times New Roman"/>
                <w:b/>
                <w:sz w:val="20"/>
              </w:rPr>
              <w:t>Dose maximale</w:t>
            </w:r>
          </w:p>
        </w:tc>
        <w:tc>
          <w:tcPr>
            <w:tcW w:type="dxa" w:w="1662"/>
            <w:shd w:val="clear" w:color="auto" w:fill="F2F2F2"/>
          </w:tcPr>
          <w:p>
            <w:r>
              <w:rPr>
                <w:rFonts w:ascii="Times New Roman" w:hAnsi="Times New Roman"/>
                <w:b/>
                <w:sz w:val="20"/>
              </w:rPr>
              <w:t>Précautions</w:t>
            </w:r>
          </w:p>
        </w:tc>
      </w:tr>
      <w:tr>
        <w:tc>
          <w:tcPr>
            <w:tcW w:type="dxa" w:w="1662"/>
          </w:tcPr>
          <w:p>
            <w:r>
              <w:rPr>
                <w:rFonts w:ascii="Times New Roman" w:hAnsi="Times New Roman"/>
                <w:sz w:val="20"/>
              </w:rPr>
              <w:t>Iohexol (OMNIPAQUE 300)</w:t>
            </w:r>
          </w:p>
        </w:tc>
        <w:tc>
          <w:tcPr>
            <w:tcW w:type="dxa" w:w="1662"/>
          </w:tcPr>
          <w:p>
            <w:r>
              <w:rPr>
                <w:rFonts w:ascii="Times New Roman" w:hAnsi="Times New Roman"/>
                <w:sz w:val="20"/>
              </w:rPr>
              <w:t>300 mg I/mL</w:t>
            </w:r>
          </w:p>
        </w:tc>
        <w:tc>
          <w:tcPr>
            <w:tcW w:type="dxa" w:w="1662"/>
          </w:tcPr>
          <w:p>
            <w:r>
              <w:rPr>
                <w:rFonts w:ascii="Times New Roman" w:hAnsi="Times New Roman"/>
                <w:sz w:val="20"/>
              </w:rPr>
              <w:t>1–2 mL/kg IV</w:t>
            </w:r>
          </w:p>
        </w:tc>
        <w:tc>
          <w:tcPr>
            <w:tcW w:type="dxa" w:w="1662"/>
          </w:tcPr>
          <w:p>
            <w:r>
              <w:rPr>
                <w:rFonts w:ascii="Times New Roman" w:hAnsi="Times New Roman"/>
                <w:sz w:val="20"/>
              </w:rPr>
              <w:t>100 mL (enfant &lt; 10 kg) ; 200 mL (enfant &gt; 10 kg)</w:t>
            </w:r>
          </w:p>
        </w:tc>
        <w:tc>
          <w:tcPr>
            <w:tcW w:type="dxa" w:w="1662"/>
          </w:tcPr>
          <w:p>
            <w:r>
              <w:rPr>
                <w:rFonts w:ascii="Times New Roman" w:hAnsi="Times New Roman"/>
                <w:sz w:val="20"/>
              </w:rPr>
              <w:t>Hydratation IV systématique &lt; 1 an</w:t>
            </w:r>
          </w:p>
        </w:tc>
      </w:tr>
      <w:tr>
        <w:tc>
          <w:tcPr>
            <w:tcW w:type="dxa" w:w="1662"/>
          </w:tcPr>
          <w:p>
            <w:r>
              <w:rPr>
                <w:rFonts w:ascii="Times New Roman" w:hAnsi="Times New Roman"/>
                <w:sz w:val="20"/>
              </w:rPr>
              <w:t>Iohexol (OMNIPAQUE 350)</w:t>
            </w:r>
          </w:p>
        </w:tc>
        <w:tc>
          <w:tcPr>
            <w:tcW w:type="dxa" w:w="1662"/>
          </w:tcPr>
          <w:p>
            <w:r>
              <w:rPr>
                <w:rFonts w:ascii="Times New Roman" w:hAnsi="Times New Roman"/>
                <w:sz w:val="20"/>
              </w:rPr>
              <w:t>350 mg I/mL</w:t>
            </w:r>
          </w:p>
        </w:tc>
        <w:tc>
          <w:tcPr>
            <w:tcW w:type="dxa" w:w="1662"/>
          </w:tcPr>
          <w:p>
            <w:r>
              <w:rPr>
                <w:rFonts w:ascii="Times New Roman" w:hAnsi="Times New Roman"/>
                <w:sz w:val="20"/>
              </w:rPr>
              <w:t>1–1,5 mL/kg IV</w:t>
            </w:r>
          </w:p>
        </w:tc>
        <w:tc>
          <w:tcPr>
            <w:tcW w:type="dxa" w:w="1662"/>
          </w:tcPr>
          <w:p>
            <w:r>
              <w:rPr>
                <w:rFonts w:ascii="Times New Roman" w:hAnsi="Times New Roman"/>
                <w:sz w:val="20"/>
              </w:rPr>
              <w:t>100 mL (enfant &lt; 10 kg) ; 150 mL (enfant &gt; 10 kg)</w:t>
            </w:r>
          </w:p>
        </w:tc>
        <w:tc>
          <w:tcPr>
            <w:tcW w:type="dxa" w:w="1662"/>
          </w:tcPr>
          <w:p>
            <w:r>
              <w:rPr>
                <w:rFonts w:ascii="Times New Roman" w:hAnsi="Times New Roman"/>
                <w:sz w:val="20"/>
              </w:rPr>
              <w:t>Idem</w:t>
            </w:r>
          </w:p>
        </w:tc>
      </w:tr>
      <w:tr>
        <w:tc>
          <w:tcPr>
            <w:tcW w:type="dxa" w:w="1662"/>
          </w:tcPr>
          <w:p>
            <w:r>
              <w:rPr>
                <w:rFonts w:ascii="Times New Roman" w:hAnsi="Times New Roman"/>
                <w:sz w:val="20"/>
              </w:rPr>
              <w:t>Iopamidol (PAMIDOL 300)</w:t>
            </w:r>
          </w:p>
        </w:tc>
        <w:tc>
          <w:tcPr>
            <w:tcW w:type="dxa" w:w="1662"/>
          </w:tcPr>
          <w:p>
            <w:r>
              <w:rPr>
                <w:rFonts w:ascii="Times New Roman" w:hAnsi="Times New Roman"/>
                <w:sz w:val="20"/>
              </w:rPr>
              <w:t>300 mg I/mL</w:t>
            </w:r>
          </w:p>
        </w:tc>
        <w:tc>
          <w:tcPr>
            <w:tcW w:type="dxa" w:w="1662"/>
          </w:tcPr>
          <w:p>
            <w:r>
              <w:rPr>
                <w:rFonts w:ascii="Times New Roman" w:hAnsi="Times New Roman"/>
                <w:sz w:val="20"/>
              </w:rPr>
              <w:t>1–2 mL/kg IV</w:t>
            </w:r>
          </w:p>
        </w:tc>
        <w:tc>
          <w:tcPr>
            <w:tcW w:type="dxa" w:w="1662"/>
          </w:tcPr>
          <w:p>
            <w:r>
              <w:rPr>
                <w:rFonts w:ascii="Times New Roman" w:hAnsi="Times New Roman"/>
                <w:sz w:val="20"/>
              </w:rPr>
              <w:t>100 mL (enfant &lt; 10 kg) ; 200 mL (enfant &gt; 10 kg)</w:t>
            </w:r>
          </w:p>
        </w:tc>
        <w:tc>
          <w:tcPr>
            <w:tcW w:type="dxa" w:w="1662"/>
          </w:tcPr>
          <w:p>
            <w:r>
              <w:rPr>
                <w:rFonts w:ascii="Times New Roman" w:hAnsi="Times New Roman"/>
                <w:sz w:val="20"/>
              </w:rPr>
              <w:t>Idem</w:t>
            </w:r>
          </w:p>
        </w:tc>
      </w:tr>
      <w:tr>
        <w:tc>
          <w:tcPr>
            <w:tcW w:type="dxa" w:w="1662"/>
          </w:tcPr>
          <w:p>
            <w:r>
              <w:rPr>
                <w:rFonts w:ascii="Times New Roman" w:hAnsi="Times New Roman"/>
                <w:sz w:val="20"/>
              </w:rPr>
              <w:t>Iopamidol (PAMIDOL 370)</w:t>
            </w:r>
          </w:p>
        </w:tc>
        <w:tc>
          <w:tcPr>
            <w:tcW w:type="dxa" w:w="1662"/>
          </w:tcPr>
          <w:p>
            <w:r>
              <w:rPr>
                <w:rFonts w:ascii="Times New Roman" w:hAnsi="Times New Roman"/>
                <w:sz w:val="20"/>
              </w:rPr>
              <w:t>370 mg I/mL</w:t>
            </w:r>
          </w:p>
        </w:tc>
        <w:tc>
          <w:tcPr>
            <w:tcW w:type="dxa" w:w="1662"/>
          </w:tcPr>
          <w:p>
            <w:r>
              <w:rPr>
                <w:rFonts w:ascii="Times New Roman" w:hAnsi="Times New Roman"/>
                <w:sz w:val="20"/>
              </w:rPr>
              <w:t>1–1,5 mL/kg IV</w:t>
            </w:r>
          </w:p>
        </w:tc>
        <w:tc>
          <w:tcPr>
            <w:tcW w:type="dxa" w:w="1662"/>
          </w:tcPr>
          <w:p>
            <w:r>
              <w:rPr>
                <w:rFonts w:ascii="Times New Roman" w:hAnsi="Times New Roman"/>
                <w:sz w:val="20"/>
              </w:rPr>
              <w:t>100 mL (enfant &lt; 10 kg) ; 150 mL (enfant &gt; 10 kg)</w:t>
            </w:r>
          </w:p>
        </w:tc>
        <w:tc>
          <w:tcPr>
            <w:tcW w:type="dxa" w:w="1662"/>
          </w:tcPr>
          <w:p>
            <w:r>
              <w:rPr>
                <w:rFonts w:ascii="Times New Roman" w:hAnsi="Times New Roman"/>
                <w:sz w:val="20"/>
              </w:rPr>
              <w:t>Idem</w:t>
            </w:r>
          </w:p>
        </w:tc>
      </w:tr>
      <w:tr>
        <w:tc>
          <w:tcPr>
            <w:tcW w:type="dxa" w:w="1662"/>
          </w:tcPr>
          <w:p>
            <w:r>
              <w:rPr>
                <w:rFonts w:ascii="Times New Roman" w:hAnsi="Times New Roman"/>
                <w:sz w:val="20"/>
              </w:rPr>
              <w:t>Iopromide (ULTRAVIST 300)</w:t>
            </w:r>
          </w:p>
        </w:tc>
        <w:tc>
          <w:tcPr>
            <w:tcW w:type="dxa" w:w="1662"/>
          </w:tcPr>
          <w:p>
            <w:r>
              <w:rPr>
                <w:rFonts w:ascii="Times New Roman" w:hAnsi="Times New Roman"/>
                <w:sz w:val="20"/>
              </w:rPr>
              <w:t>300 mg I/mL</w:t>
            </w:r>
          </w:p>
        </w:tc>
        <w:tc>
          <w:tcPr>
            <w:tcW w:type="dxa" w:w="1662"/>
          </w:tcPr>
          <w:p>
            <w:r>
              <w:rPr>
                <w:rFonts w:ascii="Times New Roman" w:hAnsi="Times New Roman"/>
                <w:sz w:val="20"/>
              </w:rPr>
              <w:t>1–2 mL/kg IV</w:t>
            </w:r>
          </w:p>
        </w:tc>
        <w:tc>
          <w:tcPr>
            <w:tcW w:type="dxa" w:w="1662"/>
          </w:tcPr>
          <w:p>
            <w:r>
              <w:rPr>
                <w:rFonts w:ascii="Times New Roman" w:hAnsi="Times New Roman"/>
                <w:sz w:val="20"/>
              </w:rPr>
              <w:t>100 mL (enfant &lt; 10 kg) ; 200 mL (enfant &gt; 10 kg)</w:t>
            </w:r>
          </w:p>
        </w:tc>
        <w:tc>
          <w:tcPr>
            <w:tcW w:type="dxa" w:w="1662"/>
          </w:tcPr>
          <w:p>
            <w:r>
              <w:rPr>
                <w:rFonts w:ascii="Times New Roman" w:hAnsi="Times New Roman"/>
                <w:sz w:val="20"/>
              </w:rPr>
              <w:t>Idem</w:t>
            </w:r>
          </w:p>
        </w:tc>
      </w:tr>
      <w:tr>
        <w:tc>
          <w:tcPr>
            <w:tcW w:type="dxa" w:w="1662"/>
          </w:tcPr>
          <w:p>
            <w:r>
              <w:rPr>
                <w:rFonts w:ascii="Times New Roman" w:hAnsi="Times New Roman"/>
                <w:sz w:val="20"/>
              </w:rPr>
              <w:t>Iopromide (ULTRAVIST 370)</w:t>
            </w:r>
          </w:p>
        </w:tc>
        <w:tc>
          <w:tcPr>
            <w:tcW w:type="dxa" w:w="1662"/>
          </w:tcPr>
          <w:p>
            <w:r>
              <w:rPr>
                <w:rFonts w:ascii="Times New Roman" w:hAnsi="Times New Roman"/>
                <w:sz w:val="20"/>
              </w:rPr>
              <w:t>370 mg I/mL</w:t>
            </w:r>
          </w:p>
        </w:tc>
        <w:tc>
          <w:tcPr>
            <w:tcW w:type="dxa" w:w="1662"/>
          </w:tcPr>
          <w:p>
            <w:r>
              <w:rPr>
                <w:rFonts w:ascii="Times New Roman" w:hAnsi="Times New Roman"/>
                <w:sz w:val="20"/>
              </w:rPr>
              <w:t>1–1,5 mL/kg IV</w:t>
            </w:r>
          </w:p>
        </w:tc>
        <w:tc>
          <w:tcPr>
            <w:tcW w:type="dxa" w:w="1662"/>
          </w:tcPr>
          <w:p>
            <w:r>
              <w:rPr>
                <w:rFonts w:ascii="Times New Roman" w:hAnsi="Times New Roman"/>
                <w:sz w:val="20"/>
              </w:rPr>
              <w:t>100 mL (enfant &lt; 10 kg) ; 150 mL (enfant &gt; 10 kg)</w:t>
            </w:r>
          </w:p>
        </w:tc>
        <w:tc>
          <w:tcPr>
            <w:tcW w:type="dxa" w:w="1662"/>
          </w:tcPr>
          <w:p>
            <w:r>
              <w:rPr>
                <w:rFonts w:ascii="Times New Roman" w:hAnsi="Times New Roman"/>
                <w:sz w:val="20"/>
              </w:rPr>
              <w:t>Idem</w:t>
            </w:r>
          </w:p>
        </w:tc>
      </w:tr>
      <w:tr>
        <w:tc>
          <w:tcPr>
            <w:tcW w:type="dxa" w:w="1662"/>
          </w:tcPr>
          <w:p>
            <w:r>
              <w:rPr>
                <w:rFonts w:ascii="Times New Roman" w:hAnsi="Times New Roman"/>
                <w:sz w:val="20"/>
              </w:rPr>
              <w:t>Iobitridol (XENETIX 300)</w:t>
            </w:r>
          </w:p>
        </w:tc>
        <w:tc>
          <w:tcPr>
            <w:tcW w:type="dxa" w:w="1662"/>
          </w:tcPr>
          <w:p>
            <w:r>
              <w:rPr>
                <w:rFonts w:ascii="Times New Roman" w:hAnsi="Times New Roman"/>
                <w:sz w:val="20"/>
              </w:rPr>
              <w:t>300 mg I/mL</w:t>
            </w:r>
          </w:p>
        </w:tc>
        <w:tc>
          <w:tcPr>
            <w:tcW w:type="dxa" w:w="1662"/>
          </w:tcPr>
          <w:p>
            <w:r>
              <w:rPr>
                <w:rFonts w:ascii="Times New Roman" w:hAnsi="Times New Roman"/>
                <w:sz w:val="20"/>
              </w:rPr>
              <w:t>1–2 mL/kg IV</w:t>
            </w:r>
          </w:p>
        </w:tc>
        <w:tc>
          <w:tcPr>
            <w:tcW w:type="dxa" w:w="1662"/>
          </w:tcPr>
          <w:p>
            <w:r>
              <w:rPr>
                <w:rFonts w:ascii="Times New Roman" w:hAnsi="Times New Roman"/>
                <w:sz w:val="20"/>
              </w:rPr>
              <w:t>100 mL (enfant &lt; 10 kg) ; 200 mL (enfant &gt; 10 kg)</w:t>
            </w:r>
          </w:p>
        </w:tc>
        <w:tc>
          <w:tcPr>
            <w:tcW w:type="dxa" w:w="1662"/>
          </w:tcPr>
          <w:p>
            <w:r>
              <w:rPr>
                <w:rFonts w:ascii="Times New Roman" w:hAnsi="Times New Roman"/>
                <w:sz w:val="20"/>
              </w:rPr>
              <w:t>Idem</w:t>
            </w:r>
          </w:p>
        </w:tc>
      </w:tr>
      <w:tr>
        <w:tc>
          <w:tcPr>
            <w:tcW w:type="dxa" w:w="1662"/>
          </w:tcPr>
          <w:p>
            <w:r>
              <w:rPr>
                <w:rFonts w:ascii="Times New Roman" w:hAnsi="Times New Roman"/>
                <w:sz w:val="20"/>
              </w:rPr>
              <w:t>Iobitridol (XENETIX 350)</w:t>
            </w:r>
          </w:p>
        </w:tc>
        <w:tc>
          <w:tcPr>
            <w:tcW w:type="dxa" w:w="1662"/>
          </w:tcPr>
          <w:p>
            <w:r>
              <w:rPr>
                <w:rFonts w:ascii="Times New Roman" w:hAnsi="Times New Roman"/>
                <w:sz w:val="20"/>
              </w:rPr>
              <w:t>350 mg I/mL</w:t>
            </w:r>
          </w:p>
        </w:tc>
        <w:tc>
          <w:tcPr>
            <w:tcW w:type="dxa" w:w="1662"/>
          </w:tcPr>
          <w:p>
            <w:r>
              <w:rPr>
                <w:rFonts w:ascii="Times New Roman" w:hAnsi="Times New Roman"/>
                <w:sz w:val="20"/>
              </w:rPr>
              <w:t>1–1,5 mL/kg IV</w:t>
            </w:r>
          </w:p>
        </w:tc>
        <w:tc>
          <w:tcPr>
            <w:tcW w:type="dxa" w:w="1662"/>
          </w:tcPr>
          <w:p>
            <w:r>
              <w:rPr>
                <w:rFonts w:ascii="Times New Roman" w:hAnsi="Times New Roman"/>
                <w:sz w:val="20"/>
              </w:rPr>
              <w:t>100 mL (enfant &lt; 10 kg) ; 150 mL (enfant &gt; 10 kg)</w:t>
            </w:r>
          </w:p>
        </w:tc>
        <w:tc>
          <w:tcPr>
            <w:tcW w:type="dxa" w:w="1662"/>
          </w:tcPr>
          <w:p>
            <w:r>
              <w:rPr>
                <w:rFonts w:ascii="Times New Roman" w:hAnsi="Times New Roman"/>
                <w:sz w:val="20"/>
              </w:rPr>
              <w:t>Idem</w:t>
            </w:r>
          </w:p>
        </w:tc>
      </w:tr>
      <w:tr>
        <w:tc>
          <w:tcPr>
            <w:tcW w:type="dxa" w:w="1662"/>
          </w:tcPr>
          <w:p>
            <w:r>
              <w:rPr>
                <w:rFonts w:ascii="Times New Roman" w:hAnsi="Times New Roman"/>
                <w:sz w:val="20"/>
              </w:rPr>
              <w:t>Iodixanol (VISIPAQUE 270)</w:t>
            </w:r>
          </w:p>
        </w:tc>
        <w:tc>
          <w:tcPr>
            <w:tcW w:type="dxa" w:w="1662"/>
          </w:tcPr>
          <w:p>
            <w:r>
              <w:rPr>
                <w:rFonts w:ascii="Times New Roman" w:hAnsi="Times New Roman"/>
                <w:sz w:val="20"/>
              </w:rPr>
              <w:t>270 mg I/mL</w:t>
            </w:r>
          </w:p>
        </w:tc>
        <w:tc>
          <w:tcPr>
            <w:tcW w:type="dxa" w:w="1662"/>
          </w:tcPr>
          <w:p>
            <w:r>
              <w:rPr>
                <w:rFonts w:ascii="Times New Roman" w:hAnsi="Times New Roman"/>
                <w:sz w:val="20"/>
              </w:rPr>
              <w:t>1–3 mL/kg IV</w:t>
            </w:r>
          </w:p>
        </w:tc>
        <w:tc>
          <w:tcPr>
            <w:tcW w:type="dxa" w:w="1662"/>
          </w:tcPr>
          <w:p>
            <w:r>
              <w:rPr>
                <w:rFonts w:ascii="Times New Roman" w:hAnsi="Times New Roman"/>
                <w:sz w:val="20"/>
              </w:rPr>
              <w:t>100 mL (enfant &lt; 10 kg) ; 250 mL (enfant &gt; 10 kg)</w:t>
            </w:r>
          </w:p>
        </w:tc>
        <w:tc>
          <w:tcPr>
            <w:tcW w:type="dxa" w:w="1662"/>
          </w:tcPr>
          <w:p>
            <w:r>
              <w:rPr>
                <w:rFonts w:ascii="Times New Roman" w:hAnsi="Times New Roman"/>
                <w:sz w:val="20"/>
              </w:rPr>
              <w:t>Préférentiel pour eGFR &lt; 60</w:t>
            </w:r>
          </w:p>
        </w:tc>
      </w:tr>
      <w:tr>
        <w:tc>
          <w:tcPr>
            <w:tcW w:type="dxa" w:w="1662"/>
          </w:tcPr>
          <w:p>
            <w:r>
              <w:rPr>
                <w:rFonts w:ascii="Times New Roman" w:hAnsi="Times New Roman"/>
                <w:sz w:val="20"/>
              </w:rPr>
              <w:t>Iodixanol (VISIPAQUE 320)</w:t>
            </w:r>
          </w:p>
        </w:tc>
        <w:tc>
          <w:tcPr>
            <w:tcW w:type="dxa" w:w="1662"/>
          </w:tcPr>
          <w:p>
            <w:r>
              <w:rPr>
                <w:rFonts w:ascii="Times New Roman" w:hAnsi="Times New Roman"/>
                <w:sz w:val="20"/>
              </w:rPr>
              <w:t>320 mg I/mL</w:t>
            </w:r>
          </w:p>
        </w:tc>
        <w:tc>
          <w:tcPr>
            <w:tcW w:type="dxa" w:w="1662"/>
          </w:tcPr>
          <w:p>
            <w:r>
              <w:rPr>
                <w:rFonts w:ascii="Times New Roman" w:hAnsi="Times New Roman"/>
                <w:sz w:val="20"/>
              </w:rPr>
              <w:t>1–2 mL/kg IV</w:t>
            </w:r>
          </w:p>
        </w:tc>
        <w:tc>
          <w:tcPr>
            <w:tcW w:type="dxa" w:w="1662"/>
          </w:tcPr>
          <w:p>
            <w:r>
              <w:rPr>
                <w:rFonts w:ascii="Times New Roman" w:hAnsi="Times New Roman"/>
                <w:sz w:val="20"/>
              </w:rPr>
              <w:t>100 mL (enfant &lt; 10 kg) ; 200 mL (enfant &gt; 10 kg)</w:t>
            </w:r>
          </w:p>
        </w:tc>
        <w:tc>
          <w:tcPr>
            <w:tcW w:type="dxa" w:w="1662"/>
          </w:tcPr>
          <w:p>
            <w:r>
              <w:rPr>
                <w:rFonts w:ascii="Times New Roman" w:hAnsi="Times New Roman"/>
                <w:sz w:val="20"/>
              </w:rPr>
              <w:t>Idem</w:t>
            </w:r>
          </w:p>
        </w:tc>
      </w:tr>
    </w:tbl>
    <w:p/>
    <w:p>
      <w:pPr>
        <w:pStyle w:val="Heading3"/>
      </w:pPr>
      <w:r>
        <w:t>216.7.3 Posologie pédiatrique des chélates de gadolinium macrocycliques</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Chélate</w:t>
            </w:r>
          </w:p>
        </w:tc>
        <w:tc>
          <w:tcPr>
            <w:tcW w:type="dxa" w:w="1662"/>
            <w:shd w:val="clear" w:color="auto" w:fill="F2F2F2"/>
          </w:tcPr>
          <w:p>
            <w:r>
              <w:rPr>
                <w:rFonts w:ascii="Times New Roman" w:hAnsi="Times New Roman"/>
                <w:b/>
                <w:sz w:val="20"/>
              </w:rPr>
              <w:t>Concentration</w:t>
            </w:r>
          </w:p>
        </w:tc>
        <w:tc>
          <w:tcPr>
            <w:tcW w:type="dxa" w:w="1662"/>
            <w:shd w:val="clear" w:color="auto" w:fill="F2F2F2"/>
          </w:tcPr>
          <w:p>
            <w:r>
              <w:rPr>
                <w:rFonts w:ascii="Times New Roman" w:hAnsi="Times New Roman"/>
                <w:b/>
                <w:sz w:val="20"/>
              </w:rPr>
              <w:t>Dose pédiatrique</w:t>
            </w:r>
          </w:p>
        </w:tc>
        <w:tc>
          <w:tcPr>
            <w:tcW w:type="dxa" w:w="1662"/>
            <w:shd w:val="clear" w:color="auto" w:fill="F2F2F2"/>
          </w:tcPr>
          <w:p>
            <w:r>
              <w:rPr>
                <w:rFonts w:ascii="Times New Roman" w:hAnsi="Times New Roman"/>
                <w:b/>
                <w:sz w:val="20"/>
              </w:rPr>
              <w:t>Dose maximale</w:t>
            </w:r>
          </w:p>
        </w:tc>
        <w:tc>
          <w:tcPr>
            <w:tcW w:type="dxa" w:w="1662"/>
            <w:shd w:val="clear" w:color="auto" w:fill="F2F2F2"/>
          </w:tcPr>
          <w:p>
            <w:r>
              <w:rPr>
                <w:rFonts w:ascii="Times New Roman" w:hAnsi="Times New Roman"/>
                <w:b/>
                <w:sz w:val="20"/>
              </w:rPr>
              <w:t>Précautions</w:t>
            </w:r>
          </w:p>
        </w:tc>
      </w:tr>
      <w:tr>
        <w:tc>
          <w:tcPr>
            <w:tcW w:type="dxa" w:w="1662"/>
          </w:tcPr>
          <w:p>
            <w:r>
              <w:rPr>
                <w:rFonts w:ascii="Times New Roman" w:hAnsi="Times New Roman"/>
                <w:sz w:val="20"/>
              </w:rPr>
              <w:t>Acide gadotérique (DOTAREM, CLARISCAN)</w:t>
            </w:r>
          </w:p>
        </w:tc>
        <w:tc>
          <w:tcPr>
            <w:tcW w:type="dxa" w:w="1662"/>
          </w:tcPr>
          <w:p>
            <w:r>
              <w:rPr>
                <w:rFonts w:ascii="Times New Roman" w:hAnsi="Times New Roman"/>
                <w:sz w:val="20"/>
              </w:rPr>
              <w:t>0,5 mmol/mL</w:t>
            </w:r>
          </w:p>
        </w:tc>
        <w:tc>
          <w:tcPr>
            <w:tcW w:type="dxa" w:w="1662"/>
          </w:tcPr>
          <w:p>
            <w:r>
              <w:rPr>
                <w:rFonts w:ascii="Times New Roman" w:hAnsi="Times New Roman"/>
                <w:sz w:val="20"/>
              </w:rPr>
              <w:t>0,1 mmol/kg = 0,2 mL/kg IV</w:t>
            </w:r>
          </w:p>
        </w:tc>
        <w:tc>
          <w:tcPr>
            <w:tcW w:type="dxa" w:w="1662"/>
          </w:tcPr>
          <w:p>
            <w:r>
              <w:rPr>
                <w:rFonts w:ascii="Times New Roman" w:hAnsi="Times New Roman"/>
                <w:sz w:val="20"/>
              </w:rPr>
              <w:t>0,3 mmol/kg par examen</w:t>
            </w:r>
          </w:p>
        </w:tc>
        <w:tc>
          <w:tcPr>
            <w:tcW w:type="dxa" w:w="1662"/>
          </w:tcPr>
          <w:p>
            <w:r>
              <w:rPr>
                <w:rFonts w:ascii="Times New Roman" w:hAnsi="Times New Roman"/>
                <w:sz w:val="20"/>
              </w:rPr>
              <w:t>Une seule injection avant 1 an, intervalle ≥ 7 jours</w:t>
            </w:r>
          </w:p>
        </w:tc>
      </w:tr>
      <w:tr>
        <w:tc>
          <w:tcPr>
            <w:tcW w:type="dxa" w:w="1662"/>
          </w:tcPr>
          <w:p>
            <w:r>
              <w:rPr>
                <w:rFonts w:ascii="Times New Roman" w:hAnsi="Times New Roman"/>
                <w:sz w:val="20"/>
              </w:rPr>
              <w:t>Gadobutrol (GADOVIST)</w:t>
            </w:r>
          </w:p>
        </w:tc>
        <w:tc>
          <w:tcPr>
            <w:tcW w:type="dxa" w:w="1662"/>
          </w:tcPr>
          <w:p>
            <w:r>
              <w:rPr>
                <w:rFonts w:ascii="Times New Roman" w:hAnsi="Times New Roman"/>
                <w:sz w:val="20"/>
              </w:rPr>
              <w:t>1,0 mmol/mL</w:t>
            </w:r>
          </w:p>
        </w:tc>
        <w:tc>
          <w:tcPr>
            <w:tcW w:type="dxa" w:w="1662"/>
          </w:tcPr>
          <w:p>
            <w:r>
              <w:rPr>
                <w:rFonts w:ascii="Times New Roman" w:hAnsi="Times New Roman"/>
                <w:sz w:val="20"/>
              </w:rPr>
              <w:t>0,1 mmol/kg = 0,1 mL/kg IV</w:t>
            </w:r>
          </w:p>
        </w:tc>
        <w:tc>
          <w:tcPr>
            <w:tcW w:type="dxa" w:w="1662"/>
          </w:tcPr>
          <w:p>
            <w:r>
              <w:rPr>
                <w:rFonts w:ascii="Times New Roman" w:hAnsi="Times New Roman"/>
                <w:sz w:val="20"/>
              </w:rPr>
              <w:t>0,3 mmol/kg par examen</w:t>
            </w:r>
          </w:p>
        </w:tc>
        <w:tc>
          <w:tcPr>
            <w:tcW w:type="dxa" w:w="1662"/>
          </w:tcPr>
          <w:p>
            <w:r>
              <w:rPr>
                <w:rFonts w:ascii="Times New Roman" w:hAnsi="Times New Roman"/>
                <w:sz w:val="20"/>
              </w:rPr>
              <w:t>Idem</w:t>
            </w:r>
          </w:p>
        </w:tc>
      </w:tr>
    </w:tbl>
    <w:p/>
    <w:p>
      <w:pPr>
        <w:pStyle w:val="Heading3"/>
      </w:pPr>
      <w:r>
        <w:t>216.7.4 Précautions particulières chez le nouveau-né et le nourrisson</w:t>
      </w:r>
    </w:p>
    <w:p>
      <w:r/>
      <w:r>
        <w:rPr>
          <w:b/>
        </w:rPr>
        <w:t>Nouveau-né (&lt; 28 jours)</w:t>
      </w:r>
      <w:r>
        <w:t xml:space="preserve"> : Éviter si possible l'injection de produit de contraste iodé ou gadoliné, en raison de l'immaturité rénale et thyroïdienne. Préférer l'échographie, l'IRM sans injection, ou l'IRM avec injection à dose minimale (0,05 mmol/kg de gadolinium macrocyclique). Hydratation IV systématique (NaCl 0,9 % 10 mL/kg/h pendant 2 h avant et 4 h après). Surveillance de la diurèse horaire et de la créatininémie à 48 h. Contrôle TSH à 4 semaines.</w:t>
      </w:r>
    </w:p>
    <w:p>
      <w:r/>
      <w:r>
        <w:rPr>
          <w:b/>
        </w:rPr>
        <w:t>Nourrisson (28 jours – 1 an)</w:t>
      </w:r>
      <w:r>
        <w:t xml:space="preserve"> : Préférer l'iodixanol (VISIPAQUE) en raison de l'iso-osmolarité. Dose maximale 2 mL/kg. Hydratation IV systématique (NaCl 0,9 % 5 mL/kg/h pendant 1 h avant et 4 h après). Surveillance de la diurèse et de la créatininémie à 48 h.</w:t>
      </w:r>
    </w:p>
    <w:p>
      <w:r/>
      <w:r>
        <w:rPr>
          <w:b/>
        </w:rPr>
        <w:t>Enfant (1–12 ans)</w:t>
      </w:r>
      <w:r>
        <w:t xml:space="preserve"> : Dose standard par kg de poids corporel (1–2 mL/kg pour iode, 0,1 mmol/kg pour gadolinium). Aucune hydratation IV systématique si eGFR ≥ 60 mL/min/1,73 m². Surveillance clinique 30 min post-injection. Pas de contrôle créatininémie systématique si eGFR ≥ 60.</w:t>
      </w:r>
    </w:p>
    <w:p>
      <w:r/>
      <w:r>
        <w:rPr>
          <w:b/>
        </w:rPr>
        <w:t>Adolescent (12–18 ans)</w:t>
      </w:r>
      <w:r>
        <w:t xml:space="preserve"> : Dose adulte standard. Aucune précaution particulière.</w:t>
      </w:r>
    </w:p>
    <w:p>
      <w:pPr>
        <w:pStyle w:val="Heading2"/>
      </w:pPr>
      <w:r>
        <w:t>216.8 Pharmacoeconomics et couverture CNAS en Algérie</w:t>
      </w:r>
    </w:p>
    <w:p>
      <w:pPr>
        <w:pStyle w:val="Heading3"/>
      </w:pPr>
      <w:r>
        <w:t>216.8.1 Cadre réglementaire de la prise en charge</w:t>
      </w:r>
    </w:p>
    <w:p>
      <w:r>
        <w:t xml:space="preserve">En Algérie, les produits de contraste radiologique sont classés en </w:t>
      </w:r>
      <w:r>
        <w:rPr>
          <w:b/>
        </w:rPr>
        <w:t>Liste I</w:t>
      </w:r>
      <w:r>
        <w:t xml:space="preserve"> (médicaments soumis à prescription médicale obligatoire et surveillance spécialisée) pour la majorité d'entre eux, à l'exception de l'ioxaglate (HEXABRIX) et de l'ioversol (OPTIRAY) qui étaient historiquement classés en </w:t>
      </w:r>
      <w:r>
        <w:rPr>
          <w:b/>
        </w:rPr>
        <w:t>Liste II</w:t>
      </w:r>
      <w:r>
        <w:t xml:space="preserve"> avant leur retrait du marché. La prise en charge par la Caisse Nationale des Assurances Sociales des Travailleurs Salariés (CNAS) varie selon le statut du patient (assuré social, ayant droit) et la structure de soins (secteur public, secteur privé conventionné).</w:t>
      </w:r>
    </w:p>
    <w:p>
      <w:r/>
      <w:r>
        <w:rPr>
          <w:b/>
        </w:rPr>
        <w:t>Secteur public (hôpitaux et CHU)</w:t>
      </w:r>
      <w:r>
        <w:t xml:space="preserve"> : Les produits de contraste sont fournis gratuitement aux patients dans le cadre du plateau technique radiologique. Le coût est supporté par le budget de l'établissement (budget global annuel) et indirectement par la CNAS au titre de la tarification à l'activité (T2A). La gestion des stocks et la traçabilité sont assurées par la pharmacie hospitalière.</w:t>
      </w:r>
    </w:p>
    <w:p>
      <w:r/>
      <w:r>
        <w:rPr>
          <w:b/>
        </w:rPr>
        <w:t>Secteur privé conventionné</w:t>
      </w:r>
      <w:r>
        <w:t xml:space="preserve"> : Les produits de contraste sont facturés à la CNAS selon des tarifs conventionnels fixés par le Ministère de la Santé (arrêtés interministériels). La prise en charge est de 80 % pour les assurés sociaux, 100 % pour les affections longue durée (ALD), 100 % pour les soins liés à un accident de travail ou maladie professionnelle. Le reste à charge pour le patient est variable selon les conventions et la complémentaire santé éventuelle.</w:t>
      </w:r>
    </w:p>
    <w:p>
      <w:r/>
      <w:r>
        <w:rPr>
          <w:b/>
        </w:rPr>
        <w:t>Secteur privé non conventionné</w:t>
      </w:r>
      <w:r>
        <w:t xml:space="preserve"> : Les produits de contraste sont facturés au prix du marché. La CNAS peut rembourser partiellement sur présentation des factures et des justificatifs médicaux. Le reste à charge pour le patient est plus élevé.</w:t>
      </w:r>
    </w:p>
    <w:p>
      <w:pPr>
        <w:pStyle w:val="Heading3"/>
      </w:pPr>
      <w:r>
        <w:t>216.8.2 Tarification indicative des produits de contraste en Algérie</w:t>
      </w:r>
    </w:p>
    <w:p>
      <w:r>
        <w:t>Les prix indicatifs (en dinars algériens DZD) à Avril 2026 sont approximativement les suivants (varient selon les laboratoires et les distributeurs) :</w:t>
      </w:r>
    </w:p>
    <w:p>
      <w:pPr>
        <w:pStyle w:val="ListBullet"/>
      </w:pPr>
      <w:r/>
      <w:r>
        <w:rPr>
          <w:b/>
        </w:rPr>
        <w:t>Acide gadotérique (DOTAREM 0,5 mmol/mL, flacon 15 mL)</w:t>
      </w:r>
      <w:r>
        <w:t xml:space="preserve"> : ~3 500 DZD</w:t>
      </w:r>
    </w:p>
    <w:p>
      <w:pPr>
        <w:pStyle w:val="ListBullet"/>
      </w:pPr>
      <w:r/>
      <w:r>
        <w:rPr>
          <w:b/>
        </w:rPr>
        <w:t>Acide gadotérique (CLARISCAN 0,5 mmol/mL, flacon 15 mL)</w:t>
      </w:r>
      <w:r>
        <w:t xml:space="preserve"> : ~2 800 DZD (générique)</w:t>
      </w:r>
    </w:p>
    <w:p>
      <w:pPr>
        <w:pStyle w:val="ListBullet"/>
      </w:pPr>
      <w:r/>
      <w:r>
        <w:rPr>
          <w:b/>
        </w:rPr>
        <w:t>Gadobutrol (GADOVIST 1,0 mmol/mL, flacon 7,5 mL)</w:t>
      </w:r>
      <w:r>
        <w:t xml:space="preserve"> : ~5 500 DZD</w:t>
      </w:r>
    </w:p>
    <w:p>
      <w:pPr>
        <w:pStyle w:val="ListBullet"/>
      </w:pPr>
      <w:r/>
      <w:r>
        <w:rPr>
          <w:b/>
        </w:rPr>
        <w:t>Iohexol (OMNIPAQUE 300 mg/mL, flacon 100 mL)</w:t>
      </w:r>
      <w:r>
        <w:t xml:space="preserve"> : ~2 200 DZD</w:t>
      </w:r>
    </w:p>
    <w:p>
      <w:pPr>
        <w:pStyle w:val="ListBullet"/>
      </w:pPr>
      <w:r/>
      <w:r>
        <w:rPr>
          <w:b/>
        </w:rPr>
        <w:t>Iohexol (ILLUSOF 300 mg/mL, flacon 50 mL)</w:t>
      </w:r>
      <w:r>
        <w:t xml:space="preserve"> : ~1 400 DZD (générique)</w:t>
      </w:r>
    </w:p>
    <w:p>
      <w:pPr>
        <w:pStyle w:val="ListBullet"/>
      </w:pPr>
      <w:r/>
      <w:r>
        <w:rPr>
          <w:b/>
        </w:rPr>
        <w:t>Iohexol (CONTRAPAQUE 300 mg/mL, flacon 100 mL)</w:t>
      </w:r>
      <w:r>
        <w:t xml:space="preserve"> : ~1 600 DZD (générique)</w:t>
      </w:r>
    </w:p>
    <w:p>
      <w:pPr>
        <w:pStyle w:val="ListBullet"/>
      </w:pPr>
      <w:r/>
      <w:r>
        <w:rPr>
          <w:b/>
        </w:rPr>
        <w:t>Iohexol (OMNIPOL 350 mg/mL, flacon 100 mL)</w:t>
      </w:r>
      <w:r>
        <w:t xml:space="preserve"> : ~1 800 DZD (générique)</w:t>
      </w:r>
    </w:p>
    <w:p>
      <w:pPr>
        <w:pStyle w:val="ListBullet"/>
      </w:pPr>
      <w:r/>
      <w:r>
        <w:rPr>
          <w:b/>
        </w:rPr>
        <w:t>Iopamidol (PAMIDOL 300 mg/mL, flacon 100 mL)</w:t>
      </w:r>
      <w:r>
        <w:t xml:space="preserve"> : ~1 700 DZD (générique)</w:t>
      </w:r>
    </w:p>
    <w:p>
      <w:pPr>
        <w:pStyle w:val="ListBullet"/>
      </w:pPr>
      <w:r/>
      <w:r>
        <w:rPr>
          <w:b/>
        </w:rPr>
        <w:t>Iopamidol (PAMIDOL 370 mg/mL, flacon 100 mL)</w:t>
      </w:r>
      <w:r>
        <w:t xml:space="preserve"> : ~2 000 DZD (générique)</w:t>
      </w:r>
    </w:p>
    <w:p>
      <w:pPr>
        <w:pStyle w:val="ListBullet"/>
      </w:pPr>
      <w:r/>
      <w:r>
        <w:rPr>
          <w:b/>
        </w:rPr>
        <w:t>Iopromide (ULTRAVIST 300 mg/mL, flacon 100 mL)</w:t>
      </w:r>
      <w:r>
        <w:t xml:space="preserve"> : ~2 500 DZD</w:t>
      </w:r>
    </w:p>
    <w:p>
      <w:pPr>
        <w:pStyle w:val="ListBullet"/>
      </w:pPr>
      <w:r/>
      <w:r>
        <w:rPr>
          <w:b/>
        </w:rPr>
        <w:t>Iopromide (ULTRAVIST 370 mg/mL, flacon 100 mL)</w:t>
      </w:r>
      <w:r>
        <w:t xml:space="preserve"> : ~2 800 DZD</w:t>
      </w:r>
    </w:p>
    <w:p>
      <w:pPr>
        <w:pStyle w:val="ListBullet"/>
      </w:pPr>
      <w:r/>
      <w:r>
        <w:rPr>
          <w:b/>
        </w:rPr>
        <w:t>Iobitridol (XENETIX 300 mg/mL, flacon 100 mL)</w:t>
      </w:r>
      <w:r>
        <w:t xml:space="preserve"> : ~2 300 DZD</w:t>
      </w:r>
    </w:p>
    <w:p>
      <w:pPr>
        <w:pStyle w:val="ListBullet"/>
      </w:pPr>
      <w:r/>
      <w:r>
        <w:rPr>
          <w:b/>
        </w:rPr>
        <w:t>Iobitridol (XENETIX 350 mg/mL, flacon 100 mL)</w:t>
      </w:r>
      <w:r>
        <w:t xml:space="preserve"> : ~2 600 DZD</w:t>
      </w:r>
    </w:p>
    <w:p>
      <w:pPr>
        <w:pStyle w:val="ListBullet"/>
      </w:pPr>
      <w:r/>
      <w:r>
        <w:rPr>
          <w:b/>
        </w:rPr>
        <w:t>Iodixanol (VISIPAQUE 320 mg/mL, flacon 100 mL)</w:t>
      </w:r>
      <w:r>
        <w:t xml:space="preserve"> : ~4 200 DZD</w:t>
      </w:r>
    </w:p>
    <w:p>
      <w:pPr>
        <w:pStyle w:val="ListBullet"/>
      </w:pPr>
      <w:r/>
      <w:r>
        <w:rPr>
          <w:b/>
        </w:rPr>
        <w:t>Amidotrizoate (GASTROGRAFINE, flacon 100 mL)</w:t>
      </w:r>
      <w:r>
        <w:t xml:space="preserve"> : ~1 500 DZD</w:t>
      </w:r>
    </w:p>
    <w:p>
      <w:pPr>
        <w:pStyle w:val="Heading3"/>
      </w:pPr>
      <w:r>
        <w:t>216.8.3 Arbitrage économique pour la prescription</w:t>
      </w:r>
    </w:p>
    <w:p>
      <w:r>
        <w:t>L'arbitrage économique pour la prescription des produits de contraste en Algérie doit tenir compte :</w:t>
      </w:r>
    </w:p>
    <w:p>
      <w:pPr>
        <w:pStyle w:val="ListNumber"/>
      </w:pPr>
      <w:r/>
      <w:r>
        <w:rPr>
          <w:b/>
        </w:rPr>
        <w:t>Coût d'acquisition</w:t>
      </w:r>
      <w:r>
        <w:t xml:space="preserve"> : les chélates macrocycliques (DOTAREM, CLARISCAN, GADOVIST) sont 2–3 fois plus coûteux que les produits iodés non-ioniques monomères (iohexol, iopamidol, iopromide, iobitridol). L'iodixanol (VISIPAQUE) est 2 fois plus coûteux que les non-ioniques monomères.</w:t>
      </w:r>
    </w:p>
    <w:p>
      <w:pPr>
        <w:pStyle w:val="ListNumber"/>
      </w:pPr>
      <w:r/>
      <w:r>
        <w:rPr>
          <w:b/>
        </w:rPr>
        <w:t>Disponibilité locale</w:t>
      </w:r>
      <w:r>
        <w:t xml:space="preserve"> : certaines spécialités peuvent être en rupture de stock temporaire ; les marques génériques (ILLUSOF, CONTRAPAQUE, OMNIPOL, PAMIDOL) offrent une alternative économique et une sécurité d'approvisionnement.</w:t>
      </w:r>
    </w:p>
    <w:p>
      <w:pPr>
        <w:pStyle w:val="ListNumber"/>
      </w:pPr>
      <w:r/>
      <w:r>
        <w:rPr>
          <w:b/>
        </w:rPr>
        <w:t>Indication clinique</w:t>
      </w:r>
      <w:r>
        <w:t xml:space="preserve"> : les chélates macrocycliques sont indispensables pour l'IRM injectée (pas d'alternative). L'iodixanol est privilégié pour les patients à haut risque rénal. Les non-ioniques monomères sont suffisants pour la scanographie courante, l'urographie, l'angiographie de routine.</w:t>
      </w:r>
    </w:p>
    <w:p>
      <w:pPr>
        <w:pStyle w:val="ListNumber"/>
      </w:pPr>
      <w:r/>
      <w:r>
        <w:rPr>
          <w:b/>
        </w:rPr>
        <w:t>Statut CNAS</w:t>
      </w:r>
      <w:r>
        <w:t xml:space="preserve"> : la prise en charge est variable selon les conventions et le statut du patient ; vérifier la couverture avant la prescription.</w:t>
      </w:r>
    </w:p>
    <w:p>
      <w:pPr>
        <w:pStyle w:val="ListNumber"/>
      </w:pPr>
      <w:r/>
      <w:r>
        <w:rPr>
          <w:b/>
        </w:rPr>
        <w:t>Coût indirect</w:t>
      </w:r>
      <w:r>
        <w:t xml:space="preserve"> : le coût d'une réaction anaphylactique sévère (hospitalisation en réanimation, traitement, arrêt de travail) est largement supérieur au surcoût d'un chélate macrocyclique ou d'un iodixanol. La prévention des effets indésirables est économiquement justifiée.</w:t>
      </w:r>
    </w:p>
    <w:p>
      <w:pPr>
        <w:pStyle w:val="Heading2"/>
      </w:pPr>
      <w:r>
        <w:t>216.9 Glossaire et abréviations</w:t>
      </w:r>
    </w:p>
    <w:tbl>
      <w:tblPr>
        <w:tblStyle w:val="LightGrid-Accent1"/>
        <w:tblW w:type="auto" w:w="0"/>
        <w:tblLayout w:type="autofit"/>
        <w:tblLook w:firstColumn="1" w:firstRow="1" w:lastColumn="0" w:lastRow="0" w:noHBand="0" w:noVBand="1" w:val="04A0"/>
      </w:tblPr>
      <w:tblGrid>
        <w:gridCol w:w="4156"/>
        <w:gridCol w:w="4156"/>
      </w:tblGrid>
      <w:tr>
        <w:tc>
          <w:tcPr>
            <w:tcW w:type="dxa" w:w="4156"/>
            <w:shd w:val="clear" w:color="auto" w:fill="F2F2F2"/>
          </w:tcPr>
          <w:p>
            <w:r>
              <w:rPr>
                <w:rFonts w:ascii="Times New Roman" w:hAnsi="Times New Roman"/>
                <w:b/>
                <w:sz w:val="20"/>
              </w:rPr>
              <w:t>Abréviation</w:t>
            </w:r>
          </w:p>
        </w:tc>
        <w:tc>
          <w:tcPr>
            <w:tcW w:type="dxa" w:w="4156"/>
            <w:shd w:val="clear" w:color="auto" w:fill="F2F2F2"/>
          </w:tcPr>
          <w:p>
            <w:r>
              <w:rPr>
                <w:rFonts w:ascii="Times New Roman" w:hAnsi="Times New Roman"/>
                <w:b/>
                <w:sz w:val="20"/>
              </w:rPr>
              <w:t>Signification</w:t>
            </w:r>
          </w:p>
        </w:tc>
      </w:tr>
      <w:tr>
        <w:tc>
          <w:tcPr>
            <w:tcW w:type="dxa" w:w="4156"/>
          </w:tcPr>
          <w:p>
            <w:r>
              <w:rPr>
                <w:rFonts w:ascii="Times New Roman" w:hAnsi="Times New Roman"/>
                <w:sz w:val="20"/>
              </w:rPr>
              <w:t>ACR</w:t>
            </w:r>
          </w:p>
        </w:tc>
        <w:tc>
          <w:tcPr>
            <w:tcW w:type="dxa" w:w="4156"/>
          </w:tcPr>
          <w:p>
            <w:r>
              <w:rPr>
                <w:rFonts w:ascii="Times New Roman" w:hAnsi="Times New Roman"/>
                <w:sz w:val="20"/>
              </w:rPr>
              <w:t>American College of Radiology</w:t>
            </w:r>
          </w:p>
        </w:tc>
      </w:tr>
      <w:tr>
        <w:tc>
          <w:tcPr>
            <w:tcW w:type="dxa" w:w="4156"/>
          </w:tcPr>
          <w:p>
            <w:r>
              <w:rPr>
                <w:rFonts w:ascii="Times New Roman" w:hAnsi="Times New Roman"/>
                <w:sz w:val="20"/>
              </w:rPr>
              <w:t>ALD</w:t>
            </w:r>
          </w:p>
        </w:tc>
        <w:tc>
          <w:tcPr>
            <w:tcW w:type="dxa" w:w="4156"/>
          </w:tcPr>
          <w:p>
            <w:r>
              <w:rPr>
                <w:rFonts w:ascii="Times New Roman" w:hAnsi="Times New Roman"/>
                <w:sz w:val="20"/>
              </w:rPr>
              <w:t>Affection de Longue Durée</w:t>
            </w:r>
          </w:p>
        </w:tc>
      </w:tr>
      <w:tr>
        <w:tc>
          <w:tcPr>
            <w:tcW w:type="dxa" w:w="4156"/>
          </w:tcPr>
          <w:p>
            <w:r>
              <w:rPr>
                <w:rFonts w:ascii="Times New Roman" w:hAnsi="Times New Roman"/>
                <w:sz w:val="20"/>
              </w:rPr>
              <w:t>AMM</w:t>
            </w:r>
          </w:p>
        </w:tc>
        <w:tc>
          <w:tcPr>
            <w:tcW w:type="dxa" w:w="4156"/>
          </w:tcPr>
          <w:p>
            <w:r>
              <w:rPr>
                <w:rFonts w:ascii="Times New Roman" w:hAnsi="Times New Roman"/>
                <w:sz w:val="20"/>
              </w:rPr>
              <w:t>Autorisation de Mise sur le Marché</w:t>
            </w:r>
          </w:p>
        </w:tc>
      </w:tr>
      <w:tr>
        <w:tc>
          <w:tcPr>
            <w:tcW w:type="dxa" w:w="4156"/>
          </w:tcPr>
          <w:p>
            <w:r>
              <w:rPr>
                <w:rFonts w:ascii="Times New Roman" w:hAnsi="Times New Roman"/>
                <w:sz w:val="20"/>
              </w:rPr>
              <w:t>ARM</w:t>
            </w:r>
          </w:p>
        </w:tc>
        <w:tc>
          <w:tcPr>
            <w:tcW w:type="dxa" w:w="4156"/>
          </w:tcPr>
          <w:p>
            <w:r>
              <w:rPr>
                <w:rFonts w:ascii="Times New Roman" w:hAnsi="Times New Roman"/>
                <w:sz w:val="20"/>
              </w:rPr>
              <w:t>Angiographie par Résonance Magnétique</w:t>
            </w:r>
          </w:p>
        </w:tc>
      </w:tr>
      <w:tr>
        <w:tc>
          <w:tcPr>
            <w:tcW w:type="dxa" w:w="4156"/>
          </w:tcPr>
          <w:p>
            <w:r>
              <w:rPr>
                <w:rFonts w:ascii="Times New Roman" w:hAnsi="Times New Roman"/>
                <w:sz w:val="20"/>
              </w:rPr>
              <w:t>ATC</w:t>
            </w:r>
          </w:p>
        </w:tc>
        <w:tc>
          <w:tcPr>
            <w:tcW w:type="dxa" w:w="4156"/>
          </w:tcPr>
          <w:p>
            <w:r>
              <w:rPr>
                <w:rFonts w:ascii="Times New Roman" w:hAnsi="Times New Roman"/>
                <w:sz w:val="20"/>
              </w:rPr>
              <w:t>Anatomical Therapeutic Chemical classification</w:t>
            </w:r>
          </w:p>
        </w:tc>
      </w:tr>
      <w:tr>
        <w:tc>
          <w:tcPr>
            <w:tcW w:type="dxa" w:w="4156"/>
          </w:tcPr>
          <w:p>
            <w:r>
              <w:rPr>
                <w:rFonts w:ascii="Times New Roman" w:hAnsi="Times New Roman"/>
                <w:sz w:val="20"/>
              </w:rPr>
              <w:t>CKD-EPI</w:t>
            </w:r>
          </w:p>
        </w:tc>
        <w:tc>
          <w:tcPr>
            <w:tcW w:type="dxa" w:w="4156"/>
          </w:tcPr>
          <w:p>
            <w:r>
              <w:rPr>
                <w:rFonts w:ascii="Times New Roman" w:hAnsi="Times New Roman"/>
                <w:sz w:val="20"/>
              </w:rPr>
              <w:t>Chronic Kidney Disease – Epidemiology Collaboration</w:t>
            </w:r>
          </w:p>
        </w:tc>
      </w:tr>
      <w:tr>
        <w:tc>
          <w:tcPr>
            <w:tcW w:type="dxa" w:w="4156"/>
          </w:tcPr>
          <w:p>
            <w:r>
              <w:rPr>
                <w:rFonts w:ascii="Times New Roman" w:hAnsi="Times New Roman"/>
                <w:sz w:val="20"/>
              </w:rPr>
              <w:t>CIN</w:t>
            </w:r>
          </w:p>
        </w:tc>
        <w:tc>
          <w:tcPr>
            <w:tcW w:type="dxa" w:w="4156"/>
          </w:tcPr>
          <w:p>
            <w:r>
              <w:rPr>
                <w:rFonts w:ascii="Times New Roman" w:hAnsi="Times New Roman"/>
                <w:sz w:val="20"/>
              </w:rPr>
              <w:t>Contrast-Induced Nephropathy (néphropathie post-contraste)</w:t>
            </w:r>
          </w:p>
        </w:tc>
      </w:tr>
      <w:tr>
        <w:tc>
          <w:tcPr>
            <w:tcW w:type="dxa" w:w="4156"/>
          </w:tcPr>
          <w:p>
            <w:r>
              <w:rPr>
                <w:rFonts w:ascii="Times New Roman" w:hAnsi="Times New Roman"/>
                <w:sz w:val="20"/>
              </w:rPr>
              <w:t>CNAS</w:t>
            </w:r>
          </w:p>
        </w:tc>
        <w:tc>
          <w:tcPr>
            <w:tcW w:type="dxa" w:w="4156"/>
          </w:tcPr>
          <w:p>
            <w:r>
              <w:rPr>
                <w:rFonts w:ascii="Times New Roman" w:hAnsi="Times New Roman"/>
                <w:sz w:val="20"/>
              </w:rPr>
              <w:t>Caisse Nationale des Assurances Sociales des Travailleurs Salariés (Algérie)</w:t>
            </w:r>
          </w:p>
        </w:tc>
      </w:tr>
      <w:tr>
        <w:tc>
          <w:tcPr>
            <w:tcW w:type="dxa" w:w="4156"/>
          </w:tcPr>
          <w:p>
            <w:r>
              <w:rPr>
                <w:rFonts w:ascii="Times New Roman" w:hAnsi="Times New Roman"/>
                <w:sz w:val="20"/>
              </w:rPr>
              <w:t>CRAT</w:t>
            </w:r>
          </w:p>
        </w:tc>
        <w:tc>
          <w:tcPr>
            <w:tcW w:type="dxa" w:w="4156"/>
          </w:tcPr>
          <w:p>
            <w:r>
              <w:rPr>
                <w:rFonts w:ascii="Times New Roman" w:hAnsi="Times New Roman"/>
                <w:sz w:val="20"/>
              </w:rPr>
              <w:t>Centre de Renseignements sur les Agents Tératogènes</w:t>
            </w:r>
          </w:p>
        </w:tc>
      </w:tr>
      <w:tr>
        <w:tc>
          <w:tcPr>
            <w:tcW w:type="dxa" w:w="4156"/>
          </w:tcPr>
          <w:p>
            <w:r>
              <w:rPr>
                <w:rFonts w:ascii="Times New Roman" w:hAnsi="Times New Roman"/>
                <w:sz w:val="20"/>
              </w:rPr>
              <w:t>DASRI</w:t>
            </w:r>
          </w:p>
        </w:tc>
        <w:tc>
          <w:tcPr>
            <w:tcW w:type="dxa" w:w="4156"/>
          </w:tcPr>
          <w:p>
            <w:r>
              <w:rPr>
                <w:rFonts w:ascii="Times New Roman" w:hAnsi="Times New Roman"/>
                <w:sz w:val="20"/>
              </w:rPr>
              <w:t>Déchets d'Activités de Soins à Risques Infectieux</w:t>
            </w:r>
          </w:p>
        </w:tc>
      </w:tr>
      <w:tr>
        <w:tc>
          <w:tcPr>
            <w:tcW w:type="dxa" w:w="4156"/>
          </w:tcPr>
          <w:p>
            <w:r>
              <w:rPr>
                <w:rFonts w:ascii="Times New Roman" w:hAnsi="Times New Roman"/>
                <w:sz w:val="20"/>
              </w:rPr>
              <w:t>DCI</w:t>
            </w:r>
          </w:p>
        </w:tc>
        <w:tc>
          <w:tcPr>
            <w:tcW w:type="dxa" w:w="4156"/>
          </w:tcPr>
          <w:p>
            <w:r>
              <w:rPr>
                <w:rFonts w:ascii="Times New Roman" w:hAnsi="Times New Roman"/>
                <w:sz w:val="20"/>
              </w:rPr>
              <w:t>Dénomination Commune Internationale</w:t>
            </w:r>
          </w:p>
        </w:tc>
      </w:tr>
      <w:tr>
        <w:tc>
          <w:tcPr>
            <w:tcW w:type="dxa" w:w="4156"/>
          </w:tcPr>
          <w:p>
            <w:r>
              <w:rPr>
                <w:rFonts w:ascii="Times New Roman" w:hAnsi="Times New Roman"/>
                <w:sz w:val="20"/>
              </w:rPr>
              <w:t>EMA</w:t>
            </w:r>
          </w:p>
        </w:tc>
        <w:tc>
          <w:tcPr>
            <w:tcW w:type="dxa" w:w="4156"/>
          </w:tcPr>
          <w:p>
            <w:r>
              <w:rPr>
                <w:rFonts w:ascii="Times New Roman" w:hAnsi="Times New Roman"/>
                <w:sz w:val="20"/>
              </w:rPr>
              <w:t>European Medicines Agency</w:t>
            </w:r>
          </w:p>
        </w:tc>
      </w:tr>
      <w:tr>
        <w:tc>
          <w:tcPr>
            <w:tcW w:type="dxa" w:w="4156"/>
          </w:tcPr>
          <w:p>
            <w:r>
              <w:rPr>
                <w:rFonts w:ascii="Times New Roman" w:hAnsi="Times New Roman"/>
                <w:sz w:val="20"/>
              </w:rPr>
              <w:t>ESUR</w:t>
            </w:r>
          </w:p>
        </w:tc>
        <w:tc>
          <w:tcPr>
            <w:tcW w:type="dxa" w:w="4156"/>
          </w:tcPr>
          <w:p>
            <w:r>
              <w:rPr>
                <w:rFonts w:ascii="Times New Roman" w:hAnsi="Times New Roman"/>
                <w:sz w:val="20"/>
              </w:rPr>
              <w:t>European Society of Urogenital Radiology</w:t>
            </w:r>
          </w:p>
        </w:tc>
      </w:tr>
      <w:tr>
        <w:tc>
          <w:tcPr>
            <w:tcW w:type="dxa" w:w="4156"/>
          </w:tcPr>
          <w:p>
            <w:r>
              <w:rPr>
                <w:rFonts w:ascii="Times New Roman" w:hAnsi="Times New Roman"/>
                <w:sz w:val="20"/>
              </w:rPr>
              <w:t>FDA</w:t>
            </w:r>
          </w:p>
        </w:tc>
        <w:tc>
          <w:tcPr>
            <w:tcW w:type="dxa" w:w="4156"/>
          </w:tcPr>
          <w:p>
            <w:r>
              <w:rPr>
                <w:rFonts w:ascii="Times New Roman" w:hAnsi="Times New Roman"/>
                <w:sz w:val="20"/>
              </w:rPr>
              <w:t>Food and Drug Administration (États-Unis)</w:t>
            </w:r>
          </w:p>
        </w:tc>
      </w:tr>
      <w:tr>
        <w:tc>
          <w:tcPr>
            <w:tcW w:type="dxa" w:w="4156"/>
          </w:tcPr>
          <w:p>
            <w:r>
              <w:rPr>
                <w:rFonts w:ascii="Times New Roman" w:hAnsi="Times New Roman"/>
                <w:sz w:val="20"/>
              </w:rPr>
              <w:t>GFR</w:t>
            </w:r>
          </w:p>
        </w:tc>
        <w:tc>
          <w:tcPr>
            <w:tcW w:type="dxa" w:w="4156"/>
          </w:tcPr>
          <w:p>
            <w:r>
              <w:rPr>
                <w:rFonts w:ascii="Times New Roman" w:hAnsi="Times New Roman"/>
                <w:sz w:val="20"/>
              </w:rPr>
              <w:t>Glomerular Filtration Rate (débit de filtration glomérulaire)</w:t>
            </w:r>
          </w:p>
        </w:tc>
      </w:tr>
      <w:tr>
        <w:tc>
          <w:tcPr>
            <w:tcW w:type="dxa" w:w="4156"/>
          </w:tcPr>
          <w:p>
            <w:r>
              <w:rPr>
                <w:rFonts w:ascii="Times New Roman" w:hAnsi="Times New Roman"/>
                <w:sz w:val="20"/>
              </w:rPr>
              <w:t>IEC</w:t>
            </w:r>
          </w:p>
        </w:tc>
        <w:tc>
          <w:tcPr>
            <w:tcW w:type="dxa" w:w="4156"/>
          </w:tcPr>
          <w:p>
            <w:r>
              <w:rPr>
                <w:rFonts w:ascii="Times New Roman" w:hAnsi="Times New Roman"/>
                <w:sz w:val="20"/>
              </w:rPr>
              <w:t>Inhibiteur de l'Enzyme de Conversion</w:t>
            </w:r>
          </w:p>
        </w:tc>
      </w:tr>
      <w:tr>
        <w:tc>
          <w:tcPr>
            <w:tcW w:type="dxa" w:w="4156"/>
          </w:tcPr>
          <w:p>
            <w:r>
              <w:rPr>
                <w:rFonts w:ascii="Times New Roman" w:hAnsi="Times New Roman"/>
                <w:sz w:val="20"/>
              </w:rPr>
              <w:t>IL-2</w:t>
            </w:r>
          </w:p>
        </w:tc>
        <w:tc>
          <w:tcPr>
            <w:tcW w:type="dxa" w:w="4156"/>
          </w:tcPr>
          <w:p>
            <w:r>
              <w:rPr>
                <w:rFonts w:ascii="Times New Roman" w:hAnsi="Times New Roman"/>
                <w:sz w:val="20"/>
              </w:rPr>
              <w:t>Interleukine-2</w:t>
            </w:r>
          </w:p>
        </w:tc>
      </w:tr>
      <w:tr>
        <w:tc>
          <w:tcPr>
            <w:tcW w:type="dxa" w:w="4156"/>
          </w:tcPr>
          <w:p>
            <w:r>
              <w:rPr>
                <w:rFonts w:ascii="Times New Roman" w:hAnsi="Times New Roman"/>
                <w:sz w:val="20"/>
              </w:rPr>
              <w:t>IRM</w:t>
            </w:r>
          </w:p>
        </w:tc>
        <w:tc>
          <w:tcPr>
            <w:tcW w:type="dxa" w:w="4156"/>
          </w:tcPr>
          <w:p>
            <w:r>
              <w:rPr>
                <w:rFonts w:ascii="Times New Roman" w:hAnsi="Times New Roman"/>
                <w:sz w:val="20"/>
              </w:rPr>
              <w:t>Imagerie par Résonance Magnétique</w:t>
            </w:r>
          </w:p>
        </w:tc>
      </w:tr>
      <w:tr>
        <w:tc>
          <w:tcPr>
            <w:tcW w:type="dxa" w:w="4156"/>
          </w:tcPr>
          <w:p>
            <w:r>
              <w:rPr>
                <w:rFonts w:ascii="Times New Roman" w:hAnsi="Times New Roman"/>
                <w:sz w:val="20"/>
              </w:rPr>
              <w:t>IV</w:t>
            </w:r>
          </w:p>
        </w:tc>
        <w:tc>
          <w:tcPr>
            <w:tcW w:type="dxa" w:w="4156"/>
          </w:tcPr>
          <w:p>
            <w:r>
              <w:rPr>
                <w:rFonts w:ascii="Times New Roman" w:hAnsi="Times New Roman"/>
                <w:sz w:val="20"/>
              </w:rPr>
              <w:t>Intraveineux</w:t>
            </w:r>
          </w:p>
        </w:tc>
      </w:tr>
      <w:tr>
        <w:tc>
          <w:tcPr>
            <w:tcW w:type="dxa" w:w="4156"/>
          </w:tcPr>
          <w:p>
            <w:r>
              <w:rPr>
                <w:rFonts w:ascii="Times New Roman" w:hAnsi="Times New Roman"/>
                <w:sz w:val="20"/>
              </w:rPr>
              <w:t>NSF</w:t>
            </w:r>
          </w:p>
        </w:tc>
        <w:tc>
          <w:tcPr>
            <w:tcW w:type="dxa" w:w="4156"/>
          </w:tcPr>
          <w:p>
            <w:r>
              <w:rPr>
                <w:rFonts w:ascii="Times New Roman" w:hAnsi="Times New Roman"/>
                <w:sz w:val="20"/>
              </w:rPr>
              <w:t>Nephrogenic Systemic Fibrosis (fibrose systémique néphrogénique)</w:t>
            </w:r>
          </w:p>
        </w:tc>
      </w:tr>
      <w:tr>
        <w:tc>
          <w:tcPr>
            <w:tcW w:type="dxa" w:w="4156"/>
          </w:tcPr>
          <w:p>
            <w:r>
              <w:rPr>
                <w:rFonts w:ascii="Times New Roman" w:hAnsi="Times New Roman"/>
                <w:sz w:val="20"/>
              </w:rPr>
              <w:t>OATP</w:t>
            </w:r>
          </w:p>
        </w:tc>
        <w:tc>
          <w:tcPr>
            <w:tcW w:type="dxa" w:w="4156"/>
          </w:tcPr>
          <w:p>
            <w:r>
              <w:rPr>
                <w:rFonts w:ascii="Times New Roman" w:hAnsi="Times New Roman"/>
                <w:sz w:val="20"/>
              </w:rPr>
              <w:t>Organic Anion Transporting Polypeptide</w:t>
            </w:r>
          </w:p>
        </w:tc>
      </w:tr>
      <w:tr>
        <w:tc>
          <w:tcPr>
            <w:tcW w:type="dxa" w:w="4156"/>
          </w:tcPr>
          <w:p>
            <w:r>
              <w:rPr>
                <w:rFonts w:ascii="Times New Roman" w:hAnsi="Times New Roman"/>
                <w:sz w:val="20"/>
              </w:rPr>
              <w:t>PAS</w:t>
            </w:r>
          </w:p>
        </w:tc>
        <w:tc>
          <w:tcPr>
            <w:tcW w:type="dxa" w:w="4156"/>
          </w:tcPr>
          <w:p>
            <w:r>
              <w:rPr>
                <w:rFonts w:ascii="Times New Roman" w:hAnsi="Times New Roman"/>
                <w:sz w:val="20"/>
              </w:rPr>
              <w:t>Pression Artérielle Systolique</w:t>
            </w:r>
          </w:p>
        </w:tc>
      </w:tr>
      <w:tr>
        <w:tc>
          <w:tcPr>
            <w:tcW w:type="dxa" w:w="4156"/>
          </w:tcPr>
          <w:p>
            <w:r>
              <w:rPr>
                <w:rFonts w:ascii="Times New Roman" w:hAnsi="Times New Roman"/>
                <w:sz w:val="20"/>
              </w:rPr>
              <w:t>PCI</w:t>
            </w:r>
          </w:p>
        </w:tc>
        <w:tc>
          <w:tcPr>
            <w:tcW w:type="dxa" w:w="4156"/>
          </w:tcPr>
          <w:p>
            <w:r>
              <w:rPr>
                <w:rFonts w:ascii="Times New Roman" w:hAnsi="Times New Roman"/>
                <w:sz w:val="20"/>
              </w:rPr>
              <w:t>Produit de Contraste Iodé</w:t>
            </w:r>
          </w:p>
        </w:tc>
      </w:tr>
      <w:tr>
        <w:tc>
          <w:tcPr>
            <w:tcW w:type="dxa" w:w="4156"/>
          </w:tcPr>
          <w:p>
            <w:r>
              <w:rPr>
                <w:rFonts w:ascii="Times New Roman" w:hAnsi="Times New Roman"/>
                <w:sz w:val="20"/>
              </w:rPr>
              <w:t>PCT</w:t>
            </w:r>
          </w:p>
        </w:tc>
        <w:tc>
          <w:tcPr>
            <w:tcW w:type="dxa" w:w="4156"/>
          </w:tcPr>
          <w:p>
            <w:r>
              <w:rPr>
                <w:rFonts w:ascii="Times New Roman" w:hAnsi="Times New Roman"/>
                <w:sz w:val="20"/>
              </w:rPr>
              <w:t>Produit de Contraste pour Tomodensitométrie</w:t>
            </w:r>
          </w:p>
        </w:tc>
      </w:tr>
      <w:tr>
        <w:tc>
          <w:tcPr>
            <w:tcW w:type="dxa" w:w="4156"/>
          </w:tcPr>
          <w:p>
            <w:r>
              <w:rPr>
                <w:rFonts w:ascii="Times New Roman" w:hAnsi="Times New Roman"/>
                <w:sz w:val="20"/>
              </w:rPr>
              <w:t>SpO₂</w:t>
            </w:r>
          </w:p>
        </w:tc>
        <w:tc>
          <w:tcPr>
            <w:tcW w:type="dxa" w:w="4156"/>
          </w:tcPr>
          <w:p>
            <w:r>
              <w:rPr>
                <w:rFonts w:ascii="Times New Roman" w:hAnsi="Times New Roman"/>
                <w:sz w:val="20"/>
              </w:rPr>
              <w:t>Saturation pulsée en oxygène</w:t>
            </w:r>
          </w:p>
        </w:tc>
      </w:tr>
      <w:tr>
        <w:tc>
          <w:tcPr>
            <w:tcW w:type="dxa" w:w="4156"/>
          </w:tcPr>
          <w:p>
            <w:r>
              <w:rPr>
                <w:rFonts w:ascii="Times New Roman" w:hAnsi="Times New Roman"/>
                <w:sz w:val="20"/>
              </w:rPr>
              <w:t>T2A</w:t>
            </w:r>
          </w:p>
        </w:tc>
        <w:tc>
          <w:tcPr>
            <w:tcW w:type="dxa" w:w="4156"/>
          </w:tcPr>
          <w:p>
            <w:r>
              <w:rPr>
                <w:rFonts w:ascii="Times New Roman" w:hAnsi="Times New Roman"/>
                <w:sz w:val="20"/>
              </w:rPr>
              <w:t>Tarification à l'Activité</w:t>
            </w:r>
          </w:p>
        </w:tc>
      </w:tr>
      <w:tr>
        <w:tc>
          <w:tcPr>
            <w:tcW w:type="dxa" w:w="4156"/>
          </w:tcPr>
          <w:p>
            <w:r>
              <w:rPr>
                <w:rFonts w:ascii="Times New Roman" w:hAnsi="Times New Roman"/>
                <w:sz w:val="20"/>
              </w:rPr>
              <w:t>TDM</w:t>
            </w:r>
          </w:p>
        </w:tc>
        <w:tc>
          <w:tcPr>
            <w:tcW w:type="dxa" w:w="4156"/>
          </w:tcPr>
          <w:p>
            <w:r>
              <w:rPr>
                <w:rFonts w:ascii="Times New Roman" w:hAnsi="Times New Roman"/>
                <w:sz w:val="20"/>
              </w:rPr>
              <w:t>TomoDensitoMétrie (scanner)</w:t>
            </w:r>
          </w:p>
        </w:tc>
      </w:tr>
      <w:tr>
        <w:tc>
          <w:tcPr>
            <w:tcW w:type="dxa" w:w="4156"/>
          </w:tcPr>
          <w:p>
            <w:r>
              <w:rPr>
                <w:rFonts w:ascii="Times New Roman" w:hAnsi="Times New Roman"/>
                <w:sz w:val="20"/>
              </w:rPr>
              <w:t>TSH</w:t>
            </w:r>
          </w:p>
        </w:tc>
        <w:tc>
          <w:tcPr>
            <w:tcW w:type="dxa" w:w="4156"/>
          </w:tcPr>
          <w:p>
            <w:r>
              <w:rPr>
                <w:rFonts w:ascii="Times New Roman" w:hAnsi="Times New Roman"/>
                <w:sz w:val="20"/>
              </w:rPr>
              <w:t>Thyroid Stimulating Hormone (thyréostimuline)</w:t>
            </w:r>
          </w:p>
        </w:tc>
      </w:tr>
    </w:tbl>
    <w:p/>
    <w:p>
      <w:pPr>
        <w:pStyle w:val="Heading2"/>
      </w:pPr>
      <w:r>
        <w:t>216.10 Conclusion générale du Fascicule XXI</w:t>
      </w:r>
    </w:p>
    <w:p>
      <w:r>
        <w:t>Le présent fascicule a couvert l'ensemble des 14 DCI de produits de contraste radiologique disponibles dans la nomenclature algérienne Avril 2026, en intégrant les recommandations internationales les plus récentes (ESUR 2018, ACR 2024, EMA 2017, FDA 2018) et les particularités de la pratique radiologique algérienne. La structuration en 5 sous-classes pharmacologiques reflète la hiérarchie de sécurité qui gouverne la prescription de ces molécules : (1) les chélates macrocycliques (acide gadotérique, gadobutrol) pour l'IRM injectée ; (2) les chélates linéaires RETIRÉS (gadopentate, gadodiamide) à proscrire absolument ; (3) les ioniques (amidotrizoate oral, ioxaglate retiré) ; (4) les non-ioniques monomères (iohexol, iopamidol, iopromide, iobitridol) pour la scanographie courante ; (5) les non-ioniques dimères (iodixanol) pour les patients à haut risque rénal.</w:t>
      </w:r>
    </w:p>
    <w:p>
      <w:r/>
      <w:r>
        <w:rPr>
          <w:b/>
        </w:rPr>
        <w:t>Messages clés pour la pratique pharmaceutique algérienne</w:t>
      </w:r>
      <w:r>
        <w:t xml:space="preserve"> :</w:t>
      </w:r>
    </w:p>
    <w:p>
      <w:pPr>
        <w:pStyle w:val="ListNumber"/>
      </w:pPr>
      <w:r/>
      <w:r>
        <w:rPr>
          <w:b/>
        </w:rPr>
        <w:t>Toujours vérifier l'eGFR datée de moins de 7 jours</w:t>
      </w:r>
      <w:r>
        <w:t xml:space="preserve"> avant toute injection de produit de contraste iodé ou gadoliné, notamment chez les patients &gt; 65 ans, diabétiques, ou avec antécédent néphropathique.</w:t>
      </w:r>
    </w:p>
    <w:p>
      <w:pPr>
        <w:pStyle w:val="ListNumber"/>
      </w:pPr>
      <w:r/>
      <w:r>
        <w:rPr>
          <w:b/>
        </w:rPr>
        <w:t>Respecter strictement l'algorithme metformine</w:t>
      </w:r>
      <w:r>
        <w:t xml:space="preserve"> selon l'eGFR et le type d'injection (IV &lt; 100 mL vs ≥ 100 mL vs intra-artérielle).</w:t>
      </w:r>
    </w:p>
    <w:p>
      <w:pPr>
        <w:pStyle w:val="ListNumber"/>
      </w:pPr>
      <w:r/>
      <w:r>
        <w:rPr>
          <w:b/>
        </w:rPr>
        <w:t>Éviction totale des chélates linéaires</w:t>
      </w:r>
      <w:r>
        <w:t xml:space="preserve"> (MAGNEVIST, OMNISCAN) RETIRÉS du marché algérien en raison du risque de NSF. Tout stock résiduel doit être détruit.</w:t>
      </w:r>
    </w:p>
    <w:p>
      <w:pPr>
        <w:pStyle w:val="ListNumber"/>
      </w:pPr>
      <w:r/>
      <w:r>
        <w:rPr>
          <w:b/>
        </w:rPr>
        <w:t>Privilégier les chélates macrocycliques</w:t>
      </w:r>
      <w:r>
        <w:t xml:space="preserve"> (DOTAREM, CLARISCAN, GADOVIST) pour l'IRM injectée, en raison de leur sécurité rénale optimale.</w:t>
      </w:r>
    </w:p>
    <w:p>
      <w:pPr>
        <w:pStyle w:val="ListNumber"/>
      </w:pPr>
      <w:r/>
      <w:r>
        <w:rPr>
          <w:b/>
        </w:rPr>
        <w:t>Privilégier l'iodixanol (VISIPAQUE)</w:t>
      </w:r>
      <w:r>
        <w:t xml:space="preserve"> pour les patients à haut risque rénal (eGFR 30–59, diabète, myélome) et les angiographies complexes (coronarographie).</w:t>
      </w:r>
    </w:p>
    <w:p>
      <w:pPr>
        <w:pStyle w:val="ListNumber"/>
      </w:pPr>
      <w:r/>
      <w:r>
        <w:rPr>
          <w:b/>
        </w:rPr>
        <w:t>Prévention de la thyrotoxicose jod-basedow</w:t>
      </w:r>
      <w:r>
        <w:t xml:space="preserve"> : dosage de TSH préalable chez les patients à risque thyroïdien, contre-indication absolue en cas d'hyperthyroïdie non contrôlée.</w:t>
      </w:r>
    </w:p>
    <w:p>
      <w:pPr>
        <w:pStyle w:val="ListNumber"/>
      </w:pPr>
      <w:r/>
      <w:r>
        <w:rPr>
          <w:b/>
        </w:rPr>
        <w:t>Prévention de l'anaphylaxie</w:t>
      </w:r>
      <w:r>
        <w:t xml:space="preserve"> : kit d'urgence en salle d'imagerie, surveillance post-injection de 30 min, prémédication si antécédent allergique sévère.</w:t>
      </w:r>
    </w:p>
    <w:p>
      <w:pPr>
        <w:pStyle w:val="ListNumber"/>
      </w:pPr>
      <w:r/>
      <w:r>
        <w:rPr>
          <w:b/>
        </w:rPr>
        <w:t>Éducation thérapeutique du patient</w:t>
      </w:r>
      <w:r>
        <w:t xml:space="preserve"> : information sur les signes d'alerte (dyspnée, urticaire, fièvre, baisse de diurèse, éruption cutanée tardive), hydratation orale post-examen, conduite à tenir en cas de réaction.</w:t>
      </w:r>
    </w:p>
    <w:p>
      <w:pPr>
        <w:pStyle w:val="ListNumber"/>
      </w:pPr>
      <w:r/>
      <w:r>
        <w:rPr>
          <w:b/>
        </w:rPr>
        <w:t>Suivi pharmacovigilance</w:t>
      </w:r>
      <w:r>
        <w:t xml:space="preserve"> : signalement de toute réaction indésirable au Centre National de Pharmacovigilance (CNPV) du Ministère de la Santé algérien.</w:t>
      </w:r>
    </w:p>
    <w:p>
      <w:pPr>
        <w:pStyle w:val="ListNumber"/>
      </w:pPr>
      <w:r/>
      <w:r>
        <w:rPr>
          <w:b/>
        </w:rPr>
        <w:t>Formation continue</w:t>
      </w:r>
      <w:r>
        <w:t xml:space="preserve"> : mise à jour régulière des connaissances sur les nouvelles recommandations ESUR/ACR/EMA/FDA, sur l'émergence de nouveaux chélates de gadolinium ou de nouveaux produits de contraste iodés, et sur les évolutions réglementaires algériennes.</w:t>
      </w:r>
    </w:p>
    <w:p>
      <w:pPr>
        <w:pStyle w:val="Heading2"/>
      </w:pPr>
      <w:r>
        <w:t>216.11 Références bibliographiques principales</w:t>
      </w:r>
    </w:p>
    <w:p>
      <w:pPr>
        <w:pStyle w:val="ListNumber"/>
      </w:pPr>
      <w:r>
        <w:t>ESUR Guidelines on Contrast Media, version 10.0. European Society of Urogenital Radiology, 2018.</w:t>
      </w:r>
    </w:p>
    <w:p>
      <w:pPr>
        <w:pStyle w:val="ListNumber"/>
      </w:pPr>
      <w:r>
        <w:t>ACR Manual on Contrast Media, 2024 Edition. American College of Radiology, 2024.</w:t>
      </w:r>
    </w:p>
    <w:p>
      <w:pPr>
        <w:pStyle w:val="ListNumber"/>
      </w:pPr>
      <w:r>
        <w:t>EMA's final opinion on gadolinium-based contrast agents. European Medicines Agency, 2017. EMA/690758/2017.</w:t>
      </w:r>
    </w:p>
    <w:p>
      <w:pPr>
        <w:pStyle w:val="ListNumber"/>
      </w:pPr>
      <w:r>
        <w:t>FDA Drug Safety Communication: FDA warns about gadolinium retention in the brain after certain contrast imaging procedures. FDA, 2017.</w:t>
      </w:r>
    </w:p>
    <w:p>
      <w:pPr>
        <w:pStyle w:val="ListNumber"/>
      </w:pPr>
      <w:r>
        <w:t>Cowper SE, Robin HS, Steinberg SM, Su LD, Gupta S, LeBoit PE. Scleromyxoedema-like cutaneous diseases in renal-dialysis patients. Lancet. 2000;356(9234):1000-1.</w:t>
      </w:r>
    </w:p>
    <w:p>
      <w:pPr>
        <w:pStyle w:val="ListNumber"/>
      </w:pPr>
      <w:r>
        <w:t>Marckmann P, Skov L, Rossen K, et al. Nephrogenic systemic fibrosis: suspected causative role of gadodiamide used for contrast-enhanced magnetic resonance imaging. J Am Soc Nephrol. 2006;17(9):2359-62.</w:t>
      </w:r>
    </w:p>
    <w:p>
      <w:pPr>
        <w:pStyle w:val="ListNumber"/>
      </w:pPr>
      <w:r>
        <w:t>Aspelin P, Aubry P, Fransson SG, Strasser R, Willenbrock R, Berg KJ. Nephrotoxic effects in high-risk patients undergoing angiography. N Engl J Med. 2003;348(6):491-3.</w:t>
      </w:r>
    </w:p>
    <w:p>
      <w:pPr>
        <w:pStyle w:val="ListNumber"/>
      </w:pPr>
      <w:r>
        <w:t>Kanda T, Ishii K, Kawaguchi H, Kitajima K, Takenaka D. High signal intensity in the dentate nucleus and globus pallidus on unenhanced T1-weighted MR images: relationship with linear cumulative dose of a gadolinium-based contrast agent. Radiology. 2014;270(3):834-41.</w:t>
      </w:r>
    </w:p>
    <w:p>
      <w:pPr>
        <w:pStyle w:val="ListNumber"/>
      </w:pPr>
      <w:r>
        <w:t>Murata N, Gonzalez-Cuyar LF, Murata K, et al. Macrocyclic and other non-group 1 gadolinium contrast agents deposit low levels of gadolinium in brain and bone tissue. Invest Radiol. 2016;51(5):330-8.</w:t>
      </w:r>
    </w:p>
    <w:p>
      <w:pPr>
        <w:pStyle w:val="ListNumber"/>
      </w:pPr>
      <w:r>
        <w:t>Radbruch A, Weberling LD, Kieslich PJ, et al. Gadolinium retention in the dentate nucleus and globus pallidus is dependent on the type of gadolinium-based contrast agent. Invest Radiol. 2015;50(2):139-43.</w:t>
      </w:r>
    </w:p>
    <w:p>
      <w:pPr>
        <w:pStyle w:val="ListNumber"/>
      </w:pPr>
      <w:r>
        <w:t>Weisbord SD, Gallagher M, Jneid H, et al. Outcomes after angiography with sodium bicarbonate and acetylcysteine. N Engl J Med. 2018;378(7):603-14. (PRESERVE Trial)</w:t>
      </w:r>
    </w:p>
    <w:p>
      <w:pPr>
        <w:pStyle w:val="ListNumber"/>
      </w:pPr>
      <w:r>
        <w:t>Merten GJ, Burgess WP, Gray LV, et al. Prevention of contrast-induced nephropathy with sodium bicarbonate: a randomized controlled trial. JAMA. 2004;291(19):2328-34.</w:t>
      </w:r>
    </w:p>
    <w:p>
      <w:pPr>
        <w:pStyle w:val="ListNumber"/>
      </w:pPr>
      <w:r>
        <w:t>CRAT (Centre de Renseignements sur les Agents Tératogènes). Fiches sur les produits de contraste iodés et gadolinés. www.lecrat.fr</w:t>
      </w:r>
    </w:p>
    <w:p>
      <w:pPr>
        <w:pStyle w:val="ListNumber"/>
      </w:pPr>
      <w:r>
        <w:t>VIDAL. Monographies des produits de contraste radiologique. www.vidal.fr</w:t>
      </w:r>
    </w:p>
    <w:p>
      <w:pPr>
        <w:pStyle w:val="ListNumber"/>
      </w:pPr>
      <w:r>
        <w:t>ANSM. Bon usage des produits de contraste iodés et gadolinés en imagerie médicale. Saint-Denis: ANSM, 2017.</w:t>
      </w:r>
    </w:p>
    <w:p>
      <w:pPr>
        <w:pStyle w:val="ListNumber"/>
      </w:pPr>
      <w:r>
        <w:t>Thériaque. Base de données sur les médicaments et produits de contraste. www.theriaque.org</w:t>
      </w:r>
    </w:p>
    <w:p>
      <w:pPr>
        <w:pStyle w:val="ListNumber"/>
      </w:pPr>
      <w:r>
        <w:t>Nomenclature algérienne des médicaments. Avril 2026. Ministère de la Santé, Direction de la Pharmacie et des Dispositifs Médicaux.</w:t>
      </w:r>
    </w:p>
    <w:p>
      <w:pPr>
        <w:pStyle w:val="ListNumber"/>
      </w:pPr>
      <w:r>
        <w:t>Schieda N, Blaichman JI, Costa AF, et al. Gadolinium-based contrast agents and nephrogenic systemic fibrosis: a systematic review. Radiology. 2018;287(1):84-91.</w:t>
      </w:r>
    </w:p>
    <w:p>
      <w:pPr>
        <w:pStyle w:val="ListNumber"/>
      </w:pPr>
      <w:r>
        <w:t>Krauss ES, Adam S, Goldberg S, et al. Contrast-associated acute kidney injury. Cardiol Clin. 2021;39(2):155-66.</w:t>
      </w:r>
    </w:p>
    <w:p>
      <w:pPr>
        <w:pStyle w:val="ListNumber"/>
      </w:pPr>
      <w:r>
        <w:t>Bhave G, Lewis JB, Shah SV. Prevention of contrast-induced acute kidney injury. N Engl J Med. 2022;387(11):1026-32.</w:t>
      </w:r>
    </w:p>
    <w:p>
      <w:r/>
      <w:r>
        <w:rPr>
          <w:b/>
        </w:rPr>
        <w:t>Fin du Fascicule XXI — Radiologie &amp; Produits de Contraste en Algérie</w:t>
      </w:r>
      <w:r/>
    </w:p>
    <w:p>
      <w:r/>
      <w:r>
        <w:rPr>
          <w:b/>
        </w:rPr>
        <w:t>Édition : 28 août 2026 — Version v1</w:t>
      </w:r>
      <w:r/>
    </w:p>
    <w:p>
      <w:r/>
      <w:r>
        <w:rPr>
          <w:b/>
        </w:rPr>
        <w:t>Auteur : Agent rédacteur general-purpose (Fascicule XXI Radiologie)</w:t>
      </w:r>
      <w:r/>
    </w:p>
    <w:p>
      <w:r/>
      <w:r>
        <w:rPr>
          <w:b/>
        </w:rPr>
        <w:t>Sources mobilisées : ESUR • ACR • EMA • FDA • CRAT • VIDAL • ANSM • Thériaque • Nomenclature Algérie Avril 2026</w:t>
      </w:r>
      <w:r/>
    </w:p>
    <w:p>
      <w:pPr>
        <w:pStyle w:val="Heading1"/>
      </w:pPr>
      <w:r>
        <w:t>Chapitre 217 — Cas cliniques, scénarios au comptoir et recommandations pratiques</w:t>
      </w:r>
    </w:p>
    <w:p>
      <w:pPr>
        <w:pStyle w:val="Heading2"/>
      </w:pPr>
      <w:r>
        <w:t>217.1 Cas clinique n°1 — Patient diabétique avec insuffisance rénale modérée pour angio-scanner pulmonaire</w:t>
      </w:r>
    </w:p>
    <w:p>
      <w:pPr>
        <w:pStyle w:val="Heading3"/>
      </w:pPr>
      <w:r>
        <w:t>217.1.1 Présentation du cas</w:t>
      </w:r>
    </w:p>
    <w:p>
      <w:r>
        <w:t>Monsieur A.B., 68 ans, diabétique de type 2 depuis 15 ans (HbA1c 8,2 %), hypertendu sous losartan 50 mg/jour, metformine 1000 mg × 2/jour, atorvastatine 40 mg/jour. Présente au service des urgences une dyspnée aiguë fébrile (38,5 °C) avec douleur thoracique droite. Le médecin urgentiste suspecte une embolie pulmonaire et demande un angio-scanner thoracique injecté. Le bilan biologique d'admission montre : créatininémie 145 μmol/L (normale 60–110), eGFR CKD-EPI 42 mL/min/1,73 m², K⁴ 4,2 mmol/L, NFS normale, troponine I 0,04 ng/mL, D-dimères 2 850 μg/L (N &lt; 500). La glycémie capillaire est à 1,8 g/L. Le patient pèse 78 kg, taille 1,72 m, IMC 26,4. Antécédents : pas d'allergie connue, pas de réaction antérieure à un produit de contraste, tabagique sevré 5 PA.</w:t>
      </w:r>
    </w:p>
    <w:p>
      <w:pPr>
        <w:pStyle w:val="Heading3"/>
      </w:pPr>
      <w:r>
        <w:t>217.1.2 Analyse pharmacologique</w:t>
      </w:r>
    </w:p>
    <w:p>
      <w:r>
        <w:t xml:space="preserve">Le patient présente un profil à </w:t>
      </w:r>
      <w:r>
        <w:rPr>
          <w:b/>
        </w:rPr>
        <w:t>haut risque de néphropathie post-contraste (CIN)</w:t>
      </w:r>
      <w:r>
        <w:t xml:space="preserve"> combinant plusieurs facteurs : (1) âge &gt; 65 ans (68 ans) ; (2) diabète de type 2 déséquilibré (HbA1c 8,2 %) ; (3) insuffisance rénale modérée (eGFR 42 mL/min/1,73 m²) ; (4) traitement par IEC (losartan, ARA2) qui majore le risque de TFR en cas de déshydratation ; (5) traitement par metformine nécessitant un arrêt selon l'algorithme ESUR/ACR. Le rapport bénéfice/risque de l'angio-scanner pulmonaire est </w:t>
      </w:r>
      <w:r>
        <w:rPr>
          <w:b/>
        </w:rPr>
        <w:t>favorable</w:t>
      </w:r>
      <w:r>
        <w:t xml:space="preserve"> : suspicion d'embolie pulmonaire avec D-dimères élevés, dyspnée fébrile (suspicion d'embolie pulmonaire + pneumonie), examen urgent diagnostique. L'alternative IRM (angio-IRM pulmonaire) n'est pas indiquée en urgence en raison de la durée d'acquisition prolongée et de la moins bonne disponibilité.</w:t>
      </w:r>
    </w:p>
    <w:p>
      <w:pPr>
        <w:pStyle w:val="Heading3"/>
      </w:pPr>
      <w:r>
        <w:t>217.1.3 Conduite à tenir</w:t>
      </w:r>
    </w:p>
    <w:p>
      <w:r/>
      <w:r>
        <w:rPr>
          <w:b/>
        </w:rPr>
        <w:t>Avant l'examen</w:t>
      </w:r>
      <w:r>
        <w:t xml:space="preserve"> : (1) Vérifier l'eGFR (datée du jour, 42 mL/min/1,73 m²) — confirmée ; (2) </w:t>
      </w:r>
      <w:r>
        <w:rPr>
          <w:b/>
        </w:rPr>
        <w:t>Arrêter la metformine au moment de l'injection</w:t>
      </w:r>
      <w:r>
        <w:t xml:space="preserve"> et pendant 48 h après (algorithme eGFR 30–59 + injection IV ≥ 100 mL) ; (3) </w:t>
      </w:r>
      <w:r>
        <w:rPr>
          <w:b/>
        </w:rPr>
        <w:t>Arrêter le losartan</w:t>
      </w:r>
      <w:r>
        <w:t xml:space="preserve"> le jour de l'examen et le lendemain (prévention du TFR) ; (4) </w:t>
      </w:r>
      <w:r>
        <w:rPr>
          <w:b/>
        </w:rPr>
        <w:t>Hydratation IV systématique</w:t>
      </w:r>
      <w:r>
        <w:t xml:space="preserve"> : NaCl 0,9 % 1 mL/kg/h pendant 6 h avant l'injection et 12 h après (soit perfusion continue 18 h à 78 mL/h, total ~1 400 mL) ; (5) Choix du produit de contraste : </w:t>
      </w:r>
      <w:r>
        <w:rPr>
          <w:b/>
        </w:rPr>
        <w:t>iodixanol (VISIPAQUE 320)</w:t>
      </w:r>
      <w:r>
        <w:t xml:space="preserve"> à privilégier en raison du haut risque rénal (CIN attendue 2–5 % vs 5–10 % pour les non-ioniques monomères) ; (6) Prémédication antiallergique non nécessaire (pas d'antécédent allergique) ; (7) Surveillance cardiaque (ECG scope pendant l'injection).</w:t>
      </w:r>
    </w:p>
    <w:p>
      <w:r/>
      <w:r>
        <w:rPr>
          <w:b/>
        </w:rPr>
        <w:t>Pendant l'examen</w:t>
      </w:r>
      <w:r>
        <w:t xml:space="preserve"> : angio-scanner pulmonaire avec injection IV de VISIPAQUE 320 à 80 mL, débit 4 mL/s, suivie d'un flush de 30 mL de NaCl 0,9 %. Acquisition spiralée 64 coupes synchronisée au bolus (threshold 100 HU dans l'artère pulmonaire principale). Surveillance scope, SpO₂, tension artérielle toutes les 2 min.</w:t>
      </w:r>
    </w:p>
    <w:p>
      <w:r/>
      <w:r>
        <w:rPr>
          <w:b/>
        </w:rPr>
        <w:t>Après l'examen</w:t>
      </w:r>
      <w:r>
        <w:t xml:space="preserve"> : (1) Surveillance en salle de réveil pendant 30 min (scope, SpO₂, tension) ; (2) Poursuite de l'hydratation IV par NaCl 0,9 % 1 mL/kg/h pendant 12 h ; (3) Surveillance de la diurèse horaire (objectif &gt; 0,5 mL/kg/h, soit &gt; 39 mL/h) ; (4) </w:t>
      </w:r>
      <w:r>
        <w:rPr>
          <w:b/>
        </w:rPr>
        <w:t>Contrôle de la créatininémie à 48 h</w:t>
      </w:r>
      <w:r>
        <w:t xml:space="preserve"> post-examen (J+2) : si créatininémie stable (augmentation &lt; 25 % par rapport à la valeur pré-examen), reprise de la metformine à la dose antérieure et du losartan ; si créatininémie élevée (augmentation ≥ 25 %), maintien de l'arrêt de la metformine et consultation néphrologique recommandée ; (5) Bilan de thrombose veineuse profonde (écho-Doppler veineux des membres inférieurs) si angio-scanner confirme l'embolie pulmonaire ; (6) Mise en route d'une anticoagulation curative (HBPM à dose curative) si embolie pulmonaire confirmée.</w:t>
      </w:r>
    </w:p>
    <w:p>
      <w:pPr>
        <w:pStyle w:val="Heading3"/>
      </w:pPr>
      <w:r>
        <w:t>217.1.4 Issues possibles et points de vigilance</w:t>
      </w:r>
    </w:p>
    <w:p>
      <w:r/>
      <w:r>
        <w:rPr>
          <w:b/>
        </w:rPr>
        <w:t>Issue favorable</w:t>
      </w:r>
      <w:r>
        <w:t xml:space="preserve"> : créatininémie à 48 h = 152 μmol/L (augmentation &lt; 10 %), pas de CIN. Reprise de la metformine et du losartan à J+2. Diagnostic d'embolie pulmonaire sous-segmentaire droite confirmé. Anticoagulation curative par enoxaparine 0,8 mL × 2/jour SC pendant 5 jours relayée par rivaroxaban 20 mg/jour per os pendant 6 mois. Évolution favorable à 1 mois.</w:t>
      </w:r>
    </w:p>
    <w:p>
      <w:r/>
      <w:r>
        <w:rPr>
          <w:b/>
        </w:rPr>
        <w:t>Issue défavorable — CIN</w:t>
      </w:r>
      <w:r>
        <w:t xml:space="preserve"> : créatininémie à 48 h = 198 μmol/L (augmentation &gt; 35 %), CIN confirmée. Maintien de l'arrêt de la metformine, consultation néphrologue, hydratation IV prolongée 24–48 h. Créatininémie normalisée à J+10. Reprise prudente de la metformine à dose réduite (500 mg × 2/jour) avec surveillance rapprochée. Pour les examens radiologiques ultérieurs, contre-indication relative aux produits de contraste iodés pendant 3 mois, privilégier IRM (sans injection si possible).</w:t>
      </w:r>
    </w:p>
    <w:p>
      <w:r/>
      <w:r>
        <w:rPr>
          <w:b/>
        </w:rPr>
        <w:t>Points de vigilance pharmacologique</w:t>
      </w:r>
      <w:r>
        <w:t xml:space="preserve"> : (1) </w:t>
      </w:r>
      <w:r>
        <w:rPr>
          <w:b/>
        </w:rPr>
        <w:t>Ne pas oublier d'arrêter la metformine</w:t>
      </w:r>
      <w:r>
        <w:t xml:space="preserve"> en raison de l'eGFR 30–59 et de l'injection IV ≥ 100 mL ; (2) </w:t>
      </w:r>
      <w:r>
        <w:rPr>
          <w:b/>
        </w:rPr>
        <w:t>Privilégier l'iodixanol (VISIPAQUE)</w:t>
      </w:r>
      <w:r>
        <w:t xml:space="preserve"> en raison du haut risque rénal ; (3) </w:t>
      </w:r>
      <w:r>
        <w:rPr>
          <w:b/>
        </w:rPr>
        <w:t>Surveiller la diurèse horaire</w:t>
      </w:r>
      <w:r>
        <w:t xml:space="preserve"> pendant 12 h post-examen ; (4) </w:t>
      </w:r>
      <w:r>
        <w:rPr>
          <w:b/>
        </w:rPr>
        <w:t>Contrôler la créatininémie à 48 h</w:t>
      </w:r>
      <w:r>
        <w:t xml:space="preserve"> avant reprise de la metformine ; (5) </w:t>
      </w:r>
      <w:r>
        <w:rPr>
          <w:b/>
        </w:rPr>
        <w:t>Surveillance ECG continue</w:t>
      </w:r>
      <w:r>
        <w:t xml:space="preserve"> en raison du risque d'arythmie chez le patient diabétique âgé.</w:t>
      </w:r>
    </w:p>
    <w:p>
      <w:pPr>
        <w:pStyle w:val="Heading2"/>
      </w:pPr>
      <w:r>
        <w:t>217.2 Cas clinique n°2 — Patiente enceinte avec suspicion d'appendicite aiguë</w:t>
      </w:r>
    </w:p>
    <w:p>
      <w:pPr>
        <w:pStyle w:val="Heading3"/>
      </w:pPr>
      <w:r>
        <w:t>217.2.1 Présentation du cas</w:t>
      </w:r>
    </w:p>
    <w:p>
      <w:r>
        <w:t>Madame L.K., 29 ans, enceinte de 26 semaines d'aménorrhée (SA), primipare, présente aux urgences une douleur abdominale droite évoluant depuis 12 h avec fièvre (38,2 °C), nausées, vomissements. L'examen clinique retrouve une défense de la fosse iliaque droite avec signe de Blumberg positif. Biologie : leucocytes 13 500/mm³, CRP 65 mg/L, créatininémie 72 μmol/L (eGFR 95 mL/min/1,73 m²). L'échographie abdominale ne conclut pas (visibilité limitée par l'utérus gravide). Le chirurgien urgentiste demande une IRM abdomino-pelvienne pour confirmer l'appendicite aiguë et éliminer d'autres diagnostics (pyélonéphrite, torsion annexielle, occlusion). La patiente ne présente pas d'allergie connue.</w:t>
      </w:r>
    </w:p>
    <w:p>
      <w:pPr>
        <w:pStyle w:val="Heading3"/>
      </w:pPr>
      <w:r>
        <w:t>217.2.2 Analyse pharmacologique</w:t>
      </w:r>
    </w:p>
    <w:p>
      <w:r>
        <w:t xml:space="preserve">La patiente est enceinte au 3e trimestre (26 SA) avec suspicion d'appendicite aiguë nécessitant une imagerie urgente. Le rapport bénéfice/risque doit être discuté : (1) </w:t>
      </w:r>
      <w:r>
        <w:rPr>
          <w:b/>
        </w:rPr>
        <w:t>Échographie abdominale</w:t>
      </w:r>
      <w:r>
        <w:t xml:space="preserve"> : non contributive en raison de l'utérus gravide masquant la zone d'intérêt ; (2) </w:t>
      </w:r>
      <w:r>
        <w:rPr>
          <w:b/>
        </w:rPr>
        <w:t>Scanographie abdomino-pelvienne</w:t>
      </w:r>
      <w:r>
        <w:t xml:space="preserve"> : irradiante (exposition fœtale estimée 1–2 mSv, faible mais non négligeable), avec injection de produit de contraste iodé (risque thyroïdien fœtal théorique, passage transplacentaire) ; (3) </w:t>
      </w:r>
      <w:r>
        <w:rPr>
          <w:b/>
        </w:rPr>
        <w:t>IRM abdomino-pelvienne</w:t>
      </w:r>
      <w:r>
        <w:t xml:space="preserve"> : non irradiante, mais nécessite parfois injection de gadolinium (contre-indication relative pendant la grossesse selon EMA 2017, à discuter en cas de nécessité absolue). L'IRM sans injection en séquences T2 HASTE, BLADE, DWI (diffusion) est en première intention et permet le diagnostic d'appendicite aiguë dans &gt; 90 % des cas. L'injection de gadolinium n'est justifiée qu'en seconde intention en cas de doute diagnostique persistant.</w:t>
      </w:r>
    </w:p>
    <w:p>
      <w:pPr>
        <w:pStyle w:val="Heading3"/>
      </w:pPr>
      <w:r>
        <w:t>217.2.3 Conduite à tenir</w:t>
      </w:r>
    </w:p>
    <w:p>
      <w:r/>
      <w:r>
        <w:rPr>
          <w:b/>
        </w:rPr>
        <w:t>Choix de l'examen</w:t>
      </w:r>
      <w:r>
        <w:t xml:space="preserve"> : IRM abdomino-pelvienne sans injection de gadolinium en première intention, avec séquences T2 HASTE, BLADE, et DWI. L'injection de gadolinium macrocyclique (acide gadotérique — DOTAREM ou CLARISCAN) est discutée en seconde intention en cas de doute diagnostique persistant après lecture de l'IRM sans injection, après information éclairée de la patiente et validation par un comité pluridisciplinaire (radiologue, chirurgien, gynécologue-obstétricien).</w:t>
      </w:r>
    </w:p>
    <w:p>
      <w:r/>
      <w:r>
        <w:rPr>
          <w:b/>
        </w:rPr>
        <w:t>Préparation de la patiente</w:t>
      </w:r>
      <w:r>
        <w:t xml:space="preserve"> : (1) Vérification de la créatininémie et de l'eGFR (95 mL/min/1,73 m² — normale) ; (2) Vérification de l'absence d'allergie (pas d'allergie connue) ; (3) Information de la patiente sur la nature de l'examen (IRM, durée 30 min, bruit, nécessité de rester immobile) ; (4) Position latérale gauche améliorant le retour veineux et la tolérance ; (5) Surveillance du rythme cardiaque fœtal (RCF) avant et après l'examen.</w:t>
      </w:r>
    </w:p>
    <w:p>
      <w:r/>
      <w:r>
        <w:rPr>
          <w:b/>
        </w:rPr>
        <w:t>En cas d'injection de gadolinium macrocyclique (acide gadotérique — DOTAREM)</w:t>
      </w:r>
      <w:r>
        <w:t xml:space="preserve"> : (1) Dose standard 0,1 mmol/kg = 0,2 mL/kg (pour 65 kg : 13 mL) ; (2) Injection IV stricte dans une veine de gros calibre (18 G) à débit 2–3 mL/s ; (3) Hydratation orale complémentaire (1 L d'eau plate dans les 4 h précédant l'examen) ; (4) Surveillance post-injection 30 min en salle de réveil ; (5) Surveillance du RCF pendant et après l'examen ; (6) Information de la patiente sur le risque théorique de rétention cérébrale fœtale de gadolinium (données animales rassurantes, données humaines limitées) ; (7) Documentation du rapport bénéfice/risque dans le dossier médical.</w:t>
      </w:r>
    </w:p>
    <w:p>
      <w:r/>
      <w:r>
        <w:rPr>
          <w:b/>
        </w:rPr>
        <w:t>En cas d'IRM sans injection diagnostique</w:t>
      </w:r>
      <w:r>
        <w:t xml:space="preserve"> : pas de précaution particulière, surveillance du RCF pendant l'examen.</w:t>
      </w:r>
    </w:p>
    <w:p>
      <w:pPr>
        <w:pStyle w:val="Heading3"/>
      </w:pPr>
      <w:r>
        <w:t>217.2.4 Issues possibles et points de vigilance</w:t>
      </w:r>
    </w:p>
    <w:p>
      <w:r/>
      <w:r>
        <w:rPr>
          <w:b/>
        </w:rPr>
        <w:t>Issue favorable — IRM sans injection diagnostique</w:t>
      </w:r>
      <w:r>
        <w:t xml:space="preserve"> : appendice visualisé en T2 HASTE avec augmentation de calibre (12 mm), œdème pariétal, infiltration de la graisse péri-appendiculaire, hypersignal en diffusion. Diagnostic d'appendicite aiguë confirmé. Cœlioscopie chirurgicale en urgence avec appendicectomie. Évolution favorable mère-enfant. Pas d'injection de gadolinium nécessaire.</w:t>
      </w:r>
    </w:p>
    <w:p>
      <w:r/>
      <w:r>
        <w:rPr>
          <w:b/>
        </w:rPr>
        <w:t>Issue défavorable — IRM avec injection nécessaire</w:t>
      </w:r>
      <w:r>
        <w:t xml:space="preserve"> : IRM sans injection non contributive (appendice non visualisé, doute sur un abcès). Discussion multidisciplinaire. Injection d'acide gadotérique (DOTAREM) à dose standard 0,1 mmol/kg après information éclairée et consentement de la patiente. Diagnostic d'appendicite aiguë avec abcès péri-appendiculaire. Drainage radioguidé sous anesthésie locale, antibiothérapie IV (amoxicilline-acide clavulanique + gentamicine), appendicectomie différée à 6 semaines post-partum. Surveillance du RCF pendant l'examen et 24 h post-examen : RCF normal, pas de retentissement fœtal. À 1 mois post-examen : échographie fœtale normale, pas d'anomalie détectée.</w:t>
      </w:r>
    </w:p>
    <w:p>
      <w:r/>
      <w:r>
        <w:rPr>
          <w:b/>
        </w:rPr>
        <w:t>Points de vigilance pharmacologique</w:t>
      </w:r>
      <w:r>
        <w:t xml:space="preserve"> : (1) </w:t>
      </w:r>
      <w:r>
        <w:rPr>
          <w:b/>
        </w:rPr>
        <w:t>Privilégier l'IRM sans injection</w:t>
      </w:r>
      <w:r>
        <w:t xml:space="preserve"> en première intention pendant la grossesse ; (2) </w:t>
      </w:r>
      <w:r>
        <w:rPr>
          <w:b/>
        </w:rPr>
        <w:t>L'injection de gadolinium</w:t>
      </w:r>
      <w:r>
        <w:t xml:space="preserve"> (macrocyclique uniquement) est exceptionnelle et doit être discutée en multidisciplinaire ; (3) </w:t>
      </w:r>
      <w:r>
        <w:rPr>
          <w:b/>
        </w:rPr>
        <w:t>Surveillance du RCF</w:t>
      </w:r>
      <w:r>
        <w:t xml:space="preserve"> pendant et après l'examen ; (4) </w:t>
      </w:r>
      <w:r>
        <w:rPr>
          <w:b/>
        </w:rPr>
        <w:t>Documentation du rapport bénéfice/risque</w:t>
      </w:r>
      <w:r>
        <w:t xml:space="preserve"> dans le dossier médical ; (5) </w:t>
      </w:r>
      <w:r>
        <w:rPr>
          <w:b/>
        </w:rPr>
        <w:t>Information éclairée de la patiente</w:t>
      </w:r>
      <w:r>
        <w:t xml:space="preserve"> sur les risques théoriques et les bénéfices attendus.</w:t>
      </w:r>
    </w:p>
    <w:p>
      <w:pPr>
        <w:pStyle w:val="Heading2"/>
      </w:pPr>
      <w:r>
        <w:t>217.3 Cas clinique n°3 — Patient sous metformine avec fonction rénale normale pour scanner abdominal</w:t>
      </w:r>
    </w:p>
    <w:p>
      <w:pPr>
        <w:pStyle w:val="Heading3"/>
      </w:pPr>
      <w:r>
        <w:t>217.3.1 Présentation du cas</w:t>
      </w:r>
    </w:p>
    <w:p>
      <w:r>
        <w:t>Monsieur M.O., 55 ans, diabétique de type 2 depuis 8 ans sous metformine 1000 mg × 2/jour (HbA1c 7,1 %), présente une altération de l'état général avec amaigrissement de 5 kg en 2 mois, asthénie, douleurs abdominales diffuses. Le médecin traitant demande un scanner abdomino-pelvien injecté pour bilan étiologique. Le bilan biologique montre : créatininémie 88 μmol/L (normale), eGFR CKD-EPI 92 mL/min/1,73 m², NFS normale, CRP 12 mg/L. Pas d'allergie connue. Le patient pèse 80 kg. Traitement associé : ramipril 5 mg/jour (IEC), atorvastatine 40 mg/jour, aspirine 75 mg/jour.</w:t>
      </w:r>
    </w:p>
    <w:p>
      <w:pPr>
        <w:pStyle w:val="Heading3"/>
      </w:pPr>
      <w:r>
        <w:t>217.3.2 Analyse pharmacologique</w:t>
      </w:r>
    </w:p>
    <w:p>
      <w:r>
        <w:t xml:space="preserve">Le patient présente un profil à </w:t>
      </w:r>
      <w:r>
        <w:rPr>
          <w:b/>
        </w:rPr>
        <w:t>risque faible de CIN</w:t>
      </w:r>
      <w:r>
        <w:t xml:space="preserve"> : eGFR ≥ 60 (92 mL/min/1,73 m²), pas de diabète déséquilibré (HbA1c 7,1 %), pas de chimiothérapie néphrotoxique, pas de myélome. Selon l'algorithme ESUR/ACR : eGFR ≥ 60 + injection IV &lt; 100 mL → </w:t>
      </w:r>
      <w:r>
        <w:rPr>
          <w:b/>
        </w:rPr>
        <w:t>la metformine peut être continuée sans interruption</w:t>
      </w:r>
      <w:r>
        <w:t>. L'injection de produit de contraste iodé non-ionique monomère (iohexol, iopamidol, iopromide, iobitridol) à dose standard 80–100 mL est appropriée. L'arrêt du ramipril (IEC) n'est pas nécessaire en routine (bénéfice cardio-rénal global), mais la surveillance de la tension artérielle est recommandée.</w:t>
      </w:r>
    </w:p>
    <w:p>
      <w:pPr>
        <w:pStyle w:val="Heading3"/>
      </w:pPr>
      <w:r>
        <w:t>217.3.3 Conduite à tenir</w:t>
      </w:r>
    </w:p>
    <w:p>
      <w:r/>
      <w:r>
        <w:rPr>
          <w:b/>
        </w:rPr>
        <w:t>Avant l'examen</w:t>
      </w:r>
      <w:r>
        <w:t xml:space="preserve"> : (1) Vérifier l'eGFR (92 mL/min/1,73 m² — normale) ; (2) </w:t>
      </w:r>
      <w:r>
        <w:rPr>
          <w:b/>
        </w:rPr>
        <w:t>Continuer la metformine</w:t>
      </w:r>
      <w:r>
        <w:t xml:space="preserve"> sans interruption (algorithme eGFR ≥ 60 + injection &lt; 100 mL) ; (3) </w:t>
      </w:r>
      <w:r>
        <w:rPr>
          <w:b/>
        </w:rPr>
        <w:t>Continuer le ramipril</w:t>
      </w:r>
      <w:r>
        <w:t xml:space="preserve"> à dose habituelle ; (4) Hydratation orale simple (1 L d'eau plate dans les 4 h précédant l'examen) ; (5) Choix du produit de contraste : </w:t>
      </w:r>
      <w:r>
        <w:rPr>
          <w:b/>
        </w:rPr>
        <w:t>iohexol (OMNIPAQUE 350)</w:t>
      </w:r>
      <w:r>
        <w:t xml:space="preserve"> ou </w:t>
      </w:r>
      <w:r>
        <w:rPr>
          <w:b/>
        </w:rPr>
        <w:t>iopromide (ULTRAVIST 370)</w:t>
      </w:r>
      <w:r>
        <w:t xml:space="preserve"> à 80 mL, débit 3 mL/s ; (6) Prémédication antiallergique non nécessaire ; (7) Pas d'arrêt de l'aspirine.</w:t>
      </w:r>
    </w:p>
    <w:p>
      <w:r/>
      <w:r>
        <w:rPr>
          <w:b/>
        </w:rPr>
        <w:t>Pendant l'examen</w:t>
      </w:r>
      <w:r>
        <w:t xml:space="preserve"> : scanographie abdomino-pelvienne avec injection IV d'iohexol 80 mL à débit 3 mL/s. Acquisition hélicoïdale 64 coupes avec phase artérielle (25 s post-injection) et phase portale (70 s post-injection). Surveillance scope, SpO₂, tension artérielle.</w:t>
      </w:r>
    </w:p>
    <w:p>
      <w:r/>
      <w:r>
        <w:rPr>
          <w:b/>
        </w:rPr>
        <w:t>Après l'examen</w:t>
      </w:r>
      <w:r>
        <w:t xml:space="preserve"> : (1) Surveillance en salle de réveil pendant 30 min ; (2) Hydratation orale abondante (1,5–2 L d'eau dans les 24 h) ; (3) Pas de contrôle systématique de la créatininémie à 48 h (eGFR ≥ 60, pas de risque majoré) ; (4) Information du patient sur les signes d'alerte (dyspnée, urticaire, fièvre, éruption cutanée tardive, baisse de diurèse) ; (5) Consultation de résultats à 7 jours pour restitution.</w:t>
      </w:r>
    </w:p>
    <w:p>
      <w:pPr>
        <w:pStyle w:val="Heading3"/>
      </w:pPr>
      <w:r>
        <w:t>217.3.4 Issues possibles et points de vigilance</w:t>
      </w:r>
    </w:p>
    <w:p>
      <w:r/>
      <w:r>
        <w:rPr>
          <w:b/>
        </w:rPr>
        <w:t>Issue favorable</w:t>
      </w:r>
      <w:r>
        <w:t xml:space="preserve"> : scanner diagnostique (carcinome colique gauche avec adénopathies régionales). Prise en charge chirurgicale programmée. Pas de CIN. Pas de réaction allergique. Le patient poursuit sa metformine sans interruption. Consultation oncologique pour bilan d'extension.</w:t>
      </w:r>
    </w:p>
    <w:p>
      <w:r/>
      <w:r>
        <w:rPr>
          <w:b/>
        </w:rPr>
        <w:t>Issue défavorable — réaction d'hypersensibilité immédiate mineure</w:t>
      </w:r>
      <w:r>
        <w:t xml:space="preserve"> : urticaire localisée au bras d'injection survenant 10 min après l'injection. Prise en charge : dexchlorphéniramine 5 mg IV, surveillance 4 h en salle de réveil. Évolution favorable en 2 h. Le patient est informé du risque de réaction croisée avec les autres produits de contraste iodés. Délivrance d'une carte d'allergie et recommandation de prémédication antiallergique systématique pour les examens radiologiques injectés ultérieurs (prednisone 50 mg per os H–13 h, H–7 h, H–1 h + dexchlorphéniramine 5 mg IM H–1 h).</w:t>
      </w:r>
    </w:p>
    <w:p>
      <w:r/>
      <w:r>
        <w:rPr>
          <w:b/>
        </w:rPr>
        <w:t>Points de vigilance pharmacologique</w:t>
      </w:r>
      <w:r>
        <w:t xml:space="preserve"> : (1) </w:t>
      </w:r>
      <w:r>
        <w:rPr>
          <w:b/>
        </w:rPr>
        <w:t>Continuer la metformine</w:t>
      </w:r>
      <w:r>
        <w:t xml:space="preserve"> sans interruption si eGFR ≥ 60 + injection &lt; 100 mL ; (2) </w:t>
      </w:r>
      <w:r>
        <w:rPr>
          <w:b/>
        </w:rPr>
        <w:t>Continuer le ramipril</w:t>
      </w:r>
      <w:r>
        <w:t xml:space="preserve"> à dose habituelle ; (3) </w:t>
      </w:r>
      <w:r>
        <w:rPr>
          <w:b/>
        </w:rPr>
        <w:t>Hydratation orale simple</w:t>
      </w:r>
      <w:r>
        <w:t xml:space="preserve"> suffisante ; (4) </w:t>
      </w:r>
      <w:r>
        <w:rPr>
          <w:b/>
        </w:rPr>
        <w:t>Pas de contrôle systématique de la créatininémie</w:t>
      </w:r>
      <w:r>
        <w:t xml:space="preserve"> à 48 h si eGFR ≥ 60 ; (5) </w:t>
      </w:r>
      <w:r>
        <w:rPr>
          <w:b/>
        </w:rPr>
        <w:t>Surveillance 30 min</w:t>
      </w:r>
      <w:r>
        <w:t xml:space="preserve"> post-injection pour détecter les réactions immédiates ; (6) </w:t>
      </w:r>
      <w:r>
        <w:rPr>
          <w:b/>
        </w:rPr>
        <w:t>Information du patient</w:t>
      </w:r>
      <w:r>
        <w:t xml:space="preserve"> sur les signes d'alerte et délivrance d'une carte d'allergie en cas de réaction.</w:t>
      </w:r>
    </w:p>
    <w:p>
      <w:pPr>
        <w:pStyle w:val="Heading2"/>
      </w:pPr>
      <w:r>
        <w:t>217.4 Cas clinique n°4 — Patiente allaitante pour IRM cérébrale injectée</w:t>
      </w:r>
    </w:p>
    <w:p>
      <w:pPr>
        <w:pStyle w:val="Heading3"/>
      </w:pPr>
      <w:r>
        <w:t>217.4.1 Présentation du cas</w:t>
      </w:r>
    </w:p>
    <w:p>
      <w:r>
        <w:t>Madame Y.S., 32 ans, allaitante d'un nourrisson de 4 mois (allaitement maternel exclusif), présente des céphalées progressives évoluant depuis 3 semaines avec nausées matinales, flou visuel intermittent. L'examen neurologique retrouve une hémianopsie latérale homonyme bitemporale suspecte d'atteinte du chiasma optique. L'IRM cérébrale avec injection de gadolinium est demandée pour éliminer une lésion expansive sellaire (adénome hypophysaire, craniopharyngiome, méningiome). Bilan biologique : créatininémie 68 μmol/L (eGFR 110 mL/min/1,73 m²). Pas d'allergie connue. La patiente pèse 60 kg.</w:t>
      </w:r>
    </w:p>
    <w:p>
      <w:pPr>
        <w:pStyle w:val="Heading3"/>
      </w:pPr>
      <w:r>
        <w:t>217.4.2 Analyse pharmacologique</w:t>
      </w:r>
    </w:p>
    <w:p>
      <w:r>
        <w:t xml:space="preserve">La patiente présente un profil à </w:t>
      </w:r>
      <w:r>
        <w:rPr>
          <w:b/>
        </w:rPr>
        <w:t>risque minimal</w:t>
      </w:r>
      <w:r>
        <w:t xml:space="preserve"> : eGFR ≥ 60 (110 mL/min/1,73 m²), pas de diabète, pas d'insuffisance rénale, pas d'allergie. L'IRM cérébrale avec injection de gadolinium macrocyclique est indiquée pour caractériser une lésion expansive sellaire suspectée à l'examen clinique. Le rapport bénéfice/risque est </w:t>
      </w:r>
      <w:r>
        <w:rPr>
          <w:b/>
        </w:rPr>
        <w:t>favorable</w:t>
      </w:r>
      <w:r>
        <w:t xml:space="preserve"> : caractérisation diagnostique d'une lésion potentiellement maligne (adénome hypophysaire), urgence diagnostique modérée. Le choix du chélate macrocyclique (acide gadotérique — DOTAREM ou CLARISCAN ; ou gadobutrol — GADOVIST) garantit une sécurité rénale et cérébrale optimale.</w:t>
      </w:r>
    </w:p>
    <w:p>
      <w:r/>
      <w:r>
        <w:rPr>
          <w:b/>
        </w:rPr>
        <w:t>Question de l'allaitement</w:t>
      </w:r>
      <w:r>
        <w:t xml:space="preserve"> : Le gadolinium macrocyclique passe en quantité négligeable dans le lait maternel (&lt; 0,04 % de la dose maternelle), et l'absorption intestinale par le nourrisson est inférieure à 1 % de la dose ingérée. L'ESUR (2018) et l'ACR (2024) concluent à l'innocuité clinique de l'allaitement après injection de gadolinium macrocyclique, et ne recommandent pas l'interruption systématique de l'allaitement. Néanmoins, par mesure de précaution maximale, le "pump and dump" de 12–24 h est une option rassurante.</w:t>
      </w:r>
    </w:p>
    <w:p>
      <w:pPr>
        <w:pStyle w:val="Heading3"/>
      </w:pPr>
      <w:r>
        <w:t>217.4.3 Conduite à tenir</w:t>
      </w:r>
    </w:p>
    <w:p>
      <w:r/>
      <w:r>
        <w:rPr>
          <w:b/>
        </w:rPr>
        <w:t>Avant l'examen</w:t>
      </w:r>
      <w:r>
        <w:t xml:space="preserve"> : (1) Vérifier l'eGFR (110 mL/min/1,73 m² — normale) ; (2) Vérifier l'absence d'allergie ; (3) Information de la patiente sur la nature de l'examen (IRM cérébrale avec injection, durée 30–45 min, bruit, nécessité de rester immobile) ; (4) </w:t>
      </w:r>
      <w:r>
        <w:rPr>
          <w:b/>
        </w:rPr>
        <w:t>Discussion de l'allaitement</w:t>
      </w:r>
      <w:r>
        <w:t xml:space="preserve"> : information de la patiente sur l'innocuité clinique de l'allaitement après injection de gadolinium macrocyclique, et présentation de l'option "pump and dump" de 12–24 h par mesure de précaution maximale. Décision partagée avec la patiente : la patiente choisit de réaliser le "pump and dump" de 24 h par précaution ; (5) Préparation d'un stock de lait maternel pour le nourrisson pendant les 24 h post-examen.</w:t>
      </w:r>
    </w:p>
    <w:p>
      <w:r/>
      <w:r>
        <w:rPr>
          <w:b/>
        </w:rPr>
        <w:t>Choix du produit de contraste</w:t>
      </w:r>
      <w:r>
        <w:t xml:space="preserve"> : Acide gadotérique (DOTAREM 0,5 mmol/mL) à dose standard 0,1 mmol/kg = 0,2 mL/kg (pour 60 kg : 12 mL). Injection IV stricte dans une veine de gros calibre (18 G) à débit 2–3 mL/s, suivie d'un flush de 20 mL de NaCl 0,9 %.</w:t>
      </w:r>
    </w:p>
    <w:p>
      <w:r/>
      <w:r>
        <w:rPr>
          <w:b/>
        </w:rPr>
        <w:t>Pendant l'examen</w:t>
      </w:r>
      <w:r>
        <w:t xml:space="preserve"> : IRM cérébrale avec séquences T1, T2, FLAIR, T1 après injection de gadolinium. Acquisition sellaire en haute résolution (coupes 2 mm, T1 TSE sagittale et coronale avant et après injection). Surveillance scope, SpO₂, contact verbal avec la patiente.</w:t>
      </w:r>
    </w:p>
    <w:p>
      <w:r/>
      <w:r>
        <w:rPr>
          <w:b/>
        </w:rPr>
        <w:t>Après l'examen</w:t>
      </w:r>
      <w:r>
        <w:t xml:space="preserve"> : (1) Surveillance en salle de réveil pendant 30 min ; (2) Hydratation orale abondante (1,5–2 L d'eau dans les 24 h) pour favoriser l'élimination rénale du gadolinium ; (3) </w:t>
      </w:r>
      <w:r>
        <w:rPr>
          <w:b/>
        </w:rPr>
        <w:t>"Pump and dump"</w:t>
      </w:r>
      <w:r>
        <w:t xml:space="preserve"> : recueil et élimination du lait maternel produit dans les 24 h suivant l'injection (lait jeté, non donné au nourrisson) ; (4) Reprise de l'allaitement maternel à 24 h post-examen ; (5) Information de la patiente sur les signes d'alerte (dyspnée, urticaire, fièvre, éruption cutanée tardive) ; (6) Consultation de résultats à 7 jours pour restitution.</w:t>
      </w:r>
    </w:p>
    <w:p>
      <w:pPr>
        <w:pStyle w:val="Heading3"/>
      </w:pPr>
      <w:r>
        <w:t>217.4.4 Issues possibles et points de vigilance</w:t>
      </w:r>
    </w:p>
    <w:p>
      <w:r/>
      <w:r>
        <w:rPr>
          <w:b/>
        </w:rPr>
        <w:t>Issue favorable</w:t>
      </w:r>
      <w:r>
        <w:t xml:space="preserve"> : IRM cérébrale diagnostique (macroadénome hypophysaire de 18 mm, non sécrétant, avec extension sus-sellaire responsable de l'hémianopsie). Prise en charge neurochirurgicale programmée (résection transsphénoïdale endoscopique). Allaitement maintenu après "pump and dump" de 24 h. Pas de réaction allergique. Nourrisson en bonne santé, croissance staturo-pondérale normale.</w:t>
      </w:r>
    </w:p>
    <w:p>
      <w:r/>
      <w:r>
        <w:rPr>
          <w:b/>
        </w:rPr>
        <w:t>Issue défavorable — réaction d'hypersensibilité retardée</w:t>
      </w:r>
      <w:r>
        <w:t xml:space="preserve"> : éruption maculopapuleuse généralisée survenant 24 h après l'injection de gadolinium. Diagnostic : réaction d'hypersensibilité retardée au gadolinium (rash maculopapuleux). Prise en charge : corticothérapie locale (bétaméthasone crème 0,05 %), antihistaminique oral (cétirizine 10 mg/jour pendant 7 jours). Évolution favorable en 5 jours. Information de la patiente sur le risque de réaction croisée avec les autres chélates de gadolinium pour les examens IRM ultérieurs. Délivrance d'une carte d'allergie au gadolinium.</w:t>
      </w:r>
    </w:p>
    <w:p>
      <w:r/>
      <w:r>
        <w:rPr>
          <w:b/>
        </w:rPr>
        <w:t>Points de vigilance pharmacologique</w:t>
      </w:r>
      <w:r>
        <w:t xml:space="preserve"> : (1) </w:t>
      </w:r>
      <w:r>
        <w:rPr>
          <w:b/>
        </w:rPr>
        <w:t>L'allaitement n'est pas contre-indiqué</w:t>
      </w:r>
      <w:r>
        <w:t xml:space="preserve"> après injection de gadolinium macrocyclique ; (2) </w:t>
      </w:r>
      <w:r>
        <w:rPr>
          <w:b/>
        </w:rPr>
        <w:t>Le "pump and dump" de 12–24 h</w:t>
      </w:r>
      <w:r>
        <w:t xml:space="preserve"> est une option rassurante mais non scientifiquement justifiée ; (3) </w:t>
      </w:r>
      <w:r>
        <w:rPr>
          <w:b/>
        </w:rPr>
        <w:t>Surveillance 30 min</w:t>
      </w:r>
      <w:r>
        <w:t xml:space="preserve"> post-injection pour détecter les réactions immédiates ; (4) </w:t>
      </w:r>
      <w:r>
        <w:rPr>
          <w:b/>
        </w:rPr>
        <w:t>Surveillance 7 jours</w:t>
      </w:r>
      <w:r>
        <w:t xml:space="preserve"> pour détecter les réactions retardées ; (5) </w:t>
      </w:r>
      <w:r>
        <w:rPr>
          <w:b/>
        </w:rPr>
        <w:t>Délivrance d'une carte d'allergie</w:t>
      </w:r>
      <w:r>
        <w:t xml:space="preserve"> en cas de réaction, pour les examens ultérieurs.</w:t>
      </w:r>
    </w:p>
    <w:p>
      <w:pPr>
        <w:pStyle w:val="Heading2"/>
      </w:pPr>
      <w:r>
        <w:t>217.5 Cas clinique n°5 — Patient âgé polyvasculaire pour coronarographie</w:t>
      </w:r>
    </w:p>
    <w:p>
      <w:pPr>
        <w:pStyle w:val="Heading3"/>
      </w:pPr>
      <w:r>
        <w:t>217.5.1 Présentation du cas</w:t>
      </w:r>
    </w:p>
    <w:p>
      <w:r>
        <w:t>Monsieur K.H., 75 ans, hypertendu, diabétique de type 2 (HbA1c 7,8 %), ancien tabagique sevré, présentant une claudication intermittente des membres inférieurs (stade IIb Leriche), un angor stable, et une dyspnée d'effort. Bilan préopératoire avant pontage aorto-coronarien : coronarographie diagnostique. Traitement : metformine 1000 mg × 2/jour, ramipril 10 mg/jour, furosémide 40 mg/jour, bisoprolol 5 mg/jour, atorvastatine 80 mg/jour, aspirine 75 mg/jour, clopidogrel 75 mg/jour. Biologie : créatininémie 132 μmol/L, eGFR CKD-EPI 48 mL/min/1,73 m², K⁺ 4,8 mmol/L, NT-proBNP 1 250 pg/mL. Le patient pèse 78 kg.</w:t>
      </w:r>
    </w:p>
    <w:p>
      <w:pPr>
        <w:pStyle w:val="Heading3"/>
      </w:pPr>
      <w:r>
        <w:t>217.5.2 Analyse pharmacologique</w:t>
      </w:r>
    </w:p>
    <w:p>
      <w:r>
        <w:t xml:space="preserve">Le patient présente un profil à </w:t>
      </w:r>
      <w:r>
        <w:rPr>
          <w:b/>
        </w:rPr>
        <w:t>haut risque de CIN</w:t>
      </w:r>
      <w:r>
        <w:t xml:space="preserve"> combinant : (1) âge &gt; 70 ans (75 ans) ; (2) diabète de type 2 ; (3) insuffisance rénale modérée (eGFR 48 mL/min/1,73 m²) ; (4) insuffisance cardiaque (furosémide, NT-proBNP élevé) ; (5) traitement par IEC (ramipril) ; (6) traitement par metformine nécessitant un arrêt selon l'algorithme ESUR/ACR ; (7) injection intra-artérielle (coronarographie) avec arrêt systématique de la metformine indépendamment de l'eGFR. Le rapport bénéfice/risque de la coronarographie est </w:t>
      </w:r>
      <w:r>
        <w:rPr>
          <w:b/>
        </w:rPr>
        <w:t>favorable</w:t>
      </w:r>
      <w:r>
        <w:t xml:space="preserve"> : bilan préopératoire indispensable avant pontage aorto-coronarien, examen invasif diagnostique et thérapeutique.</w:t>
      </w:r>
    </w:p>
    <w:p>
      <w:pPr>
        <w:pStyle w:val="Heading3"/>
      </w:pPr>
      <w:r>
        <w:t>217.5.3 Conduite à tenir</w:t>
      </w:r>
    </w:p>
    <w:p>
      <w:r/>
      <w:r>
        <w:rPr>
          <w:b/>
        </w:rPr>
        <w:t>Avant l'examen</w:t>
      </w:r>
      <w:r>
        <w:t xml:space="preserve"> : (1) Vérifier l'eGFR (48 mL/min/1,73 m² — confirmée) ; (2) </w:t>
      </w:r>
      <w:r>
        <w:rPr>
          <w:b/>
        </w:rPr>
        <w:t>Arrêter la metformine au moment de l'examen</w:t>
      </w:r>
      <w:r>
        <w:t xml:space="preserve"> et pendant 48 h après (algorithme eGFR 30–59 + injection intra-artérielle — arrêt systématique) ; (3) </w:t>
      </w:r>
      <w:r>
        <w:rPr>
          <w:b/>
        </w:rPr>
        <w:t>Arrêter le ramipril</w:t>
      </w:r>
      <w:r>
        <w:t xml:space="preserve"> le jour de l'examen et le lendemain (prévention du TFR) ; (4) </w:t>
      </w:r>
      <w:r>
        <w:rPr>
          <w:b/>
        </w:rPr>
        <w:t>Arrêter le furosémide</w:t>
      </w:r>
      <w:r>
        <w:t xml:space="preserve"> le jour de l'examen (prévention de la déshydratation) ; (5) </w:t>
      </w:r>
      <w:r>
        <w:rPr>
          <w:b/>
        </w:rPr>
        <w:t>Continuer le bisoprolol, l'atorvastatine, l'aspirine, et le clopidogrel</w:t>
      </w:r>
      <w:r>
        <w:t xml:space="preserve"> ; (6) </w:t>
      </w:r>
      <w:r>
        <w:rPr>
          <w:b/>
        </w:rPr>
        <w:t>Hydratation IV systématique</w:t>
      </w:r>
      <w:r>
        <w:t xml:space="preserve"> : NaCl 0,9 % 1 mL/kg/h pendant 6 h avant la coronarographie et 12 h après (soit perfusion continue 18 h à 78 mL/h, total ~1 400 mL) ; (7) </w:t>
      </w:r>
      <w:r>
        <w:rPr>
          <w:b/>
        </w:rPr>
        <w:t>Choix du produit de contraste</w:t>
      </w:r>
      <w:r>
        <w:t xml:space="preserve"> : iodixanol (VISIPAQUE 320) à privilégier en raison du haut risque rénal (CIN attendue 2–5 % vs 5–10 % pour les non-ioniques monomères) ; (8) Surveillance cardiaque (ECG scope continu pendant l'examen) ; (9) Prémédication antiallergique non nécessaire (pas d'allergie).</w:t>
      </w:r>
    </w:p>
    <w:p>
      <w:r/>
      <w:r>
        <w:rPr>
          <w:b/>
        </w:rPr>
        <w:t>Pendant l'examen</w:t>
      </w:r>
      <w:r>
        <w:t xml:space="preserve"> : coronarographie diagnostique avec injection intra-artérielle d'iodixanol (VISIPAQUE 320) à 5–15 mL par injection sélective (coronaire droite, coronaire gauche, ventriculographie gauche), à la main. Surveillance ECG scope continu, SpO₂, tension artérielle invasive (cathéter fémoral). Total volume injecté ~80–120 mL.</w:t>
      </w:r>
    </w:p>
    <w:p>
      <w:r/>
      <w:r>
        <w:rPr>
          <w:b/>
        </w:rPr>
        <w:t>Après l'examen</w:t>
      </w:r>
      <w:r>
        <w:t xml:space="preserve"> : (1) Surveillance en salle de réveil pendant 2 h (coronarographie = injection intra-artérielle, surveillance prolongée) ; (2) Poursuite de l'hydratation IV par NaCl 0,9 % 1 mL/kg/h pendant 12 h ; (3) Surveillance de la diurèse horaire (objectif &gt; 0,5 mL/kg/h) ; (4) Surveillance du point de ponction fémoral (compression, pansement compressif, recherche d'hématome) ; (5) </w:t>
      </w:r>
      <w:r>
        <w:rPr>
          <w:b/>
        </w:rPr>
        <w:t>Contrôle de la créatininémie à 48 h post-examen</w:t>
      </w:r>
      <w:r>
        <w:t xml:space="preserve"> (J+2) : si créatininémie stable (augmentation &lt; 25 %), reprise de la metformine à dose réduite (500 mg × 2/jour) et du ramipril ; si créatininémie élevée (augmentation ≥ 25 %), maintien de l'arrêt de la metformine et consultation néphrologique ; (6) Surveillance ECG, troponine I à 6 h et 24 h ; (7) Bilan d'extension vasculaire (écho-Doppler artériel des membres inférieurs, angio-scanner aortique) en fonction des résultats de la coronarographie.</w:t>
      </w:r>
    </w:p>
    <w:p>
      <w:pPr>
        <w:pStyle w:val="Heading3"/>
      </w:pPr>
      <w:r>
        <w:t>217.5.4 Issues possibles et points de vigilance</w:t>
      </w:r>
    </w:p>
    <w:p>
      <w:r/>
      <w:r>
        <w:rPr>
          <w:b/>
        </w:rPr>
        <w:t>Issue favorable</w:t>
      </w:r>
      <w:r>
        <w:t xml:space="preserve"> : coronarographie diagnostique (lésions tritroculaires sévères : IVA proximale 90 %, CX proximale 80 %, CD proximale 70 %). Créatininémie à 48 h = 138 μmol/L (augmentation &lt; 5 %), pas de CIN. Reprise de la metformine à dose réduite, du ramipril et du furosémide à J+2. Indication de pontage aorto-coronarien programmé à 1 mois. Évolution favorable.</w:t>
      </w:r>
    </w:p>
    <w:p>
      <w:r/>
      <w:r>
        <w:rPr>
          <w:b/>
        </w:rPr>
        <w:t>Issue défavorable — CIN</w:t>
      </w:r>
      <w:r>
        <w:t xml:space="preserve"> : créatininémie à 48 h = 178 μmol/L (augmentation &gt; 35 %), CIN confirmée. Maintien de l'arrêt de la metformine, consultation néphrologue, hydratation IV prolongée 48 h. Créatininémie normalisée à J+15. Reprise prudente de la metformine à dose réduite (500 mg × 2/jour) avec surveillance rapprochée. Pour les examens radiologiques ultérieurs, contre-indication relative aux produits de contraste iodés pendant 3 mois, privilégier IRM (sans injection si possible).</w:t>
      </w:r>
    </w:p>
    <w:p>
      <w:r/>
      <w:r>
        <w:rPr>
          <w:b/>
        </w:rPr>
        <w:t>Issue défavorable — choc anaphylactique (rare, 0,01 %)</w:t>
      </w:r>
      <w:r>
        <w:t xml:space="preserve"> : 5 min après le début de la coronarographie, survenue d'un bronchospasme sévère avec hypotension (PAS 70 mmHg), tachycardie (130 bpm), urticaire généralisée. Prise en charge immédiate : arrêt de l'injection, mise en décubitus dorsal, jambes surélevées, oxygène 15 L/min par masque, adrénaline IM 0,3 mg dans la face antérolatérale de la cuisse, remplissage vasculaire NaCl 0,9 % 20 mL/kg en 5–10 min (1 400 mL), dexchlorphéniramine 5 mg IV, méthylprednisolone 80 mg IV. Évolution favorable en 15 min (PAS 110 mmHg, FC 90 bpm, SpO₂ 98 %). Hospitalisation en réanimation 24 h pour surveillance de réaction biphasique. Coronarographie reportée à 1 mois sous prémédication antiallergique (prednisone 50 mg per os H–13 h, H–7 h, H–1 h + dexchlorphéniramine 5 mg IM H–1 h).</w:t>
      </w:r>
    </w:p>
    <w:p>
      <w:r/>
      <w:r>
        <w:rPr>
          <w:b/>
        </w:rPr>
        <w:t>Points de vigilance pharmacologique</w:t>
      </w:r>
      <w:r>
        <w:t xml:space="preserve"> : (1) </w:t>
      </w:r>
      <w:r>
        <w:rPr>
          <w:b/>
        </w:rPr>
        <w:t>Arrêt systématique de la metformine</w:t>
      </w:r>
      <w:r>
        <w:t xml:space="preserve"> pour les injections intra-artérielles (coronarographie), indépendamment de l'eGFR ; (2) </w:t>
      </w:r>
      <w:r>
        <w:rPr>
          <w:b/>
        </w:rPr>
        <w:t>Privilégier l'iodixanol (VISIPAQUE)</w:t>
      </w:r>
      <w:r>
        <w:t xml:space="preserve"> en raison du haut risque rénal ; (3) </w:t>
      </w:r>
      <w:r>
        <w:rPr>
          <w:b/>
        </w:rPr>
        <w:t>Hydratation IV systématique et prolongée</w:t>
      </w:r>
      <w:r>
        <w:t xml:space="preserve"> (18 h continue) ; (4) </w:t>
      </w:r>
      <w:r>
        <w:rPr>
          <w:b/>
        </w:rPr>
        <w:t>Surveillance prolongée</w:t>
      </w:r>
      <w:r>
        <w:t xml:space="preserve"> post-examen (2 h en salle de réveil, contrôle créatininémie à 48 h) ; (5) </w:t>
      </w:r>
      <w:r>
        <w:rPr>
          <w:b/>
        </w:rPr>
        <w:t>Kit d'urgence anaphylaxie</w:t>
      </w:r>
      <w:r>
        <w:t xml:space="preserve"> immédiatement accessible en salle de cathétérisme ; (6) </w:t>
      </w:r>
      <w:r>
        <w:rPr>
          <w:b/>
        </w:rPr>
        <w:t>Surveillance du point de ponction fémoral</w:t>
      </w:r>
      <w:r>
        <w:t xml:space="preserve"> (hématome, faux anévrisme) ; (7) </w:t>
      </w:r>
      <w:r>
        <w:rPr>
          <w:b/>
        </w:rPr>
        <w:t>Surveillance ECG et troponine</w:t>
      </w:r>
      <w:r>
        <w:t xml:space="preserve"> pour détecter une complication coronarienne.</w:t>
      </w:r>
    </w:p>
    <w:p>
      <w:pPr>
        <w:pStyle w:val="Heading2"/>
      </w:pPr>
      <w:r>
        <w:t>217.6 Recommandations transversales pour le pharmacien d'officine en Algérie</w:t>
      </w:r>
    </w:p>
    <w:p>
      <w:pPr>
        <w:pStyle w:val="Heading3"/>
      </w:pPr>
      <w:r>
        <w:t>217.6.1 Rôle pivot du pharmacien d'officine</w:t>
      </w:r>
    </w:p>
    <w:p>
      <w:r>
        <w:t>Le pharmacien d'officine joue un rôle pivot dans la prise en charge des patients recevant des produits de contraste radiologique en Algérie. Son rôle s'exerce à trois niveaux :</w:t>
      </w:r>
    </w:p>
    <w:p>
      <w:pPr>
        <w:pStyle w:val="ListNumber"/>
      </w:pPr>
      <w:r/>
      <w:r>
        <w:rPr>
          <w:b/>
        </w:rPr>
        <w:t>Vérification de la cohérence des prescriptions</w:t>
      </w:r>
      <w:r>
        <w:t xml:space="preserve"> : Le pharmacien vérifie que le produit de contraste prescrit est disponible en Algérie (statut ACTIF dans la nomenclature), que la voie d'administration est appropriée (orale/rectale pour GASTROGRAFINE, IV pour les autres), que la concentration est adaptée à l'indication (300 mg/mL pour scanographie courante, 350–370 mg/mL pour angiographie à haut débit), que la dose prescrite est conforme aux recommandations ESUR/ACR.</w:t>
      </w:r>
    </w:p>
    <w:p>
      <w:pPr>
        <w:pStyle w:val="ListNumber"/>
      </w:pPr>
      <w:r/>
      <w:r>
        <w:rPr>
          <w:b/>
        </w:rPr>
        <w:t>Éducation thérapeutique des patients</w:t>
      </w:r>
      <w:r>
        <w:t xml:space="preserve"> : Le pharmacien informe le patient sur les précautions à prendre avant et après l'examen (hydratation orale, arrêt éventuel de la metformine, jeûne non obligatoire mais repas léger 2 h avant, apport des bilans biologiques récents), sur le déroulement de l'examen (durée, bruit pour IRM, sensation de chaleur pour scanographie), sur les signes d'alerte à surveiller (dyspnée, urticaire, fièvre, éruption cutanée tardive, baisse de diurèse), et sur la conduite à tenir en cas de réaction (consultation médicale urgente).</w:t>
      </w:r>
    </w:p>
    <w:p>
      <w:pPr>
        <w:pStyle w:val="ListNumber"/>
      </w:pPr>
      <w:r/>
      <w:r>
        <w:rPr>
          <w:b/>
        </w:rPr>
        <w:t>Pharmacovigilance et signalement des stocks résiduels</w:t>
      </w:r>
      <w:r>
        <w:t xml:space="preserve"> : Le pharmacien signale au Centre National de Pharmacovigilance (CNPV) du Ministère de la Santé algérien toute réaction indésirable inattendue (réaction allergique sévère, NSF, CIN, dysthyroïdie jod-basedow), et signale au laboratoire titulaire et au Ministère de la Santé tout stock résiduel de produits retirés du marché (MAGNEVIST, OMNISCAN, HEXABRIX, OPTIRAY) pour destruction selon la procédure DASRI.</w:t>
      </w:r>
    </w:p>
    <w:p>
      <w:pPr>
        <w:pStyle w:val="Heading3"/>
      </w:pPr>
      <w:r>
        <w:t>217.6.2 Check-list du pharmacien d'officine pour la dispensation</w:t>
      </w:r>
    </w:p>
    <w:p>
      <w:r>
        <w:t>La check-list du pharmacien d'officine pour la dispensation d'un produit de contraste radiologique comprend :</w:t>
      </w:r>
    </w:p>
    <w:p>
      <w:r/>
      <w:r>
        <w:rPr>
          <w:b/>
        </w:rPr>
        <w:t>Vérification de la prescription</w:t>
      </w:r>
      <w:r>
        <w:t xml:space="preserve"> :</w:t>
      </w:r>
    </w:p>
    <w:p>
      <w:pPr>
        <w:pStyle w:val="ListBullet"/>
      </w:pPr>
      <w:r>
        <w:t>Le produit prescrit est-il ACTIF dans la nomenclature algérienne ?</w:t>
      </w:r>
    </w:p>
    <w:p>
      <w:pPr>
        <w:pStyle w:val="ListBullet"/>
      </w:pPr>
      <w:r>
        <w:t>La voie d'administration est-elle appropriée (orale/rectale pour GASTROGRAFINE, IV pour les autres) ?</w:t>
      </w:r>
    </w:p>
    <w:p>
      <w:pPr>
        <w:pStyle w:val="ListBullet"/>
      </w:pPr>
      <w:r>
        <w:t>La concentration est-elle adaptée à l'indication (300 mg/mL pour scanographie courante, 350–370 mg/mL pour angiographie à haut débit) ?</w:t>
      </w:r>
    </w:p>
    <w:p>
      <w:pPr>
        <w:pStyle w:val="ListBullet"/>
      </w:pPr>
      <w:r>
        <w:t>La dose prescrite est-elle conforme aux recommandations ESUR/ACR (0,1 mmol/kg pour gadolinium macrocyclique, 1–2 mL/kg pour iode) ?</w:t>
      </w:r>
    </w:p>
    <w:p>
      <w:pPr>
        <w:pStyle w:val="ListBullet"/>
      </w:pPr>
      <w:r>
        <w:t>Le conditionnement est-il adapté (flacon 50 mL, 100 mL) ?</w:t>
      </w:r>
    </w:p>
    <w:p>
      <w:r/>
      <w:r>
        <w:rPr>
          <w:b/>
        </w:rPr>
        <w:t>Vérification du patient</w:t>
      </w:r>
      <w:r>
        <w:t xml:space="preserve"> :</w:t>
      </w:r>
    </w:p>
    <w:p>
      <w:pPr>
        <w:pStyle w:val="ListBullet"/>
      </w:pPr>
      <w:r>
        <w:t>Le bilan biologique (créatininémie, eGFR datée de moins de 7 jours) est-il disponible ?</w:t>
      </w:r>
    </w:p>
    <w:p>
      <w:pPr>
        <w:pStyle w:val="ListBullet"/>
      </w:pPr>
      <w:r>
        <w:t>Le bilan thyroïdien (TSH) est-il disponible en cas d'antécédent thyroïdien ?</w:t>
      </w:r>
    </w:p>
    <w:p>
      <w:pPr>
        <w:pStyle w:val="ListBullet"/>
      </w:pPr>
      <w:r>
        <w:t>La grossesse éventuelle a-t-elle été vérifiée chez la femme en âge de procréer ?</w:t>
      </w:r>
    </w:p>
    <w:p>
      <w:pPr>
        <w:pStyle w:val="ListBullet"/>
      </w:pPr>
      <w:r>
        <w:t>L'allaitement éventuel a-t-il été vérifié ?</w:t>
      </w:r>
    </w:p>
    <w:p>
      <w:pPr>
        <w:pStyle w:val="ListBullet"/>
      </w:pPr>
      <w:r>
        <w:t>Les antécédents allergiques (asthme, allergie aux PCI précédents, allergie alimentaire) ont-ils été recherchés ?</w:t>
      </w:r>
    </w:p>
    <w:p>
      <w:pPr>
        <w:pStyle w:val="ListBullet"/>
      </w:pPr>
      <w:r>
        <w:t>Les traitements en cours (metformine, IEC, ARA2, diurétiques, chimiothérapie, L-thyroxine, antithyroïdiens) ont-ils été recensés ?</w:t>
      </w:r>
    </w:p>
    <w:p>
      <w:r/>
      <w:r>
        <w:rPr>
          <w:b/>
        </w:rPr>
        <w:t>Information du patient</w:t>
      </w:r>
      <w:r>
        <w:t xml:space="preserve"> :</w:t>
      </w:r>
    </w:p>
    <w:p>
      <w:pPr>
        <w:pStyle w:val="ListBullet"/>
      </w:pPr>
      <w:r>
        <w:t>Hydratation orale préalable (1 L d'eau plate dans les 4 h précédant l'examen)</w:t>
      </w:r>
    </w:p>
    <w:p>
      <w:pPr>
        <w:pStyle w:val="ListBullet"/>
      </w:pPr>
      <w:r>
        <w:t>Jeûne non obligatoire mais repas léger 2 h avant</w:t>
      </w:r>
    </w:p>
    <w:p>
      <w:pPr>
        <w:pStyle w:val="ListBullet"/>
      </w:pPr>
      <w:r>
        <w:t>Apport des bilans biologiques récents</w:t>
      </w:r>
    </w:p>
    <w:p>
      <w:pPr>
        <w:pStyle w:val="ListBullet"/>
      </w:pPr>
      <w:r>
        <w:t>Apport de la liste des traitements en cours</w:t>
      </w:r>
    </w:p>
    <w:p>
      <w:pPr>
        <w:pStyle w:val="ListBullet"/>
      </w:pPr>
      <w:r>
        <w:t>Signalement des allergies et antécédents</w:t>
      </w:r>
    </w:p>
    <w:p>
      <w:pPr>
        <w:pStyle w:val="ListBullet"/>
      </w:pPr>
      <w:r>
        <w:t>Surveillance 30 min post-injection en salle d'imagerie</w:t>
      </w:r>
    </w:p>
    <w:p>
      <w:pPr>
        <w:pStyle w:val="ListBullet"/>
      </w:pPr>
      <w:r>
        <w:t>Hydratation orale abondante post-examen (1,5–2 L dans les 24 h)</w:t>
      </w:r>
    </w:p>
    <w:p>
      <w:pPr>
        <w:pStyle w:val="ListBullet"/>
      </w:pPr>
      <w:r>
        <w:t>Signes d'alerte à surveiller (dyspnée, urticaire, fièvre, éruption cutanée tardive, baisse de diurèse)</w:t>
      </w:r>
    </w:p>
    <w:p>
      <w:pPr>
        <w:pStyle w:val="ListBullet"/>
      </w:pPr>
      <w:r>
        <w:t>Conduite à tenir en cas de réaction (consultation médicale urgente)</w:t>
      </w:r>
    </w:p>
    <w:p>
      <w:pPr>
        <w:pStyle w:val="ListBullet"/>
      </w:pPr>
      <w:r>
        <w:t>"Pump and dump" optionnel chez la femme allaitante (12–24 h)</w:t>
      </w:r>
    </w:p>
    <w:p>
      <w:pPr>
        <w:pStyle w:val="ListBullet"/>
      </w:pPr>
      <w:r>
        <w:t>Consultation de résultats à 7 jours</w:t>
      </w:r>
    </w:p>
    <w:p>
      <w:r/>
      <w:r>
        <w:rPr>
          <w:b/>
        </w:rPr>
        <w:t>Pharmacovigilance</w:t>
      </w:r>
      <w:r>
        <w:t xml:space="preserve"> :</w:t>
      </w:r>
    </w:p>
    <w:p>
      <w:pPr>
        <w:pStyle w:val="ListBullet"/>
      </w:pPr>
      <w:r>
        <w:t>Signalement au CNPV de toute réaction indésirable inattendue</w:t>
      </w:r>
    </w:p>
    <w:p>
      <w:pPr>
        <w:pStyle w:val="ListBullet"/>
      </w:pPr>
      <w:r>
        <w:t>Signalement des stocks résiduels de produits retirés (MAGNEVIST, OMNISCAN, HEXABRIX, OPTIRAY)</w:t>
      </w:r>
    </w:p>
    <w:p>
      <w:pPr>
        <w:pStyle w:val="ListBullet"/>
      </w:pPr>
      <w:r>
        <w:t>Documentation dans le dossier patient des réactions antérieures et des prémédiations</w:t>
      </w:r>
    </w:p>
    <w:p>
      <w:pPr>
        <w:pStyle w:val="ListBullet"/>
      </w:pPr>
      <w:r>
        <w:t>Délivrance d'une carte d'allergie en cas de réaction</w:t>
      </w:r>
    </w:p>
    <w:p>
      <w:pPr>
        <w:pStyle w:val="Heading3"/>
      </w:pPr>
      <w:r>
        <w:t>217.6.3 Formation continue et mise à jour des connaissances</w:t>
      </w:r>
    </w:p>
    <w:p>
      <w:r>
        <w:t>Le pharmacien d'officina doit maintenir une veille scientifique et réglementaire sur les produits de contraste radiologique, en se référant :</w:t>
      </w:r>
    </w:p>
    <w:p>
      <w:pPr>
        <w:pStyle w:val="ListBullet"/>
      </w:pPr>
      <w:r/>
      <w:r>
        <w:rPr>
          <w:b/>
        </w:rPr>
        <w:t>Sites officiels algériens</w:t>
      </w:r>
      <w:r>
        <w:t xml:space="preserve"> : Ministère de la Santé (www.sante.gov.dz), Direction de la Pharmacie et des Dispositifs Médicaux (DPDM), Centre National de Pharmacovigilance (CNPV), nomenclature algérienne (mise à jour trimestrielle).</w:t>
      </w:r>
    </w:p>
    <w:p>
      <w:pPr>
        <w:pStyle w:val="ListBullet"/>
      </w:pPr>
      <w:r/>
      <w:r>
        <w:rPr>
          <w:b/>
        </w:rPr>
        <w:t>Recommandations internationales</w:t>
      </w:r>
      <w:r>
        <w:t xml:space="preserve"> : ESUR Guidelines (www.esur.org), ACR Manual on Contrast Media (www.acr.org), EMA (www.ema.europa.eu), FDA (www.fda.gov), CRAT (www.lecrat.fr).</w:t>
      </w:r>
    </w:p>
    <w:p>
      <w:pPr>
        <w:pStyle w:val="ListBullet"/>
      </w:pPr>
      <w:r/>
      <w:r>
        <w:rPr>
          <w:b/>
        </w:rPr>
        <w:t>Référentiels français</w:t>
      </w:r>
      <w:r>
        <w:t xml:space="preserve"> : VIDAL (www.vidal.fr), ANSM (www.ansm.sante.fr), Thériaque (www.theriaque.org).</w:t>
      </w:r>
    </w:p>
    <w:p>
      <w:pPr>
        <w:pStyle w:val="ListBullet"/>
      </w:pPr>
      <w:r/>
      <w:r>
        <w:rPr>
          <w:b/>
        </w:rPr>
        <w:t>Formation médicale continue</w:t>
      </w:r>
      <w:r>
        <w:t xml:space="preserve"> : formations en ligne, congrès, séminaires de pharmacologie clinique et de radiologie.</w:t>
      </w:r>
    </w:p>
    <w:p>
      <w:pPr>
        <w:pStyle w:val="Heading3"/>
      </w:pPr>
      <w:r>
        <w:t>217.6.4 Synthèse finale du Fascicule XXI</w:t>
      </w:r>
    </w:p>
    <w:p>
      <w:r>
        <w:t>Le présent fascicule a couvert l'ensemble des 14 DCI de produits de contraste radiologique disponibles dans la nomenclature algérienne Avril 2026, en intégrant les recommandations internationales les plus récentes et les particularités de la pratique radiologique algérienne. La structuration en 5 sous-classes pharmacologiques, l'exhaustivité des fiches DCI (12 sous-sections obligatoires), les tableaux comparatifs de sous-classe, les annexes cliniques (protocoles d'hydratation, algorithme metformine, protocole anaphylaxie, prévention NSF et thyrotoxicose, posologie pédiatrique, pharmacoeconomics CNAS), et les cas cliniques (5 scénarios au comptoir) fournissent un outil pédagogique complet pour les étudiants en pharmacie et les praticiens algériens.</w:t>
      </w:r>
    </w:p>
    <w:p>
      <w:r>
        <w:t>L'objectif principal est de garantir la sécurité des patients algériens recevant des produits de contraste radiologique, en assurant : (1) l'éviction totale des chélates de gadolinium linéaires RETIRÉS (MAGNEVIST, OMNISCAN) ; (2) l'utilisation préférentielle des chélates macrocycliques (DOTAREM, CLARISCAN, GADOVIST) pour l'IRM injectée ; (3) l'utilisation préférentielle de l'iodixanol (VISIPAQUE) pour les patients à haut risque rénal et les angiographies complexes ; (4) le respect strict de l'algorithme metformine selon l'eGFR et le type d'injection ; (5) la prévention de la thyrotoxicose jod-basedow par le dépistage de la fonction thyroïdienne ; (6) la prévention et la gestion de l'anaphylaxie par le kit d'urgence et la prémédication adaptée ; (7) l'éducation thérapeutique des patients pour une reconnaissance précoce des signes d'alerte.</w:t>
      </w:r>
    </w:p>
    <w:p>
      <w:r/>
      <w:r>
        <w:rPr>
          <w:b/>
        </w:rPr>
        <w:t>Fin du Fascicule XXI — Radiologie &amp; Produits de Contraste en Algérie</w:t>
      </w:r>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606060"/>
        <w:sz w:val="18"/>
      </w:rPr>
      <w:t xml:space="preserve">Page </w:t>
    </w:r>
    <w:r>
      <w:rPr>
        <w:rFonts w:ascii="Times New Roman" w:hAnsi="Times New Roman"/>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Times New Roman" w:hAnsi="Times New Roman"/>
        <w:i/>
        <w:color w:val="606060"/>
        <w:sz w:val="18"/>
      </w:rPr>
      <w:t>Livre Technique de Pharmacologie Clinique — Radiologie &amp; Produits de Contraste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2E74B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