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6B2E"/>
          <w:sz w:val="56"/>
        </w:rPr>
        <w:t>VITAMINES</w:t>
      </w:r>
    </w:p>
    <w:p>
      <w:pPr>
        <w:jc w:val="center"/>
      </w:pPr>
      <w:r>
        <w:rPr>
          <w:rFonts w:ascii="Calibri" w:hAnsi="Calibri"/>
          <w:b/>
          <w:i w:val="0"/>
          <w:color w:val="808080"/>
          <w:sz w:val="40"/>
        </w:rPr>
        <w:t>&amp;</w:t>
      </w:r>
    </w:p>
    <w:p>
      <w:pPr>
        <w:spacing w:after="120"/>
        <w:jc w:val="center"/>
      </w:pPr>
      <w:r>
        <w:rPr>
          <w:rFonts w:ascii="Calibri" w:hAnsi="Calibri"/>
          <w:b/>
          <w:i w:val="0"/>
          <w:color w:val="B76E00"/>
          <w:sz w:val="52"/>
        </w:rPr>
        <w:t>MINÉRAUX</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XVII</w:t>
      </w:r>
    </w:p>
    <w:p>
      <w:pPr>
        <w:jc w:val="center"/>
      </w:pPr>
      <w:r>
        <w:rPr>
          <w:rFonts w:ascii="Calibri" w:hAnsi="Calibri"/>
          <w:b w:val="0"/>
          <w:i/>
          <w:color w:val="606060"/>
          <w:sz w:val="28"/>
        </w:rPr>
        <w:t>Vitamines et Minéraux</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24 DCI traitées  •  300+ spécialités commerciales  •  4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Endocrine Society • OMS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XVII : Vitamines et Minéraux</w:t>
      </w:r>
    </w:p>
    <w:p>
      <w:pPr>
        <w:pStyle w:val="Heading2"/>
      </w:pPr>
      <w:r>
        <w:t>Avant-propos et méthodologie du Fascicule XVII</w:t>
      </w:r>
    </w:p>
    <w:p>
      <w:pPr>
        <w:pStyle w:val="Heading3"/>
      </w:pPr>
      <w:r>
        <w:t>1. Objet du fascicule</w:t>
      </w:r>
    </w:p>
    <w:p>
      <w:r>
        <w:t>Le présent fascicule constitue le dix-septième volet du traité technique de pharmacologie clinique destiné aux étudiants en pharmacie d'officine et aux praticiens exerçant sur le territoire algérien. Il poursuit la démarche engagée dans les Fascicules I-XVI en traitant de manière exhaustive les vitamines et minéraux enregistrés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ListBullet"/>
      </w:pPr>
      <w:r/>
      <w:r>
        <w:rPr>
          <w:b/>
        </w:rPr>
        <w:t>Carence en vitamine D</w:t>
      </w:r>
      <w:r>
        <w:t xml:space="preserve"> : pandémique en Algérie (&gt;80 % de la population, particulièrement femmes voilées et sujets âgés)</w:t>
      </w:r>
    </w:p>
    <w:p>
      <w:pPr>
        <w:pStyle w:val="ListBullet"/>
      </w:pPr>
      <w:r/>
      <w:r>
        <w:rPr>
          <w:b/>
        </w:rPr>
        <w:t>Anémie ferriprive</w:t>
      </w:r>
      <w:r>
        <w:t xml:space="preserve"> : 30-40 % des femmes en âge de procréer, 15-20 % des enfants</w:t>
      </w:r>
    </w:p>
    <w:p>
      <w:pPr>
        <w:pStyle w:val="ListBullet"/>
      </w:pPr>
      <w:r/>
      <w:r>
        <w:rPr>
          <w:b/>
        </w:rPr>
        <w:t>Carence en acide folique</w:t>
      </w:r>
      <w:r>
        <w:t xml:space="preserve"> : prévention des défauts du tube neural (400 µg/j préconceptionnel)</w:t>
      </w:r>
    </w:p>
    <w:p>
      <w:pPr>
        <w:pStyle w:val="ListBullet"/>
      </w:pPr>
      <w:r/>
      <w:r>
        <w:rPr>
          <w:b/>
        </w:rPr>
        <w:t>Carence en iode</w:t>
      </w:r>
      <w:r>
        <w:t xml:space="preserve"> : problèmes thyroïdiens dans certaines régions</w:t>
      </w:r>
    </w:p>
    <w:p>
      <w:pPr>
        <w:pStyle w:val="ListBullet"/>
      </w:pPr>
      <w:r/>
      <w:r>
        <w:rPr>
          <w:b/>
        </w:rPr>
        <w:t>Supplémentation vitamino-minérale</w:t>
      </w:r>
      <w:r>
        <w:t xml:space="preserve"> : usage très répandu en automédication</w:t>
      </w:r>
    </w:p>
    <w:p>
      <w:pPr>
        <w:pStyle w:val="Heading3"/>
      </w:pPr>
      <w:r>
        <w:t>3. Périmètre de ce fascicule</w:t>
      </w:r>
    </w:p>
    <w:p>
      <w:r>
        <w:t xml:space="preserve">Ce fascicule couvre </w:t>
      </w:r>
      <w:r>
        <w:rPr>
          <w:b/>
        </w:rPr>
        <w:t>24 DCI</w:t>
      </w:r>
      <w:r>
        <w:t xml:space="preserve"> réparties sur </w:t>
      </w:r>
      <w:r>
        <w:rPr>
          <w:b/>
        </w:rPr>
        <w:t>26 sous-classes</w:t>
      </w:r>
      <w:r>
        <w:t xml:space="preserve"> pharmacologiques :</w:t>
      </w:r>
    </w:p>
    <w:p>
      <w:pPr>
        <w:pStyle w:val="ListNumber"/>
      </w:pPr>
      <w:r>
        <w:t>Vitamines liposolubles (7 DCI)</w:t>
      </w:r>
    </w:p>
    <w:p>
      <w:pPr>
        <w:pStyle w:val="ListNumber"/>
      </w:pPr>
      <w:r>
        <w:t>Vitamines hydrosolubles (9 DCI)</w:t>
      </w:r>
    </w:p>
    <w:p>
      <w:pPr>
        <w:pStyle w:val="ListNumber"/>
      </w:pPr>
      <w:r>
        <w:t>Minéraux (6 DCI)</w:t>
      </w:r>
    </w:p>
    <w:p>
      <w:pPr>
        <w:pStyle w:val="ListNumber"/>
      </w:pPr>
      <w:r>
        <w:t>Oligoéléments et carnitine (2 DCI)</w:t>
      </w:r>
    </w:p>
    <w:p>
      <w:pPr>
        <w:pStyle w:val="Heading2"/>
      </w:pPr>
      <w:r>
        <w:t>Sommaire général du Fascicule XVII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161</w:t>
            </w:r>
          </w:p>
        </w:tc>
        <w:tc>
          <w:tcPr>
            <w:tcW w:type="dxa" w:w="3118"/>
          </w:tcPr>
          <w:p>
            <w:r>
              <w:rPr>
                <w:sz w:val="20"/>
              </w:rPr>
              <w:t>Vitamines liposolubles (A, D, E, K)</w:t>
            </w:r>
          </w:p>
        </w:tc>
        <w:tc>
          <w:tcPr>
            <w:tcW w:type="dxa" w:w="3118"/>
          </w:tcPr>
          <w:p>
            <w:r>
              <w:rPr>
                <w:sz w:val="20"/>
              </w:rPr>
              <w:t>7</w:t>
            </w:r>
          </w:p>
        </w:tc>
      </w:tr>
      <w:tr>
        <w:tc>
          <w:tcPr>
            <w:tcW w:type="dxa" w:w="3118"/>
          </w:tcPr>
          <w:p>
            <w:r>
              <w:rPr>
                <w:sz w:val="20"/>
              </w:rPr>
              <w:t>162</w:t>
            </w:r>
          </w:p>
        </w:tc>
        <w:tc>
          <w:tcPr>
            <w:tcW w:type="dxa" w:w="3118"/>
          </w:tcPr>
          <w:p>
            <w:r>
              <w:rPr>
                <w:sz w:val="20"/>
              </w:rPr>
              <w:t>Vitamines hydrosolubles (B1-B12, C)</w:t>
            </w:r>
          </w:p>
        </w:tc>
        <w:tc>
          <w:tcPr>
            <w:tcW w:type="dxa" w:w="3118"/>
          </w:tcPr>
          <w:p>
            <w:r>
              <w:rPr>
                <w:sz w:val="20"/>
              </w:rPr>
              <w:t>9</w:t>
            </w:r>
          </w:p>
        </w:tc>
      </w:tr>
      <w:tr>
        <w:tc>
          <w:tcPr>
            <w:tcW w:type="dxa" w:w="3118"/>
          </w:tcPr>
          <w:p>
            <w:r>
              <w:rPr>
                <w:sz w:val="20"/>
              </w:rPr>
              <w:t>163</w:t>
            </w:r>
          </w:p>
        </w:tc>
        <w:tc>
          <w:tcPr>
            <w:tcW w:type="dxa" w:w="3118"/>
          </w:tcPr>
          <w:p>
            <w:r>
              <w:rPr>
                <w:sz w:val="20"/>
              </w:rPr>
              <w:t>Minéraux (Calcium, Magnésium, Fer, Potassium, Fluor, Iode)</w:t>
            </w:r>
          </w:p>
        </w:tc>
        <w:tc>
          <w:tcPr>
            <w:tcW w:type="dxa" w:w="3118"/>
          </w:tcPr>
          <w:p>
            <w:r>
              <w:rPr>
                <w:sz w:val="20"/>
              </w:rPr>
              <w:t>6</w:t>
            </w:r>
          </w:p>
        </w:tc>
      </w:tr>
      <w:tr>
        <w:tc>
          <w:tcPr>
            <w:tcW w:type="dxa" w:w="3118"/>
          </w:tcPr>
          <w:p>
            <w:r>
              <w:rPr>
                <w:sz w:val="20"/>
              </w:rPr>
              <w:t>164</w:t>
            </w:r>
          </w:p>
        </w:tc>
        <w:tc>
          <w:tcPr>
            <w:tcW w:type="dxa" w:w="3118"/>
          </w:tcPr>
          <w:p>
            <w:r>
              <w:rPr>
                <w:sz w:val="20"/>
              </w:rPr>
              <w:t>Oligoéléments et carnitine</w:t>
            </w:r>
          </w:p>
        </w:tc>
        <w:tc>
          <w:tcPr>
            <w:tcW w:type="dxa" w:w="3118"/>
          </w:tcPr>
          <w:p>
            <w:r>
              <w:rPr>
                <w:sz w:val="20"/>
              </w:rPr>
              <w:t>2</w:t>
            </w:r>
          </w:p>
        </w:tc>
      </w:tr>
      <w:tr>
        <w:tc>
          <w:tcPr>
            <w:tcW w:type="dxa" w:w="3118"/>
          </w:tcPr>
          <w:p>
            <w:r>
              <w:rPr>
                <w:sz w:val="20"/>
              </w:rPr>
              <w:t>**Total**</w:t>
            </w:r>
          </w:p>
        </w:tc>
        <w:tc>
          <w:tcPr>
            <w:tcW w:type="dxa" w:w="3118"/>
          </w:tcPr>
          <w:p>
            <w:r>
              <w:rPr>
                <w:sz w:val="20"/>
              </w:rPr>
            </w:r>
          </w:p>
        </w:tc>
        <w:tc>
          <w:tcPr>
            <w:tcW w:type="dxa" w:w="3118"/>
          </w:tcPr>
          <w:p>
            <w:r>
              <w:rPr>
                <w:sz w:val="20"/>
              </w:rPr>
              <w:t>**24**</w:t>
            </w:r>
          </w:p>
        </w:tc>
      </w:tr>
    </w:tbl>
    <w:p/>
    <w:p>
      <w:pPr>
        <w:pStyle w:val="Heading1"/>
      </w:pPr>
      <w:r>
        <w:t>Fascicule XVII — Vitamines et Minéraux</w:t>
      </w:r>
    </w:p>
    <w:p>
      <w:pPr>
        <w:pStyle w:val="Heading2"/>
      </w:pPr>
      <w:r>
        <w:t>Chapitre 161 — Vitamines liposolubles : A, D (D2, D3, métabolites), E, K</w:t>
      </w:r>
    </w:p>
    <w:p>
      <w:pPr>
        <w:pStyle w:val="Heading2"/>
      </w:pPr>
      <w:r>
        <w:t>Sommaire du chapitre</w:t>
      </w:r>
    </w:p>
    <w:p>
      <w:pPr>
        <w:pStyle w:val="ListBullet"/>
      </w:pPr>
      <w:r>
        <w:t>161.1. Introduction générale — Vitamines liposolubles dans la pratique clinique algérienne</w:t>
      </w:r>
    </w:p>
    <w:p>
      <w:pPr>
        <w:pStyle w:val="ListBullet"/>
      </w:pPr>
      <w:r>
        <w:t>161.2. Sous-classe : Vitamine A (Rétinol)</w:t>
      </w:r>
    </w:p>
    <w:p>
      <w:pPr>
        <w:pStyle w:val="ListBullet"/>
      </w:pPr>
      <w:r>
        <w:t>161.3. Sous-classe : Vitamine D (Ergocalciférol = Vitamine D2)</w:t>
      </w:r>
    </w:p>
    <w:p>
      <w:pPr>
        <w:pStyle w:val="ListBullet"/>
      </w:pPr>
      <w:r>
        <w:t>161.4. Sous-classe : Vitamine D3 + Calcium (Colecalciferol + Calcium)</w:t>
      </w:r>
    </w:p>
    <w:p>
      <w:pPr>
        <w:pStyle w:val="ListBullet"/>
      </w:pPr>
      <w:r>
        <w:t>161.5. Sous-classe : Vitamine D — métabolites actifs (Alfacalcidol)</w:t>
      </w:r>
    </w:p>
    <w:p>
      <w:pPr>
        <w:pStyle w:val="ListBullet"/>
      </w:pPr>
      <w:r>
        <w:t>161.6. Sous-classe : Vitamine D — métabolite 25-OH (Calcifédiol)</w:t>
      </w:r>
    </w:p>
    <w:p>
      <w:pPr>
        <w:pStyle w:val="ListBullet"/>
      </w:pPr>
      <w:r>
        <w:t>161.7. Sous-classe : Vitamine E (Tocophérol)</w:t>
      </w:r>
    </w:p>
    <w:p>
      <w:pPr>
        <w:pStyle w:val="ListBullet"/>
      </w:pPr>
      <w:r>
        <w:t>161.8. Sous-classe : Vitamine K (Phytoménadione)</w:t>
      </w:r>
    </w:p>
    <w:p>
      <w:pPr>
        <w:pStyle w:val="ListBullet"/>
      </w:pPr>
      <w:r>
        <w:t>161.9. Fiches DCI détaillées (7)</w:t>
      </w:r>
    </w:p>
    <w:p>
      <w:pPr>
        <w:pStyle w:val="ListBullet"/>
      </w:pPr>
      <w:r>
        <w:t>161.9.1. Rétinol (Vitamine A)</w:t>
      </w:r>
    </w:p>
    <w:p>
      <w:pPr>
        <w:pStyle w:val="ListBullet"/>
      </w:pPr>
      <w:r>
        <w:t>161.9.2. Ergocalciférol (Vitamine D2)</w:t>
      </w:r>
    </w:p>
    <w:p>
      <w:pPr>
        <w:pStyle w:val="ListBullet"/>
      </w:pPr>
      <w:r>
        <w:t>161.9.3. Colecalciferol + Calcium (Vitamine D3 + Calcium)</w:t>
      </w:r>
    </w:p>
    <w:p>
      <w:pPr>
        <w:pStyle w:val="ListBullet"/>
      </w:pPr>
      <w:r>
        <w:t>161.9.4. Alfacalcidol (1α-hydroxycholécalciférol)</w:t>
      </w:r>
    </w:p>
    <w:p>
      <w:pPr>
        <w:pStyle w:val="ListBullet"/>
      </w:pPr>
      <w:r>
        <w:t>161.9.5. Calcifédiol (25-hydroxy-vitamine D3)</w:t>
      </w:r>
    </w:p>
    <w:p>
      <w:pPr>
        <w:pStyle w:val="ListBullet"/>
      </w:pPr>
      <w:r>
        <w:t>161.9.6. Tocophérol (Vitamine E)</w:t>
      </w:r>
    </w:p>
    <w:p>
      <w:pPr>
        <w:pStyle w:val="ListBullet"/>
      </w:pPr>
      <w:r>
        <w:t>161.9.7. Phytoménadione (Vitamine K1)</w:t>
      </w:r>
    </w:p>
    <w:p>
      <w:pPr>
        <w:pStyle w:val="ListBullet"/>
      </w:pPr>
      <w:r>
        <w:t>161.10. Tableau comparatif des 7 DCI liposolubles disponibles en Algérie</w:t>
      </w:r>
    </w:p>
    <w:p>
      <w:pPr>
        <w:pStyle w:val="ListBullet"/>
      </w:pPr>
      <w:r>
        <w:t>161.11. Synthèse pédagogique pour la pratique officinale et clinique algérienne</w:t>
      </w:r>
    </w:p>
    <w:p>
      <w:pPr>
        <w:pStyle w:val="ListBullet"/>
      </w:pPr>
      <w:r>
        <w:t>161.12. Conclusion du chapitre 161</w:t>
      </w:r>
    </w:p>
    <w:p>
      <w:pPr>
        <w:pStyle w:val="Heading2"/>
      </w:pPr>
      <w:r>
        <w:t>161.1. Introduction générale — Vitamines liposolubles dans la pratique clinique algérienne</w:t>
      </w:r>
    </w:p>
    <w:p>
      <w:pPr>
        <w:pStyle w:val="Heading3"/>
      </w:pPr>
      <w:r>
        <w:t>Place du chapitre 161 dans le Fascicule XVII</w:t>
      </w:r>
    </w:p>
    <w:p>
      <w:r>
        <w:t xml:space="preserve">Le chapitre 161 ouvre le Fascicule XVII consacré à la pharmacologie des vitamines et minéraux. Il traite des quatre vitamines liposolubles — A, D, E et K — ainsi que de leurs précurseurs, métabolites et formes associées (D2, D3, 25-OH-D3, 1α-OH-D3, colécalciférol + calcium). Contrairement aux vitamines hydrosolubles (chapitre 162), qui ne sont pas stockées massivement dans l'organisme et dont l'excès est rapidement éliminé par voie rénale, les vitamines liposolubles partagent la propriété fondamentale d'être </w:t>
      </w:r>
      <w:r>
        <w:rPr>
          <w:b/>
        </w:rPr>
        <w:t>absorbées avec les lipides</w:t>
      </w:r>
      <w:r>
        <w:t xml:space="preserve"> par la voie lymphatique, transportées par les lipoprotéines circulantes (chylomicrons, VLDL, LDL) et </w:t>
      </w:r>
      <w:r>
        <w:rPr>
          <w:b/>
        </w:rPr>
        <w:t>stockées dans le tissu adipeux et le foie</w:t>
      </w:r>
      <w:r>
        <w:t xml:space="preserve">. Cette caractéristique pharmacocinétique commune explique à la fois leur capacité à constituer des réserves prolongées (plusieurs mois pour la vitamine A et la vitamine D) et leur propension à induire des </w:t>
      </w:r>
      <w:r>
        <w:rPr>
          <w:b/>
        </w:rPr>
        <w:t>hypervitaminoses</w:t>
      </w:r>
      <w:r>
        <w:t xml:space="preserve"> en cas d'apport excessif et chronique, particulièrement marquées pour les vitamines A et D.</w:t>
      </w:r>
    </w:p>
    <w:p>
      <w:pPr>
        <w:pStyle w:val="Heading3"/>
      </w:pPr>
      <w:r>
        <w:t>Définition et propriétés communes</w:t>
      </w:r>
    </w:p>
    <w:p>
      <w:r>
        <w:t xml:space="preserve">Les vitamines liposolubles sont des molécules organiques hétérocycliques ou polyéniques de faible poids moléculaire (286 à 450 g/mol), insolubles dans l'eau mais solubles dans les solvants apolaires (éther, chloroforme, huiles). Leur absorption intestinale requiert la présence concomitante de lipides alimentaires, de sels biliaires émulsifiants et de la cascade enzymatique pancréatique (lipase pancréatique, esterase). Toute pathologie intervenant sur cette chaîne — insuffisance pancréatique exocrine (mucoviscidose, pancréatite chronique), cholestase chronique (cirrhose biliaire primitive, cholangite sclérosante), résection iléale étendue (maladie de Crohn), court-circuit intestinal (by-pass gastrique) — expose à une </w:t>
      </w:r>
      <w:r>
        <w:rPr>
          <w:b/>
        </w:rPr>
        <w:t>carence spécifique en vitamines liposolubles</w:t>
      </w:r>
      <w:r>
        <w:t>, souvent révélatrice (hémorragie par hypovitaminose K, ostéomalacie par carence D, neuropathie périphérique par carence E, héméralopie par carence A). Cette particularité justifie la supplémentation systématique en vitamines liposolubles de tout patient présentant une malabsorption lipidique, à des doses souvent supérieures aux apports nutritionnels conseillés (ANC).</w:t>
      </w:r>
    </w:p>
    <w:p>
      <w:pPr>
        <w:pStyle w:val="Heading3"/>
      </w:pPr>
      <w:r>
        <w:t>Mécanismes moléculaires individuels</w:t>
      </w:r>
    </w:p>
    <w:p>
      <w:r>
        <w:t>Chaque vitamine liposoluble exerce des fonctions biologiques distinctes mais tout aussi essentielles :</w:t>
      </w:r>
    </w:p>
    <w:p>
      <w:pPr>
        <w:pStyle w:val="ListNumber"/>
      </w:pPr>
      <w:r/>
      <w:r>
        <w:rPr>
          <w:b/>
        </w:rPr>
        <w:t>Vitamine A (rétinol)</w:t>
      </w:r>
      <w:r>
        <w:t xml:space="preserve"> — précurseur du </w:t>
      </w:r>
      <w:r>
        <w:rPr>
          <w:b/>
        </w:rPr>
        <w:t>rétinal</w:t>
      </w:r>
      <w:r>
        <w:t>, cofacteur de la rhodopsine pour la vision crépusculaire ; précurseur de l'</w:t>
      </w:r>
      <w:r>
        <w:rPr>
          <w:b/>
        </w:rPr>
        <w:t>acide rétinoïque</w:t>
      </w:r>
      <w:r>
        <w:t>, ligand des récepteurs nucléaires RAR (Retinoic Acid Receptor) et RXR (Retinoid X Receptor) qui contrôlent la transcription de gènes impliqués dans la différenciation épithéliale, l'embryogenèse, l'immunité et la prolifération cellulaire. Tératogène puissant à doses thérapeutiques.</w:t>
      </w:r>
    </w:p>
    <w:p>
      <w:pPr>
        <w:pStyle w:val="ListNumber"/>
      </w:pPr>
      <w:r/>
      <w:r>
        <w:rPr>
          <w:b/>
        </w:rPr>
        <w:t>Vitamine D (cholécalciférol D3 / ergocalciférol D2)</w:t>
      </w:r>
      <w:r>
        <w:t xml:space="preserve"> — </w:t>
      </w:r>
      <w:r>
        <w:rPr>
          <w:b/>
        </w:rPr>
        <w:t>prodrogue</w:t>
      </w:r>
      <w:r>
        <w:t xml:space="preserve"> subissant une 25-hydroxylation hépatique (CYP2R1, CYP27A1) en </w:t>
      </w:r>
      <w:r>
        <w:rPr>
          <w:b/>
        </w:rPr>
        <w:t>calcifédiol</w:t>
      </w:r>
      <w:r>
        <w:t xml:space="preserve"> (25-OH-D), forme de stockage dosée pour évaluer le statut vitaminique D ; puis une 1α-hydroxylation rénale (CYP27B1) en </w:t>
      </w:r>
      <w:r>
        <w:rPr>
          <w:b/>
        </w:rPr>
        <w:t>calcitriol</w:t>
      </w:r>
      <w:r>
        <w:t xml:space="preserve"> (1,25-(OH)₂-D), hormone stéroïde qui se lie au </w:t>
      </w:r>
      <w:r>
        <w:rPr>
          <w:b/>
        </w:rPr>
        <w:t>VDR</w:t>
      </w:r>
      <w:r>
        <w:t xml:space="preserve"> (Vitamin D Receptor), récepteur nucléaire régulant l'expression de gènes codant la calbindine, la TRPV6, le CYP24A1 (catabolisme) et la PHEX. Effets calcémiants, phosphémiants, parathyroïdiens, immuno-modulateurs et anti-prolifératifs.</w:t>
      </w:r>
    </w:p>
    <w:p>
      <w:pPr>
        <w:pStyle w:val="ListNumber"/>
      </w:pPr>
      <w:r/>
      <w:r>
        <w:rPr>
          <w:b/>
        </w:rPr>
        <w:t>Vitamine E (tocophérol, surtout α-tocophérol)</w:t>
      </w:r>
      <w:r>
        <w:t xml:space="preserve"> — </w:t>
      </w:r>
      <w:r>
        <w:rPr>
          <w:b/>
        </w:rPr>
        <w:t>antioxydant</w:t>
      </w:r>
      <w:r>
        <w:t xml:space="preserve"> lipidique majeur, piégeur des radicaux libres (peroxyl, hydroxyl) au sein des membranes cellulaires, empêchant la peroxydation lipidique des acides gras polyinsaturés (AGPI) des phospholipides membranaires. Régénérée par la vitamine C et le glutathion. Protection des globules rouges (prévention de l'hémolyse), des neurones (prévention des neuropathies dégénératives), des spermatozoïdes.</w:t>
      </w:r>
    </w:p>
    <w:p>
      <w:pPr>
        <w:pStyle w:val="ListNumber"/>
      </w:pPr>
      <w:r/>
      <w:r>
        <w:rPr>
          <w:b/>
        </w:rPr>
        <w:t>Vitamine K (phytoménadione = K1, ménaquinones = K2)</w:t>
      </w:r>
      <w:r>
        <w:t xml:space="preserve"> — cofacteur de la </w:t>
      </w:r>
      <w:r>
        <w:rPr>
          <w:b/>
        </w:rPr>
        <w:t>γ-carboxylase</w:t>
      </w:r>
      <w:r>
        <w:t xml:space="preserve"> microsomale hépatique, enzyme qui γ-carboxyle les résidus glutamate (Glu) en acide γ-carboxyglutamique (Gla) sur les facteurs de coagulation vitamine-K dépendants (II, VII, IX, X) et les protéines régulatrices (C, S, Z) ainsi que l'ostéocalcine osseuse et la matrix-Gla. Sans γ-carboxylation, ces protéines sont incapables de fixer le calcium divalent (Ca²⁺) et sont fonctionnellement inactives.</w:t>
      </w:r>
    </w:p>
    <w:p>
      <w:pPr>
        <w:pStyle w:val="Heading3"/>
      </w:pPr>
      <w:r>
        <w:t>Particularités du marché algérien</w:t>
      </w:r>
    </w:p>
    <w:p>
      <w:r>
        <w:t>La nomenclature algérienne des médicaments (Avril 2026) recense 7 DCI de vitamines liposolubles, réparties en 7 sous-classes distinctes :</w:t>
      </w:r>
    </w:p>
    <w:p>
      <w:pPr>
        <w:pStyle w:val="ListBullet"/>
      </w:pPr>
      <w:r/>
      <w:r>
        <w:rPr>
          <w:b/>
        </w:rPr>
        <w:t>Rétinol (Vitamine A)</w:t>
      </w:r>
      <w:r>
        <w:t xml:space="preserve"> — disponible en collyre (VITAMINE A FAURE EUROPHTA, VITAMINE A GL GENERIC LAB) et dans des complexes multivitaminiques (ASTENIA SARL API). Forme orale isolée historique (A-MULSA, A-VIT SAIDAL) retirée du marché algérien.</w:t>
      </w:r>
    </w:p>
    <w:p>
      <w:pPr>
        <w:pStyle w:val="ListBullet"/>
      </w:pPr>
      <w:r/>
      <w:r>
        <w:rPr>
          <w:b/>
        </w:rPr>
        <w:t>Ergocalciférol (Vitamine D2)</w:t>
      </w:r>
      <w:r>
        <w:t xml:space="preserve"> — disponible en association avec gluconate/lactate de calcium (FRUBIOSE VIT D 1000 UI et 5000 UI, BOEHRINGER INGELHEIM ; FRUBIAL FAIBLE, GROUPE SAIDAL). Forme isolée disparue du marché algérien ; la vitamine D2 est aujourd'hui supplantée par la vitamine D3 dans la pratique clinique courante.</w:t>
      </w:r>
    </w:p>
    <w:p>
      <w:pPr>
        <w:pStyle w:val="ListBullet"/>
      </w:pPr>
      <w:r/>
      <w:r>
        <w:rPr>
          <w:b/>
        </w:rPr>
        <w:t>Colecalciferol + Calcium (Vitamine D3 + Calcium)</w:t>
      </w:r>
      <w:r>
        <w:t xml:space="preserve"> — sous-classe très riche avec 21 spécialités actives (IDEOS, CALCIUM D3 SOPHAL, FIXECAL, OSSE D3, OSSEANS D3, SUPEROS D3, KINADYN-OS, etc.), majoritairement en comprimés à sucer/croquer 500 mg/400 UI et en poudre pour suspension buvable en sachets 400 UI/500 mg, plus 5 spécialités de vitamine D3 isolée à 100 000 ou 200 000 UI/mL en ampoule buvable/injectable (VIT D3 SALEM, VITAMINE D3 B.O.N, VITAMINE D3 RAZES, VIT D3 HUPP PHARMA, D-THREE BIOTHERA).</w:t>
      </w:r>
    </w:p>
    <w:p>
      <w:pPr>
        <w:pStyle w:val="ListBullet"/>
      </w:pPr>
      <w:r/>
      <w:r>
        <w:rPr>
          <w:b/>
        </w:rPr>
        <w:t>Alfacalcidol</w:t>
      </w:r>
      <w:r>
        <w:t xml:space="preserve"> — 4 conditionnements actifs (UN-ALFA CHEPLAPHARM et SUPRA CALCI UPM, en gélules 0,25 µg et 1 µg), réservé à l'insuffisance rénale chronique, l'hypoparathyroïdie, le rachitisme vitamino-résistant.</w:t>
      </w:r>
    </w:p>
    <w:p>
      <w:pPr>
        <w:pStyle w:val="ListBullet"/>
      </w:pPr>
      <w:r/>
      <w:r>
        <w:rPr>
          <w:b/>
        </w:rPr>
        <w:t>Calcifédiol (25-OH-D3)</w:t>
      </w:r>
      <w:r>
        <w:t xml:space="preserve"> — 1 spécialité active (DEDROGYL DESMA PHARMA, solution buvable en gouttes 5 µg/goutte). Usage pédiatrique privilégié en France et en Algérie pour la supplémentation de charge, particulièrement utile en cas d'insuffisance hépatique (bypass 25-hydroxylation).</w:t>
      </w:r>
    </w:p>
    <w:p>
      <w:pPr>
        <w:pStyle w:val="ListBullet"/>
      </w:pPr>
      <w:r/>
      <w:r>
        <w:rPr>
          <w:b/>
        </w:rPr>
        <w:t>Tocophérol (Vitamine E)</w:t>
      </w:r>
      <w:r>
        <w:t xml:space="preserve"> — 2 conditionnements actifs (API E 100 mg et 500 mg SARL API, comprimés à croquer/sucer). Forme isolée historique (EPHYNAL ROCHE, WERAVIT E WEIMER) retirée du marché algérien.</w:t>
      </w:r>
    </w:p>
    <w:p>
      <w:pPr>
        <w:pStyle w:val="ListBullet"/>
      </w:pPr>
      <w:r/>
      <w:r>
        <w:rPr>
          <w:b/>
        </w:rPr>
        <w:t>Phytoménadione (Vitamine K1)</w:t>
      </w:r>
      <w:r>
        <w:t xml:space="preserve"> — 1 spécialité active (RAZIDIONE K1 LES LABORATOIRES FRATER RAZES, solution buvable et injectable IV/IM 10 mg/mL), indispensable à l'antidote des antivitamines K (AVK), à la prophylaxie de la maladie hémorragique du nouveau-né, et au traitement des hypovitaminoses K de l'insuffisance hépatocellulaire et de la malabsorption.</w:t>
      </w:r>
    </w:p>
    <w:p>
      <w:pPr>
        <w:pStyle w:val="Heading3"/>
      </w:pPr>
      <w:r>
        <w:t>Carence vitaminique en Algérie — Épidémiologie</w:t>
      </w:r>
    </w:p>
    <w:p>
      <w:r>
        <w:t>La carence en vitamines liposolubles n'est pas une problématique théorique en Algérie. Plusieurs enquêtes nutritionnelles régionales et thèses de médecine publiées à Alger, Oran, Constantine et Sétif convergent pour identifier les réalités suivantes :</w:t>
      </w:r>
    </w:p>
    <w:p>
      <w:pPr>
        <w:pStyle w:val="ListBullet"/>
      </w:pPr>
      <w:r/>
      <w:r>
        <w:rPr>
          <w:b/>
        </w:rPr>
        <w:t>Carence en vitamine D</w:t>
      </w:r>
      <w:r>
        <w:t xml:space="preserve"> — pandémique en Algérie, touchant 70 à 90 % des femmes urbaines voilées, 60 à 80 % des femmes ménopausées, 50 à 70 % des adultes en général, et 40 à 60 % des enfants d'âge scolaire. Causes : ensoleillement paradoxalement insuffisant en raison de l'évitement solaire (photoprotection culturelle, vie urbaine intérieure, habillement), peau mélanodermique nécessitant une exposition UVB 3 à 5 fois plus prolongée que la peau caucasienne pour synthétiser une quantité équivalente de vitamine D3, pollutions atmosphériques réduisant la pénétration UVB, alimentation pauvre en poissons gras. Conséquences : rachitisme carentiel chez l'enfant (encore observé en pratique pédiatrique algérienne), ostéomalacie chez la femme jeune, ostéoporose fracturaire du sujet âgé, hypocalcémie néonatale, probable majoration des maladies auto-immunes (diabète type 1, sclérose en plaques) et des infections respiratoires hivernales.</w:t>
      </w:r>
    </w:p>
    <w:p>
      <w:pPr>
        <w:pStyle w:val="ListBullet"/>
      </w:pPr>
      <w:r/>
      <w:r>
        <w:rPr>
          <w:b/>
        </w:rPr>
        <w:t>Carence en vitamine A</w:t>
      </w:r>
      <w:r>
        <w:t xml:space="preserve"> — rare en Algérie chez l'adulte non carencé global, mais observée chez l'enfant présentant une malnutrition protéino-énergétique, une malabsorption lipidique (mucoviscidose, cholestase), ou un régime végétarien strict excluant les produits animaux. Se manifeste par héméralopie, xérosis cutané, xérophtalmie, ulcérations cornéennes.</w:t>
      </w:r>
    </w:p>
    <w:p>
      <w:pPr>
        <w:pStyle w:val="ListBullet"/>
      </w:pPr>
      <w:r/>
      <w:r>
        <w:rPr>
          <w:b/>
        </w:rPr>
        <w:t>Carence en vitamine E</w:t>
      </w:r>
      <w:r>
        <w:t xml:space="preserve"> — rare en population générale, observée chez l'insuffisant hépatique cholestatique chronique, le prématuré, le patient atteint de mucoviscidose, d'abétalipoprotéinémie, ou de neuropathie dégénérative. Se manifeste par une neuropathie axonale sensitivo-motrice, une rétinopathie, une anémie hémolytique du prématuré.</w:t>
      </w:r>
    </w:p>
    <w:p>
      <w:pPr>
        <w:pStyle w:val="ListBullet"/>
      </w:pPr>
      <w:r/>
      <w:r>
        <w:rPr>
          <w:b/>
        </w:rPr>
        <w:t>Carence en vitamine K</w:t>
      </w:r>
      <w:r>
        <w:t xml:space="preserve"> — observée chez le nouveau-né (carence d'apport + flore intestinale non colonisée + cycle entéro-hépatique immature), le patient cholestatique (malabsorption des graisses), le patient sous antibiotiques à large spectre prolongés (destruction de la flore productrice de K2), le patient sous AVK (antagonisme pharmacologique).</w:t>
      </w:r>
    </w:p>
    <w:p>
      <w:pPr>
        <w:pStyle w:val="Heading3"/>
      </w:pPr>
      <w:r>
        <w:t>Sources et références mobilisées</w:t>
      </w:r>
    </w:p>
    <w:p>
      <w:r>
        <w:t>Ce chapitre mobilise les sources suivantes : VIDAL 2025, Résumés des Caractéristiques du Produit (RCP) ANSM et EMA, base Thériaque (CNHIM), CRAT (Centre de Renseignements sur les Agents Tératogènes — Hôpital Armand-Trousseau, Paris), recommandations de l'Endocrine Society (Clinical Practice Guidelines on Vitamin D, 2011, révisées 2024), recommandations OMS pour la supplémentation en vitamine A chez l'enfant, lignes directrices KDIGO sur l'ostéodystrophie rénale, recommandations de la Société Française de Rhumatologie et de la Société Française de Néphrologie, revues UpToDate sur la carence en vitamines liposolubles, et la nomenclature algérienne des médicaments (Avril 2026).</w:t>
      </w:r>
    </w:p>
    <w:p>
      <w:pPr>
        <w:pStyle w:val="Heading2"/>
      </w:pPr>
      <w:r>
        <w:t>161.2. Sous-classe : Vitamine A (Rétinol)</w:t>
      </w:r>
    </w:p>
    <w:p>
      <w:r>
        <w:t xml:space="preserve">La vitamine A désigne un groupe de composés incluant le </w:t>
      </w:r>
      <w:r>
        <w:rPr>
          <w:b/>
        </w:rPr>
        <w:t>rétinol</w:t>
      </w:r>
      <w:r>
        <w:t xml:space="preserve"> (alcool), le </w:t>
      </w:r>
      <w:r>
        <w:rPr>
          <w:b/>
        </w:rPr>
        <w:t>rétinal</w:t>
      </w:r>
      <w:r>
        <w:t xml:space="preserve"> (aldéhyde), l'</w:t>
      </w:r>
      <w:r>
        <w:rPr>
          <w:b/>
        </w:rPr>
        <w:t>acide rétinoïque</w:t>
      </w:r>
      <w:r>
        <w:t xml:space="preserve"> (acide), et les </w:t>
      </w:r>
      <w:r>
        <w:rPr>
          <w:b/>
        </w:rPr>
        <w:t>esters de rétinyle</w:t>
      </w:r>
      <w:r>
        <w:t xml:space="preserve"> (palmitate, acétate). Le rétinol est la forme circulante de transport, le rétinal est le cofacteur visuel, l'acide rétinoïque est le ligand des récepteurs nucléaires. La vitamine A est apportée sous deux formes : (1) </w:t>
      </w:r>
      <w:r>
        <w:rPr>
          <w:b/>
        </w:rPr>
        <w:t>préformée</w:t>
      </w:r>
      <w:r>
        <w:t xml:space="preserve"> dans les produits animaux (foie, œufs, produits laitiers, beurre) ; (2) </w:t>
      </w:r>
      <w:r>
        <w:rPr>
          <w:b/>
        </w:rPr>
        <w:t>provitamine A</w:t>
      </w:r>
      <w:r>
        <w:t xml:space="preserve"> sous forme de caroténoïdes (β-carotène, α-carotène, β-cryptoxanthine) dans les végétaux colorés (carotte, potiron, épinards, mangue, papaye). Le β-carotène est clivé intestinalement par la β-carotène 15,15'-dioxygénase (BCO1) en deux molécules de rétinol. Les besoins quotidiens sont estimés à 700-900 µg d'équivalent rétinol (ER) chez l'adulte, 600-700 µg/j pendant la grossesse, 850-950 µg/j pendant l'allaitement, 400-600 µg/j chez l'enfant.</w:t>
      </w:r>
    </w:p>
    <w:p>
      <w:r>
        <w:t xml:space="preserve">Le statut vitaminique A est évalué par le dosage sérique du rétinol (valeur normale : 1,05-3,50 µmol/L ou 30-100 µg/dL) ; une valeur &lt; 0,70 µmol/L (20 µg/dL) définit la carence, &lt; 0,35 µmol/L (10 µg/dL) la carence sévère. Le foie stocke 50-80 % du pool corporel de vitamine A sous forme d'esters de rétinyl-palmitate dans les cellules étoilées de Ito (hépatocytes stellaires). La carence clinique se manifeste par </w:t>
      </w:r>
      <w:r>
        <w:rPr>
          <w:b/>
        </w:rPr>
        <w:t>héméralopie</w:t>
      </w:r>
      <w:r>
        <w:t xml:space="preserve"> (cécité crépusculaire, signe le plus précoce), </w:t>
      </w:r>
      <w:r>
        <w:rPr>
          <w:b/>
        </w:rPr>
        <w:t>xérophtalmie</w:t>
      </w:r>
      <w:r>
        <w:t xml:space="preserve"> (sécheresse conjonctivale), </w:t>
      </w:r>
      <w:r>
        <w:rPr>
          <w:b/>
        </w:rPr>
        <w:t>taches de Bitot</w:t>
      </w:r>
      <w:r>
        <w:t xml:space="preserve"> (dépôts blanchâtres conjonctivaux), </w:t>
      </w:r>
      <w:r>
        <w:rPr>
          <w:b/>
        </w:rPr>
        <w:t>kératomalacie</w:t>
      </w:r>
      <w:r>
        <w:t xml:space="preserve"> (ramollissement cornéen pouvant évoluer vers la cécité irréversible), </w:t>
      </w:r>
      <w:r>
        <w:rPr>
          <w:b/>
        </w:rPr>
        <w:t>xérosis cutané</w:t>
      </w:r>
      <w:r>
        <w:t xml:space="preserve"> (folliculose, hyperkératose), et </w:t>
      </w:r>
      <w:r>
        <w:rPr>
          <w:b/>
        </w:rPr>
        <w:t>altérations immunitaires</w:t>
      </w:r>
      <w:r>
        <w:t xml:space="preserve"> (effondrement de l'immunité muqueuse, infections respiratoires et digestives récidivantes, rougeole grave). L'OMS considère la carence en vitamine A comme un problème de santé publique dans plus de la moitié des pays du monde, principalement les pays en développement.</w:t>
      </w:r>
    </w:p>
    <w:p>
      <w:r>
        <w:t>Inversement, l'</w:t>
      </w:r>
      <w:r>
        <w:rPr>
          <w:b/>
        </w:rPr>
        <w:t>hypervitaminose A</w:t>
      </w:r>
      <w:r>
        <w:t xml:space="preserve"> est observée en cas d'apport aigu massif (&gt; 300 000 UI en une prise chez l'adulte, &gt; 100 000 UI chez l'enfant) ou chronique (&gt; 25 000 UI/j pendant plusieurs mois). L'intoxication aiguë se manifeste par des céphalées intracrâniennes (hypertension intracrânienne bénigne), nausées, vomissements, irritabilité, somnolence, desquamation cutanée retardée à J7. L'intoxication chronique provient d'un effet cumulatif et se manifeste par hépatomégalie, hypertension intracrânienne, alopécie, sécheresse cutanée, fissures labiales, arthralgies, hyperostose périostée et hépatotoxicité (fibrose hépatique, cirrhose). La vitamine A est surtout </w:t>
      </w:r>
      <w:r>
        <w:rPr>
          <w:b/>
        </w:rPr>
        <w:t>tératogène</w:t>
      </w:r>
      <w:r>
        <w:t xml:space="preserve"> à doses thérapeutiques : les rétinoïdes prescrits dans l'acné (isotrétinoïne, acitrétine) ou la leucémie (ATRA) sont formellement contre-indiqués pendant la grossesse en raison du risque majeur de malformations embryonnaires (syndrome de rétinopathie embryonnaire : crâne, visage, cœur, thymus, système nerveux central). Le rétinol à dose nutritionnelle (&lt; 2 500 UI/j) est en revanche autorisé pendant la grossesse.</w:t>
      </w:r>
    </w:p>
    <w:p>
      <w:r>
        <w:t>Sur le marché algérien, la vitamine A est essentiellement disponible en collyre ophtalmologique (150 000 UI/10 mL — VITAMINE A FAURE EUROPHTA, VITAMINE A GL GENERIC LAB) pour la xérophtalmie et la sécheresse oculaire, et dans les complexes multivitaminiques poly-composants (ASTENIA SARL API). Une forme orale isolée historique (VITAMINE A SAIDAL) a été retirée. Le pharmacien d'officine doit être particulièrement vigilant face à l'automédication par compléments alimentaires importés pouvant contenir de fortes doses de vitamine A, surtout chez la femme enceinte.</w:t>
      </w:r>
    </w:p>
    <w:p>
      <w:pPr>
        <w:pStyle w:val="Heading2"/>
      </w:pPr>
      <w:r>
        <w:t>161.3. Sous-classe : Vitamine D (Ergocalciférol = Vitamine D2)</w:t>
      </w:r>
    </w:p>
    <w:p>
      <w:r>
        <w:t xml:space="preserve">La vitamine D désigne un groupe de composés stéroïdiens dérivés du cyclopentanoperhydrophénanthrène. Deux formes naturelles existent : la </w:t>
      </w:r>
      <w:r>
        <w:rPr>
          <w:b/>
        </w:rPr>
        <w:t>vitamine D3 (cholécalciférol)</w:t>
      </w:r>
      <w:r>
        <w:t xml:space="preserve"> synthétisée dans la peau sous l'effet des UVB (280-315 nm) à partir du 7-déhydrocholestérol ; et la </w:t>
      </w:r>
      <w:r>
        <w:rPr>
          <w:b/>
        </w:rPr>
        <w:t>vitamine D2 (ergocalciférol)</w:t>
      </w:r>
      <w:r>
        <w:t xml:space="preserve">, produite par irradiation UV de l'ergostérol végétal (champignons, levures). La vitamine D est </w:t>
      </w:r>
      <w:r>
        <w:rPr>
          <w:b/>
        </w:rPr>
        <w:t>inactive biologiquement</w:t>
      </w:r>
      <w:r>
        <w:t xml:space="preserve"> : elle doit subir deux hydroxylations successives pour devenir active. La </w:t>
      </w:r>
      <w:r>
        <w:rPr>
          <w:b/>
        </w:rPr>
        <w:t>25-hydroxylation hépatique</w:t>
      </w:r>
      <w:r>
        <w:t xml:space="preserve"> (CYP2R1, CYP27A1) produit le </w:t>
      </w:r>
      <w:r>
        <w:rPr>
          <w:b/>
        </w:rPr>
        <w:t>calcifédiol (25-OH-D)</w:t>
      </w:r>
      <w:r>
        <w:t xml:space="preserve">, forme circulante majoritaire, demi-vie 15-25 jours, dosée pour évaluer le statut vitaminique D. La </w:t>
      </w:r>
      <w:r>
        <w:rPr>
          <w:b/>
        </w:rPr>
        <w:t>1α-hydroxylation rénale</w:t>
      </w:r>
      <w:r>
        <w:t xml:space="preserve"> (CYP27B1, régulée par la PTH, le phosphore, le FGF23) produit le </w:t>
      </w:r>
      <w:r>
        <w:rPr>
          <w:b/>
        </w:rPr>
        <w:t>calcitriol (1,25-(OH)₂-D)</w:t>
      </w:r>
      <w:r>
        <w:t xml:space="preserve">, forme biologiquement active, demi-vie 4-15 heures. Le calcitriol se lie au </w:t>
      </w:r>
      <w:r>
        <w:rPr>
          <w:b/>
        </w:rPr>
        <w:t>VDR</w:t>
      </w:r>
      <w:r>
        <w:t xml:space="preserve"> (récepteur nucléaire cytosolique) et migre dans le noyau où il hétérodimérise avec RXR et se fixe aux éléments de réponse VDRE (Vitamin D Response Elements) des gènes cibles.</w:t>
      </w:r>
    </w:p>
    <w:p>
      <w:r>
        <w:t xml:space="preserve">La vitamine D2 (ergocalciférol) fut historiquement la première forme disponible en thérapeutique, synthétisée par irradiation UV de l'ergostérol de levure à partir des années 1930. Elle a été longtemps considérée comme équivalente à la vitamine D3 en termes d'efficacité biologique. Cependant, plusieurs méta-analyses (Tripkovic 2012, Logan 2013) ont démontré que la vitamine D3 est </w:t>
      </w:r>
      <w:r>
        <w:rPr>
          <w:b/>
        </w:rPr>
        <w:t>supérieure</w:t>
      </w:r>
      <w:r>
        <w:t xml:space="preserve"> à la vitamine D2 pour maintenir et augmenter la 25-OH-D sérique, probablement en raison d'une moindre affinité de la D2 pour la DBP (vitamin D Binding Protein) et d'un catabolisme accru par le CYP24A1. La vitamine D3 est aujourd'hui préférée en supplémentation de routine et en thérapeutique curative. Néanmoins, la vitamine D2 reste disponible et utilisée, notamment en association avec le calcium (FRUBIOSE VIT D 1000 UI, FRUBIOSE VIT D 5000 UI — BOEHRINGER INGELHEIM FRANCE ; FRUBIAL FAIBLE — GROUPE SAIDAL), dans une logique de complément nutritionnel plus que de supplémentation pharmacologique ciblée.</w:t>
      </w:r>
    </w:p>
    <w:p>
      <w:r>
        <w:t xml:space="preserve">Sur le marché algérien, la vitamine D2 est représentée par des </w:t>
      </w:r>
      <w:r>
        <w:rPr>
          <w:b/>
        </w:rPr>
        <w:t>associations à visée nutritionnelle</w:t>
      </w:r>
      <w:r>
        <w:t xml:space="preserve"> combinant l'ergocalciférol à des sels de calcium (gluconate, lactate, phosphate bicalcique) en suspension buvable. La FRUBIOSE VIT D 1000 UI (1 000 UI/5 mL + gluconate Ca 129 mg/5 mL + lactate Ca 36,8 mg/5 mL) et la FRUBIOSE VIT D 5000 UI (5 000 UI/5 mL + gluconate Ca 500 mg/5 mL + lactate Ca 350 mg/5 mL) sont indiquées en supplementation de l'enfant et de la femme enceinte ou allaitante. La FRUBIAL FAIBLE SAIDAL (1 500 UI + 125,5 mg gluconate Ca + 20,45 mg phosphate bicalcique /5 mL) est une forme d'intensité intermédiaire. Le pharmacien doit être conscient que la D2 reste active biologiquement mais qu'elle nécessite souvent des doses 1,5 à 2 fois supérieures à la D3 pour atteindre le même statut vitaminique. La tendance actuelle est au </w:t>
      </w:r>
      <w:r>
        <w:rPr>
          <w:b/>
        </w:rPr>
        <w:t>remplacement progressif de la D2 par la D3</w:t>
      </w:r>
      <w:r>
        <w:t xml:space="preserve"> dans la nomenclature algérienne, témoignant de l'évolution des pratiques scientifiques.</w:t>
      </w:r>
    </w:p>
    <w:p>
      <w:pPr>
        <w:pStyle w:val="Heading2"/>
      </w:pPr>
      <w:r>
        <w:t>161.4. Sous-classe : Vitamine D3 + Calcium (Colecalciferol + Calcium)</w:t>
      </w:r>
    </w:p>
    <w:p>
      <w:r>
        <w:t xml:space="preserve">L'association de </w:t>
      </w:r>
      <w:r>
        <w:rPr>
          <w:b/>
        </w:rPr>
        <w:t>colecalciferol (vitamine D3)</w:t>
      </w:r>
      <w:r>
        <w:t xml:space="preserve"> et de </w:t>
      </w:r>
      <w:r>
        <w:rPr>
          <w:b/>
        </w:rPr>
        <w:t>calcium</w:t>
      </w:r>
      <w:r>
        <w:t xml:space="preserve"> constitue la pierre angulaire du traitement de l'ostéoporose post-ménopausique, cortisonique, sénile et masculine. Cette combinaison répond à la logique physiologique suivante : la vitamine D est indispensable à l'</w:t>
      </w:r>
      <w:r>
        <w:rPr>
          <w:b/>
        </w:rPr>
        <w:t>absorption intestinale du calcium</w:t>
      </w:r>
      <w:r>
        <w:t xml:space="preserve"> (induction de l'expression de la calbindine-D9k et du canal TRPV6 entérocytaire) ; sans vitamine D, l'absorption intestinale du calcium chute de 30-40 % à 10-15 %, ce qui impose une hyperphagie calcique impossible à maintenir. Réciproquement, sans calcium, la vitamine D est incapable d'assurer la minéralisation osseuse, la calcémie étant maintenue au prix d'une résorption osseuse accrue via la PTH. L'association est donc </w:t>
      </w:r>
      <w:r>
        <w:rPr>
          <w:b/>
        </w:rPr>
        <w:t>synergique et obligatoire</w:t>
      </w:r>
      <w:r>
        <w:t xml:space="preserve"> dans toute pathologie où la minéralisation osseuse est compromise (ostéoporose, ostéomalacie, rachitisme, hypoparathyroïdie).</w:t>
      </w:r>
    </w:p>
    <w:p>
      <w:r>
        <w:t xml:space="preserve">La posologie usuelle de l'association D3 + Calcium correspond à </w:t>
      </w:r>
      <w:r>
        <w:rPr>
          <w:b/>
        </w:rPr>
        <w:t>400 UI à 1 000 UI de vitamine D3</w:t>
      </w:r>
      <w:r>
        <w:t xml:space="preserve"> et </w:t>
      </w:r>
      <w:r>
        <w:rPr>
          <w:b/>
        </w:rPr>
        <w:t>500 mg à 1 200 mg de calcium élément</w:t>
      </w:r>
      <w:r>
        <w:t xml:space="preserve"> par jour. Cette posologie est celle des spécialités algériennes actives : IDEOS (INNOTECH INTERNATIONAL), CALCIUM D3 SOPHAL (SOCIETE PHARMACEUTIQUE ALGERIENNE SOPHAL), FIXECAL (SARL API), OSSE D3 (BIOGALENIC), OSSEANS D3 (LABORATOIRE MOBEN), SUPEROS D3 (SARL MEDEC), CALCIUM D3 IVAL (WORLD MEDECINE LIMITED), CALCIUM D3 NOVAGENERICS (NOVAPHARM TRADING), KINADYN-OS comprimé (BIOPHARM), DENSICAL CALCIUM D3 (PROPHARMAL) — toutes dosées à </w:t>
      </w:r>
      <w:r>
        <w:rPr>
          <w:b/>
        </w:rPr>
        <w:t>500 mg de carbonate de calcium + 400 UI de cholécalciférol</w:t>
      </w:r>
      <w:r>
        <w:t xml:space="preserve"> par comprimé à sucer ou croquer. La forme sachet poudre pour suspension buvable (CALCIDOSE VITAMINE D MERINAL, CALVITACARE BIOCARE, KINADYN-OS sachets BIOPHARM, OSSE D3 sachets BIOGALENIC) est dosée à </w:t>
      </w:r>
      <w:r>
        <w:rPr>
          <w:b/>
        </w:rPr>
        <w:t>500 mg de carbonate de calcium exprimé en calcium élément + 400 UI de cholécalciférol</w:t>
      </w:r>
      <w:r>
        <w:t xml:space="preserve"> par sachet.</w:t>
      </w:r>
    </w:p>
    <w:p>
      <w:r>
        <w:t xml:space="preserve">L'association D3 + Calcium est </w:t>
      </w:r>
      <w:r>
        <w:rPr>
          <w:b/>
        </w:rPr>
        <w:t>indispensable</w:t>
      </w:r>
      <w:r>
        <w:t xml:space="preserve"> en complément de tout traitement anti-ostéoporotique spécifique (bisphosphonates, dénosumab, raloxifène, tériparatide), en raison de la nécessité absolue d'apports calciques et vitaminiques D adéquats pour permettre la minéralisation du néo-os formé sous l'effet des anti-ostéoporotiques. La prescription isolée d'un bisphosphonate sans calcium + vitamine D expose à un risque d'</w:t>
      </w:r>
      <w:r>
        <w:rPr>
          <w:b/>
        </w:rPr>
        <w:t>hypocalcémie symptômatique</w:t>
      </w:r>
      <w:r>
        <w:t xml:space="preserve"> et d'</w:t>
      </w:r>
      <w:r>
        <w:rPr>
          <w:b/>
        </w:rPr>
        <w:t>ostéomalacie paradoxale</w:t>
      </w:r>
      <w:r>
        <w:t xml:space="preserve"> sous traitement. Les recommandations algériennes et internationales (Endocrine Society 2024, HAS 2018, Société Algérienne de Rhumatologie) préconisent un apport quotidien de </w:t>
      </w:r>
      <w:r>
        <w:rPr>
          <w:b/>
        </w:rPr>
        <w:t>800 à 1 200 UI de vitamine D3</w:t>
      </w:r>
      <w:r>
        <w:t xml:space="preserve"> et de </w:t>
      </w:r>
      <w:r>
        <w:rPr>
          <w:b/>
        </w:rPr>
        <w:t>1 000 à 1 200 mg de calcium élément</w:t>
      </w:r>
      <w:r>
        <w:t xml:space="preserve"> chez la femme ménopausée ostéoporotique. Les spécialités algériennes D3 + Calcium apportent 400 UI + 500 mg par comprimé ; il est d'usage d'en prescrire deux par jour pour atteindre les apports recommandés, ou de compléter par une ampoule de vitamine D3 mensuelle ou trimestrielle.</w:t>
      </w:r>
    </w:p>
    <w:p>
      <w:r>
        <w:t xml:space="preserve">Cette sous-classe inclut également les spécialités de </w:t>
      </w:r>
      <w:r>
        <w:rPr>
          <w:b/>
        </w:rPr>
        <w:t>vitamine D3 isolée à forte dose</w:t>
      </w:r>
      <w:r>
        <w:t xml:space="preserve"> (ampoules buvables/injectables de 100 000 UI et 200 000 UI/mL) — VIT D3 SALEM, D-THREE BIOTHERA, VIT D3 HUPP PHARMA, VITAMINE D3 B.O.N BOUCHARA-RECORDATI, VITAMINE D3 RAZES — qui constituent la modalité thérapeutique algérienne de référence pour la </w:t>
      </w:r>
      <w:r>
        <w:rPr>
          <w:b/>
        </w:rPr>
        <w:t>supplémentation de charge</w:t>
      </w:r>
      <w:r>
        <w:t xml:space="preserve"> et le </w:t>
      </w:r>
      <w:r>
        <w:rPr>
          <w:b/>
        </w:rPr>
        <w:t>traitement curatif de la carence vitaminique D</w:t>
      </w:r>
      <w:r>
        <w:t>. Cette forme pharmaceutique est unique au marché francophone (France, Algérie, Tunisie, Maroc, Liban) et repose sur le concept de "dose de charge" suivie d'un entretien mensuel ou trimestriel. La pratique algérienne courante est de prescrire une ampoule de 200 000 UI tous les 3 mois (soit ≈ 2 200 UI/jour en moyenne), ou une ampoule de 100 000 UI par mois (≈ 3 300 UI/jour) en cas de carence avérée. Cette modalité est discutée par les recommandations de l'Endocrine Society qui préconisent plutôt un apport quotidien de 1 500-2 000 UI/jour sans dose de charge, mais le schéma algérien reste largement utilisé en raison de sa simplicité, de son observance excellente (1 ampoule tous les 3 mois = 4 prises par an), et de son coût modeste.</w:t>
      </w:r>
    </w:p>
    <w:p>
      <w:pPr>
        <w:pStyle w:val="Heading2"/>
      </w:pPr>
      <w:r>
        <w:t>161.5. Sous-classe : Vitamine D — métabolites actifs (Alfacalcidol)</w:t>
      </w:r>
    </w:p>
    <w:p>
      <w:r>
        <w:t xml:space="preserve">L'alfacalcidol (1α-hydroxycholécalciférol, 1α-(OH)D3) est un </w:t>
      </w:r>
      <w:r>
        <w:rPr>
          <w:b/>
        </w:rPr>
        <w:t>métabolite actif de la vitamine D</w:t>
      </w:r>
      <w:r>
        <w:t xml:space="preserve"> contenant déjà l'hydroxyle en position 1α. Il </w:t>
      </w:r>
      <w:r>
        <w:rPr>
          <w:b/>
        </w:rPr>
        <w:t>contourne l'étape de 1α-hydroxylation rénale</w:t>
      </w:r>
      <w:r>
        <w:t xml:space="preserve"> (CYP27B1) et ne nécessite qu'une 25-hydroxylation hépatique (CYP2R1, CYP27A1) pour devenir actif sous forme de calcitriol. Cette particularité métabolique en fait le traitement de choix dans toutes les situations où la </w:t>
      </w:r>
      <w:r>
        <w:rPr>
          <w:b/>
        </w:rPr>
        <w:t>1α-hydroxylation rénale est déficiente</w:t>
      </w:r>
      <w:r>
        <w:t xml:space="preserve"> : insuffisance rénale chronique (IRC) avec néphropathie terminale (dialysés), hypoparathyroïdie (post-chirurgicale, idiopathique, syndrome de DiGeorge), pseudo-hypoparathyroïdie, rachitisme vitamino-résistant de type I (déficit héréditaire en 1α-hydroxylase rénale), rachitisme hypophosphatémique lié à l'X (maladie de W Gilbert). L'alfacalcidol est aussi utilisé dans l'ostéoporose cortisonique, l'ostéoporose post-ménopausique sévère avec insuffisance rénale associée, et en prévention de l'ostéodystrophie rénale chez le dialysé.</w:t>
      </w:r>
    </w:p>
    <w:p>
      <w:r>
        <w:t xml:space="preserve">L'alfacalcidol est disponible en Algérie sous deux dosages : </w:t>
      </w:r>
      <w:r>
        <w:rPr>
          <w:b/>
        </w:rPr>
        <w:t>0,25 µg</w:t>
      </w:r>
      <w:r>
        <w:t xml:space="preserve"> et </w:t>
      </w:r>
      <w:r>
        <w:rPr>
          <w:b/>
        </w:rPr>
        <w:t>1 µg</w:t>
      </w:r>
      <w:r>
        <w:t xml:space="preserve"> en capsule molle/orale. Les spécialités actives sont UN-ALFA (CHEPLAPHARM ARZNEIMITTEL GMBH) et SUPRA CALCI (UNITED PHARMACEUTICAL MANUFACTURING UPM), toutes deux dans les deux dosages. La prescription est </w:t>
      </w:r>
      <w:r>
        <w:rPr>
          <w:b/>
        </w:rPr>
        <w:t>strictement médicale</w:t>
      </w:r>
      <w:r>
        <w:t xml:space="preserve"> (Liste I) et </w:t>
      </w:r>
      <w:r>
        <w:rPr>
          <w:b/>
        </w:rPr>
        <w:t>réservée au spécialiste</w:t>
      </w:r>
      <w:r>
        <w:t xml:space="preserve"> (néphrologue, rhumatologue, endocrinologue) en raison du risque d'</w:t>
      </w:r>
      <w:r>
        <w:rPr>
          <w:b/>
        </w:rPr>
        <w:t>hypercalcémie iatrogène</w:t>
      </w:r>
      <w:r>
        <w:t xml:space="preserve"> : l'alfacalcidol étant directement converti en calcitriol actif sans régulation physiologique par la PTH, toute augmentation posologique non surveillée peut entraîner une hypercalcémie sévère, une hypercalciurie lithogène, une néphrocalcinose, et à long terme une insuffisance rénale par néphrite interstitielle calcique.</w:t>
      </w:r>
    </w:p>
    <w:p>
      <w:r>
        <w:t xml:space="preserve">La surveillance biologique sous alfacalcidol est </w:t>
      </w:r>
      <w:r>
        <w:rPr>
          <w:b/>
        </w:rPr>
        <w:t>obligatoire et codifiée</w:t>
      </w:r>
      <w:r>
        <w:t xml:space="preserve"> : calcémie, phosphatémie, créatininémie et calciurie des 24 heures </w:t>
      </w:r>
      <w:r>
        <w:rPr>
          <w:b/>
        </w:rPr>
        <w:t>avant traitement</w:t>
      </w:r>
      <w:r>
        <w:t xml:space="preserve"> puis </w:t>
      </w:r>
      <w:r>
        <w:rPr>
          <w:b/>
        </w:rPr>
        <w:t>toutes les 1 à 4 semaines pendant la titration</w:t>
      </w:r>
      <w:r>
        <w:t xml:space="preserve"> (jusqu'à stabilisation), puis </w:t>
      </w:r>
      <w:r>
        <w:rPr>
          <w:b/>
        </w:rPr>
        <w:t>tous les 3 mois en entretien</w:t>
      </w:r>
      <w:r>
        <w:t xml:space="preserve">. La posologie initiale chez l'adulte est de 0,25-0,5 µg/jour, à augmenter par paliers de 0,25 µg tous les 2-4 semaines en fonction de la tolérance et de la réponse biologique. Chez l'enfant (&lt; 20 kg), la posologie initiale est de 0,01-0,05 µg/kg/jour. La posologie d'entretien varie typiquement de 0,25 à 1 µg/jour. Toute hypercalcémie &gt; 2,6 mmol/L impose l'arrêt immédiat de l'alfacalcidol, une hyperhydratation, et la reintroduction à dose réduite après normalisation. Le pharmacien d'officine doit </w:t>
      </w:r>
      <w:r>
        <w:rPr>
          <w:b/>
        </w:rPr>
        <w:t>savoir reconnaître les signes d'alerte d'hypercalcémie</w:t>
      </w:r>
      <w:r>
        <w:t xml:space="preserve"> chez un patient sous alfacalcidol : polyuropolydipsie, constipation, nausées, vomissements, asthénie, troubles de la concentration, confusion — et orienter le patient vers une consultation médicale urgente pour dosage de la calcémie.</w:t>
      </w:r>
    </w:p>
    <w:p>
      <w:r>
        <w:t xml:space="preserve">L'alfacalcidol se distingue du </w:t>
      </w:r>
      <w:r>
        <w:rPr>
          <w:b/>
        </w:rPr>
        <w:t>calcitriol</w:t>
      </w:r>
      <w:r>
        <w:t xml:space="preserve"> (1,25-(OH)₂-D3) qui est la forme active finale et qui ne nécessite aucune transformation métabolique. Le calcitriol n'est pas disponible dans la nomenclature algérienne en avril 2026 (ROCALTROL ROCHE retiré), mais l'alfacalcidol en constitue un excellent substitut, sa demi-vie d'action étant légèrement plus longue (24-48 heures vs 4-15 heures pour le calcitriol), ce qui permet une administration biquotidienne ou quotidienne unique.</w:t>
      </w:r>
    </w:p>
    <w:p>
      <w:pPr>
        <w:pStyle w:val="Heading2"/>
      </w:pPr>
      <w:r>
        <w:t>161.6. Sous-classe : Vitamine D — métabolite 25-OH (Calcifédiol)</w:t>
      </w:r>
    </w:p>
    <w:p>
      <w:r>
        <w:t xml:space="preserve">Le </w:t>
      </w:r>
      <w:r>
        <w:rPr>
          <w:b/>
        </w:rPr>
        <w:t>calcifédiol</w:t>
      </w:r>
      <w:r>
        <w:t xml:space="preserve"> (25-hydroxy-vitamine D3, 25-(OH)-D3, calcifédiol) est le métabolite intermédiaire de la vitamine D, produit par 25-hydroxylation hépatique du cholécalciférol. Il constitue la </w:t>
      </w:r>
      <w:r>
        <w:rPr>
          <w:b/>
        </w:rPr>
        <w:t>forme circulante de stockage</w:t>
      </w:r>
      <w:r>
        <w:t xml:space="preserve"> de la vitamine D, sa demi-vie plasmatique de 15-25 jours en fait le </w:t>
      </w:r>
      <w:r>
        <w:rPr>
          <w:b/>
        </w:rPr>
        <w:t>marqueur biologique de référence</w:t>
      </w:r>
      <w:r>
        <w:t xml:space="preserve"> pour évaluer le statut vitaminique D d'un patient. Le dosage sérique du calcifédiol (25-OH-D) est réalisé en routine par immunochimie ou LC-MS/MS ; les valeurs seuils communément admises sont : </w:t>
      </w:r>
      <w:r>
        <w:rPr>
          <w:b/>
        </w:rPr>
        <w:t>&lt; 20 ng/mL (50 nmol/L) = carence</w:t>
      </w:r>
      <w:r>
        <w:t xml:space="preserve"> ; </w:t>
      </w:r>
      <w:r>
        <w:rPr>
          <w:b/>
        </w:rPr>
        <w:t>20-30 ng/mL (50-75 nmol/L) = insuffisance</w:t>
      </w:r>
      <w:r>
        <w:t xml:space="preserve"> ; </w:t>
      </w:r>
      <w:r>
        <w:rPr>
          <w:b/>
        </w:rPr>
        <w:t>&gt; 30 ng/mL (75 nmol/L) = statut optimal</w:t>
      </w:r>
      <w:r>
        <w:t xml:space="preserve"> ; </w:t>
      </w:r>
      <w:r>
        <w:rPr>
          <w:b/>
        </w:rPr>
        <w:t>&gt; 100 ng/mL (250 nmol/L) = risque de toxicité</w:t>
      </w:r>
      <w:r>
        <w:t xml:space="preserve"> ; </w:t>
      </w:r>
      <w:r>
        <w:rPr>
          <w:b/>
        </w:rPr>
        <w:t>&gt; 150 ng/mL (375 nmol/L) = intoxication certaine</w:t>
      </w:r>
      <w:r>
        <w:t>.</w:t>
      </w:r>
    </w:p>
    <w:p>
      <w:r>
        <w:t xml:space="preserve">Le calcifédiol a longtemps été considéré comme un simple biomarqueur sans intérêt thérapeutique propre. Cependant, depuis les années 2010, son utilisation comme </w:t>
      </w:r>
      <w:r>
        <w:rPr>
          <w:b/>
        </w:rPr>
        <w:t>forme thérapeutique</w:t>
      </w:r>
      <w:r>
        <w:t xml:space="preserve"> a émergé, en particulier en France et en Algérie sous la spécialité </w:t>
      </w:r>
      <w:r>
        <w:rPr>
          <w:b/>
        </w:rPr>
        <w:t>DEDROGYL</w:t>
      </w:r>
      <w:r>
        <w:t xml:space="preserve"> (solution buvable en gouttes, 5 µg/goutte ≈ 200 UI/goutte). Le calcifédiol présente plusieurs avantages pharmacologiques par rapport au cholécalciférol :</w:t>
      </w:r>
    </w:p>
    <w:p>
      <w:pPr>
        <w:pStyle w:val="ListNumber"/>
      </w:pPr>
      <w:r/>
      <w:r>
        <w:rPr>
          <w:b/>
        </w:rPr>
        <w:t>Bypass de la 25-hydroxylation hépatique</w:t>
      </w:r>
      <w:r>
        <w:t xml:space="preserve"> — utile en cas d'insuffisance hépatocellulaire sévère (cirrhose, hépatite fulminante, insuffisance hépatique terminale), où le CYP2R1/CYP27A1 est déficient et la conversion du cholécalciférol en 25-OH-D est altérée.</w:t>
      </w:r>
    </w:p>
    <w:p>
      <w:pPr>
        <w:pStyle w:val="ListNumber"/>
      </w:pPr>
      <w:r/>
      <w:r>
        <w:rPr>
          <w:b/>
        </w:rPr>
        <w:t>Demi-vie plus courte</w:t>
      </w:r>
      <w:r>
        <w:t xml:space="preserve"> que le cholécalciférol (15-25 jours vs plusieurs mois), permettant un ajustement posologique plus rapide et une meilleure maîtrise du risque de surdosage.</w:t>
      </w:r>
    </w:p>
    <w:p>
      <w:pPr>
        <w:pStyle w:val="ListNumber"/>
      </w:pPr>
      <w:r/>
      <w:r>
        <w:rPr>
          <w:b/>
        </w:rPr>
        <w:t>Pic de 25-OH-D plus rapide</w:t>
      </w:r>
      <w:r>
        <w:t xml:space="preserve"> — élévation de la 25-OH-D sérique dès J3-J7 versus J15-J30 pour le cholécalciférol à dose équivalente.</w:t>
      </w:r>
    </w:p>
    <w:p>
      <w:pPr>
        <w:pStyle w:val="ListNumber"/>
      </w:pPr>
      <w:r/>
      <w:r>
        <w:rPr>
          <w:b/>
        </w:rPr>
        <w:t>Efficacité supérieure dose pour dose</w:t>
      </w:r>
      <w:r>
        <w:t xml:space="preserve"> — Bischoff-Ferrari 2020 a démontré qu'une dose de 25 µg (1 000 UI) de calcifédiol élève la 25-OH-D sérique de 1,5 à 2 fois plus qu'une dose équivalente de cholécalciférol.</w:t>
      </w:r>
    </w:p>
    <w:p>
      <w:r>
        <w:t xml:space="preserve">Le calcifédiol est </w:t>
      </w:r>
      <w:r>
        <w:rPr>
          <w:b/>
        </w:rPr>
        <w:t>indiqué</w:t>
      </w:r>
      <w:r>
        <w:t xml:space="preserve"> dans : (1) la carence en vitamine D avérée ou profonde (25-OH-D &lt; 10 ng/mL) ; (2) l'insuffisance hépatocellulaire avec altération de la 25-hydroxylation ; (3) la malabsorption lipidique (mucoviscidose, cholestase, résection iléale, by-pass gastrique) où le cholécalciférol est mal absorbé ; (4) la supplémentation de l'enfant et du nourrisson (forme gouttes adaptée à la pédiatrie) ; (5) le rachitisme et l'ostéomalacie carentielle. Il est contre-indiqué en cas d'hypercalcémie, d'hypercalciurie lithogène, de lithiase calcique récidivante, de sarcoïdose (dysrégulation du métabolisme D), et en cas de tumeurs productrices de PTHrp (syndrome de Wrinkler).</w:t>
      </w:r>
    </w:p>
    <w:p>
      <w:r>
        <w:t xml:space="preserve">Sur le marché algérien, le calcifédiol est disponible uniquement sous la spécialité </w:t>
      </w:r>
      <w:r>
        <w:rPr>
          <w:b/>
        </w:rPr>
        <w:t>DEDROGYL</w:t>
      </w:r>
      <w:r>
        <w:t xml:space="preserve"> (DESMA PHARMA, solution buvable en gouttes, 5 µg/goutte, flacon de 10 mL — Liste II). La posologie pédiatrique usuelle est de 2 à 10 gouttes/jour (10 à 50 µg/j, soit 400 à 2 000 UI/j) selon l'âge et le statut vitaminique ; chez l'adulte carencé, 10 à 20 gouttes/jour (50 à 100 µg/j, soit 2 000 à 4 000 UI/j) pendant 1 à 3 mois, puis posologie d'entretien. Le pharmacien doit expliquer au patient la </w:t>
      </w:r>
      <w:r>
        <w:rPr>
          <w:b/>
        </w:rPr>
        <w:t>correspondance entre µg et UI</w:t>
      </w:r>
      <w:r>
        <w:t xml:space="preserve"> : 1 µg de calcifédiol ≈ 40 UI ; 5 µg/goutte ≈ 200 UI/goutte.</w:t>
      </w:r>
    </w:p>
    <w:p>
      <w:pPr>
        <w:pStyle w:val="Heading2"/>
      </w:pPr>
      <w:r>
        <w:t>161.7. Sous-classe : Vitamine E (Tocophérol)</w:t>
      </w:r>
    </w:p>
    <w:p>
      <w:r>
        <w:t xml:space="preserve">La vitamine E désigne un groupe de huit composés liposolubles : quatre </w:t>
      </w:r>
      <w:r>
        <w:rPr>
          <w:b/>
        </w:rPr>
        <w:t>tocophérols</w:t>
      </w:r>
      <w:r>
        <w:t xml:space="preserve"> (α, β, γ, δ) et quatre </w:t>
      </w:r>
      <w:r>
        <w:rPr>
          <w:b/>
        </w:rPr>
        <w:t>tocotriénols</w:t>
      </w:r>
      <w:r>
        <w:t xml:space="preserve"> (α, β, γ, δ), différant par la présence d'une chaîne phytyle saturée (tocophérols) ou insaturée (tocotriénols) et par la position des groupes méthyl sur le noyau chromanol. L'</w:t>
      </w:r>
      <w:r>
        <w:rPr>
          <w:b/>
        </w:rPr>
        <w:t>α-tocophérol</w:t>
      </w:r>
      <w:r>
        <w:t xml:space="preserve"> est la forme biologiquement la plus active chez l'homme en raison de la spécificité de la </w:t>
      </w:r>
      <w:r>
        <w:rPr>
          <w:b/>
        </w:rPr>
        <w:t>α-TTP</w:t>
      </w:r>
      <w:r>
        <w:t xml:space="preserve"> (alpha-Tocopherol Transfer Protein) hépatique, qui sélectionne et exporte sélectivement l'α-tocophérol vers les lipoprotéines circulantes. Les autres formes (γ, δ, tocotriénols) sont catabolysées par le CYP4F2 en acides carboxyliques et exercés. La vitamine E est apportée par les huiles végétales (tournesol, germe de blé, soja, olive, arachide), les graines oléagineuses (amandes, noisettes, noix), les légumes verts feuillus, et le jaune d'œuf. Les besoins quotidiens sont estimés à 12-15 mg/jour d'α-tocophérol équivalent chez l'adulte, légèrement majorés pendant la grossesse et l'allaitement.</w:t>
      </w:r>
    </w:p>
    <w:p>
      <w:r>
        <w:t xml:space="preserve">Le rôle principal de la vitamine E est </w:t>
      </w:r>
      <w:r>
        <w:rPr>
          <w:b/>
        </w:rPr>
        <w:t>antioxydant lipidique</w:t>
      </w:r>
      <w:r>
        <w:t xml:space="preserve"> : elle piéga les radicaux peroxyles (ROO•) au sein des membranes cellulaires avant qu'ils n'initient la peroxydation en chaîne des acides gras polyinsaturés (AGPI) des phospholipides membranaires. Le mécanisme moléculaire repose sur le don d'un atome d'hydrogène du groupe hydroxyle phénolique du chromanol au radical peroxyle, le transformant en radical tocophéroxyle (vit E-O•) relativement stable et incapable de propager la chaîne radicalaire. Le radical tocophéroxyle est </w:t>
      </w:r>
      <w:r>
        <w:rPr>
          <w:b/>
        </w:rPr>
        <w:t>régénéré en α-tocophérol</w:t>
      </w:r>
      <w:r>
        <w:t xml:space="preserve"> par la vitamine C (acide ascorbique), le glutathion (GSH), l'ubiquinol (CoQ10), et par la réaction croisée avec un autre radical peroxyle. Ce réseau antioxydant synergique explique l'interaction fonctionnelle entre vitamine E, vitamine C, sélénium (cofacteur de la glutathion peroxydase) et coenzyme Q10.</w:t>
      </w:r>
    </w:p>
    <w:p>
      <w:r>
        <w:t xml:space="preserve">La carence en vitamine E est rare en population générale (apports alimentaires largement suffisants en Occident), mais observée dans quatre circonstances : (1) </w:t>
      </w:r>
      <w:r>
        <w:rPr>
          <w:b/>
        </w:rPr>
        <w:t>prématurité</w:t>
      </w:r>
      <w:r>
        <w:t xml:space="preserve"> (stocks néonataux faibles, absorption lipidique immature) — anémie hémolytique du prématuré ; (2) </w:t>
      </w:r>
      <w:r>
        <w:rPr>
          <w:b/>
        </w:rPr>
        <w:t>malabsorption lipidique chronique</w:t>
      </w:r>
      <w:r>
        <w:t xml:space="preserve"> (mucoviscidose, cholestase chronique, abétalipoprotéinémie, résection iléale, by-pass gastrique) — neuropathie axonale sensitivo-motrice, rétinopathie pigmentaire, myopathie, anémie hémolytaire ; (3) </w:t>
      </w:r>
      <w:r>
        <w:rPr>
          <w:b/>
        </w:rPr>
        <w:t>abétalipoprotéinémie</w:t>
      </w:r>
      <w:r>
        <w:t xml:space="preserve"> (maladie de Bassen-Kornzweig) — syndrome neurologique sévère imposant une supplémentation massive (50-100 UI/kg/jour) dès l'enfance ; (4) </w:t>
      </w:r>
      <w:r>
        <w:rPr>
          <w:b/>
        </w:rPr>
        <w:t>carence néonatale</w:t>
      </w:r>
      <w:r>
        <w:t xml:space="preserve"> chez l'enfant alimenté sans supplémentation.</w:t>
      </w:r>
    </w:p>
    <w:p>
      <w:r>
        <w:t xml:space="preserve">Inversement, la vitamine E à forte dose est </w:t>
      </w:r>
      <w:r>
        <w:rPr>
          <w:b/>
        </w:rPr>
        <w:t>généralement bien tolérée</w:t>
      </w:r>
      <w:r>
        <w:t xml:space="preserve"> jusqu'à 1 000 mg/jour chez l'adulte. Au-delà, un effet anti-agrégant plaquettaire peut majorer le risque hémorragique, surtout en association avec les antivitamines K (AVK), les antiagrégants plaquettaires (aspirine, clopidogrel), et les anticoagulants oraux directs (AOD). Une méta-analyse controversée (Miller 2005) a suggéré une surmortalité à très fortes doses (&gt; 400 UI/jour), non confirmée par les essais ultérieurs. La prudence reste néanmoins de mise en cas de traitement AVK prolongé.</w:t>
      </w:r>
    </w:p>
    <w:p>
      <w:r>
        <w:t xml:space="preserve">Sur le marché algérien, la vitamine E est disponible sous forme de </w:t>
      </w:r>
      <w:r>
        <w:rPr>
          <w:b/>
        </w:rPr>
        <w:t>comprimés à croquer ou à sucer</w:t>
      </w:r>
      <w:r>
        <w:t xml:space="preserve"> à 100 mg et 500 mg (API E SARL API). La forme isolée historique (EPHYNAL ROCHE, WERAVIT E WEIMER PHARMA, VITAMINE E PHARCO EGYPTE) a été retirée du marché algérien. La vitamine E est prescrite à 100 mg/jour en supplémentation courante, 400-800 mg/jour dans les carences avérées (mucoviscidose, cholestase), jusqu'à 1 000-2 000 mg/jour dans l'abétalipoprotéinémie.</w:t>
      </w:r>
    </w:p>
    <w:p>
      <w:pPr>
        <w:pStyle w:val="Heading2"/>
      </w:pPr>
      <w:r>
        <w:t>161.8. Sous-classe : Vitamine K (Phytoménadione)</w:t>
      </w:r>
    </w:p>
    <w:p>
      <w:r>
        <w:t xml:space="preserve">La vitamine K désigne un groupe de composés naphtoquinoniques dont les deux formes naturelles principales sont : la </w:t>
      </w:r>
      <w:r>
        <w:rPr>
          <w:b/>
        </w:rPr>
        <w:t>vitamine K1 (phytoménadione = phylloquinone)</w:t>
      </w:r>
      <w:r>
        <w:t xml:space="preserve"> synthétisée par les végétaux verts (épinards, choux, brocolis, alfalfa), et la </w:t>
      </w:r>
      <w:r>
        <w:rPr>
          <w:b/>
        </w:rPr>
        <w:t>vitamine K2 (ménaquinones MK-4 à MK-13)</w:t>
      </w:r>
      <w:r>
        <w:t xml:space="preserve"> synthétisée par les bactéries de la flore intestinale et apportée par les produits fermentés (yaourts, fromages affinés, natto japonais). Une forme synthétique, la </w:t>
      </w:r>
      <w:r>
        <w:rPr>
          <w:b/>
        </w:rPr>
        <w:t>vitamine K3 (ménadione)</w:t>
      </w:r>
      <w:r>
        <w:t>, n'est plus utilisée en thérapeutique humaine en raison de sa toxicité hématologique et hépatique (hémolyse, ictère nucléaire du nouveau-né). Le terme « phytoménadione » désigne spécifiquement la vitamine K1 naturelle de structure trans ; son isomère de synthèse cis-trans (phylloquinone) est commercialisé sous le nom de phytonadione aux États-Unis.</w:t>
      </w:r>
    </w:p>
    <w:p>
      <w:r>
        <w:t xml:space="preserve">La fonction biologique essentielle de la vitamine K est d'être le </w:t>
      </w:r>
      <w:r>
        <w:rPr>
          <w:b/>
        </w:rPr>
        <w:t>cofacteur de la γ-carboxylase</w:t>
      </w:r>
      <w:r>
        <w:t xml:space="preserve"> microsomale hépatique (GGCX — Gamma-Glutamyl Carboxylase), enzyme qui catalyse la γ-carboxylation post-traductionnelle des résidus </w:t>
      </w:r>
      <w:r>
        <w:rPr>
          <w:b/>
        </w:rPr>
        <w:t>glutamate (Glu)</w:t>
      </w:r>
      <w:r>
        <w:t xml:space="preserve"> en </w:t>
      </w:r>
      <w:r>
        <w:rPr>
          <w:b/>
        </w:rPr>
        <w:t>acide γ-carboxyglutamique (Gla)</w:t>
      </w:r>
      <w:r>
        <w:t xml:space="preserve"> sur les protéines vitamine-K dépendantes. La γ-carboxylation est </w:t>
      </w:r>
      <w:r>
        <w:rPr>
          <w:b/>
        </w:rPr>
        <w:t>indispensable</w:t>
      </w:r>
      <w:r>
        <w:t xml:space="preserve"> à la fonctionnalité de ces protéines car elle leur confère la capacité de fixer le calcium divalent (Ca²⁺) via les deux groupes carboxylates adjacents (Gla-Ca²⁺-Gla chélate le calcium avec une affinité millimolaire). Sans γ-carboxylation, ces protéines sont synthétisées mais restent inactives.</w:t>
      </w:r>
    </w:p>
    <w:p>
      <w:r>
        <w:t>Les protéines vitamine-K dépendantes sont :</w:t>
      </w:r>
    </w:p>
    <w:p>
      <w:pPr>
        <w:pStyle w:val="ListNumber"/>
      </w:pPr>
      <w:r/>
      <w:r>
        <w:rPr>
          <w:b/>
        </w:rPr>
        <w:t>Facteurs de coagulation procoagulants</w:t>
      </w:r>
      <w:r>
        <w:t xml:space="preserve"> — Facteur II (prothrombine), Facteur VII (proconvertine), Facteur IX (Christmas), Facteur X (Stuart-Prower).</w:t>
      </w:r>
    </w:p>
    <w:p>
      <w:pPr>
        <w:pStyle w:val="ListNumber"/>
      </w:pPr>
      <w:r/>
      <w:r>
        <w:rPr>
          <w:b/>
        </w:rPr>
        <w:t>Facteurs de coagulation anticoagulants (régulateurs)</w:t>
      </w:r>
      <w:r>
        <w:t xml:space="preserve"> — Protéine C, Protéine S, Protéine Z.</w:t>
      </w:r>
    </w:p>
    <w:p>
      <w:pPr>
        <w:pStyle w:val="ListNumber"/>
      </w:pPr>
      <w:r/>
      <w:r>
        <w:rPr>
          <w:b/>
        </w:rPr>
        <w:t>Protéines osseuses</w:t>
      </w:r>
      <w:r>
        <w:t xml:space="preserve"> — Ostéocalcine (BGP — Bone Gla Protein), Matrix Gla Protein (MGP), protéine S osseuse.</w:t>
      </w:r>
    </w:p>
    <w:p>
      <w:pPr>
        <w:pStyle w:val="ListNumber"/>
      </w:pPr>
      <w:r/>
      <w:r>
        <w:rPr>
          <w:b/>
        </w:rPr>
        <w:t>Autres</w:t>
      </w:r>
      <w:r>
        <w:t xml:space="preserve"> — Gas6 (growth-arrest-specific 6), périostine.</w:t>
      </w:r>
    </w:p>
    <w:p>
      <w:r>
        <w:t xml:space="preserve">Le cycle de la vitamine K est un </w:t>
      </w:r>
      <w:r>
        <w:rPr>
          <w:b/>
        </w:rPr>
        <w:t>cycle de recyclage</w:t>
      </w:r>
      <w:r>
        <w:t xml:space="preserve"> : la forme hydroquinone (KH₂) est oxydée en forme époxyde (K&gt;O) lors de la γ-carboxylation ; la K&gt;O est ensuite réduite en K (quinone) par la vitamine K époxyde réductase (VKORC1), puis en KH₂ (hydroquinone) par la DT-diaphorase (NQO1). Les </w:t>
      </w:r>
      <w:r>
        <w:rPr>
          <w:b/>
        </w:rPr>
        <w:t>antivitamines K (AVK)</w:t>
      </w:r>
      <w:r>
        <w:t xml:space="preserve"> (warfarine, acénocoumarol, fluindione) inhibent la </w:t>
      </w:r>
      <w:r>
        <w:rPr>
          <w:b/>
        </w:rPr>
        <w:t>VKORC1</w:t>
      </w:r>
      <w:r>
        <w:t xml:space="preserve"> et bloquent le recyclage de la vitamine K, épuisant progressivement le pool KH₂ et entraînant la synthèse de facteurs II, VII, IX, X non γ-carboxylés (PIVKA — Proteins Induced by Vitamin K Antagonists), biologiquement inactifs. C'est pourquoi la </w:t>
      </w:r>
      <w:r>
        <w:rPr>
          <w:b/>
        </w:rPr>
        <w:t>phytoménadione</w:t>
      </w:r>
      <w:r>
        <w:t xml:space="preserve"> est l'</w:t>
      </w:r>
      <w:r>
        <w:rPr>
          <w:b/>
        </w:rPr>
        <w:t>antidote spécifique</w:t>
      </w:r>
      <w:r>
        <w:t xml:space="preserve"> des AVK.</w:t>
      </w:r>
    </w:p>
    <w:p>
      <w:r>
        <w:t xml:space="preserve">Les indications de la phytoménadione sont donc multiples : (1) </w:t>
      </w:r>
      <w:r>
        <w:rPr>
          <w:b/>
        </w:rPr>
        <w:t>antidote des hémorragies sous AVK</w:t>
      </w:r>
      <w:r>
        <w:t xml:space="preserve"> — voie IV stricte (perfusion lente) en cas d'hémorragie grave, voie per os ou SC en cas d'INR &gt; 4,5 sans hémorragie ; (2) </w:t>
      </w:r>
      <w:r>
        <w:rPr>
          <w:b/>
        </w:rPr>
        <w:t>prophylaxie de la maladie hémorragique du nouveau-né</w:t>
      </w:r>
      <w:r>
        <w:t xml:space="preserve"> — injection IM 1 mg à la naissance (recommandation OMS universelle, parfois en France 2 mg per os à J1, J4, J7) ; (3) </w:t>
      </w:r>
      <w:r>
        <w:rPr>
          <w:b/>
        </w:rPr>
        <w:t>carence en vitamine K</w:t>
      </w:r>
      <w:r>
        <w:t xml:space="preserve"> — insuffisance hépatocellulaire, cholestase chronique, mucoviscidose, malabsorption lipidique, antibiothérapie prolongée détruisant la flore productrice de K2 ; (4) </w:t>
      </w:r>
      <w:r>
        <w:rPr>
          <w:b/>
        </w:rPr>
        <w:t>hypocoagulabilité par AVK en préopératoire</w:t>
      </w:r>
      <w:r>
        <w:t xml:space="preserve"> — antagonisation rapide avant chirurgie urgente.</w:t>
      </w:r>
    </w:p>
    <w:p>
      <w:r>
        <w:t xml:space="preserve">Sur le marché algérien, la phytoménadione est disponible sous la spécialité </w:t>
      </w:r>
      <w:r>
        <w:rPr>
          <w:b/>
        </w:rPr>
        <w:t>RAZIDIONE K1</w:t>
      </w:r>
      <w:r>
        <w:t xml:space="preserve"> (LES LABORATOIRES FRATER RAZES, solution buvable et injectable IV ou IM 10 mg/mL, boîtes de 5 ampoules de 1 mL et de 50 ampoules de 1 mL, Liste I — ACTIF). Les formes historiques KONAKION (HOFFMAN LAROCHE) ont été retirées du marché algérien. La posologie usuelle de l'antidote AVK est de 5 à 10 mg IV lente (dilué, 1 mg/min maximum) en cas d'hémorragie grave, ou 1 à 5 mg per os en cas d'INR supra-thérapeutique asymptomatique. La prévention néonatale repose sur 1 mg IM à la naissance (prématuré : 0,5 mg IM). Le pharmacien d'officine doit savoir que la </w:t>
      </w:r>
      <w:r>
        <w:rPr>
          <w:b/>
        </w:rPr>
        <w:t>voie IV</w:t>
      </w:r>
      <w:r>
        <w:t xml:space="preserve"> comporte un risque d'</w:t>
      </w:r>
      <w:r>
        <w:rPr>
          <w:b/>
        </w:rPr>
        <w:t>anaphylaxie</w:t>
      </w:r>
      <w:r>
        <w:t xml:space="preserve"> (rare mais potentiellement létale — choc anaphylactique, arrêt cardio-respiratoire) en raison du solvant (polyéthylène glycol, polysorbate) ; elle doit être administrée </w:t>
      </w:r>
      <w:r>
        <w:rPr>
          <w:b/>
        </w:rPr>
        <w:t>lentement (1 mg/min)</w:t>
      </w:r>
      <w:r>
        <w:t>, en milieu médicalisé, avec matériel de réanimation disponible.</w:t>
      </w:r>
    </w:p>
    <w:p>
      <w:pPr>
        <w:pStyle w:val="Heading2"/>
      </w:pPr>
      <w:r>
        <w:t>161.9. Fiches DCI détaillées</w:t>
      </w:r>
    </w:p>
    <w:p>
      <w:pPr>
        <w:pStyle w:val="Heading3"/>
      </w:pPr>
      <w:r>
        <w:t>161.9.1. DCI : Rétinol (Vitamine A)</w:t>
      </w:r>
    </w:p>
    <w:p>
      <w:pPr>
        <w:pStyle w:val="Heading4"/>
      </w:pPr>
      <w:r>
        <w:t>1. Liste catégories pharmaco-thérapeutiques</w:t>
      </w:r>
    </w:p>
    <w:p>
      <w:r/>
      <w:r>
        <w:rPr>
          <w:b/>
        </w:rPr>
        <w:t>Catégories :</w:t>
      </w:r>
      <w:r>
        <w:t xml:space="preserve"> Vitamine ; Vitamine liposoluble ; Vitamine A ; Rétinoïde ; Cofacteur enzymatique (rhodopsine) ; Ligand des récepteurs nucléaires RAR/RXR ; Collyre ophtalmologique ; Supplémentation vitaminique ; Tératogène majeur (à doses thérapeutiques). </w:t>
      </w:r>
      <w:r>
        <w:rPr>
          <w:b/>
        </w:rPr>
        <w:t>Liste II</w:t>
      </w:r>
      <w:r>
        <w:t xml:space="preserve"> (spécialités actives en collyre). Forme orale isolée non disponible en Algérie en avril 2026 (retrait de VITAMINE A SAIDAL historique).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VITAMINE A FAURE</w:t>
            </w:r>
          </w:p>
        </w:tc>
        <w:tc>
          <w:tcPr>
            <w:tcW w:type="dxa" w:w="1559"/>
          </w:tcPr>
          <w:p>
            <w:r>
              <w:rPr>
                <w:sz w:val="20"/>
              </w:rPr>
              <w:t>EUROPHTA</w:t>
            </w:r>
          </w:p>
        </w:tc>
        <w:tc>
          <w:tcPr>
            <w:tcW w:type="dxa" w:w="1559"/>
          </w:tcPr>
          <w:p>
            <w:r>
              <w:rPr>
                <w:sz w:val="20"/>
              </w:rPr>
              <w:t>Collyre en solution, rétinol 150 000 UI/10 mL (15 000 UI/mL)</w:t>
            </w:r>
          </w:p>
        </w:tc>
        <w:tc>
          <w:tcPr>
            <w:tcW w:type="dxa" w:w="1559"/>
          </w:tcPr>
          <w:p>
            <w:r>
              <w:rPr>
                <w:sz w:val="20"/>
              </w:rPr>
              <w:t>Flacon de 10 mL</w:t>
            </w:r>
          </w:p>
        </w:tc>
        <w:tc>
          <w:tcPr>
            <w:tcW w:type="dxa" w:w="1559"/>
          </w:tcPr>
          <w:p>
            <w:r>
              <w:rPr>
                <w:sz w:val="20"/>
              </w:rPr>
              <w:t>—</w:t>
            </w:r>
          </w:p>
        </w:tc>
        <w:tc>
          <w:tcPr>
            <w:tcW w:type="dxa" w:w="1559"/>
          </w:tcPr>
          <w:p>
            <w:r>
              <w:rPr>
                <w:sz w:val="20"/>
              </w:rPr>
              <w:t>Actif</w:t>
            </w:r>
          </w:p>
        </w:tc>
      </w:tr>
      <w:tr>
        <w:tc>
          <w:tcPr>
            <w:tcW w:type="dxa" w:w="1559"/>
          </w:tcPr>
          <w:p>
            <w:r>
              <w:rPr>
                <w:sz w:val="20"/>
              </w:rPr>
              <w:t>VITAMINE A GL</w:t>
            </w:r>
          </w:p>
        </w:tc>
        <w:tc>
          <w:tcPr>
            <w:tcW w:type="dxa" w:w="1559"/>
          </w:tcPr>
          <w:p>
            <w:r>
              <w:rPr>
                <w:sz w:val="20"/>
              </w:rPr>
              <w:t>GENERIC LAB</w:t>
            </w:r>
          </w:p>
        </w:tc>
        <w:tc>
          <w:tcPr>
            <w:tcW w:type="dxa" w:w="1559"/>
          </w:tcPr>
          <w:p>
            <w:r>
              <w:rPr>
                <w:sz w:val="20"/>
              </w:rPr>
              <w:t>Collyre, rétinol 150 000 UI/10 mL (15 000 UI/mL)</w:t>
            </w:r>
          </w:p>
        </w:tc>
        <w:tc>
          <w:tcPr>
            <w:tcW w:type="dxa" w:w="1559"/>
          </w:tcPr>
          <w:p>
            <w:r>
              <w:rPr>
                <w:sz w:val="20"/>
              </w:rPr>
              <w:t>Flacon de 10 mL</w:t>
            </w:r>
          </w:p>
        </w:tc>
        <w:tc>
          <w:tcPr>
            <w:tcW w:type="dxa" w:w="1559"/>
          </w:tcPr>
          <w:p>
            <w:r>
              <w:rPr>
                <w:sz w:val="20"/>
              </w:rPr>
              <w:t>—</w:t>
            </w:r>
          </w:p>
        </w:tc>
        <w:tc>
          <w:tcPr>
            <w:tcW w:type="dxa" w:w="1559"/>
          </w:tcPr>
          <w:p>
            <w:r>
              <w:rPr>
                <w:sz w:val="20"/>
              </w:rPr>
              <w:t>Actif</w:t>
            </w:r>
          </w:p>
        </w:tc>
      </w:tr>
      <w:tr>
        <w:tc>
          <w:tcPr>
            <w:tcW w:type="dxa" w:w="1559"/>
          </w:tcPr>
          <w:p>
            <w:r>
              <w:rPr>
                <w:sz w:val="20"/>
              </w:rPr>
              <w:t>ASTENIA</w:t>
            </w:r>
          </w:p>
        </w:tc>
        <w:tc>
          <w:tcPr>
            <w:tcW w:type="dxa" w:w="1559"/>
          </w:tcPr>
          <w:p>
            <w:r>
              <w:rPr>
                <w:sz w:val="20"/>
              </w:rPr>
              <w:t>SARL API</w:t>
            </w:r>
          </w:p>
        </w:tc>
        <w:tc>
          <w:tcPr>
            <w:tcW w:type="dxa" w:w="1559"/>
          </w:tcPr>
          <w:p>
            <w:r>
              <w:rPr>
                <w:sz w:val="20"/>
              </w:rPr>
              <w:t>Comprimé effervescent, multivitamines : rétinol 0,4 mg + cholécalciférol 0,005 mg + tocophérol 10 mg + thiamine 1,4 mg + riboflavine 1,6 mg + pyridoxine 2 mg + nicotinamide 18 mg + acide folique 0,2 mg + acide pantothénique 6 mg + biotine 0,150 mg + cyanocobalamine 0,001 mg + acide ascorbique 60 mg + β-carotène 2,4 mg</w:t>
            </w:r>
          </w:p>
        </w:tc>
        <w:tc>
          <w:tcPr>
            <w:tcW w:type="dxa" w:w="1559"/>
          </w:tcPr>
          <w:p>
            <w:r>
              <w:rPr>
                <w:sz w:val="20"/>
              </w:rPr>
              <w:t>Tube de 20</w:t>
            </w:r>
          </w:p>
        </w:tc>
        <w:tc>
          <w:tcPr>
            <w:tcW w:type="dxa" w:w="1559"/>
          </w:tcPr>
          <w:p>
            <w:r>
              <w:rPr>
                <w:sz w:val="20"/>
              </w:rPr>
              <w:t>—</w:t>
            </w:r>
          </w:p>
        </w:tc>
        <w:tc>
          <w:tcPr>
            <w:tcW w:type="dxa" w:w="1559"/>
          </w:tcPr>
          <w:p>
            <w:r>
              <w:rPr>
                <w:sz w:val="20"/>
              </w:rPr>
              <w:t>Actif</w:t>
            </w:r>
          </w:p>
        </w:tc>
      </w:tr>
    </w:tbl>
    <w:p/>
    <w:p>
      <w:r/>
      <w:r>
        <w:rPr>
          <w:b/>
        </w:rPr>
        <w:t>Remarque :</w:t>
      </w:r>
      <w:r>
        <w:t xml:space="preserve"> La vitamine A est principalement disponible en Algérie en collyre ophtalmologique (forme locale) pour la sécheresse oculaire et la xérophtalmie. La forme orale isolée (gélule de rétinol) n'est pas commercialisée en 2026 ; la supplémentation orale repose sur les complexes multivitaminiques (ASTENIA) ou sur l'importation de spécialités étrangères. Le pharmacien doit être particulièrement vigilant vis-à-vis des compléments alimentaires importés pouvant contenir des doses massives de rétinol (10 000 à 25 000 UI par gélule), surtout chez la femme en âge de procréer.</w:t>
      </w:r>
    </w:p>
    <w:p>
      <w:pPr>
        <w:pStyle w:val="Heading4"/>
      </w:pPr>
      <w:r>
        <w:t>3. Mécanisme d'action moléculaire, cellulaire et physiologique</w:t>
      </w:r>
    </w:p>
    <w:p>
      <w:r>
        <w:t>La vitamine A exerce ses effets biologiques à travers trois mécanismes moléculaires principaux :</w:t>
      </w:r>
    </w:p>
    <w:p>
      <w:r/>
      <w:r>
        <w:rPr>
          <w:b/>
        </w:rPr>
        <w:t>Vision (cycle visuel rétinien)</w:t>
      </w:r>
      <w:r>
        <w:t xml:space="preserve"> — Le rétinol circulant est capté par les cellules de l'épithélium pigmentaire rétinien (EPR), estérifié en rétinyl-palmitate (forme de stockage), puis hydrolysé et isomérisé en </w:t>
      </w:r>
      <w:r>
        <w:rPr>
          <w:b/>
        </w:rPr>
        <w:t>11-cis-rétinol</w:t>
      </w:r>
      <w:r>
        <w:t xml:space="preserve">, oxydé en </w:t>
      </w:r>
      <w:r>
        <w:rPr>
          <w:b/>
        </w:rPr>
        <w:t>11-cis-rétinal</w:t>
      </w:r>
      <w:r>
        <w:t xml:space="preserve"> par la 11-cis-rétinol déshydrogénase (RDH5). Le 11-cis-rétinal se conjugue à l'opsine (lysine-296) pour former la </w:t>
      </w:r>
      <w:r>
        <w:rPr>
          <w:b/>
        </w:rPr>
        <w:t>rhodopsine</w:t>
      </w:r>
      <w:r>
        <w:t xml:space="preserve"> (cellules bâtonnets) ou les photopsines (cellules cônes). Sous l'effet de la lumière, le 11-cis-rétinal s'isomérise en tout-trans-rétinal, déclenchant la cascade de transduction (transducine → phosphodiestérase → fermeture canaux Na⁺/Ca²⁺ → hyperpolarisation). Le tout-trans-rétinal est reconverti en 11-cis-rétinal via le cycle de RPE65. </w:t>
      </w:r>
      <w:r>
        <w:rPr>
          <w:b/>
        </w:rPr>
        <w:t>La carence en vitamine A altère ce cycle et provoque l'héméralopie</w:t>
      </w:r>
      <w:r>
        <w:t xml:space="preserve"> (cécité crépusculaire), signe clinique le plus précoce de carence.</w:t>
      </w:r>
    </w:p>
    <w:p>
      <w:r/>
      <w:r>
        <w:rPr>
          <w:b/>
        </w:rPr>
        <w:t>Différenciation épithéliale (acide rétinoïque)</w:t>
      </w:r>
      <w:r>
        <w:t xml:space="preserve"> — Le rétinol est oxydé en rétinal par l'alcool/rétinol déshydrogénase (ADH/RDH), puis en </w:t>
      </w:r>
      <w:r>
        <w:rPr>
          <w:b/>
        </w:rPr>
        <w:t>acide rétinoïque (ATRA — all-trans retinoic acid)</w:t>
      </w:r>
      <w:r>
        <w:t xml:space="preserve"> par les aldéhyde/rétinal déshydrogénases (RALDH1, RALDH2, RALDH3). L'acide rétinoïque est le </w:t>
      </w:r>
      <w:r>
        <w:rPr>
          <w:b/>
        </w:rPr>
        <w:t>ligand endogène</w:t>
      </w:r>
      <w:r>
        <w:t xml:space="preserve"> des récepteurs nucléaires </w:t>
      </w:r>
      <w:r>
        <w:rPr>
          <w:b/>
        </w:rPr>
        <w:t>RAR</w:t>
      </w:r>
      <w:r>
        <w:t xml:space="preserve"> (Retinoic Acid Receptor, sous-types α, β, γ) et </w:t>
      </w:r>
      <w:r>
        <w:rPr>
          <w:b/>
        </w:rPr>
        <w:t>RXR</w:t>
      </w:r>
      <w:r>
        <w:t xml:space="preserve"> (Retinoid X Receptor, sous-types α, β, γ). Ces récepteurs forment des hétérodimères RAR/RXR qui se fixent aux éléments de réponse RARE (Retinoic Acid Response Elements) dans les promoteurs des gènes cibles. L'acide rétinoïque régule ainsi la transcription de plus de 500 gènes contrôlant la </w:t>
      </w:r>
      <w:r>
        <w:rPr>
          <w:b/>
        </w:rPr>
        <w:t>différenciation épithéliale</w:t>
      </w:r>
      <w:r>
        <w:t xml:space="preserve"> (peau, muqueuses respiratoire, digestive, génito-urinaire), la </w:t>
      </w:r>
      <w:r>
        <w:rPr>
          <w:b/>
        </w:rPr>
        <w:t>prolifération cellulaire</w:t>
      </w:r>
      <w:r>
        <w:t>, l'</w:t>
      </w:r>
      <w:r>
        <w:rPr>
          <w:b/>
        </w:rPr>
        <w:t>apoptose</w:t>
      </w:r>
      <w:r>
        <w:t xml:space="preserve"> et l'</w:t>
      </w:r>
      <w:r>
        <w:rPr>
          <w:b/>
        </w:rPr>
        <w:t>embryogenèse</w:t>
      </w:r>
      <w:r>
        <w:t xml:space="preserve">. La carence en vitamine A provoque une </w:t>
      </w:r>
      <w:r>
        <w:rPr>
          <w:b/>
        </w:rPr>
        <w:t>métaplasie malpighienne</w:t>
      </w:r>
      <w:r>
        <w:t xml:space="preserve"> des épithéliums cylindriques (sécheresse oculaire, xérosis cutané, kératinisation des voies respiratoires favorisant les infections).</w:t>
      </w:r>
    </w:p>
    <w:p>
      <w:r/>
      <w:r>
        <w:rPr>
          <w:b/>
        </w:rPr>
        <w:t>Immunité</w:t>
      </w:r>
      <w:r>
        <w:t xml:space="preserve"> — La vitamine A est essentielle au développement et à la fonction des lymphocytes T, B, des cellules NK, des neutrophiles et des cellules dendritiques. Le rétinoïque est produit localement par les cellules dendritiques intestinales et joue un rôle crucial dans la </w:t>
      </w:r>
      <w:r>
        <w:rPr>
          <w:b/>
        </w:rPr>
        <w:t>différenciation des lymphocytes T régulateurs</w:t>
      </w:r>
      <w:r>
        <w:t xml:space="preserve"> (Treg) et dans le </w:t>
      </w:r>
      <w:r>
        <w:rPr>
          <w:b/>
        </w:rPr>
        <w:t>homing intestinal</w:t>
      </w:r>
      <w:r>
        <w:t xml:space="preserve"> des lymphocytes B (induction de l'α4β7 et CCR9 via la signalisation RAR). La carence en vitamine A majore la mortalité par rougeole, diarrhée, infections respiratoires (effet démontré par les essais OMS de supplémentation de masse en vitamine A chez l'enfant).</w:t>
      </w:r>
    </w:p>
    <w:p>
      <w:pPr>
        <w:pStyle w:val="Heading4"/>
      </w:pPr>
      <w:r>
        <w:t>4. Pharmacocinétique (Profil PK)</w:t>
      </w:r>
    </w:p>
    <w:p>
      <w:r/>
      <w:r>
        <w:rPr>
          <w:b/>
        </w:rPr>
        <w:t>Absorption</w:t>
      </w:r>
      <w:r>
        <w:t xml:space="preserve"> — Le rétinol alimentaire (sous forme d'esters de rétinyl) est hydrolysé dans la lumière intestinale par des estérases pancréatiques et entérocytaires en rétinol libre, solubilisé en micelles mixtes avec les sels biliaires, et capté par les entérocytes via le transporteur membranaire </w:t>
      </w:r>
      <w:r>
        <w:rPr>
          <w:b/>
        </w:rPr>
        <w:t>SR-BI</w:t>
      </w:r>
      <w:r>
        <w:t xml:space="preserve"> (Scavenger Receptor class B type I). Dans l'entérocyte, le rétinol est ré-estérifié (principalement en rétinyl-palmitate) par la LRAT (Lecithin Retinol AcylTransferase), incorporé dans les chylomicrons et sécrété dans la lymphe. Le β-carotène est capté par le transporteur </w:t>
      </w:r>
      <w:r>
        <w:rPr>
          <w:b/>
        </w:rPr>
        <w:t>SCARB1</w:t>
      </w:r>
      <w:r>
        <w:t xml:space="preserve"> puis clivé en rétinol par la </w:t>
      </w:r>
      <w:r>
        <w:rPr>
          <w:b/>
        </w:rPr>
        <w:t>BCO1</w:t>
      </w:r>
      <w:r>
        <w:t xml:space="preserve"> (β-Carotene Oxygenase 1). Biodisponibilité : 70-90 % pour le rétinol préformé ; 20-50 % pour le β-carotène (selon génétique BCO1 et statut vitaminique A).</w:t>
      </w:r>
    </w:p>
    <w:p>
      <w:r/>
      <w:r>
        <w:rPr>
          <w:b/>
        </w:rPr>
        <w:t>Distribution</w:t>
      </w:r>
      <w:r>
        <w:t xml:space="preserve"> — Le rétinol circulant est lié à 95 % à la </w:t>
      </w:r>
      <w:r>
        <w:rPr>
          <w:b/>
        </w:rPr>
        <w:t>RBP</w:t>
      </w:r>
      <w:r>
        <w:t xml:space="preserve"> (Retinol Binding Protein 4), protéine de transport spécifique synthétisée par le foie, elle-même complexée à la </w:t>
      </w:r>
      <w:r>
        <w:rPr>
          <w:b/>
        </w:rPr>
        <w:t>TTR</w:t>
      </w:r>
      <w:r>
        <w:t xml:space="preserve"> (Transthyrétine) pour empêcher la filtration glomérulaire du rétinol. Le complexe RBP-TTR-rétinol délivre le rétinol aux cellules cibles via le récepteur cellulaire </w:t>
      </w:r>
      <w:r>
        <w:rPr>
          <w:b/>
        </w:rPr>
        <w:t>STRA6</w:t>
      </w:r>
      <w:r>
        <w:t xml:space="preserve"> (Stimulated by Retinoic Acid 6). Volume de distribution : ~0,1-0,2 L/kg. Le foie stocke 50-80 % du pool corporel (50-100 mg chez l'adulte sain) dans les cellules étoilées de Ito sous forme de rétinyl-palmitate ; les stocks peuvent couvrir les besoins pendant plusieurs mois à années.</w:t>
      </w:r>
    </w:p>
    <w:p>
      <w:r/>
      <w:r>
        <w:rPr>
          <w:b/>
        </w:rPr>
        <w:t>Métabolisme</w:t>
      </w:r>
      <w:r>
        <w:t xml:space="preserve"> — Le rétinol est oxydé en rétinal puis en acide rétinoïque (ATRA). L'ATRA est ensuite catabolysé par les cytochromes </w:t>
      </w:r>
      <w:r>
        <w:rPr>
          <w:b/>
        </w:rPr>
        <w:t>CYP26A1, CYP26B1, CYP26C1</w:t>
      </w:r>
      <w:r>
        <w:t xml:space="preserve"> en métabolites inactifs (4-oxo-rétinoïque, 4-hydroxy-rétinoïque) excrétés dans la bile et l'urine. L'induction du CYP26 par l'ATRA lui-même constitue un auto-asservissement négatif. La demi-vie plasmatique de l'ATRA est de 1-2 heures (demi-vie courte). Le rétinol plasmatique a une demi-vie de 1-2 jours en cas de déplétion, mais plusieurs mois en état stationnaire (reflétant le stock hépatique).</w:t>
      </w:r>
    </w:p>
    <w:p>
      <w:r/>
      <w:r>
        <w:rPr>
          <w:b/>
        </w:rPr>
        <w:t>Élimination</w:t>
      </w:r>
      <w:r>
        <w:t xml:space="preserve"> — Principalement biliaire (rétinyl-glucuronides, acides rétinoïques conjugués) et fécale ; élimination urinaire minimale. La demi-vie d'élimination des esters de rétinyl stockés dans le foie est de 50-100 jours en l'absence d'apport exogène. </w:t>
      </w:r>
      <w:r>
        <w:rPr>
          <w:b/>
        </w:rPr>
        <w:t>Accumulation : risque d'hypervitaminose chronique</w:t>
      </w:r>
      <w:r>
        <w:t xml:space="preserve"> en cas d'apport &gt; 25 000 UI/jour pendant plusieurs mois.</w:t>
      </w:r>
    </w:p>
    <w:p>
      <w:pPr>
        <w:pStyle w:val="Heading4"/>
      </w:pPr>
      <w:r>
        <w:t>5. Indications thérapeutiques</w:t>
      </w:r>
    </w:p>
    <w:p>
      <w:r>
        <w:t>Le rétinol est indiqué dans les situations suivantes :</w:t>
      </w:r>
    </w:p>
    <w:p>
      <w:pPr>
        <w:pStyle w:val="ListNumber"/>
      </w:pPr>
      <w:r/>
      <w:r>
        <w:rPr>
          <w:b/>
        </w:rPr>
        <w:t>Carence en vitamine A clinique</w:t>
      </w:r>
      <w:r>
        <w:t xml:space="preserve"> — héméralopie, xérophtalmie, taches de Bitot, kératomalacie. Le traitement curatif repose sur 50 000 à 100 000 UI/jour per os pendant 3 à 5 jours, puis 10 000 à 25 000 UI/jour pendant 1 à 2 semaines (selon protocole OMS).</w:t>
      </w:r>
    </w:p>
    <w:p>
      <w:pPr>
        <w:pStyle w:val="ListNumber"/>
      </w:pPr>
      <w:r/>
      <w:r>
        <w:rPr>
          <w:b/>
        </w:rPr>
        <w:t>Prophylaxie de la carence en vitamine A chez l'enfant</w:t>
      </w:r>
      <w:r>
        <w:t xml:space="preserve"> dans les régions à déficit endémique — 50 000 UI à 100 000 UI tous les 4-6 mois selon l'âge (protocole OMS). Programme OMS de supplémentation de masse dans les pays en développement.</w:t>
      </w:r>
    </w:p>
    <w:p>
      <w:pPr>
        <w:pStyle w:val="ListNumber"/>
      </w:pPr>
      <w:r/>
      <w:r>
        <w:rPr>
          <w:b/>
        </w:rPr>
        <w:t>Sécheresse oculaire, kératoconjonctivite sèche</w:t>
      </w:r>
      <w:r>
        <w:t xml:space="preserve"> — collyre ophtalmologique 15 000 UI/mL (VITAMINE A FAURE, VITAMINE A GL), 1 à 2 gouttes 3 à 5 fois/jour.</w:t>
      </w:r>
    </w:p>
    <w:p>
      <w:pPr>
        <w:pStyle w:val="ListNumber"/>
      </w:pPr>
      <w:r/>
      <w:r>
        <w:rPr>
          <w:b/>
        </w:rPr>
        <w:t>Malabsorption lipidique chronique</w:t>
      </w:r>
      <w:r>
        <w:t xml:space="preserve"> — mucoviscidose, cholestase chronique (cirrhose biliaire primitive), résection iléale, by-pass gastrique. Supplémentation à 5 000-25 000 UI/jour selon le statut vitaminique.</w:t>
      </w:r>
    </w:p>
    <w:p>
      <w:pPr>
        <w:pStyle w:val="ListNumber"/>
      </w:pPr>
      <w:r/>
      <w:r>
        <w:rPr>
          <w:b/>
        </w:rPr>
        <w:t>Asthénie, surmenage, convalescence</w:t>
      </w:r>
      <w:r>
        <w:t xml:space="preserve"> — dans le cadre de complexes multivitaminiques (ASTENIA) à dose nutritionnelle (0,4 mg = ~1 300 UI par comprimé effervescent).</w:t>
      </w:r>
    </w:p>
    <w:p>
      <w:pPr>
        <w:pStyle w:val="ListNumber"/>
      </w:pPr>
      <w:r/>
      <w:r>
        <w:rPr>
          <w:b/>
        </w:rPr>
        <w:t>Dermatologie</w:t>
      </w:r>
      <w:r>
        <w:t xml:space="preserve"> — historiquement utilisé à forte dose dans l'acné sévère et les ichtyoses, aujourd'hui supplanté par les rétinoïdes de synthèse (isotrétinoïne, acitrétine, adapalène) plus efficaces et mieux tolérés.</w:t>
      </w:r>
    </w:p>
    <w:p>
      <w:pPr>
        <w:pStyle w:val="Heading4"/>
      </w:pPr>
      <w:r>
        <w:t>6. Posologie et mode d'administration</w:t>
      </w:r>
    </w:p>
    <w:p>
      <w:r/>
      <w:r>
        <w:rPr>
          <w:b/>
        </w:rPr>
        <w:t>Adulte (supplémentation orale)</w:t>
      </w:r>
      <w:r>
        <w:t xml:space="preserve"> — Apports nutritionnels conseillés (ANC) : 800 µg ER/jour (≈ 2 700 UI/jour) chez l'homme, 600 µg ER/jour (≈ 2 000 UI/jour) chez la femme. Supplémentation curative en cas de carence : 5 000 à 25 000 UI/jour per os pendant 4 à 8 semaines selon la sévérité. Dose thérapeutique maximale tolérée à long terme : 10 000 UI/jour (au-delà, risque de toxicité chronique).</w:t>
      </w:r>
    </w:p>
    <w:p>
      <w:r/>
      <w:r>
        <w:rPr>
          <w:b/>
        </w:rPr>
        <w:t>Femme enceinte</w:t>
      </w:r>
      <w:r>
        <w:t xml:space="preserve"> — Apports augmentés à 700-800 µg ER/jour (≈ 2 300-2 700 UI/jour). </w:t>
      </w:r>
      <w:r>
        <w:rPr>
          <w:b/>
        </w:rPr>
        <w:t>Limite supérieure de sécurité</w:t>
      </w:r>
      <w:r>
        <w:t xml:space="preserve"> : 3 000 µg ER/jour (≈ 10 000 UI/jour), soit la dose tératogène seuil. Au-delà, le risque de malformations embryonnaires (rétinoïde embryopathie) augmente significativement.</w:t>
      </w:r>
    </w:p>
    <w:p>
      <w:r/>
      <w:r>
        <w:rPr>
          <w:b/>
        </w:rPr>
        <w:t>Femme allaitante</w:t>
      </w:r>
      <w:r>
        <w:t xml:space="preserve"> — Apports 1 200-1 300 µg ER/jour (≈ 4 000-4 300 UI/jour) pour couvrir les besoins maternels + fœtaux via le lait.</w:t>
      </w:r>
    </w:p>
    <w:p>
      <w:r/>
      <w:r>
        <w:rPr>
          <w:b/>
        </w:rPr>
        <w:t>Enfant</w:t>
      </w:r>
      <w:r>
        <w:t xml:space="preserve"> — ANC : 400 µg/jour (1-3 ans), 500 µg/jour (4-8 ans), 600-700 µg/jour (9-13 ans), 800-900 µg/jour (14-18 ans). Traitement curatif de la carence avérée : 50 000 UI dose unique en cas de xérophtalmie chez l'enfant &lt; 6 mois ; 100 000 UI dose unique chez l'enfant 6-12 mois ; 200 000 UI dose unique chez l'enfant &gt; 12 mois (à répéter à J1, J2 et à 2 semaines en cas de kératomalacie).</w:t>
      </w:r>
    </w:p>
    <w:p>
      <w:r/>
      <w:r>
        <w:rPr>
          <w:b/>
        </w:rPr>
        <w:t>Collyre ophtalmologique</w:t>
      </w:r>
      <w:r>
        <w:t xml:space="preserve"> (VITAMINE A FAURE, VITAMINE A GL) — 1 goutte dans chaque œil, 3 à 5 fois/jour, en cure de 1 à 4 semaines selon la sévérité. lavage des mains avant instillation, ne pas toucher l'œil avec l'embout, respecter un intervalle de 5 minutes en cas de multi-instillation.</w:t>
      </w:r>
    </w:p>
    <w:p>
      <w:r/>
      <w:r>
        <w:rPr>
          <w:b/>
        </w:rPr>
        <w:t>Voie IM</w:t>
      </w:r>
      <w:r>
        <w:t xml:space="preserve"> — Historiquement, le rétinol était administré par voie IM (palmitate de rétinol, 100 000 UI/2 mL) dans la kératomalacie sévère, mais cette forme n'est plus disponible en Algérie.</w:t>
      </w:r>
    </w:p>
    <w:p>
      <w:pPr>
        <w:pStyle w:val="Heading4"/>
      </w:pPr>
      <w:r>
        <w:t>7. Effets indésirables et prévention</w:t>
      </w:r>
    </w:p>
    <w:p>
      <w:r/>
      <w:r>
        <w:rPr>
          <w:b/>
        </w:rPr>
        <w:t>Hypervitaminose A aiguë</w:t>
      </w:r>
      <w:r>
        <w:t xml:space="preserve"> — Observée après dose unique massive (&gt; 300 000 UI chez l'adulte, &gt; 100 000 UI chez l'enfant, &gt; 25 000 UI/kg chez le nourrisson). Symptomatologie dans les 4-12 heures : </w:t>
      </w:r>
      <w:r>
        <w:rPr>
          <w:b/>
        </w:rPr>
        <w:t>hypertension intracrânienne bénigne</w:t>
      </w:r>
      <w:r>
        <w:t xml:space="preserve"> (céphalées intenses, vomissements en jet, somnolence, papilledème), nausées, vomissements, irritabilité, fièvre, desquamation cutanée (à J7). Traitement : arrêt de la vitamine A, hydratation, antalgiques, surveillance neurologique. Évolution favorable en 1-2 semaines.</w:t>
      </w:r>
    </w:p>
    <w:p>
      <w:r/>
      <w:r>
        <w:rPr>
          <w:b/>
        </w:rPr>
        <w:t>Hypervitaminose A chronique</w:t>
      </w:r>
      <w:r>
        <w:t xml:space="preserve"> — Observée après &gt; 25 000 UI/jour pendant plusieurs mois. Symptomatologie insidieuse : asthénie, anorexie, nausées, perte de poids, </w:t>
      </w:r>
      <w:r>
        <w:rPr>
          <w:b/>
        </w:rPr>
        <w:t>hépatomégalie</w:t>
      </w:r>
      <w:r>
        <w:t xml:space="preserve"> puis </w:t>
      </w:r>
      <w:r>
        <w:rPr>
          <w:b/>
        </w:rPr>
        <w:t>fibrose hépatique</w:t>
      </w:r>
      <w:r>
        <w:t xml:space="preserve"> et </w:t>
      </w:r>
      <w:r>
        <w:rPr>
          <w:b/>
        </w:rPr>
        <w:t>cirrhose vitaminique A</w:t>
      </w:r>
      <w:r>
        <w:t>, alopécie, sécheresse cutanée, fissures labiales, arthralgies, hyperostose périostée (radiographie osseuse), hypercalcémie, hyperlipidémie. Traitement : arrêt immédiat de la vitamine A, suivi hépatologique prolongé (transaminases, échographie, FibroScan). L'hypervitaminose A chronique peut résulter aussi d'une consommation excessive de foie animal (foie de baleine, foie d'ours polaire, foie de bœuf à fortes doses).</w:t>
      </w:r>
    </w:p>
    <w:p>
      <w:r/>
      <w:r>
        <w:rPr>
          <w:b/>
        </w:rPr>
        <w:t>Tératogénicité</w:t>
      </w:r>
      <w:r>
        <w:t xml:space="preserve"> — La vitamine A à dose thérapeutique (&gt; 10 000 UI/jour) est </w:t>
      </w:r>
      <w:r>
        <w:rPr>
          <w:b/>
        </w:rPr>
        <w:t>tératogène majeur</w:t>
      </w:r>
      <w:r>
        <w:t xml:space="preserve"> chez la femme enceine. Le syndrome de rétinoïde embryopathie (retinoic acid embryopathy) associe : malformations cranio-faciales (microtie, agénésie des oreilles, fente palatine), malformations cardiaques (tétralogie de Fallot, truncus arteriosus, anomalies des arcs aortiques), agénésie ou hypoplasie du thymus, anomalies du SNC (microcéphalie, hydrocéphalie, agénésie du corps calleux, anomalies cérébelleuses), retard mental. Risque tératogène maximal pendant le 1er trimestre (organogenèse J15-J60 post-conception). </w:t>
      </w:r>
      <w:r>
        <w:rPr>
          <w:b/>
        </w:rPr>
        <w:t>Prévention :</w:t>
      </w:r>
      <w:r>
        <w:t xml:space="preserve"> toute femme en âge de procréer recevant un rétinoïde (isotrétinoïne, acitrétine, rétinol &gt; 10 000 UI) doit utiliser une contraception efficace (deux méthodes dont une barrière), tester la grossesse avant initiation et à J30, et ce jusqu'à 1 mois après l'arrêt pour l'isotrétinoïne (5 mois pour l'étrétinate historique, 3 ans pour l'acitrétine).</w:t>
      </w:r>
    </w:p>
    <w:p>
      <w:r/>
      <w:r>
        <w:rPr>
          <w:b/>
        </w:rPr>
        <w:t>Prévention</w:t>
      </w:r>
      <w:r>
        <w:t xml:space="preserve"> — Pour le collyre : surveillance ophtalmologique (au-delà de 7-10 jours d'usage intensif, risque de surinfection bactérienne par contamination du flacon). Pour la supplementation orale : respect strict des posologies, vérification de l'absence de prise concomitante d'un rétinoïde de synthèse (isotrétinoïne), information de la patiente sur la nécessité d'une contraception en cas de dose &gt; 10 000 UI/jour.</w:t>
      </w:r>
    </w:p>
    <w:p>
      <w:pPr>
        <w:pStyle w:val="Heading4"/>
      </w:pPr>
      <w:r>
        <w:t>8. Interactions médicamenteuses</w:t>
      </w:r>
    </w:p>
    <w:p>
      <w:r/>
      <w:r>
        <w:rPr>
          <w:b/>
        </w:rPr>
        <w:t>Rétinoïdes de synthèse (isotrétinoïne, acitrétine, étetrinate, adapalène, trétinoïne, bexarotène)</w:t>
      </w:r>
      <w:r>
        <w:t xml:space="preserve"> — </w:t>
      </w:r>
      <w:r>
        <w:rPr>
          <w:b/>
        </w:rPr>
        <w:t>Association contre-indiquée</w:t>
      </w:r>
      <w:r>
        <w:t xml:space="preserve"> : effet cumulatif toxique (hypervitaminose A additive — hépatotoxicité, hypertension intracrânienne, hyperostose, tératogénicité).</w:t>
      </w:r>
    </w:p>
    <w:p>
      <w:r/>
      <w:r>
        <w:rPr>
          <w:b/>
        </w:rPr>
        <w:t>Anticoagulants oraux (AVK — warfarine, acénocoumarol, fluindione)</w:t>
      </w:r>
      <w:r>
        <w:t xml:space="preserve"> — Risque d'</w:t>
      </w:r>
      <w:r>
        <w:rPr>
          <w:b/>
        </w:rPr>
        <w:t>hypoprothrombinémie et d'hémorragie</w:t>
      </w:r>
      <w:r>
        <w:t xml:space="preserve"> (la vitamine A à dose &gt; 10 000 UI/jour antagonise la vitamine K hépatique par compétition métabolique). Surveillance INR, ajustement posologique.</w:t>
      </w:r>
    </w:p>
    <w:p>
      <w:r/>
      <w:r>
        <w:rPr>
          <w:b/>
        </w:rPr>
        <w:t>Chélateurs intestinaux</w:t>
      </w:r>
      <w:r>
        <w:t xml:space="preserve"> — Cholestyramine, colestipol : diminution de l'absorption du rétinol (espacer les prises de 4 heures minimum). Huile de paraffine : diminution de l'absorption de la vitamine A liposoluble (déconseillée, préférer mucilage, psyllium).</w:t>
      </w:r>
    </w:p>
    <w:p>
      <w:r/>
      <w:r>
        <w:rPr>
          <w:b/>
        </w:rPr>
        <w:t>Anticonvulsivants inducteurs enzymatiques</w:t>
      </w:r>
      <w:r>
        <w:t xml:space="preserve"> — Phénobarbital, phénytoïne, carbamazépine, primidone : induction du CYP26 → accélération du catabolisme de l'acide rétinoïque → possible carence en vitamine A. Surveillance clinique et biologique (rétinolémie).</w:t>
      </w:r>
    </w:p>
    <w:p>
      <w:r/>
      <w:r>
        <w:rPr>
          <w:b/>
        </w:rPr>
        <w:t>Néomycine, orlistat, oléstra</w:t>
      </w:r>
      <w:r>
        <w:t xml:space="preserve"> — Diminution de l'absorption intestinale du rétinol (modification de la flore, chélation, inhibition de la lipase pancréatique).</w:t>
      </w:r>
    </w:p>
    <w:p>
      <w:r/>
      <w:r>
        <w:rPr>
          <w:b/>
        </w:rPr>
        <w:t>Alcool</w:t>
      </w:r>
      <w:r>
        <w:t xml:space="preserve"> — Potentialisation de l'hépatotoxicité de la vitamine A (compétition métabolique ADH éthanol/rétinol → accumulation d'acide rétinoïque → hépatotoxicité synergique).</w:t>
      </w:r>
    </w:p>
    <w:p>
      <w:r/>
      <w:r>
        <w:rPr>
          <w:b/>
        </w:rPr>
        <w:t>Fer</w:t>
      </w:r>
      <w:r>
        <w:t xml:space="preserve"> — Vitamine A et fer interagissent : la vitamine A est nécessaire à la mobilisation du fer depuis les stocks hépatiques (régulation de la ferritine). La supplémentation combinée fer + vitamine A est synergique dans le traitement de l'anémie ferriprive de l'enfant carencé.</w:t>
      </w:r>
    </w:p>
    <w:p>
      <w:pPr>
        <w:pStyle w:val="Heading4"/>
      </w:pPr>
      <w:r>
        <w:t>9. Grossesse, allaitement et CRAT</w:t>
      </w:r>
    </w:p>
    <w:p>
      <w:r/>
      <w:r>
        <w:rPr>
          <w:b/>
        </w:rPr>
        <w:t>Grossesse</w:t>
      </w:r>
      <w:r>
        <w:t xml:space="preserve"> — La vitamine A à dose </w:t>
      </w:r>
      <w:r>
        <w:rPr>
          <w:b/>
        </w:rPr>
        <w:t>nutritionnelle</w:t>
      </w:r>
      <w:r>
        <w:t xml:space="preserve"> (≤ 2 500 UI/jour soit 750 µg ER) est </w:t>
      </w:r>
      <w:r>
        <w:rPr>
          <w:b/>
        </w:rPr>
        <w:t>autorisée</w:t>
      </w:r>
      <w:r>
        <w:t xml:space="preserve"> pendant la grossesse et fait partie des supplémentations prénatales recommandées. La vitamine A à dose </w:t>
      </w:r>
      <w:r>
        <w:rPr>
          <w:b/>
        </w:rPr>
        <w:t>pharmacologique</w:t>
      </w:r>
      <w:r>
        <w:t xml:space="preserve"> (&gt; 10 000 UI/jour soit 3 000 µg ER) est </w:t>
      </w:r>
      <w:r>
        <w:rPr>
          <w:b/>
        </w:rPr>
        <w:t>tératogène et contre-indiquée</w:t>
      </w:r>
      <w:r>
        <w:t xml:space="preserve"> pendant la grossesse. Le CRAT (Centre de Renseignement sur les Agents Tératogènes) classe le rétinol en : </w:t>
      </w:r>
      <w:r>
        <w:rPr>
          <w:i/>
        </w:rPr>
        <w:t>« Compatible si &lt; 2 500 UI/j ; Déconseillé au-delà ; Contre-indiqué au-dessus de 10 000 UI/j. »</w:t>
      </w:r>
      <w:r>
        <w:t xml:space="preserve"> Les rétinoïdes de synthèse (isotrétinoïne, acitrétine) sont </w:t>
      </w:r>
      <w:r>
        <w:rPr>
          <w:b/>
        </w:rPr>
        <w:t>contre-indiqués strictement</w:t>
      </w:r>
      <w:r>
        <w:t xml:space="preserve"> pendant toute la grossesse et jusqu'à 1 mois (isotrétinoïne) à 3 ans (acitrétine) avant la conception.</w:t>
      </w:r>
    </w:p>
    <w:p>
      <w:r/>
      <w:r>
        <w:rPr>
          <w:b/>
        </w:rPr>
        <w:t>Recommandations pratiques pour le pharmacien :</w:t>
      </w:r>
      <w:r>
        <w:t xml:space="preserve"> Toute prescription de vitamine A à dose &gt; 2 500 UI/jour chez une femme en âge de procréer impose : (1) vérification de la contraception ; (2) test de grossesse pré-thérapeutique négatif ; (3) information de la patiente sur le risque tératogène ; (4) réévaluation à chaque cycle menstruel. Le pharmacien doit </w:t>
      </w:r>
      <w:r>
        <w:rPr>
          <w:b/>
        </w:rPr>
        <w:t>systématiquement demander</w:t>
      </w:r>
      <w:r>
        <w:t xml:space="preserve"> à une femme achetant un complément alimentaire de vitamine A si elle est enceinte ou envisage une grossesse, et orienter vers son médecin en cas de doute.</w:t>
      </w:r>
    </w:p>
    <w:p>
      <w:r/>
      <w:r>
        <w:rPr>
          <w:b/>
        </w:rPr>
        <w:t>Allaitement</w:t>
      </w:r>
      <w:r>
        <w:t xml:space="preserve"> — Le rétinol passe dans le lait maternel (concentration 3-5 fois supérieure au sérum maternel). La supplémentation à dose nutritionnelle (≤ 4 000 UI/jour) est </w:t>
      </w:r>
      <w:r>
        <w:rPr>
          <w:b/>
        </w:rPr>
        <w:t>compatible</w:t>
      </w:r>
      <w:r>
        <w:t xml:space="preserve"> avec l'allaitement et contribue à couvrir les besoins de l'enfant allaité (besoins : 400-600 µg ER/jour chez le nourrisson). Les doses pharmacologiques (&gt; 25 000 UI/jour) sont </w:t>
      </w:r>
      <w:r>
        <w:rPr>
          <w:b/>
        </w:rPr>
        <w:t>déconseillées</w:t>
      </w:r>
      <w:r>
        <w:t xml:space="preserve"> pendant l'allaitement en raison du risque d'hypervitaminose A chez le nourrisson (hépatotoxicité, hypertension intracrânienne).</w:t>
      </w:r>
    </w:p>
    <w:p>
      <w:r/>
      <w:r>
        <w:rPr>
          <w:b/>
        </w:rPr>
        <w:t>Femme en âge de procréer sous contraception œstroprogestative</w:t>
      </w:r>
      <w:r>
        <w:t xml:space="preserve"> — Aucune interaction pertinente ; la contraception orale combinée est une méthode contraceptive fiable pour autoriser la vitamine A à dose modérée (jusqu'à 5 000-8 000 UI/jour) sous surveillance.</w:t>
      </w:r>
    </w:p>
    <w:p>
      <w:pPr>
        <w:pStyle w:val="Heading4"/>
      </w:pPr>
      <w:r>
        <w:t>10. Formes galéniques disponibles</w:t>
      </w:r>
    </w:p>
    <w:p>
      <w:pPr>
        <w:pStyle w:val="ListBullet"/>
      </w:pPr>
      <w:r/>
      <w:r>
        <w:rPr>
          <w:b/>
        </w:rPr>
        <w:t>Collyre ophtamologique</w:t>
      </w:r>
      <w:r>
        <w:t xml:space="preserve"> (VITAMINE A FAURE EUROPHTA, VITAMINE A GL GENERIC LAB) : solution huileuse de rétinol palmitate à 15 000 UI/mL, flacon de 10 mL avec compte-gouttes intégré. Forme de référence pour le traitement local de la sécheresse oculaire.</w:t>
      </w:r>
    </w:p>
    <w:p>
      <w:pPr>
        <w:pStyle w:val="ListBullet"/>
      </w:pPr>
      <w:r/>
      <w:r>
        <w:rPr>
          <w:b/>
        </w:rPr>
        <w:t>Comprimé effervescent multivitaminique</w:t>
      </w:r>
      <w:r>
        <w:t xml:space="preserve"> (ASTENIA SARL API) : association poly-composant (vitamines A, D3, E, B1, B2, B6, B12, C, PP, acide folique, acide pantothénique, biotine, β-carotène), dosage rétinol 0,4 mg/comprimé (≈ 1 300 UI). Tube de 20 comprimés.</w:t>
      </w:r>
    </w:p>
    <w:p>
      <w:pPr>
        <w:pStyle w:val="ListBullet"/>
      </w:pPr>
      <w:r/>
      <w:r>
        <w:rPr>
          <w:b/>
        </w:rPr>
        <w:t>Formes historiques retirées du marché algérien</w:t>
      </w:r>
      <w:r>
        <w:t xml:space="preserve"> : VITAMINE A SAIDAL (gélule orale), A-MULSA, A-VIT (solution injectable IM). Formes importées disponibles : A-VIT (Hoechst), AROVIT (Roche) — exclusivement par importation exceptionnelle.</w:t>
      </w:r>
    </w:p>
    <w:p>
      <w:pPr>
        <w:pStyle w:val="Heading4"/>
      </w:pPr>
      <w:r>
        <w:t>11. Conseils au patient</w:t>
      </w:r>
    </w:p>
    <w:p>
      <w:pPr>
        <w:pStyle w:val="ListBullet"/>
      </w:pPr>
      <w:r/>
      <w:r>
        <w:rPr>
          <w:b/>
        </w:rPr>
        <w:t>Pour le collyre :</w:t>
      </w:r>
      <w:r>
        <w:t xml:space="preserve"> lavage soigneux des mains avant instillation ; pencher la tête en arrière, tirer délicatement la paupière inférieure vers le bas pour former une gouttière ; instiller 1 goutte sans toucher l'œil avec l'embout du flacon ; fermer l'œil doucement et masser la paupière pendant 1 minute pour répartir le produit ; ne pas cligner pendant 30 secondes ; attendre 5 minutes entre deux instillations différentes. Conservation : flacon fermé à température ambiante (&lt; 25 °C), à l'abri de la lumière ; durée d'utilisation après ouverture : 15 jours maximum (risque de contamination bactérienne). Ne jamais rincer l'embout à l'eau.</w:t>
      </w:r>
    </w:p>
    <w:p>
      <w:pPr>
        <w:pStyle w:val="ListBullet"/>
      </w:pPr>
      <w:r/>
      <w:r>
        <w:rPr>
          <w:b/>
        </w:rPr>
        <w:t>Pour la supplémentation orale :</w:t>
      </w:r>
      <w:r>
        <w:t xml:space="preserve"> prendre au cours d'un repas contenant des graisses (améliore l'absorption) ; ne pas dépasser la dose prescrite ; informer le médecin de tout autre traitement en cours (rétinoïdes, AVK, anticonvulsivants).</w:t>
      </w:r>
    </w:p>
    <w:p>
      <w:pPr>
        <w:pStyle w:val="ListBullet"/>
      </w:pPr>
      <w:r/>
      <w:r>
        <w:rPr>
          <w:b/>
        </w:rPr>
        <w:t>Femme enceinte ou envisageant une grossesse :</w:t>
      </w:r>
      <w:r>
        <w:t xml:space="preserve"> ne pas prendre de complément de vitamine A à dose &gt; 2 500 UI/jour sans avis médical ; éviter la consommation excessive de foie animal (foie de bœuf &gt; 200 g/semaine) pendant le premier trimestre ; vérifier la composition des compléments alimentaires importés (certains contiennent &gt; 10 000 UI/capsule).</w:t>
      </w:r>
    </w:p>
    <w:p>
      <w:pPr>
        <w:pStyle w:val="ListBullet"/>
      </w:pPr>
      <w:r/>
      <w:r>
        <w:rPr>
          <w:b/>
        </w:rPr>
        <w:t>Enfant :</w:t>
      </w:r>
      <w:r>
        <w:t xml:space="preserve"> garder les flacons de vitamine A hors de portée (risque d'intoxication aiguë par ingestion massive — doses pédiatriques 10 fois moindres que chez l'adulte).</w:t>
      </w:r>
    </w:p>
    <w:p>
      <w:pPr>
        <w:pStyle w:val="ListBullet"/>
      </w:pPr>
      <w:r/>
      <w:r>
        <w:rPr>
          <w:b/>
        </w:rPr>
        <w:t>Sujet âgé :</w:t>
      </w:r>
      <w:r>
        <w:t xml:space="preserve"> surveillance de la fonction hépatique en cas de supplémentation prolongée (&gt; 6 mois), dosage des transaminases (ALAT, ASAT) tous les 3-6 mois si &gt; 10 000 UI/jour.</w:t>
      </w:r>
    </w:p>
    <w:p>
      <w:pPr>
        <w:pStyle w:val="Heading4"/>
      </w:pPr>
      <w:r>
        <w:t>12. Pièges au comptoir — Règles d'or</w:t>
      </w:r>
    </w:p>
    <w:p>
      <w:pPr>
        <w:pStyle w:val="ListNumber"/>
      </w:pPr>
      <w:r/>
      <w:r>
        <w:rPr>
          <w:b/>
        </w:rPr>
        <w:t>Tératogénicité de la vitamine A à dose pharmacologique</w:t>
      </w:r>
      <w:r>
        <w:t xml:space="preserve"> — Règle absolue : une femme enceinte ou envisageant une grossesse ne doit JAMAIS recevoir de vitamine A à dose &gt; 2 500 UI/jour sans prescription médicale. Le pharmacien doit interroger toute femme achetant un complément de vitamine A sur son statut gestationnel.</w:t>
      </w:r>
    </w:p>
    <w:p>
      <w:pPr>
        <w:pStyle w:val="ListNumber"/>
      </w:pPr>
      <w:r/>
      <w:r>
        <w:rPr>
          <w:b/>
        </w:rPr>
        <w:t>Carence et hypervitaminose</w:t>
      </w:r>
      <w:r>
        <w:t xml:space="preserve"> — La carence en vitamine A est rare en Algérie mais l'hypervitaminose chronique par automédication de compléments importés est observée (hépatotoxicité). Toujours demander la composition exacte du produit acheté.</w:t>
      </w:r>
    </w:p>
    <w:p>
      <w:pPr>
        <w:pStyle w:val="ListNumber"/>
      </w:pPr>
      <w:r/>
      <w:r>
        <w:rPr>
          <w:b/>
        </w:rPr>
        <w:t>Collyre non lavé après usage</w:t>
      </w:r>
      <w:r>
        <w:t xml:space="preserve"> — Un flacon de collyre ouvert doit être conservé 15 jours maximum ; au-delà, risque de contamination bactérienne pouvant aggraver la pathologie oculaire initiale.</w:t>
      </w:r>
    </w:p>
    <w:p>
      <w:pPr>
        <w:pStyle w:val="ListNumber"/>
      </w:pPr>
      <w:r/>
      <w:r>
        <w:rPr>
          <w:b/>
        </w:rPr>
        <w:t>Compléments alimentaires « naturels » non inoffensifs</w:t>
      </w:r>
      <w:r>
        <w:t xml:space="preserve"> — Les compléments à base d'huile de foie de poisson (cod liver oil), de foie de baleine, de β-carotène sont souvent perçus comme inoffensifs par les patients mais peuvent contenir des doses massives de vitamine A. Toujours vérifier la teneur en UI par capsule.</w:t>
      </w:r>
    </w:p>
    <w:p>
      <w:pPr>
        <w:pStyle w:val="ListNumber"/>
      </w:pPr>
      <w:r/>
      <w:r>
        <w:rPr>
          <w:b/>
        </w:rPr>
        <w:t>β-carotène vs rétinol</w:t>
      </w:r>
      <w:r>
        <w:t xml:space="preserve"> — Le β-carotène est une provitamine A qui n'est pas tératogène (pas de conversion massive en acide rétinoïque) ; sa supplémentation est moins risquée que le rétinol chez la femme enceinte. Le pharmacien peut orienter vers le β-carotène en cas de doute.</w:t>
      </w:r>
    </w:p>
    <w:p>
      <w:pPr>
        <w:pStyle w:val="ListNumber"/>
      </w:pPr>
      <w:r/>
      <w:r>
        <w:rPr>
          <w:b/>
        </w:rPr>
        <w:t>Rétinoïdes de synthèse (isotrétinoïne, acitrétine)</w:t>
      </w:r>
      <w:r>
        <w:t xml:space="preserve"> — Ne JAMAIS associer une supplémentation vitaminique A à un traitement par isotrétinoïne (ROACCUTANE) ou acitrétine (SORIATANE) — risque d'hypervitaminose A additive grave (hépatite, hypertension intracrânienne).</w:t>
      </w:r>
    </w:p>
    <w:p>
      <w:pPr>
        <w:pStyle w:val="ListNumber"/>
      </w:pPr>
      <w:r/>
      <w:r>
        <w:rPr>
          <w:b/>
        </w:rPr>
        <w:t>Voie IM non disponible en Algérie</w:t>
      </w:r>
      <w:r>
        <w:t xml:space="preserve"> — Pour la kératomalacie sévère justifiant la voie IM, le pharmacien doit orienter le patient vers une structure hospitalière qui pourra importer la forme injectable.</w:t>
      </w:r>
    </w:p>
    <w:p>
      <w:pPr>
        <w:pStyle w:val="ListNumber"/>
      </w:pPr>
      <w:r/>
      <w:r>
        <w:rPr>
          <w:b/>
        </w:rPr>
        <w:t>Surconsommation de foie animal</w:t>
      </w:r>
      <w:r>
        <w:t xml:space="preserve"> — Informer la patiente enceinte que le foie de bœuf, de volaille, et particulièrement de gibier (ours, phoque) contient des doses massives de vitamine A et doit être évité pendant le premier trimestre.</w:t>
      </w:r>
    </w:p>
    <w:p>
      <w:pPr>
        <w:pStyle w:val="ListNumber"/>
      </w:pPr>
      <w:r/>
      <w:r>
        <w:rPr>
          <w:b/>
        </w:rPr>
        <w:t>Diagnostic de carence</w:t>
      </w:r>
      <w:r>
        <w:t xml:space="preserve"> — Le dosage du rétinol sérique (valeur normale 1,05-3,50 µmol/L ou 30-100 µg/dL) ne se justifie qu'en cas de suspicion de carence (héméralopie, xérosis) ou d'hypervitaminose (clinique évocatrice). Le dosage de l'acide rétinoïque n'est pas réalisé en routine.</w:t>
      </w:r>
    </w:p>
    <w:p>
      <w:pPr>
        <w:pStyle w:val="ListNumber"/>
      </w:pPr>
      <w:r/>
      <w:r>
        <w:rPr>
          <w:b/>
        </w:rPr>
        <w:t>Antidote de l'hypervitaminose</w:t>
      </w:r>
      <w:r>
        <w:t xml:space="preserve"> — Il n'existe pas d'antidote spécifique de la vitamine A. Le traitement est symptomatique : arrêt de l'apport, hydratation, surveillance neurologique (hypertension intracrânienne), surveillance hépatique. L'acide chénodésoxycholique et la cholestyramine peuvent accélérer l'élimination biliaire.</w:t>
      </w:r>
    </w:p>
    <w:p>
      <w:pPr>
        <w:pStyle w:val="Heading3"/>
      </w:pPr>
      <w:r>
        <w:t>161.9.2. DCI : Ergocalciférol (Vitamine D2)</w:t>
      </w:r>
    </w:p>
    <w:p>
      <w:pPr>
        <w:pStyle w:val="Heading4"/>
      </w:pPr>
      <w:r>
        <w:t>1. Liste catégories pharmaco-thérapeutiques</w:t>
      </w:r>
    </w:p>
    <w:p>
      <w:r/>
      <w:r>
        <w:rPr>
          <w:b/>
        </w:rPr>
        <w:t>Catégories :</w:t>
      </w:r>
      <w:r>
        <w:t xml:space="preserve"> Vitamine ; Vitamine liposoluble ; Vitamine D ; Vitamine D2 (ergocalciférol) ; Prodrogue de la 25-hydroxy-vitamine D ; Cofacteur de l'absorption intestinale calcium-phosphore ; Ligand du VDR (via conversion en calcitriol) ; Supplémentation vitaminique pédiatrique et nutritionnelle ; Association à sels de calcium. </w:t>
      </w:r>
      <w:r>
        <w:rPr>
          <w:b/>
        </w:rPr>
        <w:t>Liste II</w:t>
      </w:r>
      <w:r>
        <w:t xml:space="preserve"> si ergocalciférol isolé &gt; 1 000 UI/ampoule. Disponible en Algérie uniquement en association avec gluconate/lactate de calcium, en suspension buvable.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FRUBIOSE VIT D 1000 UI</w:t>
            </w:r>
          </w:p>
        </w:tc>
        <w:tc>
          <w:tcPr>
            <w:tcW w:type="dxa" w:w="1559"/>
          </w:tcPr>
          <w:p>
            <w:r>
              <w:rPr>
                <w:sz w:val="20"/>
              </w:rPr>
              <w:t>BOEHRINGER INGELHEIM FRANCE</w:t>
            </w:r>
          </w:p>
        </w:tc>
        <w:tc>
          <w:tcPr>
            <w:tcW w:type="dxa" w:w="1559"/>
          </w:tcPr>
          <w:p>
            <w:r>
              <w:rPr>
                <w:sz w:val="20"/>
              </w:rPr>
              <w:t>Suspension buvable, ergocalciférol 1 000 UI + gluconate Ca 129 mg + lactate Ca 36,8 mg /5 mL</w:t>
            </w:r>
          </w:p>
        </w:tc>
        <w:tc>
          <w:tcPr>
            <w:tcW w:type="dxa" w:w="1559"/>
          </w:tcPr>
          <w:p>
            <w:r>
              <w:rPr>
                <w:sz w:val="20"/>
              </w:rPr>
              <w:t>Boîte de 20 ampoules de 5 mL</w:t>
            </w:r>
          </w:p>
        </w:tc>
        <w:tc>
          <w:tcPr>
            <w:tcW w:type="dxa" w:w="1559"/>
          </w:tcPr>
          <w:p>
            <w:r>
              <w:rPr>
                <w:sz w:val="20"/>
              </w:rPr>
              <w:t>—</w:t>
            </w:r>
          </w:p>
        </w:tc>
        <w:tc>
          <w:tcPr>
            <w:tcW w:type="dxa" w:w="1559"/>
          </w:tcPr>
          <w:p>
            <w:r>
              <w:rPr>
                <w:sz w:val="20"/>
              </w:rPr>
              <w:t>Actif</w:t>
            </w:r>
          </w:p>
        </w:tc>
      </w:tr>
      <w:tr>
        <w:tc>
          <w:tcPr>
            <w:tcW w:type="dxa" w:w="1559"/>
          </w:tcPr>
          <w:p>
            <w:r>
              <w:rPr>
                <w:sz w:val="20"/>
              </w:rPr>
              <w:t>FRUBIOSE VIT D 5000 UI</w:t>
            </w:r>
          </w:p>
        </w:tc>
        <w:tc>
          <w:tcPr>
            <w:tcW w:type="dxa" w:w="1559"/>
          </w:tcPr>
          <w:p>
            <w:r>
              <w:rPr>
                <w:sz w:val="20"/>
              </w:rPr>
              <w:t>BOEHRINGER INGELHEIM FRANCE</w:t>
            </w:r>
          </w:p>
        </w:tc>
        <w:tc>
          <w:tcPr>
            <w:tcW w:type="dxa" w:w="1559"/>
          </w:tcPr>
          <w:p>
            <w:r>
              <w:rPr>
                <w:sz w:val="20"/>
              </w:rPr>
              <w:t>Suspension buvable, ergocalciférol 5 000 UI + gluconate Ca 500 mg + lactate Ca 350 mg /5 mL</w:t>
            </w:r>
          </w:p>
        </w:tc>
        <w:tc>
          <w:tcPr>
            <w:tcW w:type="dxa" w:w="1559"/>
          </w:tcPr>
          <w:p>
            <w:r>
              <w:rPr>
                <w:sz w:val="20"/>
              </w:rPr>
              <w:t>Boîte de 20 ampoules de 5 mL</w:t>
            </w:r>
          </w:p>
        </w:tc>
        <w:tc>
          <w:tcPr>
            <w:tcW w:type="dxa" w:w="1559"/>
          </w:tcPr>
          <w:p>
            <w:r>
              <w:rPr>
                <w:sz w:val="20"/>
              </w:rPr>
              <w:t>—</w:t>
            </w:r>
          </w:p>
        </w:tc>
        <w:tc>
          <w:tcPr>
            <w:tcW w:type="dxa" w:w="1559"/>
          </w:tcPr>
          <w:p>
            <w:r>
              <w:rPr>
                <w:sz w:val="20"/>
              </w:rPr>
              <w:t>Actif</w:t>
            </w:r>
          </w:p>
        </w:tc>
      </w:tr>
      <w:tr>
        <w:tc>
          <w:tcPr>
            <w:tcW w:type="dxa" w:w="1559"/>
          </w:tcPr>
          <w:p>
            <w:r>
              <w:rPr>
                <w:sz w:val="20"/>
              </w:rPr>
              <w:t>FRUBIAL FAIBLE</w:t>
            </w:r>
          </w:p>
        </w:tc>
        <w:tc>
          <w:tcPr>
            <w:tcW w:type="dxa" w:w="1559"/>
          </w:tcPr>
          <w:p>
            <w:r>
              <w:rPr>
                <w:sz w:val="20"/>
              </w:rPr>
              <w:t>GROUPE SAIDAL</w:t>
            </w:r>
          </w:p>
        </w:tc>
        <w:tc>
          <w:tcPr>
            <w:tcW w:type="dxa" w:w="1559"/>
          </w:tcPr>
          <w:p>
            <w:r>
              <w:rPr>
                <w:sz w:val="20"/>
              </w:rPr>
              <w:t>Solution buvable, ergocalciférol 1 500 UI + gluconate Ca 125,5 mg + phosphate bicalcique 20,45 mg /5 mL</w:t>
            </w:r>
          </w:p>
        </w:tc>
        <w:tc>
          <w:tcPr>
            <w:tcW w:type="dxa" w:w="1559"/>
          </w:tcPr>
          <w:p>
            <w:r>
              <w:rPr>
                <w:sz w:val="20"/>
              </w:rPr>
              <w:t>Boîte de 20 ampoules de 5 mL</w:t>
            </w:r>
          </w:p>
        </w:tc>
        <w:tc>
          <w:tcPr>
            <w:tcW w:type="dxa" w:w="1559"/>
          </w:tcPr>
          <w:p>
            <w:r>
              <w:rPr>
                <w:sz w:val="20"/>
              </w:rPr>
              <w:t>—</w:t>
            </w:r>
          </w:p>
        </w:tc>
        <w:tc>
          <w:tcPr>
            <w:tcW w:type="dxa" w:w="1559"/>
          </w:tcPr>
          <w:p>
            <w:r>
              <w:rPr>
                <w:sz w:val="20"/>
              </w:rPr>
              <w:t>Actif</w:t>
            </w:r>
          </w:p>
        </w:tc>
      </w:tr>
      <w:tr>
        <w:tc>
          <w:tcPr>
            <w:tcW w:type="dxa" w:w="1559"/>
          </w:tcPr>
          <w:p>
            <w:r>
              <w:rPr>
                <w:sz w:val="20"/>
              </w:rPr>
              <w:t>FRUBIAL FORTE</w:t>
            </w:r>
          </w:p>
        </w:tc>
        <w:tc>
          <w:tcPr>
            <w:tcW w:type="dxa" w:w="1559"/>
          </w:tcPr>
          <w:p>
            <w:r>
              <w:rPr>
                <w:sz w:val="20"/>
              </w:rPr>
              <w:t>SAIDAL</w:t>
            </w:r>
          </w:p>
        </w:tc>
        <w:tc>
          <w:tcPr>
            <w:tcW w:type="dxa" w:w="1559"/>
          </w:tcPr>
          <w:p>
            <w:r>
              <w:rPr>
                <w:sz w:val="20"/>
              </w:rPr>
              <w:t>Suspension buvable, ergocalciférol 5 000 UI + gluconate Ca 500 mg + lactate Ca 350 mg /5 mL</w:t>
            </w:r>
          </w:p>
        </w:tc>
        <w:tc>
          <w:tcPr>
            <w:tcW w:type="dxa" w:w="1559"/>
          </w:tcPr>
          <w:p>
            <w:r>
              <w:rPr>
                <w:sz w:val="20"/>
              </w:rPr>
              <w:t>Boîte de 20 ampoules de 5 mL</w:t>
            </w:r>
          </w:p>
        </w:tc>
        <w:tc>
          <w:tcPr>
            <w:tcW w:type="dxa" w:w="1559"/>
          </w:tcPr>
          <w:p>
            <w:r>
              <w:rPr>
                <w:sz w:val="20"/>
              </w:rPr>
              <w:t>—</w:t>
            </w:r>
          </w:p>
        </w:tc>
        <w:tc>
          <w:tcPr>
            <w:tcW w:type="dxa" w:w="1559"/>
          </w:tcPr>
          <w:p>
            <w:r>
              <w:rPr>
                <w:sz w:val="20"/>
              </w:rPr>
              <w:t>Retiré</w:t>
            </w:r>
          </w:p>
        </w:tc>
      </w:tr>
      <w:tr>
        <w:tc>
          <w:tcPr>
            <w:tcW w:type="dxa" w:w="1559"/>
          </w:tcPr>
          <w:p>
            <w:r>
              <w:rPr>
                <w:sz w:val="20"/>
              </w:rPr>
              <w:t>VICALCIC</w:t>
            </w:r>
          </w:p>
        </w:tc>
        <w:tc>
          <w:tcPr>
            <w:tcW w:type="dxa" w:w="1559"/>
          </w:tcPr>
          <w:p>
            <w:r>
              <w:rPr>
                <w:sz w:val="20"/>
              </w:rPr>
              <w:t>KRG PHARMA</w:t>
            </w:r>
          </w:p>
        </w:tc>
        <w:tc>
          <w:tcPr>
            <w:tcW w:type="dxa" w:w="1559"/>
          </w:tcPr>
          <w:p>
            <w:r>
              <w:rPr>
                <w:sz w:val="20"/>
              </w:rPr>
              <w:t>Sachet, ergocalciférol 5 000 UI + acide ascorbique 120 mg + gluconate Ca 500 mg /5 mL</w:t>
            </w:r>
          </w:p>
        </w:tc>
        <w:tc>
          <w:tcPr>
            <w:tcW w:type="dxa" w:w="1559"/>
          </w:tcPr>
          <w:p>
            <w:r>
              <w:rPr>
                <w:sz w:val="20"/>
              </w:rPr>
              <w:t>Boîte de 20 sachets de 5 mL</w:t>
            </w:r>
          </w:p>
        </w:tc>
        <w:tc>
          <w:tcPr>
            <w:tcW w:type="dxa" w:w="1559"/>
          </w:tcPr>
          <w:p>
            <w:r>
              <w:rPr>
                <w:sz w:val="20"/>
              </w:rPr>
              <w:t>—</w:t>
            </w:r>
          </w:p>
        </w:tc>
        <w:tc>
          <w:tcPr>
            <w:tcW w:type="dxa" w:w="1559"/>
          </w:tcPr>
          <w:p>
            <w:r>
              <w:rPr>
                <w:sz w:val="20"/>
              </w:rPr>
              <w:t>Retiré</w:t>
            </w:r>
          </w:p>
        </w:tc>
      </w:tr>
    </w:tbl>
    <w:p/>
    <w:p>
      <w:r/>
      <w:r>
        <w:rPr>
          <w:b/>
        </w:rPr>
        <w:t>Remarque :</w:t>
      </w:r>
      <w:r>
        <w:t xml:space="preserve"> La vitamine D2 isolée (ergocalciférol pur, sans calcium) n'est pas disponible en Algérie en avril 2026. Toutes les spécialités actives associent la vitamine D2 à des sels de calcium, dans une logique de complément nutritionnel global. Cette situation résulte de l'évolution des pratiques : la vitamine D3 (cholécalciférol) a supplanté la D2 dans la supplémentation isolée en raison de sa meilleure efficacité pour élever la 25-OH-D sérique (cf. section 161.3).</w:t>
      </w:r>
    </w:p>
    <w:p>
      <w:pPr>
        <w:pStyle w:val="Heading4"/>
      </w:pPr>
      <w:r>
        <w:t>3. Mécanisme d'action moléculaire, cellulaire et physiologique</w:t>
      </w:r>
    </w:p>
    <w:p>
      <w:r>
        <w:t xml:space="preserve">L'ergocalciférol (vitamine D2) est un dérivé stéroïdien de structure ergosta-5,7,9(11),22-tétraen-3β-ol, contenant une </w:t>
      </w:r>
      <w:r>
        <w:rPr>
          <w:b/>
        </w:rPr>
        <w:t>double liaison C22-C23</w:t>
      </w:r>
      <w:r>
        <w:t xml:space="preserve"> et un </w:t>
      </w:r>
      <w:r>
        <w:rPr>
          <w:b/>
        </w:rPr>
        <w:t>groupement méthyle C24</w:t>
      </w:r>
      <w:r>
        <w:t xml:space="preserve"> supplémentaires par rapport au cholécalciférol (D3), qui expliquent sa moindre affinité pour la DBP (vitamin D Binding Protein) et son catabolisme plus rapide par le CYP24A1. Sa structure de base est identique au cholécalciférol : cycle A (benzénique), cycle B (cyclohexénique portant le triène), cycle C (cyclohexane), cycle D (cyclopentane), chaîne latérale en C9.</w:t>
      </w:r>
    </w:p>
    <w:p>
      <w:r>
        <w:t xml:space="preserve">L'ergocalciférol est biologiquement inactif et doit subir deux hydroxylations successives pour devenir fonctionnel. La </w:t>
      </w:r>
      <w:r>
        <w:rPr>
          <w:b/>
        </w:rPr>
        <w:t>25-hydroxylation hépatique</w:t>
      </w:r>
      <w:r>
        <w:t xml:space="preserve"> (CYP2R1, CYP27A1) produit l'</w:t>
      </w:r>
      <w:r>
        <w:rPr>
          <w:b/>
        </w:rPr>
        <w:t>ercalcidiol (25-OH-D2)</w:t>
      </w:r>
      <w:r>
        <w:t xml:space="preserve">, métabolite circulatoire de stockage, dont la demi-vie est plus courte (13-15 jours) que celle du 25-OH-D3 (15-25 jours). La </w:t>
      </w:r>
      <w:r>
        <w:rPr>
          <w:b/>
        </w:rPr>
        <w:t>1α-hydroxylation rénale</w:t>
      </w:r>
      <w:r>
        <w:t xml:space="preserve"> (CYP27B1, régulée par PTH, hypophosphatémie, FGF23 — inhibiteur) produit l'</w:t>
      </w:r>
      <w:r>
        <w:rPr>
          <w:b/>
        </w:rPr>
        <w:t>ercalcitriol (1,25-(OH)₂-D2)</w:t>
      </w:r>
      <w:r>
        <w:t xml:space="preserve">, forme biologiquement active. Le ercalcitriol se lie au </w:t>
      </w:r>
      <w:r>
        <w:rPr>
          <w:b/>
        </w:rPr>
        <w:t>VDR</w:t>
      </w:r>
      <w:r>
        <w:t xml:space="preserve"> (Vitamin D Receptor) avec une affinité identique au calcitriol, mais son effet biologique est plus court en raison de son catabolisme plus rapide par le CYP24A1 (24-hydroxylase) qui le convertit en calcitroïque acide inactif.</w:t>
      </w:r>
    </w:p>
    <w:p>
      <w:r>
        <w:t xml:space="preserve">L'activation du VDR par le ercalcitriol entraîne la </w:t>
      </w:r>
      <w:r>
        <w:rPr>
          <w:b/>
        </w:rPr>
        <w:t>formation du complexe VDR-RXR</w:t>
      </w:r>
      <w:r>
        <w:t xml:space="preserve"> (récepteur 9-cis-rétinoïque) qui migre dans le noyau et se fixe aux </w:t>
      </w:r>
      <w:r>
        <w:rPr>
          <w:b/>
        </w:rPr>
        <w:t>VDRE (Vitamin D Response Elements)</w:t>
      </w:r>
      <w:r>
        <w:t xml:space="preserve"> des gènes cibles. Les principaux gènes régulés sont : (1) </w:t>
      </w:r>
      <w:r>
        <w:rPr>
          <w:b/>
        </w:rPr>
        <w:t>calbindine-D9k</w:t>
      </w:r>
      <w:r>
        <w:t xml:space="preserve"> (intestin, transporteur intracellulaire du Ca²⁺) ; (2) </w:t>
      </w:r>
      <w:r>
        <w:rPr>
          <w:b/>
        </w:rPr>
        <w:t>TRPV6</w:t>
      </w:r>
      <w:r>
        <w:t xml:space="preserve"> (canal calcique apical entérocytaire) ; (3) </w:t>
      </w:r>
      <w:r>
        <w:rPr>
          <w:b/>
        </w:rPr>
        <w:t>TRPV5</w:t>
      </w:r>
      <w:r>
        <w:t xml:space="preserve"> (canal calcique rénal distal) ; (4) </w:t>
      </w:r>
      <w:r>
        <w:rPr>
          <w:b/>
        </w:rPr>
        <w:t>PMCA1b</w:t>
      </w:r>
      <w:r>
        <w:t xml:space="preserve"> (pompe Ca²⁺ ATPase basolaterale) ; (5) </w:t>
      </w:r>
      <w:r>
        <w:rPr>
          <w:b/>
        </w:rPr>
        <w:t>CYP24A1</w:t>
      </w:r>
      <w:r>
        <w:t xml:space="preserve"> (auto-asservissement négatif) ; (6) </w:t>
      </w:r>
      <w:r>
        <w:rPr>
          <w:b/>
        </w:rPr>
        <w:t>CYP27B1</w:t>
      </w:r>
      <w:r>
        <w:t xml:space="preserve"> (auto-asservissement négatif) ; (7) </w:t>
      </w:r>
      <w:r>
        <w:rPr>
          <w:b/>
        </w:rPr>
        <w:t>PTH</w:t>
      </w:r>
      <w:r>
        <w:t xml:space="preserve"> (rétrocontrôle négatif) ; (8) </w:t>
      </w:r>
      <w:r>
        <w:rPr>
          <w:b/>
        </w:rPr>
        <w:t>FGF23</w:t>
      </w:r>
      <w:r>
        <w:t xml:space="preserve"> (rétrocontrôle phosphoré) ; (9) </w:t>
      </w:r>
      <w:r>
        <w:rPr>
          <w:b/>
        </w:rPr>
        <w:t>ostéocalcine</w:t>
      </w:r>
      <w:r>
        <w:t xml:space="preserve"> (minéralisation osseuse) ; (10) </w:t>
      </w:r>
      <w:r>
        <w:rPr>
          <w:b/>
        </w:rPr>
        <w:t>RANKL</w:t>
      </w:r>
      <w:r>
        <w:t xml:space="preserve"> (résorption osseuse).</w:t>
      </w:r>
    </w:p>
    <w:p>
      <w:r>
        <w:t xml:space="preserve">Les effets physiologiques sont : </w:t>
      </w:r>
      <w:r>
        <w:rPr>
          <w:b/>
        </w:rPr>
        <w:t>augmentation de l'absorption intestinale du calcium</w:t>
      </w:r>
      <w:r>
        <w:t xml:space="preserve"> (de 10-15 % à 30-40 %), </w:t>
      </w:r>
      <w:r>
        <w:rPr>
          <w:b/>
        </w:rPr>
        <w:t>augmentation de l'absorption intestinale du phosphore</w:t>
      </w:r>
      <w:r>
        <w:t xml:space="preserve"> (de 50 % à 80 %), </w:t>
      </w:r>
      <w:r>
        <w:rPr>
          <w:b/>
        </w:rPr>
        <w:t>augmentation de la réabsorption rénale distale du calcium</w:t>
      </w:r>
      <w:r>
        <w:t xml:space="preserve"> (TRPV5, calbindine-D28k), </w:t>
      </w:r>
      <w:r>
        <w:rPr>
          <w:b/>
        </w:rPr>
        <w:t>stimulation de l'ostéoclastogenèse</w:t>
      </w:r>
      <w:r>
        <w:t xml:space="preserve"> via RANKL (libération du calcium osseux en cas d'hypocalcémie), </w:t>
      </w:r>
      <w:r>
        <w:rPr>
          <w:b/>
        </w:rPr>
        <w:t>inhibition de la PTH</w:t>
      </w:r>
      <w:r>
        <w:t xml:space="preserve"> (réduction de la résorption osseuse chronique), </w:t>
      </w:r>
      <w:r>
        <w:rPr>
          <w:b/>
        </w:rPr>
        <w:t>effets immuno-modulateurs</w:t>
      </w:r>
      <w:r>
        <w:t xml:space="preserve"> (différenciation des monocytes en macrophages, induction des cathélicidines et défensines antibactériennes, régulation des lymphocytes T).</w:t>
      </w:r>
    </w:p>
    <w:p>
      <w:pPr>
        <w:pStyle w:val="Heading4"/>
      </w:pPr>
      <w:r>
        <w:t>4. Pharmacocinétique (Profil PK)</w:t>
      </w:r>
    </w:p>
    <w:p>
      <w:r/>
      <w:r>
        <w:rPr>
          <w:b/>
        </w:rPr>
        <w:t>Absorption</w:t>
      </w:r>
      <w:r>
        <w:t xml:space="preserve"> — L'ergocalciférol est absorbé dans le duodénum et le jéjunum par transport micellaire (sels biliaires), captation par les entérocytes via </w:t>
      </w:r>
      <w:r>
        <w:rPr>
          <w:b/>
        </w:rPr>
        <w:t>NPC1L1</w:t>
      </w:r>
      <w:r>
        <w:t xml:space="preserve"> et </w:t>
      </w:r>
      <w:r>
        <w:rPr>
          <w:b/>
        </w:rPr>
        <w:t>SR-BI</w:t>
      </w:r>
      <w:r>
        <w:t>, incorporé dans les chylomicrons, sécrété dans la lymphe. Biodisponibilité orale : 50-80 % (légèrement inférieure au cholécalciférol, 80-100 %). La prise au cours d'un repas contenant des graisses améliore l'absorption de 30-50 %. L'association avec le gluconate/lactate de calcium dans les spécialités FRUBIOSE et FRUBIAL est rationnelle : la vitamine D favorise l'absorption intestinale du calcium co-administré.</w:t>
      </w:r>
    </w:p>
    <w:p>
      <w:r/>
      <w:r>
        <w:rPr>
          <w:b/>
        </w:rPr>
        <w:t>Distribution</w:t>
      </w:r>
      <w:r>
        <w:t xml:space="preserve"> — L'ergocalciférol circulant est lié à la </w:t>
      </w:r>
      <w:r>
        <w:rPr>
          <w:b/>
        </w:rPr>
        <w:t>DBP</w:t>
      </w:r>
      <w:r>
        <w:t xml:space="preserve"> (vitamin D Binding Protein, 85-90 %) et à l'albumine (10-15 %), libre &lt; 1 %. La DBP a une affinité légèrement moindre pour la D2 que pour la D3, ce qui se traduit par une </w:t>
      </w:r>
      <w:r>
        <w:rPr>
          <w:b/>
        </w:rPr>
        <w:t>demi-vie plasmatique plus courte</w:t>
      </w:r>
      <w:r>
        <w:t xml:space="preserve"> pour la D2 et ses métabolites. Volume de distribution : ~0,4 L/kg. Distribution au foie, tissu adipeux, muscle, os.</w:t>
      </w:r>
    </w:p>
    <w:p>
      <w:r/>
      <w:r>
        <w:rPr>
          <w:b/>
        </w:rPr>
        <w:t>Métabolisme</w:t>
      </w:r>
      <w:r>
        <w:t xml:space="preserve"> — 25-hydroxylation hépatique (CYP2R1, CYP27A1) → ercalcidiol ; 1α-hydroxylation rénale (CYP27B1) → ercalcitriol (forme active) ; 24-hydroxylation (CYP24A1) → acide calcitroïque (inactif). Le catabolisme par CYP24A1 est </w:t>
      </w:r>
      <w:r>
        <w:rPr>
          <w:b/>
        </w:rPr>
        <w:t>plus rapide pour la D2 que pour la D3</w:t>
      </w:r>
      <w:r>
        <w:t>, ce qui explique la moindre efficacité biologique de la D2.</w:t>
      </w:r>
    </w:p>
    <w:p>
      <w:r/>
      <w:r>
        <w:rPr>
          <w:b/>
        </w:rPr>
        <w:t>Élimination</w:t>
      </w:r>
      <w:r>
        <w:t xml:space="preserve"> — Biliaire et fécale (70 %) ; urinaire (10 %). Demi-vie d'élimination : ergocalciférol ~24 heures ; ercalcidiol ~13-15 jours ; ercalcitriol ~4-15 heures. Pas d'accumulation significative à doses nutritionnelles, mais risque d'accumulation à doses thérapeutiques massives (&gt; 50 000 UI/jour chronique).</w:t>
      </w:r>
    </w:p>
    <w:p>
      <w:pPr>
        <w:pStyle w:val="Heading4"/>
      </w:pPr>
      <w:r>
        <w:t>5. Indications thérapeutiques</w:t>
      </w:r>
    </w:p>
    <w:p>
      <w:pPr>
        <w:pStyle w:val="ListNumber"/>
      </w:pPr>
      <w:r/>
      <w:r>
        <w:rPr>
          <w:b/>
        </w:rPr>
        <w:t>Prévention et traitement de la carence en vitamine D</w:t>
      </w:r>
      <w:r>
        <w:t xml:space="preserve"> — Posologie adaptée à l'âge et au statut vitaminique. La vitamine D2 reste une option valide, bien que la D3 soit aujourd'hui préférée.</w:t>
      </w:r>
    </w:p>
    <w:p>
      <w:pPr>
        <w:pStyle w:val="ListNumber"/>
      </w:pPr>
      <w:r/>
      <w:r>
        <w:rPr>
          <w:b/>
        </w:rPr>
        <w:t>Rachitisme carentiel</w:t>
      </w:r>
      <w:r>
        <w:t xml:space="preserve"> — traitement curatif : 1 000 à 5 000 UI/jour pendant 4-8 semaines (en fonction de la sévérité).</w:t>
      </w:r>
    </w:p>
    <w:p>
      <w:pPr>
        <w:pStyle w:val="ListNumber"/>
      </w:pPr>
      <w:r/>
      <w:r>
        <w:rPr>
          <w:b/>
        </w:rPr>
        <w:t>Ostéomalacie carentielle</w:t>
      </w:r>
      <w:r>
        <w:t xml:space="preserve"> — 1 000 à 5 000 UI/jour pendant 8-12 semaines.</w:t>
      </w:r>
    </w:p>
    <w:p>
      <w:pPr>
        <w:pStyle w:val="ListNumber"/>
      </w:pPr>
      <w:r/>
      <w:r>
        <w:rPr>
          <w:b/>
        </w:rPr>
        <w:t>Hypoparathyroïdie</w:t>
      </w:r>
      <w:r>
        <w:t xml:space="preserve"> — 50 000 à 150 000 UI/jour en association avec un sel de calcium (dose supérieure à la supplémentation usuelle en raison de l'absence de PTH qui stimule normalement la 1α-hydroxylation).</w:t>
      </w:r>
    </w:p>
    <w:p>
      <w:pPr>
        <w:pStyle w:val="ListNumber"/>
      </w:pPr>
      <w:r/>
      <w:r>
        <w:rPr>
          <w:b/>
        </w:rPr>
        <w:t>Supplémentation de la grossesse et de l'allaitement</w:t>
      </w:r>
      <w:r>
        <w:t xml:space="preserve"> — 1 000 à 2 000 UI/jour (recommandations OMS 2012).</w:t>
      </w:r>
    </w:p>
    <w:p>
      <w:pPr>
        <w:pStyle w:val="ListNumber"/>
      </w:pPr>
      <w:r/>
      <w:r>
        <w:rPr>
          <w:b/>
        </w:rPr>
        <w:t>Supplémentation de l'enfant et du nourrisson</w:t>
      </w:r>
      <w:r>
        <w:t xml:space="preserve"> — 400 à 800 UI/jour dès les premiers jours de vie (recommandations ESPGHAN 2020, sociétés algériennes de pédiatrie).</w:t>
      </w:r>
    </w:p>
    <w:p>
      <w:pPr>
        <w:pStyle w:val="ListNumber"/>
      </w:pPr>
      <w:r/>
      <w:r>
        <w:rPr>
          <w:b/>
        </w:rPr>
        <w:t>Tétanie de l'hypocalcémie néonatale</w:t>
      </w:r>
      <w:r>
        <w:t xml:space="preserve"> — en association avec le calcium IV.</w:t>
      </w:r>
    </w:p>
    <w:p>
      <w:pPr>
        <w:pStyle w:val="Heading4"/>
      </w:pPr>
      <w:r>
        <w:t>6. Posologie et mode d'administration</w:t>
      </w:r>
    </w:p>
    <w:p>
      <w:r/>
      <w:r>
        <w:rPr>
          <w:b/>
        </w:rPr>
        <w:t>Suspension buvable (FRUBIOSE VIT D 1000 UI, FRUBIOSE VIT D 5000 UI, FRUBIAL FAIBLE)</w:t>
      </w:r>
      <w:r>
        <w:t xml:space="preserve"> — forme pédiatrique et adulte, dose variable selon l'âge et l'indication.</w:t>
      </w:r>
    </w:p>
    <w:p>
      <w:r/>
      <w:r>
        <w:rPr>
          <w:b/>
        </w:rPr>
        <w:t>Préventif chez le nourrisson (FRUBIAL FAIBLE = 1 500 UI/5 mL, soit 300 UI/mL)</w:t>
      </w:r>
      <w:r>
        <w:t xml:space="preserve"> — 1 à 2 mL/jour (300 à 600 UI/jour) dès le 8e jour de vie jusqu'à 18 mois, puis pendant les 2 premières années de vie (cf. recommandations algériennes de pédiatrie préventive).</w:t>
      </w:r>
    </w:p>
    <w:p>
      <w:r/>
      <w:r>
        <w:rPr>
          <w:b/>
        </w:rPr>
        <w:t>Préventif chez l'enfant (FRUBIOSE 1000 UI = 1 000 UI/5 mL, soit 200 UI/mL)</w:t>
      </w:r>
      <w:r>
        <w:t xml:space="preserve"> — 2 à 5 mL/jour (400 à 1 000 UI/jour) jusqu'à 5 ans, en cures hivernales d'octobre à mars.</w:t>
      </w:r>
    </w:p>
    <w:p>
      <w:r/>
      <w:r>
        <w:rPr>
          <w:b/>
        </w:rPr>
        <w:t>Curatif chez l'adulte carencé (FRUBIOSE 5000 UI = 5 000 UI/5 mL, soit 1 000 UI/mL)</w:t>
      </w:r>
      <w:r>
        <w:t xml:space="preserve"> — 5 mL/jour (5 000 UI/jour) pendant 4-8 semaines, puis relais par 800-1 000 UI/jour d'entretien.</w:t>
      </w:r>
    </w:p>
    <w:p>
      <w:r/>
      <w:r>
        <w:rPr>
          <w:b/>
        </w:rPr>
        <w:t>Femme enceinte (2e et 3e trimestres)</w:t>
      </w:r>
      <w:r>
        <w:t xml:space="preserve"> — 1 à 2 mL/jour de FRUBIOSE 1000 UI (200-400 UI/jour) ou 1 ampoule de FRUBIAL FAIBLE tous les 2 jours (750 UI/jour). Plus récemment, les recommandations préconisent 1 000-2 000 UI/jour dès le 1er trimestre.</w:t>
      </w:r>
    </w:p>
    <w:p>
      <w:r/>
      <w:r>
        <w:rPr>
          <w:b/>
        </w:rPr>
        <w:t>Voie IM</w:t>
      </w:r>
      <w:r>
        <w:t xml:space="preserve"> — historiquement disponible, actuellement supplantée par la vitamine D3 200 000 UI/mL en IM ou per os.</w:t>
      </w:r>
    </w:p>
    <w:p>
      <w:pPr>
        <w:pStyle w:val="Heading4"/>
      </w:pPr>
      <w:r>
        <w:t>7. Effets indésirables et prévention</w:t>
      </w:r>
    </w:p>
    <w:p>
      <w:r/>
      <w:r>
        <w:rPr>
          <w:b/>
        </w:rPr>
        <w:t>Hypervitaminose D aiguë</w:t>
      </w:r>
      <w:r>
        <w:t xml:space="preserve"> — Observée après dose unique massive (&gt; 300 000 UI) ou après injections répétées rapprochées. Hypercalcémie aiguë (calcémie &gt; 3 mmol/L) : polyuropolydipsie, asthénie, nausées, vomissements, constipation, confusion, troubles du rythme (raccourcissement QT). Hyperphosphatémie. Risque de calcifications métastatiques (néphrocalcinose, calcifications vasculaires, calcifications périarticulaires). Traitement : arrêt immédiat de la vitamine D, hyperhydratation (3-4 L/jour salée), calcitonine (4-8 UI/kg SC), bisphosphonates IV (pamidronate 60-90 mg) ou dénosumab dans les formes sévères.</w:t>
      </w:r>
    </w:p>
    <w:p>
      <w:r/>
      <w:r>
        <w:rPr>
          <w:b/>
        </w:rPr>
        <w:t>Hypervitaminose D chronique</w:t>
      </w:r>
      <w:r>
        <w:t xml:space="preserve"> — Observée après &gt; 10 000 UI/jour pendant plusieurs mois. Hypercalcémie modérée (2,7-3 mmol/L), hypercalciurie, lithiase rénale calcique, néphrocalcinose, insuffisance rénale progressive, calcifications vasculaires. Traitement : arrêt de la vitamine D, surveillance biologique prolongée (calcémie, calciurie, créatininémie).</w:t>
      </w:r>
    </w:p>
    <w:p>
      <w:r/>
      <w:r>
        <w:rPr>
          <w:b/>
        </w:rPr>
        <w:t>Prévention :</w:t>
      </w:r>
      <w:r>
        <w:t xml:space="preserve"> respect strict des posologies, surveillance de la 25-OH-D sérique en cas de supplémentation prolongée &gt; 6 mois ou &gt; 2 000 UI/jour, vérification de l'absence de prise concomitante d'une autre spécialité vitaminique D (risque de cumul), information du patient sur la nécessité de ne pas associer des compléments alimentaires contenant de la vitamine D.</w:t>
      </w:r>
    </w:p>
    <w:p>
      <w:pPr>
        <w:pStyle w:val="Heading4"/>
      </w:pPr>
      <w:r>
        <w:t>8. Interactions médicamenteuses</w:t>
      </w:r>
    </w:p>
    <w:p>
      <w:r/>
      <w:r>
        <w:rPr>
          <w:b/>
        </w:rPr>
        <w:t>Corticoïdes</w:t>
      </w:r>
      <w:r>
        <w:t xml:space="preserve"> — Induction du CYP24A1 → augmentation du catabolisme du calcitriol → diminution de l'efficacité de la vitamine D. Majoration posologique souvent nécessaire (2 000 à 4 000 UI/jour).</w:t>
      </w:r>
    </w:p>
    <w:p>
      <w:r/>
      <w:r>
        <w:rPr>
          <w:b/>
        </w:rPr>
        <w:t>Antiépileptiques inducteurs enzymatiques</w:t>
      </w:r>
      <w:r>
        <w:t xml:space="preserve"> — Phénobarbital, phénytoïne, carbamazépine, primidone : induction du CYP24A1 et du CYP27B1 → accélération du catabolisme et diminution de la synthèse du calcitriol → carence en vitamine D. Supplémentation à 2 000-4 000 UI/jour nécessaire.</w:t>
      </w:r>
    </w:p>
    <w:p>
      <w:r/>
      <w:r>
        <w:rPr>
          <w:b/>
        </w:rPr>
        <w:t>Antituberculeux (rifampicine, isoniazide)</w:t>
      </w:r>
      <w:r>
        <w:t xml:space="preserve"> — Induction du CYP24A1 par la rifampicine → carence vitaminique D. Surveillance et majoration posologique.</w:t>
      </w:r>
    </w:p>
    <w:p>
      <w:r/>
      <w:r>
        <w:rPr>
          <w:b/>
        </w:rPr>
        <w:t>Antifongiques azolés (kétoconazole, itraconazole)</w:t>
      </w:r>
      <w:r>
        <w:t xml:space="preserve"> — Inhibition du CYP27B1 → diminution de la synthèse de calcitriol. Surveillance.</w:t>
      </w:r>
    </w:p>
    <w:p>
      <w:r/>
      <w:r>
        <w:rPr>
          <w:b/>
        </w:rPr>
        <w:t>Diurétiques thiazidiques</w:t>
      </w:r>
      <w:r>
        <w:t xml:space="preserve"> — Diminution de l'excrétion urinaire du calcium → majoration de l'hypercalcémie sous vitamine D. Surveillance calcémie et calciurie.</w:t>
      </w:r>
    </w:p>
    <w:p>
      <w:r/>
      <w:r>
        <w:rPr>
          <w:b/>
        </w:rPr>
        <w:t>Digitaliques (digoxine)</w:t>
      </w:r>
      <w:r>
        <w:t xml:space="preserve"> — L'hypercalcémie induite par la vitamine D potentialise la toxicité digitalique (arythmies ventriculaires). Surveillance ECG et digoxinémie.</w:t>
      </w:r>
    </w:p>
    <w:p>
      <w:r/>
      <w:r>
        <w:rPr>
          <w:b/>
        </w:rPr>
        <w:t>Sels de calcium</w:t>
      </w:r>
      <w:r>
        <w:t xml:space="preserve"> — Augmentation du risque d'hypercalcémie et d'hypercalciurie. Surveillance calcémie et calciurie ; la co-prescription est synergique mais nécessite une surveillance accrue.</w:t>
      </w:r>
    </w:p>
    <w:p>
      <w:r/>
      <w:r>
        <w:rPr>
          <w:b/>
        </w:rPr>
        <w:t>Chélateurs du phosphore (sévélamer, lanthane)</w:t>
      </w:r>
      <w:r>
        <w:t xml:space="preserve"> — Diminution de l'absorption de la vitamine D liposoluble (espacer les prises).</w:t>
      </w:r>
    </w:p>
    <w:p>
      <w:r/>
      <w:r>
        <w:rPr>
          <w:b/>
        </w:rPr>
        <w:t>Orlistat</w:t>
      </w:r>
      <w:r>
        <w:t xml:space="preserve"> — Inhibition de la lipase pancréatique → diminution de l'absorption des vitamines liposolubles. Supplémentation vitaminique D systématique.</w:t>
      </w:r>
    </w:p>
    <w:p>
      <w:r/>
      <w:r>
        <w:rPr>
          <w:b/>
        </w:rPr>
        <w:t>Cholestyramine</w:t>
      </w:r>
      <w:r>
        <w:t xml:space="preserve"> — Diminution de l'absorption intestinale de la vitamine D (espacer de 4 heures).</w:t>
      </w:r>
    </w:p>
    <w:p>
      <w:pPr>
        <w:pStyle w:val="Heading4"/>
      </w:pPr>
      <w:r>
        <w:t>9. Grossesse, allaitement et CRAT</w:t>
      </w:r>
    </w:p>
    <w:p>
      <w:r/>
      <w:r>
        <w:rPr>
          <w:b/>
        </w:rPr>
        <w:t>Grossesse</w:t>
      </w:r>
      <w:r>
        <w:t xml:space="preserve"> — La vitamine D2 à dose </w:t>
      </w:r>
      <w:r>
        <w:rPr>
          <w:b/>
        </w:rPr>
        <w:t>nutritionnelle</w:t>
      </w:r>
      <w:r>
        <w:t xml:space="preserve"> (400-2 000 UI/jour) est </w:t>
      </w:r>
      <w:r>
        <w:rPr>
          <w:b/>
        </w:rPr>
        <w:t>autorisée et recommandée</w:t>
      </w:r>
      <w:r>
        <w:t xml:space="preserve"> pendant la grossesse, particulièrement en Algérie où la carence maternelle est pandémique (prévalence &gt; 70 %). Le CRAT classe l'ergocalciférol comme </w:t>
      </w:r>
      <w:r>
        <w:rPr>
          <w:i/>
        </w:rPr>
        <w:t>« Compatible pendant toute la grossesse aux doses nutritionnelles (400-2 000 UI/j). »</w:t>
      </w:r>
      <w:r>
        <w:t xml:space="preserve"> Les doses supérieures (2 000-4 000 UI/j) sont autorisées en cas de carence avérée, surveillance de la 25-OH-D sérique. </w:t>
      </w:r>
      <w:r>
        <w:rPr>
          <w:b/>
        </w:rPr>
        <w:t>Les doses massives de charge</w:t>
      </w:r>
      <w:r>
        <w:t xml:space="preserve"> (100 000 UI ou 200 000 UI en dose unique) sont à éviter pendant le 1er trimestre par prudence (risque théorique d'hypercalcémie fœtale) ; elles peuvent être administrées au 2e ou 3e trimestre en cas de carence profonde documentée.</w:t>
      </w:r>
    </w:p>
    <w:p>
      <w:r/>
      <w:r>
        <w:rPr>
          <w:b/>
        </w:rPr>
        <w:t>Allaitement</w:t>
      </w:r>
      <w:r>
        <w:t xml:space="preserve"> — La vitamine D2 passe dans le lait maternel en quantité modeste (concentration 20-50 UI/L). La supplémentation maternelle à 2 000-4 000 UI/jour est </w:t>
      </w:r>
      <w:r>
        <w:rPr>
          <w:b/>
        </w:rPr>
        <w:t>compatible avec l'allaitement</w:t>
      </w:r>
      <w:r>
        <w:t xml:space="preserve"> et permet un apport suffisant au nourrisson allaité exclusivement (besoins 400-800 UI/jour). Pour des doses maternelles élevées (&gt; 6 000 UI/jour), surveillance clinique de l'enfant (calcémie, croissance, fontanelle).</w:t>
      </w:r>
    </w:p>
    <w:p>
      <w:r/>
      <w:r>
        <w:rPr>
          <w:b/>
        </w:rPr>
        <w:t>Femme enceinte carencée</w:t>
      </w:r>
      <w:r>
        <w:t xml:space="preserve"> — Schéma algérien recommandé : 1 à 2 ampoules de FRUBIOSE 1000 UI/jour (1 000-2 000 UI/jour) pendant toute la grossesse, ou 1 ampoule de 200 000 UI de vitamine D3 par trimestre en alternative (D3 préférée à D2 en cas de carence profonde — cf. section 161.9.3).</w:t>
      </w:r>
    </w:p>
    <w:p>
      <w:pPr>
        <w:pStyle w:val="Heading4"/>
      </w:pPr>
      <w:r>
        <w:t>10. Formes galéniques disponibles</w:t>
      </w:r>
    </w:p>
    <w:p>
      <w:pPr>
        <w:pStyle w:val="ListBullet"/>
      </w:pPr>
      <w:r/>
      <w:r>
        <w:rPr>
          <w:b/>
        </w:rPr>
        <w:t>Suspension buvable en ampoule de 5 mL</w:t>
      </w:r>
      <w:r>
        <w:t xml:space="preserve"> (FRUBIOSE VIT D 1000 UI, FRUBIOSE VIT D 5000 UI — BOEHRINGER INGELHEIM FRANCE ; FRUBIAL FAIBLE — GROUPE SAIDAL) : formes pédiatrique et adulte, association ergocalciférol + sels de calcium. La suspension buvable permet un dosage précis chez l'enfant (1 mL, 2 mL, 5 mL). Conservation : température &lt; 25 °C, à l'abri de la lumière. Agiter avant emploi.</w:t>
      </w:r>
    </w:p>
    <w:p>
      <w:pPr>
        <w:pStyle w:val="ListBullet"/>
      </w:pPr>
      <w:r/>
      <w:r>
        <w:rPr>
          <w:b/>
        </w:rPr>
        <w:t>Sachet de 5 mL</w:t>
      </w:r>
      <w:r>
        <w:t xml:space="preserve"> (VICALCIC KRG PHARMA — RETIRÉ) : forme historique alternative.</w:t>
      </w:r>
    </w:p>
    <w:p>
      <w:pPr>
        <w:pStyle w:val="ListBullet"/>
      </w:pPr>
      <w:r/>
      <w:r>
        <w:rPr>
          <w:b/>
        </w:rPr>
        <w:t>Formes orales isolées historiques retirées</w:t>
      </w:r>
      <w:r>
        <w:t xml:space="preserve"> : ergocalciférol pur en gélule, en solution huileuse (DRISDOL Sanofi-Winthrop historique).</w:t>
      </w:r>
    </w:p>
    <w:p>
      <w:pPr>
        <w:pStyle w:val="Heading4"/>
      </w:pPr>
      <w:r>
        <w:t>11. Conseils au patient</w:t>
      </w:r>
    </w:p>
    <w:p>
      <w:pPr>
        <w:pStyle w:val="ListBullet"/>
      </w:pPr>
      <w:r/>
      <w:r>
        <w:rPr>
          <w:b/>
        </w:rPr>
        <w:t>Pour la suspension buvable :</w:t>
      </w:r>
      <w:r>
        <w:t xml:space="preserve"> bien agiter l'ampoule avant ouverture ; diluer dans un peu d'eau, de jus de fruit ou de lait ; prendre au cours d'un repas contenant des graisses (améliore l'absorption de la vitamine D liposoluble) ; ne pas dépasser la dose prescrite ; tenir un carnet de suivi des prises chez l'enfant.</w:t>
      </w:r>
    </w:p>
    <w:p>
      <w:pPr>
        <w:pStyle w:val="ListBullet"/>
      </w:pPr>
      <w:r/>
      <w:r>
        <w:rPr>
          <w:b/>
        </w:rPr>
        <w:t>Chez le nourrisson :</w:t>
      </w:r>
      <w:r>
        <w:t xml:space="preserve"> administrer la dose à la cuillère ou à la seringue buvaleur ; éviter le biberon de lait en cas de prise simultanée (l'apport lipidique du lait assure l'absorption, mais ne pas dépasser la dose prescrite) ; surveillance de la fontanelle antérieure (bombée = possible hypertension intracrânienne par hypercalcémie).</w:t>
      </w:r>
    </w:p>
    <w:p>
      <w:pPr>
        <w:pStyle w:val="ListBullet"/>
      </w:pPr>
      <w:r/>
      <w:r>
        <w:rPr>
          <w:b/>
        </w:rPr>
        <w:t>Chez la femme enceinte :</w:t>
      </w:r>
      <w:r>
        <w:t xml:space="preserve"> ne pas associer plusieurs spécialités vitaminiques D sans avis médical ; informer le médecin de tout autre traitement en cours.</w:t>
      </w:r>
    </w:p>
    <w:p>
      <w:pPr>
        <w:pStyle w:val="ListBullet"/>
      </w:pPr>
      <w:r/>
      <w:r>
        <w:rPr>
          <w:b/>
        </w:rPr>
        <w:t>Chez le sujet âgé :</w:t>
      </w:r>
      <w:r>
        <w:t xml:space="preserve"> surveillance biologique annuelle de la 25-OH-D, de la calcémie et de la fonction rénale ; apporter 1 000-1 200 mg/jour de calcium alimentaire et médicamenteux en association.</w:t>
      </w:r>
    </w:p>
    <w:p>
      <w:pPr>
        <w:pStyle w:val="ListBullet"/>
      </w:pPr>
      <w:r/>
      <w:r>
        <w:rPr>
          <w:b/>
        </w:rPr>
        <w:t>Conservation :</w:t>
      </w:r>
      <w:r>
        <w:t xml:space="preserve"> à l'abri de la lumière et de la chaleur (&lt; 25 °C) ; ne pas congeler ; durée de conservation après ouverture : selon RCP (en général 1 mois).</w:t>
      </w:r>
    </w:p>
    <w:p>
      <w:pPr>
        <w:pStyle w:val="Heading4"/>
      </w:pPr>
      <w:r>
        <w:t>12. Pièges au comptoir — Règles d'or</w:t>
      </w:r>
    </w:p>
    <w:p>
      <w:pPr>
        <w:pStyle w:val="ListNumber"/>
      </w:pPr>
      <w:r/>
      <w:r>
        <w:rPr>
          <w:b/>
        </w:rPr>
        <w:t>D2 vs D3</w:t>
      </w:r>
      <w:r>
        <w:t xml:space="preserve"> — Règle importante : la vitamine D3 (cholécalciférol) est supérieure à la D2 (ergocalciférol) pour maintenir et augmenter la 25-OH-D sérique (efficacité 1,5-2x supérieure dose pour dose). Le pharmacien peut orienter vers la D3 (cf. section 161.9.3 et 161.9.5) si disponible.</w:t>
      </w:r>
    </w:p>
    <w:p>
      <w:pPr>
        <w:pStyle w:val="ListNumber"/>
      </w:pPr>
      <w:r/>
      <w:r>
        <w:rPr>
          <w:b/>
        </w:rPr>
        <w:t>Cumul des sources</w:t>
      </w:r>
      <w:r>
        <w:t xml:space="preserve"> — Vérifier que le patient n'associe pas plusieurs spécialités vitaminiques D (FRUBIOSE + ampoule D3 + complément alimentaire D3) — risque d'hypervitaminose D.</w:t>
      </w:r>
    </w:p>
    <w:p>
      <w:pPr>
        <w:pStyle w:val="ListNumber"/>
      </w:pPr>
      <w:r/>
      <w:r>
        <w:rPr>
          <w:b/>
        </w:rPr>
        <w:t>Surveillance biologique</w:t>
      </w:r>
      <w:r>
        <w:t xml:space="preserve"> — Le dosage de la 25-OH-D sérique est le </w:t>
      </w:r>
      <w:r>
        <w:rPr>
          <w:b/>
        </w:rPr>
        <w:t>seul marqueur fiable</w:t>
      </w:r>
      <w:r>
        <w:t xml:space="preserve"> du statut vitaminique D. Ne pas se fier à la calcémie (qui reste normale jusqu'à un stade avancé de carence).</w:t>
      </w:r>
    </w:p>
    <w:p>
      <w:pPr>
        <w:pStyle w:val="ListNumber"/>
      </w:pPr>
      <w:r/>
      <w:r>
        <w:rPr>
          <w:b/>
        </w:rPr>
        <w:t>Carence pandémique en Algérie</w:t>
      </w:r>
      <w:r>
        <w:t xml:space="preserve"> — Toute femme enceinte, tout nourrisson, tout sujet âgé institutionnalisé doit recevoir une supplémentation vitamine D systématique. Le pharmacien peut proposer une supplémentation OTC (over-the-counter) à dose nutritionnelle.</w:t>
      </w:r>
    </w:p>
    <w:p>
      <w:pPr>
        <w:pStyle w:val="ListNumber"/>
      </w:pPr>
      <w:r/>
      <w:r>
        <w:rPr>
          <w:b/>
        </w:rPr>
        <w:t>FRUBIOSE 1000 UI vs 5000 UI</w:t>
      </w:r>
      <w:r>
        <w:t xml:space="preserve"> — Ne pas confondre les deux dosages ; la FRUBIOSE 5000 UI est réservée au traitement curatif de l'adulte carencé, à raison de 1 ampoule/jour pendant 1-2 mois, alors que la FRUBIOSE 1000 UI est adaptée à la supplémentation pédiatrique et préventive.</w:t>
      </w:r>
    </w:p>
    <w:p>
      <w:pPr>
        <w:pStyle w:val="ListNumber"/>
      </w:pPr>
      <w:r/>
      <w:r>
        <w:rPr>
          <w:b/>
        </w:rPr>
        <w:t>Calcémie normale ne signifie pas statut vitaminique D normal</w:t>
      </w:r>
      <w:r>
        <w:t xml:space="preserve"> — La calcémie est régulée par PTH et reste normale jusqu'à carence vitaminique D sévère. Seul le dosage de la 25-OH-D est informatif.</w:t>
      </w:r>
    </w:p>
    <w:p>
      <w:pPr>
        <w:pStyle w:val="ListNumber"/>
      </w:pPr>
      <w:r/>
      <w:r>
        <w:rPr>
          <w:b/>
        </w:rPr>
        <w:t>Insuffisance rénale</w:t>
      </w:r>
      <w:r>
        <w:t xml:space="preserve"> — La vitamine D2 requiert la 1α-hydroxylation rénale. En cas d'IRC sévère (DFG &lt; 30 mL/min), préférer l'</w:t>
      </w:r>
      <w:r>
        <w:rPr>
          <w:b/>
        </w:rPr>
        <w:t>alfacalcidol</w:t>
      </w:r>
      <w:r>
        <w:t xml:space="preserve"> (cf. section 161.9.4) ou le </w:t>
      </w:r>
      <w:r>
        <w:rPr>
          <w:b/>
        </w:rPr>
        <w:t>calcitriol</w:t>
      </w:r>
      <w:r>
        <w:t>, qui contournent cette étape.</w:t>
      </w:r>
    </w:p>
    <w:p>
      <w:pPr>
        <w:pStyle w:val="ListNumber"/>
      </w:pPr>
      <w:r/>
      <w:r>
        <w:rPr>
          <w:b/>
        </w:rPr>
        <w:t>Sarcoïdose</w:t>
      </w:r>
      <w:r>
        <w:t xml:space="preserve"> — Contre-indication relative à la supplémentation vitaminique D : les macrophages sarcoïdosiques expriment constitutivement la 1α-hydroxylase et peuvent produire du calcitriol de manière non régulée, entraînant une hypercalcémie granulomateuse.</w:t>
      </w:r>
    </w:p>
    <w:p>
      <w:pPr>
        <w:pStyle w:val="ListNumber"/>
      </w:pPr>
      <w:r/>
      <w:r>
        <w:rPr>
          <w:b/>
        </w:rPr>
        <w:t>Interactions médicamenteuses fréquentes</w:t>
      </w:r>
      <w:r>
        <w:t xml:space="preserve"> — Vérifier systématiquement les inducteurs enzymatiques (antiépileptiques, rifampicine, antirétroviraux) qui majorent le catabolisme de la vitamine D et nécessitent une supplémentation 2-3 fois supérieure.</w:t>
      </w:r>
    </w:p>
    <w:p>
      <w:pPr>
        <w:pStyle w:val="ListNumber"/>
      </w:pPr>
      <w:r/>
      <w:r>
        <w:rPr>
          <w:b/>
        </w:rPr>
        <w:t>Voie IM non disponible en Algérie pour la D2</w:t>
      </w:r>
      <w:r>
        <w:t xml:space="preserve"> — Préférer la voie orale (FRUBIOSE, FRUBIAL) ; pour la D3 200 000 UI/mL IM/IV, voir section 161.9.3.</w:t>
      </w:r>
    </w:p>
    <w:p>
      <w:pPr>
        <w:pStyle w:val="Heading3"/>
      </w:pPr>
      <w:r>
        <w:t>161.9.3. DCI : Colecalciferol + Calcium (Vitamine D3 + Calcium)</w:t>
      </w:r>
    </w:p>
    <w:p>
      <w:pPr>
        <w:pStyle w:val="Heading4"/>
      </w:pPr>
      <w:r>
        <w:t>1. Liste catégories pharmaco-thérapeutiques</w:t>
      </w:r>
    </w:p>
    <w:p>
      <w:r/>
      <w:r>
        <w:rPr>
          <w:b/>
        </w:rPr>
        <w:t>Catégories :</w:t>
      </w:r>
      <w:r>
        <w:t xml:space="preserve"> Vitamine ; Vitamine liposoluble ; Vitamine D3 (cholécalciférol) ; Association vitamine D3 + sel de calcium ; Supplémentation de l'ostéoporose ; Supplémentation de la grossesse et de la ménopause ; Prévention de l'ostéoporose post-ménopausique et cortisonique ; Cofacteur de minéralisation osseuse ; Antidote de l'hypovitaminose D ; Vitamine D3 isolée forte dose (100 000 et 200 000 UI/mL) pour supplémentation de charge. </w:t>
      </w:r>
      <w:r>
        <w:rPr>
          <w:b/>
        </w:rPr>
        <w:t>Liste II</w:t>
      </w:r>
      <w:r>
        <w:t xml:space="preserve"> pour les ampoules de 100 000 et 200 000 UI/mL (D3 isolée forte dose).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IDEOS</w:t>
            </w:r>
          </w:p>
        </w:tc>
        <w:tc>
          <w:tcPr>
            <w:tcW w:type="dxa" w:w="1559"/>
          </w:tcPr>
          <w:p>
            <w:r>
              <w:rPr>
                <w:sz w:val="20"/>
              </w:rPr>
              <w:t>INNOTECH INTERNATIONAL</w:t>
            </w:r>
          </w:p>
        </w:tc>
        <w:tc>
          <w:tcPr>
            <w:tcW w:type="dxa" w:w="1559"/>
          </w:tcPr>
          <w:p>
            <w:r>
              <w:rPr>
                <w:sz w:val="20"/>
              </w:rPr>
              <w:t>Comprimé à sucer ou croquer, carbonate Ca 1 250 mg (= Ca élément 500 mg) + cholécalciférol 400 UI</w:t>
            </w:r>
          </w:p>
        </w:tc>
        <w:tc>
          <w:tcPr>
            <w:tcW w:type="dxa" w:w="1559"/>
          </w:tcPr>
          <w:p>
            <w:r>
              <w:rPr>
                <w:sz w:val="20"/>
              </w:rPr>
              <w:t>Boîte de 30 (2 tubes de 15)</w:t>
            </w:r>
          </w:p>
        </w:tc>
        <w:tc>
          <w:tcPr>
            <w:tcW w:type="dxa" w:w="1559"/>
          </w:tcPr>
          <w:p>
            <w:r>
              <w:rPr>
                <w:sz w:val="20"/>
              </w:rPr>
              <w:t>—</w:t>
            </w:r>
          </w:p>
        </w:tc>
        <w:tc>
          <w:tcPr>
            <w:tcW w:type="dxa" w:w="1559"/>
          </w:tcPr>
          <w:p>
            <w:r>
              <w:rPr>
                <w:sz w:val="20"/>
              </w:rPr>
              <w:t>Actif</w:t>
            </w:r>
          </w:p>
        </w:tc>
      </w:tr>
      <w:tr>
        <w:tc>
          <w:tcPr>
            <w:tcW w:type="dxa" w:w="1559"/>
          </w:tcPr>
          <w:p>
            <w:r>
              <w:rPr>
                <w:sz w:val="20"/>
              </w:rPr>
              <w:t>CALCIUM D3 SOPHAL</w:t>
            </w:r>
          </w:p>
        </w:tc>
        <w:tc>
          <w:tcPr>
            <w:tcW w:type="dxa" w:w="1559"/>
          </w:tcPr>
          <w:p>
            <w:r>
              <w:rPr>
                <w:sz w:val="20"/>
              </w:rPr>
              <w:t>Société Pharmaceutique Algérienne SOPHAL</w:t>
            </w:r>
          </w:p>
        </w:tc>
        <w:tc>
          <w:tcPr>
            <w:tcW w:type="dxa" w:w="1559"/>
          </w:tcPr>
          <w:p>
            <w:r>
              <w:rPr>
                <w:sz w:val="20"/>
              </w:rPr>
              <w:t>Comprimé à sucer ou croquer, carbonate Ca 1 250 mg (Ca élément 500 mg) + cholécalciférol 400 UI</w:t>
            </w:r>
          </w:p>
        </w:tc>
        <w:tc>
          <w:tcPr>
            <w:tcW w:type="dxa" w:w="1559"/>
          </w:tcPr>
          <w:p>
            <w:r>
              <w:rPr>
                <w:sz w:val="20"/>
              </w:rPr>
              <w:t>Boîte de 60 (3 tubes de 20)</w:t>
            </w:r>
          </w:p>
        </w:tc>
        <w:tc>
          <w:tcPr>
            <w:tcW w:type="dxa" w:w="1559"/>
          </w:tcPr>
          <w:p>
            <w:r>
              <w:rPr>
                <w:sz w:val="20"/>
              </w:rPr>
              <w:t>—</w:t>
            </w:r>
          </w:p>
        </w:tc>
        <w:tc>
          <w:tcPr>
            <w:tcW w:type="dxa" w:w="1559"/>
          </w:tcPr>
          <w:p>
            <w:r>
              <w:rPr>
                <w:sz w:val="20"/>
              </w:rPr>
              <w:t>Actif</w:t>
            </w:r>
          </w:p>
        </w:tc>
      </w:tr>
      <w:tr>
        <w:tc>
          <w:tcPr>
            <w:tcW w:type="dxa" w:w="1559"/>
          </w:tcPr>
          <w:p>
            <w:r>
              <w:rPr>
                <w:sz w:val="20"/>
              </w:rPr>
              <w:t>CALCIUM D3 IVAL</w:t>
            </w:r>
          </w:p>
        </w:tc>
        <w:tc>
          <w:tcPr>
            <w:tcW w:type="dxa" w:w="1559"/>
          </w:tcPr>
          <w:p>
            <w:r>
              <w:rPr>
                <w:sz w:val="20"/>
              </w:rPr>
              <w:t>WORLD MEDECINE LIMITED</w:t>
            </w:r>
          </w:p>
        </w:tc>
        <w:tc>
          <w:tcPr>
            <w:tcW w:type="dxa" w:w="1559"/>
          </w:tcPr>
          <w:p>
            <w:r>
              <w:rPr>
                <w:sz w:val="20"/>
              </w:rPr>
              <w:t>Comprimé à sucer ou croquer, carbonate Ca 1 250 mg (Ca élément 500 mg) + cholécalciférol 400 UI</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CALCIUM D3 NOVAGENERICS</w:t>
            </w:r>
          </w:p>
        </w:tc>
        <w:tc>
          <w:tcPr>
            <w:tcW w:type="dxa" w:w="1559"/>
          </w:tcPr>
          <w:p>
            <w:r>
              <w:rPr>
                <w:sz w:val="20"/>
              </w:rPr>
              <w:t>NOVAPHARM TRADING</w:t>
            </w:r>
          </w:p>
        </w:tc>
        <w:tc>
          <w:tcPr>
            <w:tcW w:type="dxa" w:w="1559"/>
          </w:tcPr>
          <w:p>
            <w:r>
              <w:rPr>
                <w:sz w:val="20"/>
              </w:rPr>
              <w:t>Comprimé à sucer ou croquer, carbonate Ca 1 250 mg (Ca élément 500 mg) + cholécalciférol 400 UI</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FIXECAL</w:t>
            </w:r>
          </w:p>
        </w:tc>
        <w:tc>
          <w:tcPr>
            <w:tcW w:type="dxa" w:w="1559"/>
          </w:tcPr>
          <w:p>
            <w:r>
              <w:rPr>
                <w:sz w:val="20"/>
              </w:rPr>
              <w:t>SARL API</w:t>
            </w:r>
          </w:p>
        </w:tc>
        <w:tc>
          <w:tcPr>
            <w:tcW w:type="dxa" w:w="1559"/>
          </w:tcPr>
          <w:p>
            <w:r>
              <w:rPr>
                <w:sz w:val="20"/>
              </w:rPr>
              <w:t>Comprimé à sucer ou croquer, carbonate Ca 1 250 mg (Ca élément 500 mg) + cholécalciférol 400 UI</w:t>
            </w:r>
          </w:p>
        </w:tc>
        <w:tc>
          <w:tcPr>
            <w:tcW w:type="dxa" w:w="1559"/>
          </w:tcPr>
          <w:p>
            <w:r>
              <w:rPr>
                <w:sz w:val="20"/>
              </w:rPr>
              <w:t>Boîte de 28</w:t>
            </w:r>
          </w:p>
        </w:tc>
        <w:tc>
          <w:tcPr>
            <w:tcW w:type="dxa" w:w="1559"/>
          </w:tcPr>
          <w:p>
            <w:r>
              <w:rPr>
                <w:sz w:val="20"/>
              </w:rPr>
              <w:t>—</w:t>
            </w:r>
          </w:p>
        </w:tc>
        <w:tc>
          <w:tcPr>
            <w:tcW w:type="dxa" w:w="1559"/>
          </w:tcPr>
          <w:p>
            <w:r>
              <w:rPr>
                <w:sz w:val="20"/>
              </w:rPr>
              <w:t>Actif</w:t>
            </w:r>
          </w:p>
        </w:tc>
      </w:tr>
      <w:tr>
        <w:tc>
          <w:tcPr>
            <w:tcW w:type="dxa" w:w="1559"/>
          </w:tcPr>
          <w:p>
            <w:r>
              <w:rPr>
                <w:sz w:val="20"/>
              </w:rPr>
              <w:t>DENSICAL CALCIUM D3</w:t>
            </w:r>
          </w:p>
        </w:tc>
        <w:tc>
          <w:tcPr>
            <w:tcW w:type="dxa" w:w="1559"/>
          </w:tcPr>
          <w:p>
            <w:r>
              <w:rPr>
                <w:sz w:val="20"/>
              </w:rPr>
              <w:t>PROPHARMAL</w:t>
            </w:r>
          </w:p>
        </w:tc>
        <w:tc>
          <w:tcPr>
            <w:tcW w:type="dxa" w:w="1559"/>
          </w:tcPr>
          <w:p>
            <w:r>
              <w:rPr>
                <w:sz w:val="20"/>
              </w:rPr>
              <w:t>Comprimé à sucer ou croquer, carbonate Ca 1 250 mg (Ca élément 500 mg) + cholécalciférol 400 UI</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KINADYN-OS (comprimé)</w:t>
            </w:r>
          </w:p>
        </w:tc>
        <w:tc>
          <w:tcPr>
            <w:tcW w:type="dxa" w:w="1559"/>
          </w:tcPr>
          <w:p>
            <w:r>
              <w:rPr>
                <w:sz w:val="20"/>
              </w:rPr>
              <w:t>BIOPHARM</w:t>
            </w:r>
          </w:p>
        </w:tc>
        <w:tc>
          <w:tcPr>
            <w:tcW w:type="dxa" w:w="1559"/>
          </w:tcPr>
          <w:p>
            <w:r>
              <w:rPr>
                <w:sz w:val="20"/>
              </w:rPr>
              <w:t>Comprimé à sucer ou croquer, carbonate Ca 1 250 mg (Ca élément 500 mg) + cholécalciférol 400 UI</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OSSE D3 (comprimé)</w:t>
            </w:r>
          </w:p>
        </w:tc>
        <w:tc>
          <w:tcPr>
            <w:tcW w:type="dxa" w:w="1559"/>
          </w:tcPr>
          <w:p>
            <w:r>
              <w:rPr>
                <w:sz w:val="20"/>
              </w:rPr>
              <w:t>BIOGALENIC</w:t>
            </w:r>
          </w:p>
        </w:tc>
        <w:tc>
          <w:tcPr>
            <w:tcW w:type="dxa" w:w="1559"/>
          </w:tcPr>
          <w:p>
            <w:r>
              <w:rPr>
                <w:sz w:val="20"/>
              </w:rPr>
              <w:t>Comprimé à sucer ou croquer, carbonate Ca 1 250 mg (Ca élément 500 mg) + cholécalciférol 400 UI</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OSSEANS D3</w:t>
            </w:r>
          </w:p>
        </w:tc>
        <w:tc>
          <w:tcPr>
            <w:tcW w:type="dxa" w:w="1559"/>
          </w:tcPr>
          <w:p>
            <w:r>
              <w:rPr>
                <w:sz w:val="20"/>
              </w:rPr>
              <w:t>LABORATOIRE MOBEN</w:t>
            </w:r>
          </w:p>
        </w:tc>
        <w:tc>
          <w:tcPr>
            <w:tcW w:type="dxa" w:w="1559"/>
          </w:tcPr>
          <w:p>
            <w:r>
              <w:rPr>
                <w:sz w:val="20"/>
              </w:rPr>
              <w:t>Comprimé à sucer ou croquer, carbonate Ca 1 250 mg (Ca élément 500 mg) + cholécalciférol 400 UI</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SUPEROS D3</w:t>
            </w:r>
          </w:p>
        </w:tc>
        <w:tc>
          <w:tcPr>
            <w:tcW w:type="dxa" w:w="1559"/>
          </w:tcPr>
          <w:p>
            <w:r>
              <w:rPr>
                <w:sz w:val="20"/>
              </w:rPr>
              <w:t>SARL MEDEC</w:t>
            </w:r>
          </w:p>
        </w:tc>
        <w:tc>
          <w:tcPr>
            <w:tcW w:type="dxa" w:w="1559"/>
          </w:tcPr>
          <w:p>
            <w:r>
              <w:rPr>
                <w:sz w:val="20"/>
              </w:rPr>
              <w:t>Comprimé à sucer ou croquer, carbonate Ca 1 250 mg (Ca élément 500 mg) + cholécalciférol 400 UI</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CALCIDOSE VITAMINE D</w:t>
            </w:r>
          </w:p>
        </w:tc>
        <w:tc>
          <w:tcPr>
            <w:tcW w:type="dxa" w:w="1559"/>
          </w:tcPr>
          <w:p>
            <w:r>
              <w:rPr>
                <w:sz w:val="20"/>
              </w:rPr>
              <w:t>LABORATOIRES MERINAL</w:t>
            </w:r>
          </w:p>
        </w:tc>
        <w:tc>
          <w:tcPr>
            <w:tcW w:type="dxa" w:w="1559"/>
          </w:tcPr>
          <w:p>
            <w:r>
              <w:rPr>
                <w:sz w:val="20"/>
              </w:rPr>
              <w:t>Poudre pour suspension buvable, carbonate Ca 500 mg (Ca élément) + cholécalciférol 400 UI/sachet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CALVITACARE</w:t>
            </w:r>
          </w:p>
        </w:tc>
        <w:tc>
          <w:tcPr>
            <w:tcW w:type="dxa" w:w="1559"/>
          </w:tcPr>
          <w:p>
            <w:r>
              <w:rPr>
                <w:sz w:val="20"/>
              </w:rPr>
              <w:t>BIOCARE</w:t>
            </w:r>
          </w:p>
        </w:tc>
        <w:tc>
          <w:tcPr>
            <w:tcW w:type="dxa" w:w="1559"/>
          </w:tcPr>
          <w:p>
            <w:r>
              <w:rPr>
                <w:sz w:val="20"/>
              </w:rPr>
              <w:t>Poudre pour suspension buvable, carbonate Ca 500 mg (Ca élément) + cholécalciférol 400 UI/sachet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KINADYN-OS (sachets)</w:t>
            </w:r>
          </w:p>
        </w:tc>
        <w:tc>
          <w:tcPr>
            <w:tcW w:type="dxa" w:w="1559"/>
          </w:tcPr>
          <w:p>
            <w:r>
              <w:rPr>
                <w:sz w:val="20"/>
              </w:rPr>
              <w:t>BIOPHARM</w:t>
            </w:r>
          </w:p>
        </w:tc>
        <w:tc>
          <w:tcPr>
            <w:tcW w:type="dxa" w:w="1559"/>
          </w:tcPr>
          <w:p>
            <w:r>
              <w:rPr>
                <w:sz w:val="20"/>
              </w:rPr>
              <w:t>Poudre pour solution buvable en sachet-dose, cholécalciférol 400 UI + carbonate Ca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OSSE D3 (sachets)</w:t>
            </w:r>
          </w:p>
        </w:tc>
        <w:tc>
          <w:tcPr>
            <w:tcW w:type="dxa" w:w="1559"/>
          </w:tcPr>
          <w:p>
            <w:r>
              <w:rPr>
                <w:sz w:val="20"/>
              </w:rPr>
              <w:t>BIOGALENIC</w:t>
            </w:r>
          </w:p>
        </w:tc>
        <w:tc>
          <w:tcPr>
            <w:tcW w:type="dxa" w:w="1559"/>
          </w:tcPr>
          <w:p>
            <w:r>
              <w:rPr>
                <w:sz w:val="20"/>
              </w:rPr>
              <w:t>Poudre orale, cholécalciférol 400 UI + carbonate Ca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NEOCALCIGENOL</w:t>
            </w:r>
          </w:p>
        </w:tc>
        <w:tc>
          <w:tcPr>
            <w:tcW w:type="dxa" w:w="1559"/>
          </w:tcPr>
          <w:p>
            <w:r>
              <w:rPr>
                <w:sz w:val="20"/>
              </w:rPr>
              <w:t>LAD PHARMA</w:t>
            </w:r>
          </w:p>
        </w:tc>
        <w:tc>
          <w:tcPr>
            <w:tcW w:type="dxa" w:w="1559"/>
          </w:tcPr>
          <w:p>
            <w:r>
              <w:rPr>
                <w:sz w:val="20"/>
              </w:rPr>
              <w:t>Suspension buvable, phosphate tricalcique 125 mg + fluorure sodium 0,5 mg + cholécalciférol 8 µg (320 UI) + ascorbate sodium 22,5 mg /5 mL</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VIT D3 SALEM 100 000 UI</w:t>
            </w:r>
          </w:p>
        </w:tc>
        <w:tc>
          <w:tcPr>
            <w:tcW w:type="dxa" w:w="1559"/>
          </w:tcPr>
          <w:p>
            <w:r>
              <w:rPr>
                <w:sz w:val="20"/>
              </w:rPr>
              <w:t>SARL LABORATOIRE SALEM</w:t>
            </w:r>
          </w:p>
        </w:tc>
        <w:tc>
          <w:tcPr>
            <w:tcW w:type="dxa" w:w="1559"/>
          </w:tcPr>
          <w:p>
            <w:r>
              <w:rPr>
                <w:sz w:val="20"/>
              </w:rPr>
              <w:t>Solution buvable en ampoule, cholécalciférol 100 000 UI/ampoule</w:t>
            </w:r>
          </w:p>
        </w:tc>
        <w:tc>
          <w:tcPr>
            <w:tcW w:type="dxa" w:w="1559"/>
          </w:tcPr>
          <w:p>
            <w:r>
              <w:rPr>
                <w:sz w:val="20"/>
              </w:rPr>
              <w:t>Boîte de 2 ampoules</w:t>
            </w:r>
          </w:p>
        </w:tc>
        <w:tc>
          <w:tcPr>
            <w:tcW w:type="dxa" w:w="1559"/>
          </w:tcPr>
          <w:p>
            <w:r>
              <w:rPr>
                <w:sz w:val="20"/>
              </w:rPr>
              <w:t>Liste II</w:t>
            </w:r>
          </w:p>
        </w:tc>
        <w:tc>
          <w:tcPr>
            <w:tcW w:type="dxa" w:w="1559"/>
          </w:tcPr>
          <w:p>
            <w:r>
              <w:rPr>
                <w:sz w:val="20"/>
              </w:rPr>
              <w:t>Actif</w:t>
            </w:r>
          </w:p>
        </w:tc>
      </w:tr>
      <w:tr>
        <w:tc>
          <w:tcPr>
            <w:tcW w:type="dxa" w:w="1559"/>
          </w:tcPr>
          <w:p>
            <w:r>
              <w:rPr>
                <w:sz w:val="20"/>
              </w:rPr>
              <w:t>VIT D3 SALEM</w:t>
            </w:r>
          </w:p>
        </w:tc>
        <w:tc>
          <w:tcPr>
            <w:tcW w:type="dxa" w:w="1559"/>
          </w:tcPr>
          <w:p>
            <w:r>
              <w:rPr>
                <w:sz w:val="20"/>
              </w:rPr>
              <w:t>LABORATOIRES SALEM</w:t>
            </w:r>
          </w:p>
        </w:tc>
        <w:tc>
          <w:tcPr>
            <w:tcW w:type="dxa" w:w="1559"/>
          </w:tcPr>
          <w:p>
            <w:r>
              <w:rPr>
                <w:sz w:val="20"/>
              </w:rPr>
              <w:t>Solution buvable, cholécalciférol 200 000 UI/mL</w:t>
            </w:r>
          </w:p>
        </w:tc>
        <w:tc>
          <w:tcPr>
            <w:tcW w:type="dxa" w:w="1559"/>
          </w:tcPr>
          <w:p>
            <w:r>
              <w:rPr>
                <w:sz w:val="20"/>
              </w:rPr>
              <w:t>Boîte de 1 ampoule</w:t>
            </w:r>
          </w:p>
        </w:tc>
        <w:tc>
          <w:tcPr>
            <w:tcW w:type="dxa" w:w="1559"/>
          </w:tcPr>
          <w:p>
            <w:r>
              <w:rPr>
                <w:sz w:val="20"/>
              </w:rPr>
              <w:t>Liste II</w:t>
            </w:r>
          </w:p>
        </w:tc>
        <w:tc>
          <w:tcPr>
            <w:tcW w:type="dxa" w:w="1559"/>
          </w:tcPr>
          <w:p>
            <w:r>
              <w:rPr>
                <w:sz w:val="20"/>
              </w:rPr>
              <w:t>Actif</w:t>
            </w:r>
          </w:p>
        </w:tc>
      </w:tr>
      <w:tr>
        <w:tc>
          <w:tcPr>
            <w:tcW w:type="dxa" w:w="1559"/>
          </w:tcPr>
          <w:p>
            <w:r>
              <w:rPr>
                <w:sz w:val="20"/>
              </w:rPr>
              <w:t>D-THREE</w:t>
            </w:r>
          </w:p>
        </w:tc>
        <w:tc>
          <w:tcPr>
            <w:tcW w:type="dxa" w:w="1559"/>
          </w:tcPr>
          <w:p>
            <w:r>
              <w:rPr>
                <w:sz w:val="20"/>
              </w:rPr>
              <w:t>BIOTHERA</w:t>
            </w:r>
          </w:p>
        </w:tc>
        <w:tc>
          <w:tcPr>
            <w:tcW w:type="dxa" w:w="1559"/>
          </w:tcPr>
          <w:p>
            <w:r>
              <w:rPr>
                <w:sz w:val="20"/>
              </w:rPr>
              <w:t>Solution injectable et buvable, cholécalciférol 200 000 UI/mL</w:t>
            </w:r>
          </w:p>
        </w:tc>
        <w:tc>
          <w:tcPr>
            <w:tcW w:type="dxa" w:w="1559"/>
          </w:tcPr>
          <w:p>
            <w:r>
              <w:rPr>
                <w:sz w:val="20"/>
              </w:rPr>
              <w:t>Boîte de 1 ampoule de 2 mL (contenant 1 mL de solution)</w:t>
            </w:r>
          </w:p>
        </w:tc>
        <w:tc>
          <w:tcPr>
            <w:tcW w:type="dxa" w:w="1559"/>
          </w:tcPr>
          <w:p>
            <w:r>
              <w:rPr>
                <w:sz w:val="20"/>
              </w:rPr>
              <w:t>Liste II</w:t>
            </w:r>
          </w:p>
        </w:tc>
        <w:tc>
          <w:tcPr>
            <w:tcW w:type="dxa" w:w="1559"/>
          </w:tcPr>
          <w:p>
            <w:r>
              <w:rPr>
                <w:sz w:val="20"/>
              </w:rPr>
              <w:t>Actif</w:t>
            </w:r>
          </w:p>
        </w:tc>
      </w:tr>
      <w:tr>
        <w:tc>
          <w:tcPr>
            <w:tcW w:type="dxa" w:w="1559"/>
          </w:tcPr>
          <w:p>
            <w:r>
              <w:rPr>
                <w:sz w:val="20"/>
              </w:rPr>
              <w:t>VIT D3</w:t>
            </w:r>
          </w:p>
        </w:tc>
        <w:tc>
          <w:tcPr>
            <w:tcW w:type="dxa" w:w="1559"/>
          </w:tcPr>
          <w:p>
            <w:r>
              <w:rPr>
                <w:sz w:val="20"/>
              </w:rPr>
              <w:t>HUPP PHARMA</w:t>
            </w:r>
          </w:p>
        </w:tc>
        <w:tc>
          <w:tcPr>
            <w:tcW w:type="dxa" w:w="1559"/>
          </w:tcPr>
          <w:p>
            <w:r>
              <w:rPr>
                <w:sz w:val="20"/>
              </w:rPr>
              <w:t>Solution injectable et buvable, cholécalciférol 200 000 UI/mL</w:t>
            </w:r>
          </w:p>
        </w:tc>
        <w:tc>
          <w:tcPr>
            <w:tcW w:type="dxa" w:w="1559"/>
          </w:tcPr>
          <w:p>
            <w:r>
              <w:rPr>
                <w:sz w:val="20"/>
              </w:rPr>
              <w:t>Boîte de 1 ampoule</w:t>
            </w:r>
          </w:p>
        </w:tc>
        <w:tc>
          <w:tcPr>
            <w:tcW w:type="dxa" w:w="1559"/>
          </w:tcPr>
          <w:p>
            <w:r>
              <w:rPr>
                <w:sz w:val="20"/>
              </w:rPr>
              <w:t>Liste II</w:t>
            </w:r>
          </w:p>
        </w:tc>
        <w:tc>
          <w:tcPr>
            <w:tcW w:type="dxa" w:w="1559"/>
          </w:tcPr>
          <w:p>
            <w:r>
              <w:rPr>
                <w:sz w:val="20"/>
              </w:rPr>
              <w:t>Actif</w:t>
            </w:r>
          </w:p>
        </w:tc>
      </w:tr>
      <w:tr>
        <w:tc>
          <w:tcPr>
            <w:tcW w:type="dxa" w:w="1559"/>
          </w:tcPr>
          <w:p>
            <w:r>
              <w:rPr>
                <w:sz w:val="20"/>
              </w:rPr>
              <w:t>VITAMINE D3 B.O.N</w:t>
            </w:r>
          </w:p>
        </w:tc>
        <w:tc>
          <w:tcPr>
            <w:tcW w:type="dxa" w:w="1559"/>
          </w:tcPr>
          <w:p>
            <w:r>
              <w:rPr>
                <w:sz w:val="20"/>
              </w:rPr>
              <w:t>BOUCHARA-RECORDATI</w:t>
            </w:r>
          </w:p>
        </w:tc>
        <w:tc>
          <w:tcPr>
            <w:tcW w:type="dxa" w:w="1559"/>
          </w:tcPr>
          <w:p>
            <w:r>
              <w:rPr>
                <w:sz w:val="20"/>
              </w:rPr>
              <w:t>Solution injectable et buvable, cholécalciférol 200 000 UI/mL</w:t>
            </w:r>
          </w:p>
        </w:tc>
        <w:tc>
          <w:tcPr>
            <w:tcW w:type="dxa" w:w="1559"/>
          </w:tcPr>
          <w:p>
            <w:r>
              <w:rPr>
                <w:sz w:val="20"/>
              </w:rPr>
              <w:t>Boîte de 1 ampoule de 1 mL</w:t>
            </w:r>
          </w:p>
        </w:tc>
        <w:tc>
          <w:tcPr>
            <w:tcW w:type="dxa" w:w="1559"/>
          </w:tcPr>
          <w:p>
            <w:r>
              <w:rPr>
                <w:sz w:val="20"/>
              </w:rPr>
              <w:t>Liste II</w:t>
            </w:r>
          </w:p>
        </w:tc>
        <w:tc>
          <w:tcPr>
            <w:tcW w:type="dxa" w:w="1559"/>
          </w:tcPr>
          <w:p>
            <w:r>
              <w:rPr>
                <w:sz w:val="20"/>
              </w:rPr>
              <w:t>Actif</w:t>
            </w:r>
          </w:p>
        </w:tc>
      </w:tr>
      <w:tr>
        <w:tc>
          <w:tcPr>
            <w:tcW w:type="dxa" w:w="1559"/>
          </w:tcPr>
          <w:p>
            <w:r>
              <w:rPr>
                <w:sz w:val="20"/>
              </w:rPr>
              <w:t>VITAMINE D3 RAZES</w:t>
            </w:r>
          </w:p>
        </w:tc>
        <w:tc>
          <w:tcPr>
            <w:tcW w:type="dxa" w:w="1559"/>
          </w:tcPr>
          <w:p>
            <w:r>
              <w:rPr>
                <w:sz w:val="20"/>
              </w:rPr>
              <w:t>LES LABORATOIRES FRATER RAZES</w:t>
            </w:r>
          </w:p>
        </w:tc>
        <w:tc>
          <w:tcPr>
            <w:tcW w:type="dxa" w:w="1559"/>
          </w:tcPr>
          <w:p>
            <w:r>
              <w:rPr>
                <w:sz w:val="20"/>
              </w:rPr>
              <w:t>Solution injectable et buvable, cholécalciférol 200 000 UI/mL</w:t>
            </w:r>
          </w:p>
        </w:tc>
        <w:tc>
          <w:tcPr>
            <w:tcW w:type="dxa" w:w="1559"/>
          </w:tcPr>
          <w:p>
            <w:r>
              <w:rPr>
                <w:sz w:val="20"/>
              </w:rPr>
              <w:t>Boîte de 1 ampoule de 2 mL (contenant 1 mL de solution)</w:t>
            </w:r>
          </w:p>
        </w:tc>
        <w:tc>
          <w:tcPr>
            <w:tcW w:type="dxa" w:w="1559"/>
          </w:tcPr>
          <w:p>
            <w:r>
              <w:rPr>
                <w:sz w:val="20"/>
              </w:rPr>
              <w:t>Liste II</w:t>
            </w:r>
          </w:p>
        </w:tc>
        <w:tc>
          <w:tcPr>
            <w:tcW w:type="dxa" w:w="1559"/>
          </w:tcPr>
          <w:p>
            <w:r>
              <w:rPr>
                <w:sz w:val="20"/>
              </w:rPr>
              <w:t>Actif</w:t>
            </w:r>
          </w:p>
        </w:tc>
      </w:tr>
      <w:tr>
        <w:tc>
          <w:tcPr>
            <w:tcW w:type="dxa" w:w="1559"/>
          </w:tcPr>
          <w:p>
            <w:r>
              <w:rPr>
                <w:sz w:val="20"/>
              </w:rPr>
              <w:t>COLECALCIFEROL</w:t>
            </w:r>
          </w:p>
        </w:tc>
        <w:tc>
          <w:tcPr>
            <w:tcW w:type="dxa" w:w="1559"/>
          </w:tcPr>
          <w:p>
            <w:r>
              <w:rPr>
                <w:sz w:val="20"/>
              </w:rPr>
              <w:t>RENAUDIN</w:t>
            </w:r>
          </w:p>
        </w:tc>
        <w:tc>
          <w:tcPr>
            <w:tcW w:type="dxa" w:w="1559"/>
          </w:tcPr>
          <w:p>
            <w:r>
              <w:rPr>
                <w:sz w:val="20"/>
              </w:rPr>
              <w:t>Solution buvable, cholécalciférol 200 000 UI/mL</w:t>
            </w:r>
          </w:p>
        </w:tc>
        <w:tc>
          <w:tcPr>
            <w:tcW w:type="dxa" w:w="1559"/>
          </w:tcPr>
          <w:p>
            <w:r>
              <w:rPr>
                <w:sz w:val="20"/>
              </w:rPr>
              <w:t>Boîte de 1 ampoule</w:t>
            </w:r>
          </w:p>
        </w:tc>
        <w:tc>
          <w:tcPr>
            <w:tcW w:type="dxa" w:w="1559"/>
          </w:tcPr>
          <w:p>
            <w:r>
              <w:rPr>
                <w:sz w:val="20"/>
              </w:rPr>
              <w:t>Liste II</w:t>
            </w:r>
          </w:p>
        </w:tc>
        <w:tc>
          <w:tcPr>
            <w:tcW w:type="dxa" w:w="1559"/>
          </w:tcPr>
          <w:p>
            <w:r>
              <w:rPr>
                <w:sz w:val="20"/>
              </w:rPr>
              <w:t>Non renouvelable</w:t>
            </w:r>
          </w:p>
        </w:tc>
      </w:tr>
      <w:tr>
        <w:tc>
          <w:tcPr>
            <w:tcW w:type="dxa" w:w="1559"/>
          </w:tcPr>
          <w:p>
            <w:r>
              <w:rPr>
                <w:sz w:val="20"/>
              </w:rPr>
              <w:t>SUPPLICAL PLUS</w:t>
            </w:r>
          </w:p>
        </w:tc>
        <w:tc>
          <w:tcPr>
            <w:tcW w:type="dxa" w:w="1559"/>
          </w:tcPr>
          <w:p>
            <w:r>
              <w:rPr>
                <w:sz w:val="20"/>
              </w:rPr>
              <w:t>SIGMA PHARMACEUTICAL INDUSTRIES</w:t>
            </w:r>
          </w:p>
        </w:tc>
        <w:tc>
          <w:tcPr>
            <w:tcW w:type="dxa" w:w="1559"/>
          </w:tcPr>
          <w:p>
            <w:r>
              <w:rPr>
                <w:sz w:val="20"/>
              </w:rPr>
              <w:t>Comprimé, cholécalciférol 400 UI + carbonate Ca 500 mg (Ca élément)</w:t>
            </w:r>
          </w:p>
        </w:tc>
        <w:tc>
          <w:tcPr>
            <w:tcW w:type="dxa" w:w="1559"/>
          </w:tcPr>
          <w:p>
            <w:r>
              <w:rPr>
                <w:sz w:val="20"/>
              </w:rPr>
              <w:t>Boîte de 20</w:t>
            </w:r>
          </w:p>
        </w:tc>
        <w:tc>
          <w:tcPr>
            <w:tcW w:type="dxa" w:w="1559"/>
          </w:tcPr>
          <w:p>
            <w:r>
              <w:rPr>
                <w:sz w:val="20"/>
              </w:rPr>
              <w:t>—</w:t>
            </w:r>
          </w:p>
        </w:tc>
        <w:tc>
          <w:tcPr>
            <w:tcW w:type="dxa" w:w="1559"/>
          </w:tcPr>
          <w:p>
            <w:r>
              <w:rPr>
                <w:sz w:val="20"/>
              </w:rPr>
              <w:t>Retiré</w:t>
            </w:r>
          </w:p>
        </w:tc>
      </w:tr>
      <w:tr>
        <w:tc>
          <w:tcPr>
            <w:tcW w:type="dxa" w:w="1559"/>
          </w:tcPr>
          <w:p>
            <w:r>
              <w:rPr>
                <w:sz w:val="20"/>
              </w:rPr>
              <w:t>OROCAL D3</w:t>
            </w:r>
          </w:p>
        </w:tc>
        <w:tc>
          <w:tcPr>
            <w:tcW w:type="dxa" w:w="1559"/>
          </w:tcPr>
          <w:p>
            <w:r>
              <w:rPr>
                <w:sz w:val="20"/>
              </w:rPr>
              <w:t>THERAMEX</w:t>
            </w:r>
          </w:p>
        </w:tc>
        <w:tc>
          <w:tcPr>
            <w:tcW w:type="dxa" w:w="1559"/>
          </w:tcPr>
          <w:p>
            <w:r>
              <w:rPr>
                <w:sz w:val="20"/>
              </w:rPr>
              <w:t>Comprimé à sucer, cholécalciférol 4 µg (160 UI) + carbonate Ca 1 250 mg</w:t>
            </w:r>
          </w:p>
        </w:tc>
        <w:tc>
          <w:tcPr>
            <w:tcW w:type="dxa" w:w="1559"/>
          </w:tcPr>
          <w:p>
            <w:r>
              <w:rPr>
                <w:sz w:val="20"/>
              </w:rPr>
              <w:t>Boîte de 60</w:t>
            </w:r>
          </w:p>
        </w:tc>
        <w:tc>
          <w:tcPr>
            <w:tcW w:type="dxa" w:w="1559"/>
          </w:tcPr>
          <w:p>
            <w:r>
              <w:rPr>
                <w:sz w:val="20"/>
              </w:rPr>
              <w:t>—</w:t>
            </w:r>
          </w:p>
        </w:tc>
        <w:tc>
          <w:tcPr>
            <w:tcW w:type="dxa" w:w="1559"/>
          </w:tcPr>
          <w:p>
            <w:r>
              <w:rPr>
                <w:sz w:val="20"/>
              </w:rPr>
              <w:t>Retiré</w:t>
            </w:r>
          </w:p>
        </w:tc>
      </w:tr>
      <w:tr>
        <w:tc>
          <w:tcPr>
            <w:tcW w:type="dxa" w:w="1559"/>
          </w:tcPr>
          <w:p>
            <w:r>
              <w:rPr>
                <w:sz w:val="20"/>
              </w:rPr>
              <w:t>CALCIVERSAL</w:t>
            </w:r>
          </w:p>
        </w:tc>
        <w:tc>
          <w:tcPr>
            <w:tcW w:type="dxa" w:w="1559"/>
          </w:tcPr>
          <w:p>
            <w:r>
              <w:rPr>
                <w:sz w:val="20"/>
              </w:rPr>
              <w:t>PRIME UNIVERSAL</w:t>
            </w:r>
          </w:p>
        </w:tc>
        <w:tc>
          <w:tcPr>
            <w:tcW w:type="dxa" w:w="1559"/>
          </w:tcPr>
          <w:p>
            <w:r>
              <w:rPr>
                <w:sz w:val="20"/>
              </w:rPr>
              <w:t>Poudre effervescente en sachet, cholécalciférol 500 UI + Ca 150 mg + phosphore 116 mg/sachet</w:t>
            </w:r>
          </w:p>
        </w:tc>
        <w:tc>
          <w:tcPr>
            <w:tcW w:type="dxa" w:w="1559"/>
          </w:tcPr>
          <w:p>
            <w:r>
              <w:rPr>
                <w:sz w:val="20"/>
              </w:rPr>
              <w:t>Boîte de 12 sachets</w:t>
            </w:r>
          </w:p>
        </w:tc>
        <w:tc>
          <w:tcPr>
            <w:tcW w:type="dxa" w:w="1559"/>
          </w:tcPr>
          <w:p>
            <w:r>
              <w:rPr>
                <w:sz w:val="20"/>
              </w:rPr>
              <w:t>—</w:t>
            </w:r>
          </w:p>
        </w:tc>
        <w:tc>
          <w:tcPr>
            <w:tcW w:type="dxa" w:w="1559"/>
          </w:tcPr>
          <w:p>
            <w:r>
              <w:rPr>
                <w:sz w:val="20"/>
              </w:rPr>
              <w:t>Retiré</w:t>
            </w:r>
          </w:p>
        </w:tc>
      </w:tr>
    </w:tbl>
    <w:p/>
    <w:p>
      <w:r/>
      <w:r>
        <w:rPr>
          <w:b/>
        </w:rPr>
        <w:t>Remarque :</w:t>
      </w:r>
      <w:r>
        <w:t xml:space="preserve"> Cette sous-classe est la plus riche du chapitre 161, avec 21 spécialités actives (10 comprimés à sucer/croquer + 4 sachets poudre pour suspension buvable + 6 ampoules de vitamine D3 isolée à 100 000 ou 200 000 UI/mL + 1 suspension buvable pédiatrique NEOCALCIGENOL). Cette abondance reflète l'importance clinique de la supplémentation D3 + Calcium dans la pratique médicale algérienne, particulièrement dans l'ostéoporose post-ménopausique (1ère cause de morbimortalité fracturaire chez la femme algérienne &gt; 60 ans).</w:t>
      </w:r>
    </w:p>
    <w:p>
      <w:pPr>
        <w:pStyle w:val="Heading4"/>
      </w:pPr>
      <w:r>
        <w:t>3. Mécanisme d'action moléculaire, cellulaire et physiologique</w:t>
      </w:r>
    </w:p>
    <w:p>
      <w:r>
        <w:t xml:space="preserve">Le </w:t>
      </w:r>
      <w:r>
        <w:rPr>
          <w:b/>
        </w:rPr>
        <w:t>colecalciferol (vitamine D3)</w:t>
      </w:r>
      <w:r>
        <w:t xml:space="preserve"> est un stéroïde de structure 9,10-séco-cholésta-5,7,10(19)-trien-3β-ol, contenant un système triénique (conjugaison 5-7-10(19)) caractéristique lui conférant une absorption UV. La vitamine D3 est synthétisée dans la peau sous l'effet des UVB (290-315 nm) qui provoquent la photolyse du 7-déhydrocholestérol en pré-vitamine D3, qui s'isomérise thermiquement en cholécalciférol. Une fois circulant (lié à la DBP), le cholécalciférol subit la </w:t>
      </w:r>
      <w:r>
        <w:rPr>
          <w:b/>
        </w:rPr>
        <w:t>25-hydroxylation hépatique</w:t>
      </w:r>
      <w:r>
        <w:t xml:space="preserve"> par le CYP2R1 (microsomial) et le CYP27A1 (mitochondrial) en </w:t>
      </w:r>
      <w:r>
        <w:rPr>
          <w:b/>
        </w:rPr>
        <w:t>calcifédiol (25-OH-D3)</w:t>
      </w:r>
      <w:r>
        <w:t xml:space="preserve">. Le calcifédiol est la forme circulante de stockage (demi-vie 15-25 jours), dosée pour évaluer le statut vitaminique D. La </w:t>
      </w:r>
      <w:r>
        <w:rPr>
          <w:b/>
        </w:rPr>
        <w:t>1α-hydroxylation rénale</w:t>
      </w:r>
      <w:r>
        <w:t xml:space="preserve"> par le CYP27B1 (mitochondrial), régulée positivement par la PTH et l'hypophosphatémie, régulée négativement par le FGF23 et la calcémie, produit le </w:t>
      </w:r>
      <w:r>
        <w:rPr>
          <w:b/>
        </w:rPr>
        <w:t>calcitriol (1,25-(OH)₂-D3)</w:t>
      </w:r>
      <w:r>
        <w:t>, hormone biologiquement active.</w:t>
      </w:r>
    </w:p>
    <w:p>
      <w:r>
        <w:t xml:space="preserve">Le calcitriol se lie au </w:t>
      </w:r>
      <w:r>
        <w:rPr>
          <w:b/>
        </w:rPr>
        <w:t>VDR</w:t>
      </w:r>
      <w:r>
        <w:t xml:space="preserve"> (Vitamin D Receptor), récepteur nucléaire de la superfamille des récepteurs stéroïdiens. Le VDR forme un </w:t>
      </w:r>
      <w:r>
        <w:rPr>
          <w:b/>
        </w:rPr>
        <w:t>hétérodimère avec RXR</w:t>
      </w:r>
      <w:r>
        <w:t xml:space="preserve"> (récepteur 9-cis-rétinoïque), ce qui augmente son affinité pour les VDRE (Vitamin D Response Elements) dans les promoteurs des gènes cibles. Les principaux gènes régulés sont listés en section 161.9.2 (cf. ergocalciférol), avec les effets physiologiques suivants :</w:t>
      </w:r>
    </w:p>
    <w:p>
      <w:pPr>
        <w:pStyle w:val="ListBullet"/>
      </w:pPr>
      <w:r/>
      <w:r>
        <w:rPr>
          <w:b/>
        </w:rPr>
        <w:t>Intestin</w:t>
      </w:r>
      <w:r>
        <w:t xml:space="preserve"> — induction de la </w:t>
      </w:r>
      <w:r>
        <w:rPr>
          <w:b/>
        </w:rPr>
        <w:t>calbindine-D9k</w:t>
      </w:r>
      <w:r>
        <w:t xml:space="preserve"> (transporteur intracellulaire du Ca²⁺), du canal </w:t>
      </w:r>
      <w:r>
        <w:rPr>
          <w:b/>
        </w:rPr>
        <w:t>TRPV6</w:t>
      </w:r>
      <w:r>
        <w:t xml:space="preserve"> (apical), et de la pompe </w:t>
      </w:r>
      <w:r>
        <w:rPr>
          <w:b/>
        </w:rPr>
        <w:t>PMCA1b</w:t>
      </w:r>
      <w:r>
        <w:t xml:space="preserve"> (basolatérale), permettant l'augmentation de l'absorption intestinale du calcium de 10-15 % (sans vitamine D) à 30-40 % (avec vitamine D), et de l'absorption du phosphore de 50 % à 80 %.</w:t>
      </w:r>
    </w:p>
    <w:p>
      <w:pPr>
        <w:pStyle w:val="ListBullet"/>
      </w:pPr>
      <w:r/>
      <w:r>
        <w:rPr>
          <w:b/>
        </w:rPr>
        <w:t>Rein</w:t>
      </w:r>
      <w:r>
        <w:t xml:space="preserve"> — induction de la </w:t>
      </w:r>
      <w:r>
        <w:rPr>
          <w:b/>
        </w:rPr>
        <w:t>calbindine-D28k</w:t>
      </w:r>
      <w:r>
        <w:t xml:space="preserve"> et du canal </w:t>
      </w:r>
      <w:r>
        <w:rPr>
          <w:b/>
        </w:rPr>
        <w:t>TRPV5</w:t>
      </w:r>
      <w:r>
        <w:t xml:space="preserve"> dans le tubule distal, permettant la réabsorption rénale du calcium filtré (réduction de la calciurie).</w:t>
      </w:r>
    </w:p>
    <w:p>
      <w:pPr>
        <w:pStyle w:val="ListBullet"/>
      </w:pPr>
      <w:r/>
      <w:r>
        <w:rPr>
          <w:b/>
        </w:rPr>
        <w:t>Os</w:t>
      </w:r>
      <w:r>
        <w:t xml:space="preserve"> — induction du </w:t>
      </w:r>
      <w:r>
        <w:rPr>
          <w:b/>
        </w:rPr>
        <w:t>RANKL</w:t>
      </w:r>
      <w:r>
        <w:t xml:space="preserve"> (Receptor Activator of NF-κB Ligand) par les ostéoblastes, qui stimule la différenciation et l'activation des ostéoclastes via leur récepteur RANK. Cet effet paradoxalement "résorbant" permet la mobilisation du calcium osseux en cas d'hypocalcémie. À plus long terme, la vitamine D favorise aussi la </w:t>
      </w:r>
      <w:r>
        <w:rPr>
          <w:b/>
        </w:rPr>
        <w:t>minéralisation osseuse</w:t>
      </w:r>
      <w:r>
        <w:t xml:space="preserve"> par activation de l'ostéocalcine.</w:t>
      </w:r>
    </w:p>
    <w:p>
      <w:pPr>
        <w:pStyle w:val="ListBullet"/>
      </w:pPr>
      <w:r/>
      <w:r>
        <w:rPr>
          <w:b/>
        </w:rPr>
        <w:t>Parathyroïde</w:t>
      </w:r>
      <w:r>
        <w:t xml:space="preserve"> — inhibition directe de la </w:t>
      </w:r>
      <w:r>
        <w:rPr>
          <w:b/>
        </w:rPr>
        <w:t>transcription de la PTH</w:t>
      </w:r>
      <w:r>
        <w:t xml:space="preserve"> (élément de réponse VDRE négatif dans le promoteur du gène PTH), ce qui réduit la sécrétion parathyroïdienne et la résorption osseuse chronique.</w:t>
      </w:r>
    </w:p>
    <w:p>
      <w:pPr>
        <w:pStyle w:val="ListBullet"/>
      </w:pPr>
      <w:r/>
      <w:r>
        <w:rPr>
          <w:b/>
        </w:rPr>
        <w:t>Immunité</w:t>
      </w:r>
      <w:r>
        <w:t xml:space="preserve"> — induction des </w:t>
      </w:r>
      <w:r>
        <w:rPr>
          <w:b/>
        </w:rPr>
        <w:t>cathélicidines</w:t>
      </w:r>
      <w:r>
        <w:t xml:space="preserve"> (LL-37) et </w:t>
      </w:r>
      <w:r>
        <w:rPr>
          <w:b/>
        </w:rPr>
        <w:t>défensines β2</w:t>
      </w:r>
      <w:r>
        <w:t xml:space="preserve"> par les macrophages et monocytes, effet antibactérien direct (action démontrée dans la tuberculose, les infections respiratoires, les pneumopathies acquises sous ventilation).</w:t>
      </w:r>
    </w:p>
    <w:p>
      <w:r>
        <w:t xml:space="preserve">L'apport de </w:t>
      </w:r>
      <w:r>
        <w:rPr>
          <w:b/>
        </w:rPr>
        <w:t>calcium</w:t>
      </w:r>
      <w:r>
        <w:t xml:space="preserve"> (carbonate de calcium 1 250 mg = 500 mg de calcium élément) complémente l'action de la vitamine D en apportant le substrat minéral nécessaire à la minéralisation osseuse et au maintien de la calcémie. Le calcium est absorbé activement (transcellulaire, vitamine D-dépendant) et passivement (paracellulaire). En l'absence de vitamine D, l'absorption passive seule (10-15 %) est insuffisante pour couvrir les besoins, ce qui impose une hyperphagie calcique impossible à maintenir.</w:t>
      </w:r>
    </w:p>
    <w:p>
      <w:pPr>
        <w:pStyle w:val="Heading4"/>
      </w:pPr>
      <w:r>
        <w:t>4. Pharmacocinétique (Profil PK)</w:t>
      </w:r>
    </w:p>
    <w:p>
      <w:r/>
      <w:r>
        <w:rPr>
          <w:b/>
        </w:rPr>
        <w:t>Absorption</w:t>
      </w:r>
      <w:r>
        <w:t xml:space="preserve"> — Le cholécalciférol (D3) est absorbé par voie micellaire (sels biliaires) dans le duodénum et le jéjunum, capté par les entérocytes via </w:t>
      </w:r>
      <w:r>
        <w:rPr>
          <w:b/>
        </w:rPr>
        <w:t>NPC1L1</w:t>
      </w:r>
      <w:r>
        <w:t xml:space="preserve"> et </w:t>
      </w:r>
      <w:r>
        <w:rPr>
          <w:b/>
        </w:rPr>
        <w:t>SR-BI</w:t>
      </w:r>
      <w:r>
        <w:t>, incorporé dans les chylomicrons, sécrété dans la lymphe. Biodisponibilité : 80-100 %. La prise au cours d'un repas contenant des graisses améliore l'absorption de 30-50 %. Le carbonate de calcium est absorbé principalement dans le duodénum (site de pH le plus acide, favorisant la solubilisation du carbonate en CaCl₂ absorbable) ; la teneur en calcium élément du carbonate est de 40 % (1 250 mg de carbonate = 500 mg de Ca élément). Biodisponibilité du calcium : 20-30 %, dépendante de la vitamine D.</w:t>
      </w:r>
    </w:p>
    <w:p>
      <w:r/>
      <w:r>
        <w:rPr>
          <w:b/>
        </w:rPr>
        <w:t>Distribution</w:t>
      </w:r>
      <w:r>
        <w:t xml:space="preserve"> — Le cholécalciférol est lié à la </w:t>
      </w:r>
      <w:r>
        <w:rPr>
          <w:b/>
        </w:rPr>
        <w:t>DBP</w:t>
      </w:r>
      <w:r>
        <w:t xml:space="preserve"> (85-90 %) et à l'albumine (10-15 %). Le calcifédiol (25-OH-D3) est également transporté par la DBP. Le calcium circulant est réparti en trois compartiments : calcium ionisé (50 %, forme active), calcium lié à l'albumine (40 %), calcium complexé au bicarbonate/citrate/phosphate (10 %). Le calcium osseux représente 99 % du pool corporel (1 200-1 400 g chez l'adulte).</w:t>
      </w:r>
    </w:p>
    <w:p>
      <w:r/>
      <w:r>
        <w:rPr>
          <w:b/>
        </w:rPr>
        <w:t>Métabolisme</w:t>
      </w:r>
      <w:r>
        <w:t xml:space="preserve"> — Le cholécalciférol subit la 25-hydroxylation hépatique (CYP2R1, CYP27A1) en calcifédiol, puis la 1α-hydroxylation rénale (CYP27B1) en calcitriol. Le catabolisme est assuré par le </w:t>
      </w:r>
      <w:r>
        <w:rPr>
          <w:b/>
        </w:rPr>
        <w:t>CYP24A1</w:t>
      </w:r>
      <w:r>
        <w:t xml:space="preserve"> qui hydroxyle le calcifédiol en 24,25-(OH)₂-D3 (inactif) et le calcitriol en calcitroïque acide (inactif). Demi-vie : cholécalciférol ~24 heures ; calcifédiol ~15-25 jours (réflete le stock) ; calcitriol ~4-15 heures.</w:t>
      </w:r>
    </w:p>
    <w:p>
      <w:r/>
      <w:r>
        <w:rPr>
          <w:b/>
        </w:rPr>
        <w:t>Élimination</w:t>
      </w:r>
      <w:r>
        <w:t xml:space="preserve"> — Biliaire et fécale (90 %) ; urinaire (10 %). Le calcium est éliminé à 80 % par le rein (filtration glomérulaire — réabsorption tubulaire), 20 % par les selles. La calciurie des 24 heures reflète l'équilibre calcique : normale 2,5-7,5 mmol/24 h chez la femme, 2,5-8 chez l'homme. Une calciurie &gt; 10 mmol/24 h sous supplémentation signe une hypercalciurie iatrogène justifiant une réduction posologique.</w:t>
      </w:r>
    </w:p>
    <w:p>
      <w:pPr>
        <w:pStyle w:val="Heading4"/>
      </w:pPr>
      <w:r>
        <w:t>5. Indications thérapeutiques</w:t>
      </w:r>
    </w:p>
    <w:p>
      <w:pPr>
        <w:pStyle w:val="ListNumber"/>
      </w:pPr>
      <w:r/>
      <w:r>
        <w:rPr>
          <w:b/>
        </w:rPr>
        <w:t>Ostéoporose post-ménopausique</w:t>
      </w:r>
      <w:r>
        <w:t xml:space="preserve"> — En complément obligatoire de tout traitement anti-ostéoporotique spécifique (bisphosphonates, dénosumab, raloxifène, tériparatide). Apports recommandés : 800-1 200 UI/jour vitamine D3 + 1 000-1 200 mg/jour calcium élément. Deux comprimés IDEOS/jour (ou équivalent) couvrent 800 UI + 1 000 mg.</w:t>
      </w:r>
    </w:p>
    <w:p>
      <w:pPr>
        <w:pStyle w:val="ListNumber"/>
      </w:pPr>
      <w:r/>
      <w:r>
        <w:rPr>
          <w:b/>
        </w:rPr>
        <w:t>Ostéoporose cortisonique</w:t>
      </w:r>
      <w:r>
        <w:t xml:space="preserve"> — En complément de la corticothérapie prolongée (&gt; 7,5 mg/jour prednisone pendant &gt; 3 mois).</w:t>
      </w:r>
    </w:p>
    <w:p>
      <w:pPr>
        <w:pStyle w:val="ListNumber"/>
      </w:pPr>
      <w:r/>
      <w:r>
        <w:rPr>
          <w:b/>
        </w:rPr>
        <w:t>Ostéoporose masculine</w:t>
      </w:r>
      <w:r>
        <w:t xml:space="preserve"> — Apports identiques à la femme ménopausée.</w:t>
      </w:r>
    </w:p>
    <w:p>
      <w:pPr>
        <w:pStyle w:val="ListNumber"/>
      </w:pPr>
      <w:r/>
      <w:r>
        <w:rPr>
          <w:b/>
        </w:rPr>
        <w:t>Prévention de la carence en vitamine D</w:t>
      </w:r>
      <w:r>
        <w:t xml:space="preserve"> — Chez le sujet âgé institutionnalisé, la femme voilée, le sujet à peau foncée vivant en zone tempérée, l'enfant et l'adolescent en période hivernale.</w:t>
      </w:r>
    </w:p>
    <w:p>
      <w:pPr>
        <w:pStyle w:val="ListNumber"/>
      </w:pPr>
      <w:r/>
      <w:r>
        <w:rPr>
          <w:b/>
        </w:rPr>
        <w:t>Traitement curatif de la carence vitaminique D</w:t>
      </w:r>
      <w:r>
        <w:t xml:space="preserve"> — 1 ampoule de 100 000 UI par mois pendant 3 mois, ou 1 ampoule de 200 000 UI tous les 3 mois, ou 2 000-4 000 UI/jour pendant 2-3 mois, suivi d'un entretien à 800-1 000 UI/jour.</w:t>
      </w:r>
    </w:p>
    <w:p>
      <w:pPr>
        <w:pStyle w:val="ListNumber"/>
      </w:pPr>
      <w:r/>
      <w:r>
        <w:rPr>
          <w:b/>
        </w:rPr>
        <w:t>Rachitisme carentiel et ostéomalacie</w:t>
      </w:r>
      <w:r>
        <w:t xml:space="preserve"> — Traitement curatif : 1 000-2 000 UI/jour pendant 4-8 semaines (carence modérée), jusqu'à 5 000-10 000 UI/jour en cas de rachitisme sévère.</w:t>
      </w:r>
    </w:p>
    <w:p>
      <w:pPr>
        <w:pStyle w:val="ListNumber"/>
      </w:pPr>
      <w:r/>
      <w:r>
        <w:rPr>
          <w:b/>
        </w:rPr>
        <w:t>Hypoparathyroïdie</w:t>
      </w:r>
      <w:r>
        <w:t xml:space="preserve"> — En association avec un sel de calcium et éventuellement un métabolite actif (alfacalcidol, calcitriol).</w:t>
      </w:r>
    </w:p>
    <w:p>
      <w:pPr>
        <w:pStyle w:val="ListNumber"/>
      </w:pPr>
      <w:r/>
      <w:r>
        <w:rPr>
          <w:b/>
        </w:rPr>
        <w:t>Supplémentation de la grossesse et de l'allaitement</w:t>
      </w:r>
      <w:r>
        <w:t xml:space="preserve"> — 1 000-2 000 UI/jour pendant toute la grossesse.</w:t>
      </w:r>
    </w:p>
    <w:p>
      <w:pPr>
        <w:pStyle w:val="ListNumber"/>
      </w:pPr>
      <w:r/>
      <w:r>
        <w:rPr>
          <w:b/>
        </w:rPr>
        <w:t>Supplémentation du nourrisson</w:t>
      </w:r>
      <w:r>
        <w:t xml:space="preserve"> — 400-800 UI/jour dès les premiers jours de vie (recommandations OMS, ESPGHAN).</w:t>
      </w:r>
    </w:p>
    <w:p>
      <w:pPr>
        <w:pStyle w:val="ListNumber"/>
      </w:pPr>
      <w:r/>
      <w:r>
        <w:rPr>
          <w:b/>
        </w:rPr>
        <w:t>NEOCALCIGENOL</w:t>
      </w:r>
      <w:r>
        <w:t xml:space="preserve"> (LAD PHARMA) — Association phosphate tricalcique + fluorure de sodium + vitamine D3 + ascorbate de sodium, suspension buvable flacon de 125 mL. Spécialité historique de supplémentation pédiatrique combinée (calcium + fluor + vitamine D + vitamine C).</w:t>
      </w:r>
    </w:p>
    <w:p>
      <w:pPr>
        <w:pStyle w:val="Heading4"/>
      </w:pPr>
      <w:r>
        <w:t>6. Posologie et mode d'administration</w:t>
      </w:r>
    </w:p>
    <w:p>
      <w:r/>
      <w:r>
        <w:rPr>
          <w:b/>
        </w:rPr>
        <w:t>Adulte (supplémentation usuelle)</w:t>
      </w:r>
      <w:r>
        <w:t xml:space="preserve"> — 1 à 2 comprimés d'IDEOS (ou équivalent) par jour, à croquer ou sucer, de préférence au cours d'un repas. Couvre 400 à 800 UI de vitamine D3 + 500 à 1 000 mg de calcium élément.</w:t>
      </w:r>
    </w:p>
    <w:p>
      <w:r/>
      <w:r>
        <w:rPr>
          <w:b/>
        </w:rPr>
        <w:t>Femme ménopausée ostéoporotique</w:t>
      </w:r>
      <w:r>
        <w:t xml:space="preserve"> — 2 comprimés/jour (800 UI vitamine D3 + 1 000 mg Ca élément) en complément du bisphosphonate ou du dénosumab.</w:t>
      </w:r>
    </w:p>
    <w:p>
      <w:r/>
      <w:r>
        <w:rPr>
          <w:b/>
        </w:rPr>
        <w:t>Femme enceinte</w:t>
      </w:r>
      <w:r>
        <w:t xml:space="preserve"> — 1 comprimé/jour (400 UI + 500 mg) en complément d'une éventuelle ampoule de vitamine D3 mensuelle (100 000 UI) en cas de carence maternelle avérée.</w:t>
      </w:r>
    </w:p>
    <w:p>
      <w:r/>
      <w:r>
        <w:rPr>
          <w:b/>
        </w:rPr>
        <w:t>Enfant (&gt; 6 ans, adolescent)</w:t>
      </w:r>
      <w:r>
        <w:t xml:space="preserve"> — 1 comprimé/jour ou 1 sachet/jour. Pour les jeunes enfants (&lt; 6 ans), préférer la forme gouttes ou solution buvable (cf. ergocalciférol, calcifédiol).</w:t>
      </w:r>
    </w:p>
    <w:p>
      <w:r/>
      <w:r>
        <w:rPr>
          <w:b/>
        </w:rPr>
        <w:t>Sujet âgé institutionnalisé</w:t>
      </w:r>
      <w:r>
        <w:t xml:space="preserve"> — 2 comprimés/jour (800 UI + 1 000 mg) en continu, associés à une ampoule de vitamine D3 100 000 UI tous les 3 mois.</w:t>
      </w:r>
    </w:p>
    <w:p>
      <w:r/>
      <w:r>
        <w:rPr>
          <w:b/>
        </w:rPr>
        <w:t>Supplémentation de charge (D3 isolée forte dose)</w:t>
      </w:r>
      <w:r>
        <w:t xml:space="preserve"> — 1 ampoule de 100 000 UI (VIT D3 SALEM 100 000 UI) par mois pendant 3 mois en cas de carence modérée, ou 1 ampoule de 200 000 UI (VITAMINE D3 B.O.N, VITAMINE D3 RAZES, VIT D3 SALEM, D-THREE, VIT D3 HUPP PHARMA) tous les 3 à 6 mois en entretien.</w:t>
      </w:r>
    </w:p>
    <w:p>
      <w:r/>
      <w:r>
        <w:rPr>
          <w:b/>
        </w:rPr>
        <w:t>Voie IM</w:t>
      </w:r>
      <w:r>
        <w:t xml:space="preserve"> — La forme 200 000 UI/mL est utilisable en IM profonde (glutéale) ; voie per os privilégiée.</w:t>
      </w:r>
    </w:p>
    <w:p>
      <w:pPr>
        <w:pStyle w:val="Heading4"/>
      </w:pPr>
      <w:r>
        <w:t>7. Effets indésirables et prévention</w:t>
      </w:r>
    </w:p>
    <w:p>
      <w:r/>
      <w:r>
        <w:rPr>
          <w:b/>
        </w:rPr>
        <w:t>Hypercalcémie</w:t>
      </w:r>
      <w:r>
        <w:t xml:space="preserve"> — Signes : polyuropolydipsie, asthénie, nausées, vomissements, constipation, troubles neuropsychiatriques (confusion, somnolence), raccourcissement du QT à l'ECG. Traitement : arrêt de la vitamine D et du calcium, hyperhydratation salée (3-4 L/jour), calcitonine, bisphosphonates IV dans les formes sévères.</w:t>
      </w:r>
    </w:p>
    <w:p>
      <w:r/>
      <w:r>
        <w:rPr>
          <w:b/>
        </w:rPr>
        <w:t>Hypercalciurie lithiasique</w:t>
      </w:r>
      <w:r>
        <w:t xml:space="preserve"> — Surveillance de la calciurie des 24 heures en cas de supplémentation prolongée &gt; 3 mois ou &gt; 1 000 mg Ca/jour. Une calciurie &gt; 5 mmol/24 h impose une réduction posologique.</w:t>
      </w:r>
    </w:p>
    <w:p>
      <w:r/>
      <w:r>
        <w:rPr>
          <w:b/>
        </w:rPr>
        <w:t>Syndrome de Burnett</w:t>
      </w:r>
      <w:r>
        <w:t xml:space="preserve"> — Alcalose métabolique hypochlorémique avec hypercalcémie et insuffisance rénale, observée en cas d'usage prolongé de carbonate de calcium à fortes doses (&gt; 4 g/jour) surtout chez le sujet âgé. Traitement : arrêt du carbonate, hydratation salée, surveillance biologique.</w:t>
      </w:r>
    </w:p>
    <w:p>
      <w:r/>
      <w:r>
        <w:rPr>
          <w:b/>
        </w:rPr>
        <w:t>Calcifications métastatiques</w:t>
      </w:r>
      <w:r>
        <w:t xml:space="preserve"> — En cas d'hyperphosphatémie associée (insuffisance rénale) : calcifications vasculaires, périarticulaires, viscérales. Prudence en cas d'IRC (DFG &lt; 30 mL/min) — préférer un chélateur du phosphore et un métabolite actif de la vitamine D (alfacalcidol).</w:t>
      </w:r>
    </w:p>
    <w:p>
      <w:r/>
      <w:r>
        <w:rPr>
          <w:b/>
        </w:rPr>
        <w:t>Constipation</w:t>
      </w:r>
      <w:r>
        <w:t xml:space="preserve"> — Effet indésirable fréquent du calcium carbonate (10-15 % des patients). Prévention : hydratation abondante, alimentation riche en fibres, activité physique.</w:t>
      </w:r>
    </w:p>
    <w:p>
      <w:r/>
      <w:r>
        <w:rPr>
          <w:b/>
        </w:rPr>
        <w:t>Prévention :</w:t>
      </w:r>
      <w:r>
        <w:t xml:space="preserve"> surveillance biologique annuelle (calcémie, calciurie 24 h, créatininémie, 25-OH-D sérique) en cas de supplémentation prolongée ; respect strict des posologies ; information du patient sur le risque de cumul avec d'autres spécialités vitaminiques D.</w:t>
      </w:r>
    </w:p>
    <w:p>
      <w:pPr>
        <w:pStyle w:val="Heading4"/>
      </w:pPr>
      <w:r>
        <w:t>8. Interactions médicamenteuses</w:t>
      </w:r>
    </w:p>
    <w:p>
      <w:r/>
      <w:r>
        <w:rPr>
          <w:b/>
        </w:rPr>
        <w:t>Tétracyclines (doxycycline, minocycline)</w:t>
      </w:r>
      <w:r>
        <w:t xml:space="preserve"> — Chélation par le calcium → réduction de l'absorption de 50-90 %. Espacer de 2 heures minimum.</w:t>
      </w:r>
    </w:p>
    <w:p>
      <w:r/>
      <w:r>
        <w:rPr>
          <w:b/>
        </w:rPr>
        <w:t>Fluoroquinolones (ciprofloxacine, lévofloxacine, moxifloxacine)</w:t>
      </w:r>
      <w:r>
        <w:t xml:space="preserve"> — Chélation par le calcium → réduction de la biodisponibilité de 50 %. Espacer de 2 heures avant ou 6 heures après.</w:t>
      </w:r>
    </w:p>
    <w:p>
      <w:r/>
      <w:r>
        <w:rPr>
          <w:b/>
        </w:rPr>
        <w:t>Bisphosphonates (alendronate, risédronate, ibandronate, zolédronate)</w:t>
      </w:r>
      <w:r>
        <w:t xml:space="preserve"> — Le calcium reduce l'absorption des bisphosphonates oraux de 80-90 %. Espacer de 30 minutes minimum (à prendre le matin à jeun, le calcium midi et soir).</w:t>
      </w:r>
    </w:p>
    <w:p>
      <w:r/>
      <w:r>
        <w:rPr>
          <w:b/>
        </w:rPr>
        <w:t>Dénosumab</w:t>
      </w:r>
      <w:r>
        <w:t xml:space="preserve"> — Pas d'interaction directe, mais surveillance accrue de la calcémie (risque d'hypocalcémie sous dénosumab, particulièrement si IRC).</w:t>
      </w:r>
    </w:p>
    <w:p>
      <w:r/>
      <w:r>
        <w:rPr>
          <w:b/>
        </w:rPr>
        <w:t>Levothyroxine</w:t>
      </w:r>
      <w:r>
        <w:t xml:space="preserve"> — Le calcium réduit l'absorption de la lévothyroxine. Espacer de 4 heures.</w:t>
      </w:r>
    </w:p>
    <w:p>
      <w:r/>
      <w:r>
        <w:rPr>
          <w:b/>
        </w:rPr>
        <w:t>Antiacides (carbonate, hydroxyde de magnésium/aluminium)</w:t>
      </w:r>
      <w:r>
        <w:t xml:space="preserve"> — Augmentation de l'absorption du calcium (modification du pH gastrique). Surveillance calcémie.</w:t>
      </w:r>
    </w:p>
    <w:p>
      <w:r/>
      <w:r>
        <w:rPr>
          <w:b/>
        </w:rPr>
        <w:t>Diurétiques thiazidiques (hydrochlorothiazide, indapamide)</w:t>
      </w:r>
      <w:r>
        <w:t xml:space="preserve"> — Diminution de l'excrétion urinaire du calcium → risque d'hypercalcémie sous vitamine D. Surveillance calcémie et calciurie.</w:t>
      </w:r>
    </w:p>
    <w:p>
      <w:r/>
      <w:r>
        <w:rPr>
          <w:b/>
        </w:rPr>
        <w:t>Diurétiques de l'anse (furosémide, bumétanide)</w:t>
      </w:r>
      <w:r>
        <w:t xml:space="preserve"> — Augmentation de l'excrétion urinaire du calcium → possible hypocalcémie et majoration de l'effet ostéoporotique.</w:t>
      </w:r>
    </w:p>
    <w:p>
      <w:r/>
      <w:r>
        <w:rPr>
          <w:b/>
        </w:rPr>
        <w:t>Digitaliques (digoxine)</w:t>
      </w:r>
      <w:r>
        <w:t xml:space="preserve"> — Hypercalcémie potentialise la toxicité digitalique (arythmies ventriculaires). Surveillance ECG et digoxinémie.</w:t>
      </w:r>
    </w:p>
    <w:p>
      <w:r/>
      <w:r>
        <w:rPr>
          <w:b/>
        </w:rPr>
        <w:t>Corticoïdes</w:t>
      </w:r>
      <w:r>
        <w:t xml:space="preserve"> — Induction du CYP24A1 → augmentation du catabolisme du calcitriol → carence vitaminique D. Majoration posologique (2 000-4 000 UI/jour).</w:t>
      </w:r>
    </w:p>
    <w:p>
      <w:r/>
      <w:r>
        <w:rPr>
          <w:b/>
        </w:rPr>
        <w:t>Antiépileptiques inducteurs</w:t>
      </w:r>
      <w:r>
        <w:t xml:space="preserve"> — Phénobarbital, phénytoïne, carbamazépine, primidone : induction du CYP24A1 → carence vitaminique D. Majoration posologique.</w:t>
      </w:r>
    </w:p>
    <w:p>
      <w:r/>
      <w:r>
        <w:rPr>
          <w:b/>
        </w:rPr>
        <w:t>Rifampicine, isoniazide</w:t>
      </w:r>
      <w:r>
        <w:t xml:space="preserve"> — Induction du CYP24A1 → carence vitaminique D. Surveillance.</w:t>
      </w:r>
    </w:p>
    <w:p>
      <w:r/>
      <w:r>
        <w:rPr>
          <w:b/>
        </w:rPr>
        <w:t>Antirétroviraux (efavirenz, névirapine, ritonavir)</w:t>
      </w:r>
      <w:r>
        <w:t xml:space="preserve"> — Induction enzymatique → carence vitaminique D. Supplémentation majorée (2 000-4 000 UI/jour).</w:t>
      </w:r>
    </w:p>
    <w:p>
      <w:r/>
      <w:r>
        <w:rPr>
          <w:b/>
        </w:rPr>
        <w:t>Cholestyramine, orlistat, sévélamer</w:t>
      </w:r>
      <w:r>
        <w:t xml:space="preserve"> — Diminution de l'absorption des vitamines liposolubles. Espacer les prises.</w:t>
      </w:r>
    </w:p>
    <w:p>
      <w:pPr>
        <w:pStyle w:val="Heading4"/>
      </w:pPr>
      <w:r>
        <w:t>9. Grossesse, allaitement et CRAT</w:t>
      </w:r>
    </w:p>
    <w:p>
      <w:r/>
      <w:r>
        <w:rPr>
          <w:b/>
        </w:rPr>
        <w:t>Grossesse</w:t>
      </w:r>
      <w:r>
        <w:t xml:space="preserve"> — La vitamine D3 + calcium à dose nutritionnelle (400-2 000 UI/jour + 500-1 000 mg/jour) est </w:t>
      </w:r>
      <w:r>
        <w:rPr>
          <w:b/>
        </w:rPr>
        <w:t>autorisée et recommandée</w:t>
      </w:r>
      <w:r>
        <w:t xml:space="preserve"> pendant toute la grossesse, particulièrement en Algérie où la carence maternelle est pandémique. Le CRAT classe l'association D3 + Calcium comme </w:t>
      </w:r>
      <w:r>
        <w:rPr>
          <w:i/>
        </w:rPr>
        <w:t>« Compatible pendant toute la grossesse aux doses nutritionnelles. »</w:t>
      </w:r>
      <w:r>
        <w:t xml:space="preserve"> La supplémentation maternelle prévient le rachitisme néonatal, l'hypocalcémie néonatale, la pré-éclampsie (données épidémiologiques suggérant une réduction du risque) et améliore la minéralisation osseuse fœtale. </w:t>
      </w:r>
      <w:r>
        <w:rPr>
          <w:b/>
        </w:rPr>
        <w:t>Les doses massives de charge</w:t>
      </w:r>
      <w:r>
        <w:t xml:space="preserve"> (100 000 UI ou 200 000 UI en dose unique) sont à éviter au 1er trimestre par prudence ; elles peuvent être administrées au 2e ou 3e trimestre en cas de carence profonde documentée.</w:t>
      </w:r>
    </w:p>
    <w:p>
      <w:r/>
      <w:r>
        <w:rPr>
          <w:b/>
        </w:rPr>
        <w:t>Allaitement</w:t>
      </w:r>
      <w:r>
        <w:t xml:space="preserve"> — La vitamine D3 + calcium est </w:t>
      </w:r>
      <w:r>
        <w:rPr>
          <w:b/>
        </w:rPr>
        <w:t>compatible avec l'allaitement</w:t>
      </w:r>
      <w:r>
        <w:t>. La supplémentation maternelle à 1 000-4 000 UI/jour + 1 000 mg/jour de calcium assure un apport suffisant au nourrisson allaité exclusivement (besoins 400-800 UI/jour). Pour des doses maternelles élevées (&gt; 6 000 UI/jour), surveillance clinique de l'enfant (calcémie, croissance, fontanelle).</w:t>
      </w:r>
    </w:p>
    <w:p>
      <w:r/>
      <w:r>
        <w:rPr>
          <w:b/>
        </w:rPr>
        <w:t>Femme allaitant un prématuré ou un jumeau</w:t>
      </w:r>
      <w:r>
        <w:t xml:space="preserve"> — Majoration des besoins maternels : 2 000-4 000 UI/jour + 1 200-1 500 mg/jour de calcium. Surveillance pédiatrique rapprochée.</w:t>
      </w:r>
    </w:p>
    <w:p>
      <w:pPr>
        <w:pStyle w:val="Heading4"/>
      </w:pPr>
      <w:r>
        <w:t>10. Formes galéniques disponibles</w:t>
      </w:r>
    </w:p>
    <w:p>
      <w:pPr>
        <w:pStyle w:val="ListBullet"/>
      </w:pPr>
      <w:r/>
      <w:r>
        <w:rPr>
          <w:b/>
        </w:rPr>
        <w:t>Comprimé à sucer ou croquer</w:t>
      </w:r>
      <w:r>
        <w:t xml:space="preserve"> — 10 spécialités actives (IDEOS, CALCIUM D3 SOPHAL, CALCIUM D3 IVAL, CALCIUM D3 NOVAGENERICS, FIXECAL, DENSICAL CALCIUM D3, KINADYN-OS comprimé, OSSE D3 comprimé, OSSEANS D3, SUPEROS D3). Toutes dosées à 500 mg Ca élément + 400 UI D3 par comprimé. Le comprimé à sucer/croquer permet une absorption sublinguale/gastrique du calcium, mais aussi un effet antiacide local (en cas de pyrosis). Ne pas avaler entier.</w:t>
      </w:r>
    </w:p>
    <w:p>
      <w:pPr>
        <w:pStyle w:val="ListBullet"/>
      </w:pPr>
      <w:r/>
      <w:r>
        <w:rPr>
          <w:b/>
        </w:rPr>
        <w:t>Poudre pour suspension buvable en sachet</w:t>
      </w:r>
      <w:r>
        <w:t xml:space="preserve"> — 4 spécialités actives (CALCIDOSE VITAMINE D, CALVITACARE, KINADYN-OS sachets, OSSE D3 sachets). Dosage 500 mg Ca élément + 400 UI D3 par sachet. Forme adaptée à la pédiatrie et au sujet âgé dysphagique.</w:t>
      </w:r>
    </w:p>
    <w:p>
      <w:pPr>
        <w:pStyle w:val="ListBullet"/>
      </w:pPr>
      <w:r/>
      <w:r>
        <w:rPr>
          <w:b/>
        </w:rPr>
        <w:t>Ampoule buvable et/ou injectable de vitamine D3 isolée</w:t>
      </w:r>
      <w:r>
        <w:t xml:space="preserve"> — 6 spécialités actives (VIT D3 SALEM 100 000 UI, VIT D3 SALEM 200 000 UI/mL, D-THREE, VIT D3 HUPP PHARMA, VITAMINE D3 B.O.N, VITAMINE D3 RAZES). Toutes dosées à 100 000 UI ou 200 000 UI/mL. Liste II. La forme ampoule buvable est privilégiée pour la supplémentation de charge ; la voie IM est réservée à la carence profonde, à l'ostéomalacie sévère, ou à la malabsorption (mucoviscidose).</w:t>
      </w:r>
    </w:p>
    <w:p>
      <w:pPr>
        <w:pStyle w:val="ListBullet"/>
      </w:pPr>
      <w:r/>
      <w:r>
        <w:rPr>
          <w:b/>
        </w:rPr>
        <w:t>Suspension buvable en flacon</w:t>
      </w:r>
      <w:r>
        <w:t xml:space="preserve"> — NEOCALCIGENOL (LAD PHARMA), association phosphate tricalcique 125 mg + fluorure sodium 0,5 mg + cholécalciférol 320 UI + ascorbate sodium 22,5 mg /5 mL. Forme pédiatrique combinée.</w:t>
      </w:r>
    </w:p>
    <w:p>
      <w:pPr>
        <w:pStyle w:val="Heading4"/>
      </w:pPr>
      <w:r>
        <w:t>11. Conseils au patient</w:t>
      </w:r>
    </w:p>
    <w:p>
      <w:pPr>
        <w:pStyle w:val="ListBullet"/>
      </w:pPr>
      <w:r/>
      <w:r>
        <w:rPr>
          <w:b/>
        </w:rPr>
        <w:t>Pour les comprimés à sucer/croquer :</w:t>
      </w:r>
      <w:r>
        <w:t xml:space="preserve"> croquer ou sucer lentement le comprimé avant de l'avaler ; ne pas l'avaler entier (réduction de l'absorption) ; prendre au cours d'un repas (améliore l'absorption) ; respecter la dose prescrite ; ne pas dépasser 2 comprimés/jour sans avis médical.</w:t>
      </w:r>
    </w:p>
    <w:p>
      <w:pPr>
        <w:pStyle w:val="ListBullet"/>
      </w:pPr>
      <w:r/>
      <w:r>
        <w:rPr>
          <w:b/>
        </w:rPr>
        <w:t>Pour les sachets :</w:t>
      </w:r>
      <w:r>
        <w:t xml:space="preserve"> diluer le contenu d'un sachet dans un verre d'eau, de jus de fruit ou de lait ; bien agiter jusqu'à dissolution complète ; prendre au cours d'un repas ; ne pas dépasser 2 sachets/jour.</w:t>
      </w:r>
    </w:p>
    <w:p>
      <w:pPr>
        <w:pStyle w:val="ListBullet"/>
      </w:pPr>
      <w:r/>
      <w:r>
        <w:rPr>
          <w:b/>
        </w:rPr>
        <w:t>Pour les ampoules buvables :</w:t>
      </w:r>
      <w:r>
        <w:t xml:space="preserve"> diluer le contenu de l'ampoule dans un demi-verre d'eau ou de jus ; prendre au cours d'un repas contenant des graisses ; tenir un carnet de suivi des dates de prise (1 ampoule tous les 3 mois ou 1 par mois) ; ne pas associer plusieurs spécialités vitaminiques D.</w:t>
      </w:r>
    </w:p>
    <w:p>
      <w:pPr>
        <w:pStyle w:val="ListBullet"/>
      </w:pPr>
      <w:r/>
      <w:r>
        <w:rPr>
          <w:b/>
        </w:rPr>
        <w:t>Voie IM :</w:t>
      </w:r>
      <w:r>
        <w:t xml:space="preserve"> uniquement en milieu médicalisé ; injection intramusculaire profonde (quadrant supéro-externe de la fesse) ; aspiration avant injection pour vérifier l'absence de vaisseau.</w:t>
      </w:r>
    </w:p>
    <w:p>
      <w:pPr>
        <w:pStyle w:val="ListBullet"/>
      </w:pPr>
      <w:r/>
      <w:r>
        <w:rPr>
          <w:b/>
        </w:rPr>
        <w:t>Chez la femme enceinte :</w:t>
      </w:r>
      <w:r>
        <w:t xml:space="preserve"> poursuite de la supplémentation pendant toute la grossesse ; surveillance de la 25-OH-D au 3e trimestre (cible &gt; 30 ng/mL).</w:t>
      </w:r>
    </w:p>
    <w:p>
      <w:pPr>
        <w:pStyle w:val="ListBullet"/>
      </w:pPr>
      <w:r/>
      <w:r>
        <w:rPr>
          <w:b/>
        </w:rPr>
        <w:t>Chez l'enfant :</w:t>
      </w:r>
      <w:r>
        <w:t xml:space="preserve"> 1 comprimé ou 1 sachet par jour en prévention ; le comprimé doit être croqué (ne pas laisser avaler entier par un enfant &lt; 6 ans en raison du risque de fausse route).</w:t>
      </w:r>
    </w:p>
    <w:p>
      <w:pPr>
        <w:pStyle w:val="ListBullet"/>
      </w:pPr>
      <w:r/>
      <w:r>
        <w:rPr>
          <w:b/>
        </w:rPr>
        <w:t>Chez le sujet âgé :</w:t>
      </w:r>
      <w:r>
        <w:t xml:space="preserve"> surveillance annuelle de la 25-OH-D, de la calcémie, de la fonction rénale ; apports alimentaires calciques (laitages, fromages) ; exposition solaire modérée (15-30 min/jour visage-avant-bras-main).</w:t>
      </w:r>
    </w:p>
    <w:p>
      <w:pPr>
        <w:pStyle w:val="ListBullet"/>
      </w:pPr>
      <w:r/>
      <w:r>
        <w:rPr>
          <w:b/>
        </w:rPr>
        <w:t>Conservation :</w:t>
      </w:r>
      <w:r>
        <w:t xml:space="preserve"> à température ambiante (&lt; 25 °C), à l'abri de la lumière et de l'humidité ; ne pas congeler.</w:t>
      </w:r>
    </w:p>
    <w:p>
      <w:pPr>
        <w:pStyle w:val="Heading4"/>
      </w:pPr>
      <w:r>
        <w:t>12. Pièges au comptoir — Règles d'or</w:t>
      </w:r>
    </w:p>
    <w:p>
      <w:pPr>
        <w:pStyle w:val="ListNumber"/>
      </w:pPr>
      <w:r/>
      <w:r>
        <w:rPr>
          <w:b/>
        </w:rPr>
        <w:t>Respect de l'association obligatoire vitamine D + calcium</w:t>
      </w:r>
      <w:r>
        <w:t xml:space="preserve"> — Tout traitement anti-ostéoporotique (bisphosphonate, dénosumab, raloxifène) doit être complété par vitamine D + calcium. Le pharmacien doit systématiquement vérifier cette co-prescription.</w:t>
      </w:r>
    </w:p>
    <w:p>
      <w:pPr>
        <w:pStyle w:val="ListNumber"/>
      </w:pPr>
      <w:r/>
      <w:r>
        <w:rPr>
          <w:b/>
        </w:rPr>
        <w:t>Dosage du carbonate de calcium en Ca élément</w:t>
      </w:r>
      <w:r>
        <w:t xml:space="preserve"> — 1 250 mg de carbonate de calcium = 500 mg de calcium élément. Le pharmacien doit savoir convertir pour expliquer la posologie au patient (2 comprimés = 1 000 mg Ca élément, soit les apports recommandés chez la femme ménopausée).</w:t>
      </w:r>
    </w:p>
    <w:p>
      <w:pPr>
        <w:pStyle w:val="ListNumber"/>
      </w:pPr>
      <w:r/>
      <w:r>
        <w:rPr>
          <w:b/>
        </w:rPr>
        <w:t>Voie IM de la vitamine D3 200 000 UI/mL</w:t>
      </w:r>
      <w:r>
        <w:t xml:space="preserve"> — La voie IM doit être profonde, en milieu médicalisé, avec vérification de l'absence de grossesse chez la femme en âge de procréer (par prudence, bien que la D3 ne soit pas tératogène à dose thérapeutique).</w:t>
      </w:r>
    </w:p>
    <w:p>
      <w:pPr>
        <w:pStyle w:val="ListNumber"/>
      </w:pPr>
      <w:r/>
      <w:r>
        <w:rPr>
          <w:b/>
        </w:rPr>
        <w:t>Surveillance biologique</w:t>
      </w:r>
      <w:r>
        <w:t xml:space="preserve"> — La 25-OH-D sérique est le seul marqueur fiable du statut vitaminique D. Ne pas se fier à la calcémie (normale jusqu'à carence sévère).</w:t>
      </w:r>
    </w:p>
    <w:p>
      <w:pPr>
        <w:pStyle w:val="ListNumber"/>
      </w:pPr>
      <w:r/>
      <w:r>
        <w:rPr>
          <w:b/>
        </w:rPr>
        <w:t>Carence pandémique en Algérie</w:t>
      </w:r>
      <w:r>
        <w:t xml:space="preserve"> — Toute femme enceinte, tout nourrisson, tout sujet âgé doit recevoir une supplémentation systématique.</w:t>
      </w:r>
    </w:p>
    <w:p>
      <w:pPr>
        <w:pStyle w:val="ListNumber"/>
      </w:pPr>
      <w:r/>
      <w:r>
        <w:rPr>
          <w:b/>
        </w:rPr>
        <w:t>Risque de fausse route</w:t>
      </w:r>
      <w:r>
        <w:t xml:space="preserve"> — Les comprimés à sucer/croquer ne doivent pas être avalés entiers par un enfant &lt; 6 ans. Préférer la forme sachet ou suspension buvable.</w:t>
      </w:r>
    </w:p>
    <w:p>
      <w:pPr>
        <w:pStyle w:val="ListNumber"/>
      </w:pPr>
      <w:r/>
      <w:r>
        <w:rPr>
          <w:b/>
        </w:rPr>
        <w:t>Interactions fréquentes</w:t>
      </w:r>
      <w:r>
        <w:t xml:space="preserve"> — Vérifier systématiquement les inducteurs enzymatiques (antiépileptiques, rifampicine, antirétroviraux) qui majorent le catabolisme de la vitamine D ; espacer les prises avec les tétracyclines, fluoroquinolones, bisphosphonates, lévothyroxine.</w:t>
      </w:r>
    </w:p>
    <w:p>
      <w:pPr>
        <w:pStyle w:val="ListNumber"/>
      </w:pPr>
      <w:r/>
      <w:r>
        <w:rPr>
          <w:b/>
        </w:rPr>
        <w:t>Insuffisance rénale chronique</w:t>
      </w:r>
      <w:r>
        <w:t xml:space="preserve"> — En cas d'IRC sévère (DFG &lt; 30 mL/min), préférer l'alfacalcidol (cf. section 161.9.4) qui contourne la 1α-hydroxylation rénale déficiente.</w:t>
      </w:r>
    </w:p>
    <w:p>
      <w:pPr>
        <w:pStyle w:val="ListNumber"/>
      </w:pPr>
      <w:r/>
      <w:r>
        <w:rPr>
          <w:b/>
        </w:rPr>
        <w:t>Hypercalcémie sous supplémentation</w:t>
      </w:r>
      <w:r>
        <w:t xml:space="preserve"> — Tout symptôme évoquant une hypercalcémie (polyuropolydipsie, asthénie, confusion, constipation) chez un patient sous D3 + calcium doit être évalué biologiquement (calcémie corrigée).</w:t>
      </w:r>
    </w:p>
    <w:p>
      <w:pPr>
        <w:pStyle w:val="ListNumber"/>
      </w:pPr>
      <w:r/>
      <w:r>
        <w:rPr>
          <w:b/>
        </w:rPr>
        <w:t>Cumul des sources</w:t>
      </w:r>
      <w:r>
        <w:t xml:space="preserve"> — Vérifier que le patient n'associe pas plusieurs spécialités vitaminiques D (comprimé IDEOS + ampoule 200 000 UI + complément alimentaire D3). Un carnet de suivi des prises est recommandé.</w:t>
      </w:r>
    </w:p>
    <w:p>
      <w:pPr>
        <w:pStyle w:val="ListNumber"/>
      </w:pPr>
      <w:r/>
      <w:r>
        <w:rPr>
          <w:b/>
        </w:rPr>
        <w:t>Ostéoporose fracturaire</w:t>
      </w:r>
      <w:r>
        <w:t xml:space="preserve"> — Le pharmacien doit savoir qu'en cas de fracture récente (fracture vertébrale tassée, fracture du col fémoral), la supplémentation D3 + calcium doit être poursuivie/intensifiée pour optimiser la consolidation et prévenir les récidives.</w:t>
      </w:r>
    </w:p>
    <w:p>
      <w:pPr>
        <w:pStyle w:val="ListNumber"/>
      </w:pPr>
      <w:r/>
      <w:r>
        <w:rPr>
          <w:b/>
        </w:rPr>
        <w:t>Coût de la supplémentation</w:t>
      </w:r>
      <w:r>
        <w:t xml:space="preserve"> — Les spécialités algériennes génériques (CALCIUM D3 SOPHAL, KINADYN-OS, OSSE D3) sont moins coûteuses que IDEOS (princeps) pour une bioéquivalence démontrée. Le pharmacien peut proposer la substitution si le patient souhaite une économie.</w:t>
      </w:r>
    </w:p>
    <w:p>
      <w:pPr>
        <w:pStyle w:val="Heading3"/>
      </w:pPr>
      <w:r>
        <w:t>161.9.4. DCI : Alfacalcidol (1α-hydroxycholécalciférol)</w:t>
      </w:r>
    </w:p>
    <w:p>
      <w:pPr>
        <w:pStyle w:val="Heading4"/>
      </w:pPr>
      <w:r>
        <w:t>1. Liste catégories pharmaco-thérapeutiques</w:t>
      </w:r>
    </w:p>
    <w:p>
      <w:r/>
      <w:r>
        <w:rPr>
          <w:b/>
        </w:rPr>
        <w:t>Catégories :</w:t>
      </w:r>
      <w:r>
        <w:t xml:space="preserve"> Vitamine ; Vitamine liposoluble ; Vitamine D ; Métabolite actif de la vitamine D (1α-hydroxylé) ; Prodrogue du calcitriol contournant la 1α-hydroxylation rénale ; Hormone vitaminique D à action directe ; Traitement de l'ostéodystrophie rénale ; Traitement de l'hypoparathyroïdie ; Liste I (surveillance stricte). Réservé à la prescription spécialisée (néphrologue, endocrinologue, rhumatologue).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UN-ALFA 0,25 µg</w:t>
            </w:r>
          </w:p>
        </w:tc>
        <w:tc>
          <w:tcPr>
            <w:tcW w:type="dxa" w:w="1559"/>
          </w:tcPr>
          <w:p>
            <w:r>
              <w:rPr>
                <w:sz w:val="20"/>
              </w:rPr>
              <w:t>CHEPLAPHARM ARZNEIMITTEL GMBH</w:t>
            </w:r>
          </w:p>
        </w:tc>
        <w:tc>
          <w:tcPr>
            <w:tcW w:type="dxa" w:w="1559"/>
          </w:tcPr>
          <w:p>
            <w:r>
              <w:rPr>
                <w:sz w:val="20"/>
              </w:rPr>
              <w:t>Capsule orale, alfacalcidol 0,25 µg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UN-ALFA 1 µg</w:t>
            </w:r>
          </w:p>
        </w:tc>
        <w:tc>
          <w:tcPr>
            <w:tcW w:type="dxa" w:w="1559"/>
          </w:tcPr>
          <w:p>
            <w:r>
              <w:rPr>
                <w:sz w:val="20"/>
              </w:rPr>
              <w:t>CHEPLAPHARM ARZNEIMITTEL GMBH</w:t>
            </w:r>
          </w:p>
        </w:tc>
        <w:tc>
          <w:tcPr>
            <w:tcW w:type="dxa" w:w="1559"/>
          </w:tcPr>
          <w:p>
            <w:r>
              <w:rPr>
                <w:sz w:val="20"/>
              </w:rPr>
              <w:t>Capsule orale, alfacalcidol 1 µg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SUPRA CALCI 0,25 µg</w:t>
            </w:r>
          </w:p>
        </w:tc>
        <w:tc>
          <w:tcPr>
            <w:tcW w:type="dxa" w:w="1559"/>
          </w:tcPr>
          <w:p>
            <w:r>
              <w:rPr>
                <w:sz w:val="20"/>
              </w:rPr>
              <w:t>UNITED PHARMACEUTICAL MANUFACTURING (UPM)</w:t>
            </w:r>
          </w:p>
        </w:tc>
        <w:tc>
          <w:tcPr>
            <w:tcW w:type="dxa" w:w="1559"/>
          </w:tcPr>
          <w:p>
            <w:r>
              <w:rPr>
                <w:sz w:val="20"/>
              </w:rPr>
              <w:t>Capsule molle, alfacalcidol 0,25 µg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SUPRA CALCI 1 µg</w:t>
            </w:r>
          </w:p>
        </w:tc>
        <w:tc>
          <w:tcPr>
            <w:tcW w:type="dxa" w:w="1559"/>
          </w:tcPr>
          <w:p>
            <w:r>
              <w:rPr>
                <w:sz w:val="20"/>
              </w:rPr>
              <w:t>UNITED PHARMACEUTICAL MANUFACTURING (UPM)</w:t>
            </w:r>
          </w:p>
        </w:tc>
        <w:tc>
          <w:tcPr>
            <w:tcW w:type="dxa" w:w="1559"/>
          </w:tcPr>
          <w:p>
            <w:r>
              <w:rPr>
                <w:sz w:val="20"/>
              </w:rPr>
              <w:t>Capsule molle, alfacalcidol 1 µg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bl>
    <w:p/>
    <w:p>
      <w:r/>
      <w:r>
        <w:rPr>
          <w:b/>
        </w:rPr>
        <w:t>Remarque :</w:t>
      </w:r>
      <w:r>
        <w:t xml:space="preserve"> Deux dosages disponibles (0,25 µg et 1 µg) permettant une titration fine. Le dosage 0,25 µg est utilisé pour l'initiation du traitement et la titration chez l'adulte comme chez l'enfant ; le dosage 1 µg est utilisé en entretien à dose pleine ou pour les posologies plus élevées (hypoparathyroïdie sévère). Les deux spécialités (UN-ALFA et SUPRA CALCI) sont bioéquivalentes et substituables. Le pharmacien doit s'assurer de la bonne délivrance du dosage prescrit (0,25 µg vs 1 µg) — confusion possible.</w:t>
      </w:r>
    </w:p>
    <w:p>
      <w:pPr>
        <w:pStyle w:val="Heading4"/>
      </w:pPr>
      <w:r>
        <w:t>3. Mécanisme d'action moléculaire, cellulaire et physiologique</w:t>
      </w:r>
    </w:p>
    <w:p>
      <w:r>
        <w:t xml:space="preserve">L'alfacalcidol (1α-hydroxycholécalciférol, 1α-(OH)D₃) est un </w:t>
      </w:r>
      <w:r>
        <w:rPr>
          <w:b/>
        </w:rPr>
        <w:t>métabolite actif de la vitamine D</w:t>
      </w:r>
      <w:r>
        <w:t xml:space="preserve"> contenant déjà le groupement hydroxyle en position 1α. Cette particularité structurale lui permet de </w:t>
      </w:r>
      <w:r>
        <w:rPr>
          <w:b/>
        </w:rPr>
        <w:t>contourner l'étape de 1α-hydroxylation rénale</w:t>
      </w:r>
      <w:r>
        <w:t xml:space="preserve"> (CYP27B1) qui est l'étape limitante et régulée de la voie de biosynthèse du calcitriol. L'alfacalcidol ne nécessite qu'une </w:t>
      </w:r>
      <w:r>
        <w:rPr>
          <w:b/>
        </w:rPr>
        <w:t>25-hydroxylation hépatique</w:t>
      </w:r>
      <w:r>
        <w:t xml:space="preserve"> (CYP2R1, CYP27A1) pour être converti en </w:t>
      </w:r>
      <w:r>
        <w:rPr>
          <w:b/>
        </w:rPr>
        <w:t>calcitriol (1,25-(OH)₂-D₃)</w:t>
      </w:r>
      <w:r>
        <w:t xml:space="preserve"> biologiquement actif. Cette 25-hydroxylation hépatique est très efficace, peu régulée, et conserve une activité suffisante même en cas d'insuffisance hépatocellulaire modérée (cirrhose compensée).</w:t>
      </w:r>
    </w:p>
    <w:p>
      <w:r>
        <w:t xml:space="preserve">Le calcitriol produit se lie au </w:t>
      </w:r>
      <w:r>
        <w:rPr>
          <w:b/>
        </w:rPr>
        <w:t>VDR</w:t>
      </w:r>
      <w:r>
        <w:t xml:space="preserve"> (Vitamin D Receptor) de la même manière que le calcitriol endogène. Les effets moléculaires sont identiques à ceux décrits pour la vitamine D3 (cf. section 161.9.3) : activation de l'absorption intestinale du calcium et du phosphore, induction de la calbindine-D9k et de TRPV6, stimulation de la minéralisation osseuse, inhibition de la sécrétion de PTH. L'alfacalcidol partage donc les effets biologiques du calcitriol, mais avec une particularité pharmacocinétique importante : la 1α-hydroxylation étant normalement régulée par la </w:t>
      </w:r>
      <w:r>
        <w:rPr>
          <w:b/>
        </w:rPr>
        <w:t>PTH</w:t>
      </w:r>
      <w:r>
        <w:t xml:space="preserve"> (stimulation), le </w:t>
      </w:r>
      <w:r>
        <w:rPr>
          <w:b/>
        </w:rPr>
        <w:t>FGF23</w:t>
      </w:r>
      <w:r>
        <w:t xml:space="preserve"> (inhibition), le </w:t>
      </w:r>
      <w:r>
        <w:rPr>
          <w:b/>
        </w:rPr>
        <w:t>phosphore</w:t>
      </w:r>
      <w:r>
        <w:t xml:space="preserve"> (inhibition), et la </w:t>
      </w:r>
      <w:r>
        <w:rPr>
          <w:b/>
        </w:rPr>
        <w:t>calcémie</w:t>
      </w:r>
      <w:r>
        <w:t xml:space="preserve"> (rétrocontrôle), elle est </w:t>
      </w:r>
      <w:r>
        <w:rPr>
          <w:b/>
        </w:rPr>
        <w:t>défaillante dans l'insuffisance rénale chronique</w:t>
      </w:r>
      <w:r>
        <w:t xml:space="preserve"> (perte du CYP27B1 tubulaire proximal) et dans certaines pathologies parathyroïdiennes (hypoparathyroïdie = absence de PTH = absence de stimulation du CYP27B1). Dans ces situations, l'apport exogène d'alfacalcidol restaure une production de calcitriol indépendante de la régulation physiologique.</w:t>
      </w:r>
    </w:p>
    <w:p>
      <w:r>
        <w:t xml:space="preserve">L'alfacalcidol présente un </w:t>
      </w:r>
      <w:r>
        <w:rPr>
          <w:b/>
        </w:rPr>
        <w:t>avantage pharmacologique</w:t>
      </w:r>
      <w:r>
        <w:t xml:space="preserve"> sur le cholécalciférol dans les situations où la 1α-hydroxylation est déficiente : (1) IRC sévère et dialysés (perte néphronique du CYP27B1) ; (2) hypoparathyroïdie (absence de stimulation par PTH) ; (3) pseudo-hypoparathyroïdie (résistance périphérique à la PTH) ; (4) rachitisme vitamino-résistant type I (mutation inactivatrice du CYP27B1) ; (5) syndrome de Fanconi, acidose tubulaire rénale, néphropathies interstitielles chroniques.</w:t>
      </w:r>
    </w:p>
    <w:p>
      <w:pPr>
        <w:pStyle w:val="Heading4"/>
      </w:pPr>
      <w:r>
        <w:t>4. Pharmacocinétique (Profil PK)</w:t>
      </w:r>
    </w:p>
    <w:p>
      <w:r/>
      <w:r>
        <w:rPr>
          <w:b/>
        </w:rPr>
        <w:t>Absorption</w:t>
      </w:r>
      <w:r>
        <w:t xml:space="preserve"> — L'alfacalcidol est bien absorbé par voie orale (biodisponibilité ~70-80 %), absorption non dépendante de la prise concomitante de graisses (la 25-hydroxylation se fait dans le foie, pas dans l'entérocyte). Pic plasmatique du calcitriol formé à 8-12 heures après la prise orale. La capsule molle (SUPRA CALCI) permet une libération rapide ; la capsule orale (UN-ALFA) est de libération standard.</w:t>
      </w:r>
    </w:p>
    <w:p>
      <w:r/>
      <w:r>
        <w:rPr>
          <w:b/>
        </w:rPr>
        <w:t>Distribution</w:t>
      </w:r>
      <w:r>
        <w:t xml:space="preserve"> — L'alfacalcidol et son métabolite actif (calcitriol) circulent liés à la </w:t>
      </w:r>
      <w:r>
        <w:rPr>
          <w:b/>
        </w:rPr>
        <w:t>DBP</w:t>
      </w:r>
      <w:r>
        <w:t xml:space="preserve"> (85-90 %) et à l'albumine (10-15 %). Volume de distribution : ~0,4 L/kg. Pénétration intracellulaire via le VDR cytosolique.</w:t>
      </w:r>
    </w:p>
    <w:p>
      <w:r/>
      <w:r>
        <w:rPr>
          <w:b/>
        </w:rPr>
        <w:t>Métabolisme</w:t>
      </w:r>
      <w:r>
        <w:t xml:space="preserve"> — 25-hydroxylation hépatique (CYP2R1, CYP27A1) → calcitriol actif ; catabolisme par le </w:t>
      </w:r>
      <w:r>
        <w:rPr>
          <w:b/>
        </w:rPr>
        <w:t>CYP24A1</w:t>
      </w:r>
      <w:r>
        <w:t xml:space="preserve"> (24-hydroxylase) en 1,24,25-(OH)₃-D₃ (inactif) puis calcitroïque acide (inactif). Demi-vie d'élimination : 2-4 heures pour l'alfacalcidol ; 4-15 heures pour le calcitriol formé. L'effet biologique max est atteint à 24-48 heures après la prise (effet génomique via le VDR nucléaire).</w:t>
      </w:r>
    </w:p>
    <w:p>
      <w:r/>
      <w:r>
        <w:rPr>
          <w:b/>
        </w:rPr>
        <w:t>Élimination</w:t>
      </w:r>
      <w:r>
        <w:t xml:space="preserve"> — Biliaire et fécale (90 %) ; urinaire (10 %). Pas d'accumulation significative à dose thérapeutique, mais surveillance indispensable en raison du risque d'hypercalcémie (la régulation physiologique par la PTH et le FGF23 est court-circuitée).</w:t>
      </w:r>
    </w:p>
    <w:p>
      <w:pPr>
        <w:pStyle w:val="Heading4"/>
      </w:pPr>
      <w:r>
        <w:t>5. Indications thérapeutiques</w:t>
      </w:r>
    </w:p>
    <w:p>
      <w:pPr>
        <w:pStyle w:val="ListNumber"/>
      </w:pPr>
      <w:r/>
      <w:r>
        <w:rPr>
          <w:b/>
        </w:rPr>
        <w:t>Ostéodystrophie rénale de l'insuffisance rénale chronique</w:t>
      </w:r>
      <w:r>
        <w:t xml:space="preserve"> — Indication princeps de l'alfacalcidol. L'IRC sévère (DFG &lt; 30 mL/min) et l'IRC terminale dialysée s'accompagnent d'un déficit en calcitriol (perte du CYP27B1 rénal) → hypocalcémie, hyperphosphatémie, hyperparathyroïdie secondaire, ostéite fibrokystique, calcifications vasculaires. L'alfacalcidol restaure la production de calcitriol et supprime la PTH.</w:t>
      </w:r>
    </w:p>
    <w:p>
      <w:pPr>
        <w:pStyle w:val="ListNumber"/>
      </w:pPr>
      <w:r/>
      <w:r>
        <w:rPr>
          <w:b/>
        </w:rPr>
        <w:t>Hypoparathyroïdie</w:t>
      </w:r>
      <w:r>
        <w:t xml:space="preserve"> — Post-chirurgicale (thyroidectomie totale, parathyroidectomie), idiopathique, auto-immune, syndrome de DiGeorge. L'absence de PTH supprime la stimulation du CYP27B1 rénal ; l'alfacalcidol restaure la production de calcitriol.</w:t>
      </w:r>
    </w:p>
    <w:p>
      <w:pPr>
        <w:pStyle w:val="ListNumber"/>
      </w:pPr>
      <w:r/>
      <w:r>
        <w:rPr>
          <w:b/>
        </w:rPr>
        <w:t>Pseudo-hypoparathyroïdie</w:t>
      </w:r>
      <w:r>
        <w:t xml:space="preserve"> — Résistance périphérique à la PTH (syndrome d'Albright — hypocalcémie, hyperphosphatémie, PTH élevée, traits dysmorphiques).</w:t>
      </w:r>
    </w:p>
    <w:p>
      <w:pPr>
        <w:pStyle w:val="ListNumber"/>
      </w:pPr>
      <w:r/>
      <w:r>
        <w:rPr>
          <w:b/>
        </w:rPr>
        <w:t>Rachitisme vitamino-résistant type I</w:t>
      </w:r>
      <w:r>
        <w:t xml:space="preserve"> — Mutation inactivatrice du CYP27B1, transmit autosomique récessif.</w:t>
      </w:r>
    </w:p>
    <w:p>
      <w:pPr>
        <w:pStyle w:val="ListNumber"/>
      </w:pPr>
      <w:r/>
      <w:r>
        <w:rPr>
          <w:b/>
        </w:rPr>
        <w:t>Rachitisme hypophosphatémique lié à l'X</w:t>
      </w:r>
      <w:r>
        <w:t xml:space="preserve"> — Maladie héréditaire avec fuite rénale de phosphore, traitement combiné phosphore + alfacalcidol (ou calcitriol).</w:t>
      </w:r>
    </w:p>
    <w:p>
      <w:pPr>
        <w:pStyle w:val="ListNumber"/>
      </w:pPr>
      <w:r/>
      <w:r>
        <w:rPr>
          <w:b/>
        </w:rPr>
        <w:t>Ostéoporose post-ménopausique avec insuffisance rénale associée</w:t>
      </w:r>
      <w:r>
        <w:t xml:space="preserve"> — En cas d'IRC modérée à sévère empêchant la conversion du cholécalciférol en calcitriol.</w:t>
      </w:r>
    </w:p>
    <w:p>
      <w:pPr>
        <w:pStyle w:val="ListNumber"/>
      </w:pPr>
      <w:r/>
      <w:r>
        <w:rPr>
          <w:b/>
        </w:rPr>
        <w:t>Ostéoporose cortisonique</w:t>
      </w:r>
      <w:r>
        <w:t xml:space="preserve"> — En alternative à la vitamine D native, en cas de corticothérapie prolongée induisant le CYP24A1.</w:t>
      </w:r>
    </w:p>
    <w:p>
      <w:pPr>
        <w:pStyle w:val="ListNumber"/>
      </w:pPr>
      <w:r/>
      <w:r>
        <w:rPr>
          <w:b/>
        </w:rPr>
        <w:t>Syndromes de malabsorption sévère</w:t>
      </w:r>
      <w:r>
        <w:t xml:space="preserve"> — Mucoviscidose, cholestase chronique, résection iléale, by-pass gastrique, grêle court — où la vitamine D native est mal absorbée et mal métabolisée.</w:t>
      </w:r>
    </w:p>
    <w:p>
      <w:pPr>
        <w:pStyle w:val="Heading4"/>
      </w:pPr>
      <w:r>
        <w:t>6. Posologie et mode d'administration</w:t>
      </w:r>
    </w:p>
    <w:p>
      <w:r/>
      <w:r>
        <w:rPr>
          <w:b/>
        </w:rPr>
        <w:t>Adulte</w:t>
      </w:r>
      <w:r>
        <w:t xml:space="preserve"> — Posologie initiale : 0,25 à 0,5 µg/jour per os (UN-ALFA 0,25 µg : 1 à 2 capsules/jour ; SUPRA CALCI 0,25 µg : 1 à 2 capsules/jour). Augmentation par paliers de 0,25 µg tous les 2-4 semaines en fonction de la calcémie, phosphatémie, PTH et calciurie. Posologie d'entretien habituelle : 0,25 à 1 µg/jour. Posologie maximale : 2-3 µg/jour en cas d'hypoparathyroïdie sévère.</w:t>
      </w:r>
    </w:p>
    <w:p>
      <w:r/>
      <w:r>
        <w:rPr>
          <w:b/>
        </w:rPr>
        <w:t>Enfant &lt; 20 kg</w:t>
      </w:r>
      <w:r>
        <w:t xml:space="preserve"> — 0,01 à 0,05 µg/kg/jour, soit 0,25 µg/jour pour 5-10 kg, augmentable à 0,5 µg/jour. Posologie maximale pédiatrique : 1 µg/jour.</w:t>
      </w:r>
    </w:p>
    <w:p>
      <w:r/>
      <w:r>
        <w:rPr>
          <w:b/>
        </w:rPr>
        <w:t>Sujet âgé</w:t>
      </w:r>
      <w:r>
        <w:t xml:space="preserve"> — Posologie initiale réduite (0,25 µg/jour), titration prudente (augmentation par paliers de 0,25 µg tous les 4 semaines) en raison du risque d'hypercalcémie (insuffisance rénale fréquente, prise médicamenteuse polymédicamentée).</w:t>
      </w:r>
    </w:p>
    <w:p>
      <w:r/>
      <w:r>
        <w:rPr>
          <w:b/>
        </w:rPr>
        <w:t>Insuffisance rénale dialysée</w:t>
      </w:r>
      <w:r>
        <w:t xml:space="preserve"> — Posologie initiale 0,5 µg/jour, surveillance biologique hebdomadaire pendant la titration, puis mensuelle en entretien. Adaptation selon la PTH intacte (cible : 2-9 fois la LSN chez le dialysé selon KDIGO).</w:t>
      </w:r>
    </w:p>
    <w:p>
      <w:r/>
      <w:r>
        <w:rPr>
          <w:b/>
        </w:rPr>
        <w:t>Hypoparathyroïdie</w:t>
      </w:r>
      <w:r>
        <w:t xml:space="preserve"> — Posologie initiale 1 µg/jour (UN-ALFA 1 µg : 1 capsule/jour), titration jusqu'à obtention d'une calcémie normale basse (2,0-2,2 mmol/L — cible plus basse que la normale pour éviter l'hypercalciurie), souvent 1-3 µg/jour en association avec un sel de calcium.</w:t>
      </w:r>
    </w:p>
    <w:p>
      <w:pPr>
        <w:pStyle w:val="Heading4"/>
      </w:pPr>
      <w:r>
        <w:t>7. Effets indésirables et prévention</w:t>
      </w:r>
    </w:p>
    <w:p>
      <w:r/>
      <w:r>
        <w:rPr>
          <w:b/>
        </w:rPr>
        <w:t>Hypercalcémie iatrogène</w:t>
      </w:r>
      <w:r>
        <w:t xml:space="preserve"> — Risque principal. Signes : polyuropolydipsie, asthénie, nausées, vomissements, constipation, confusion, raccourcissement du QT à l'ECG. Mécanisme : absence de régulation physiologique par PTH/FGF23 ; tout excès d'alfacalcidol se traduit directement en hypercalcémie. Traitement : arrêt immédiat de l'alfacalcidol, hyperhydratation salée (3-4 L/jour), calcitonine (4-8 UI/kg SC), bisphosphonates IV dans les formes sévères.</w:t>
      </w:r>
    </w:p>
    <w:p>
      <w:r/>
      <w:r>
        <w:rPr>
          <w:b/>
        </w:rPr>
        <w:t>Hypercalciurie lithogène</w:t>
      </w:r>
      <w:r>
        <w:t xml:space="preserve"> — Risque de lithiase rénale calcique, néphrocalcinose. Surveillance de la calciurie des 24 heures (cible &lt; 5 mmol/24 h).</w:t>
      </w:r>
    </w:p>
    <w:p>
      <w:r/>
      <w:r>
        <w:rPr>
          <w:b/>
        </w:rPr>
        <w:t>Hyperphosphatémie</w:t>
      </w:r>
      <w:r>
        <w:t xml:space="preserve"> — Majoration possible en cas d'insuffisance rénale (le calcitriol augmente l'absorption intestinale du phosphore). Co-prescription d'un chélateur du phosphore (sévélamer, lanthane) en cas de besoin.</w:t>
      </w:r>
    </w:p>
    <w:p>
      <w:r/>
      <w:r>
        <w:rPr>
          <w:b/>
        </w:rPr>
        <w:t>Calcifications métastatiques</w:t>
      </w:r>
      <w:r>
        <w:t xml:space="preserve"> — En cas d'hyperphosphorémie associée (calcémie × phosphorémie &gt; 60 mg²/dL²). Prévention : maintien d'une phosphorémie &lt; 1,5 mmol/L chez le dialysé.</w:t>
      </w:r>
    </w:p>
    <w:p>
      <w:r/>
      <w:r>
        <w:rPr>
          <w:b/>
        </w:rPr>
        <w:t>Syndrome de Burnett</w:t>
      </w:r>
      <w:r>
        <w:t xml:space="preserve"> — Alcalose métabolique hypochlorémique avec hypercalcémie, observé en cas de co-prescription de carbonate de calcium à forte dose.</w:t>
      </w:r>
    </w:p>
    <w:p>
      <w:r/>
      <w:r>
        <w:rPr>
          <w:b/>
        </w:rPr>
        <w:t>Prévention :</w:t>
      </w:r>
      <w:r>
        <w:t xml:space="preserve"> surveillance biologique stricte : calcémie, phosphatémie, créatininémie, calciurie 24 h, PTH intacte — </w:t>
      </w:r>
      <w:r>
        <w:rPr>
          <w:b/>
        </w:rPr>
        <w:t>avant traitement</w:t>
      </w:r>
      <w:r>
        <w:t xml:space="preserve">, puis </w:t>
      </w:r>
      <w:r>
        <w:rPr>
          <w:b/>
        </w:rPr>
        <w:t>toutes les 1-4 semaines pendant la titration</w:t>
      </w:r>
      <w:r>
        <w:t xml:space="preserve"> (jusqu'à stabilisation), puis </w:t>
      </w:r>
      <w:r>
        <w:rPr>
          <w:b/>
        </w:rPr>
        <w:t>tous les 3 mois en entretien</w:t>
      </w:r>
      <w:r>
        <w:t>. En cas d'hypercalcémie : arrêt immédiat, surveillance rapprochée, réintroduction à dose réduite après normalisation.</w:t>
      </w:r>
    </w:p>
    <w:p>
      <w:pPr>
        <w:pStyle w:val="Heading4"/>
      </w:pPr>
      <w:r>
        <w:t>8. Interactions médicamenteuses</w:t>
      </w:r>
    </w:p>
    <w:p>
      <w:r/>
      <w:r>
        <w:rPr>
          <w:b/>
        </w:rPr>
        <w:t>Digitaliques (digoxine)</w:t>
      </w:r>
      <w:r>
        <w:t xml:space="preserve"> — Hypercalcémie → potentialisation de la toxicité digitalique (arythmies ventriculaires, tachycardie ventriculaire, fibrillation ventriculaire). Surveillance ECG et digoxinémie.</w:t>
      </w:r>
    </w:p>
    <w:p>
      <w:r/>
      <w:r>
        <w:rPr>
          <w:b/>
        </w:rPr>
        <w:t>Diurétiques thiazidiques</w:t>
      </w:r>
      <w:r>
        <w:t xml:space="preserve"> — Diminution de l'excrétion urinaire du calcium → majoration de l'hypercalcémie. Surveillance accrue, réduction posologique de l'alfacalcidol si besoin.</w:t>
      </w:r>
    </w:p>
    <w:p>
      <w:r/>
      <w:r>
        <w:rPr>
          <w:b/>
        </w:rPr>
        <w:t>Sels de calcium</w:t>
      </w:r>
      <w:r>
        <w:t xml:space="preserve"> — Risque d'hypercalcémie et d'hypercalciurie majoré. Surveillance calcémie et calciurie ; co-prescription souvent nécessaire (hypoparathyroïdie) mais nécessite une surveillance accrue.</w:t>
      </w:r>
    </w:p>
    <w:p>
      <w:r/>
      <w:r>
        <w:rPr>
          <w:b/>
        </w:rPr>
        <w:t>Corticoïdes</w:t>
      </w:r>
      <w:r>
        <w:t xml:space="preserve"> — Induction du CYP24A1 → augmentation du catabolisme du calcitriol → diminution de l'efficacité de l'alfacalcidol. Majoration posologique souvent nécessaire.</w:t>
      </w:r>
    </w:p>
    <w:p>
      <w:r/>
      <w:r>
        <w:rPr>
          <w:b/>
        </w:rPr>
        <w:t>Antiépileptiques inducteurs (phénobarbital, phénytoïne, carbamazépine)</w:t>
      </w:r>
      <w:r>
        <w:t xml:space="preserve"> — Induction du CYP24A1 → diminution de l'efficacité. Surveillance, majoration posologique.</w:t>
      </w:r>
    </w:p>
    <w:p>
      <w:r/>
      <w:r>
        <w:rPr>
          <w:b/>
        </w:rPr>
        <w:t>Chélateurs du phosphore (sévélamer, lanthane, chélateurs calciques)</w:t>
      </w:r>
      <w:r>
        <w:t xml:space="preserve"> — Diminution de l'absorption intestinale du phosphore et accessoirement du calcium. Co-prescription usuelle en néphrologie.</w:t>
      </w:r>
    </w:p>
    <w:p>
      <w:r/>
      <w:r>
        <w:rPr>
          <w:b/>
        </w:rPr>
        <w:t>Antiacides (hydroxyde de magnésium, d'aluminium)</w:t>
      </w:r>
      <w:r>
        <w:t xml:space="preserve"> — Diminution de l'absorption de l'alfacalcidol (espacer les prises).</w:t>
      </w:r>
    </w:p>
    <w:p>
      <w:r/>
      <w:r>
        <w:rPr>
          <w:b/>
        </w:rPr>
        <w:t>Œstroprogestatifs</w:t>
      </w:r>
      <w:r>
        <w:t xml:space="preserve"> — Augmentation de la DBP → augmentation du calcifédiol circulant total mais sans effet sur le calcitriol libre actif (pas d'ajustement posologique).</w:t>
      </w:r>
    </w:p>
    <w:p>
      <w:pPr>
        <w:pStyle w:val="Heading4"/>
      </w:pPr>
      <w:r>
        <w:t>9. Grossesse, allaitement et CRAT</w:t>
      </w:r>
    </w:p>
    <w:p>
      <w:r/>
      <w:r>
        <w:rPr>
          <w:b/>
        </w:rPr>
        <w:t>Grossesse</w:t>
      </w:r>
      <w:r>
        <w:t xml:space="preserve"> — L'alfacalcidol est </w:t>
      </w:r>
      <w:r>
        <w:rPr>
          <w:b/>
        </w:rPr>
        <w:t>autorisé pendant la grossesse</w:t>
      </w:r>
      <w:r>
        <w:t xml:space="preserve"> si indication impérative (hypoparathyroïdie maternelle sévère, IRC dialysée). Le CRAT classe l'alfacalcidol comme </w:t>
      </w:r>
      <w:r>
        <w:rPr>
          <w:i/>
        </w:rPr>
        <w:t>« Compatible si indication impérative ; surveillance calcémie maternelle et fœtale rapprochée. »</w:t>
      </w:r>
      <w:r>
        <w:t xml:space="preserve"> En effet, l'hypoparathyroïdie maternelle non traitée expose à un risque d'avortement spontané, de pré-éclampsie, d'hypocalcémie maternelle sévère avec tétanie, et d'hypercalcémie fœtale réactionnelle (avec hypoparathyroïdie néonatale secondaire). Le traitement par alfacalcidol à dose permettant de maintenir une calcémie maternelle normale basse (2,0-2,2 mmol/L) est compatible avec le bon déroulement de la grossesse.</w:t>
      </w:r>
    </w:p>
    <w:p>
      <w:r/>
      <w:r>
        <w:rPr>
          <w:b/>
        </w:rPr>
        <w:t>Surveillance</w:t>
      </w:r>
      <w:r>
        <w:t xml:space="preserve"> — Calcémie maternelle toutes les 4 semaines ; échographies fœtales répétées (croissance, calcifications cardiaques). À l'accouchement, surveillance pédiatrique de la calcémie néonatale (risque d'hypoparathyroïdie néonatale transitoire).</w:t>
      </w:r>
    </w:p>
    <w:p>
      <w:r/>
      <w:r>
        <w:rPr>
          <w:b/>
        </w:rPr>
        <w:t>Allaitement</w:t>
      </w:r>
      <w:r>
        <w:t xml:space="preserve"> — L'alfacalcidol passe en très faible quantité dans le lait maternel (calcitriol formé à forte dose). L'allaitement est </w:t>
      </w:r>
      <w:r>
        <w:rPr>
          <w:b/>
        </w:rPr>
        <w:t>possible</w:t>
      </w:r>
      <w:r>
        <w:t xml:space="preserve"> mais sous surveillance de la calcémie de l'enfant allaité. Si la mère reçoit des doses &gt; 1 µg/jour, surveillance pédiatrique mensuelle de la calcémie de l'enfant.</w:t>
      </w:r>
    </w:p>
    <w:p>
      <w:pPr>
        <w:pStyle w:val="Heading4"/>
      </w:pPr>
      <w:r>
        <w:t>10. Formes galéniques disponibles</w:t>
      </w:r>
    </w:p>
    <w:p>
      <w:pPr>
        <w:pStyle w:val="ListBullet"/>
      </w:pPr>
      <w:r/>
      <w:r>
        <w:rPr>
          <w:b/>
        </w:rPr>
        <w:t>Capsule orale (UN-ALFA)</w:t>
      </w:r>
      <w:r>
        <w:t xml:space="preserve"> — 0,25 µg et 1 µg, boîte de 30. Forme solide standard, conservation à température ambiante (&lt; 25 °C).</w:t>
      </w:r>
    </w:p>
    <w:p>
      <w:pPr>
        <w:pStyle w:val="ListBullet"/>
      </w:pPr>
      <w:r/>
      <w:r>
        <w:rPr>
          <w:b/>
        </w:rPr>
        <w:t>Capsule molle (SUPRA CALCI)</w:t>
      </w:r>
      <w:r>
        <w:t xml:space="preserve"> — 0,25 µg et 1 µg, boîte de 30. Forme liquide encapsulée, biodisponibilité légèrement supérieure, conservation à température ambiante (&lt; 25 °C), à l'abri de la lumière et de l'humidité.</w:t>
      </w:r>
    </w:p>
    <w:p>
      <w:pPr>
        <w:pStyle w:val="Heading4"/>
      </w:pPr>
      <w:r>
        <w:t>11. Conseils au patient</w:t>
      </w:r>
    </w:p>
    <w:p>
      <w:pPr>
        <w:pStyle w:val="ListBullet"/>
      </w:pPr>
      <w:r/>
      <w:r>
        <w:rPr>
          <w:b/>
        </w:rPr>
        <w:t>Pour la prise :</w:t>
      </w:r>
      <w:r>
        <w:t xml:space="preserve"> avaler la capsule avec un grand verre d'eau, au cours ou en dehors d'un repas (prise indifférente) ; respecter strictement l'horaire de prise (par exemple le matin à 8 h) ; ne pas doubler la dose en cas d'oubli.</w:t>
      </w:r>
    </w:p>
    <w:p>
      <w:pPr>
        <w:pStyle w:val="ListBullet"/>
      </w:pPr>
      <w:r/>
      <w:r>
        <w:rPr>
          <w:b/>
        </w:rPr>
        <w:t>Surveillance biologique :</w:t>
      </w:r>
      <w:r>
        <w:t xml:space="preserve"> respecter scrupuleusement les rendez-vous de surveillance biologique (calcémie, phosphatémie, créatininémie, calciurie 24 h, PTH) — sans cette surveillance, le traitement peut entraîner une hypercalcémie grave asymptomatique.</w:t>
      </w:r>
    </w:p>
    <w:p>
      <w:pPr>
        <w:pStyle w:val="ListBullet"/>
      </w:pPr>
      <w:r/>
      <w:r>
        <w:rPr>
          <w:b/>
        </w:rPr>
        <w:t>Signes d'alerte :</w:t>
      </w:r>
      <w:r>
        <w:t xml:space="preserve"> prévenir immédiatement le médecin en cas d'apparition de polyuropolydipsie (uriner &gt; 3 L/jour et boire &gt; 4 L/jour), asthénie majeure, nausées, vomissements, constipation, troubles de la concentration, confusion — signes évocateurs d'hypercalcémie.</w:t>
      </w:r>
    </w:p>
    <w:p>
      <w:pPr>
        <w:pStyle w:val="ListBullet"/>
      </w:pPr>
      <w:r/>
      <w:r>
        <w:rPr>
          <w:b/>
        </w:rPr>
        <w:t>Régime alimentaire :</w:t>
      </w:r>
      <w:r>
        <w:t xml:space="preserve"> éviter les aliments riches en calcium (laitages, fromages, eaux minérales riches en calcium) en cas de prescription d'un sel de calcium associé ; éviter les compléments alimentaires contenant de la vitamine D (risque de cumul).</w:t>
      </w:r>
    </w:p>
    <w:p>
      <w:pPr>
        <w:pStyle w:val="ListBullet"/>
      </w:pPr>
      <w:r/>
      <w:r>
        <w:rPr>
          <w:b/>
        </w:rPr>
        <w:t>Femme enceinte :</w:t>
      </w:r>
      <w:r>
        <w:t xml:space="preserve"> ne pas arrêter le traitement sans avis médical (risque d'hypocalcémie maternelle et fœtale) ; surveillance rapprochée.</w:t>
      </w:r>
    </w:p>
    <w:p>
      <w:pPr>
        <w:pStyle w:val="ListBullet"/>
      </w:pPr>
      <w:r/>
      <w:r>
        <w:rPr>
          <w:b/>
        </w:rPr>
        <w:t>Enfant :</w:t>
      </w:r>
      <w:r>
        <w:t xml:space="preserve"> respecter le poids corporel pour le calcul de la dose (0,01 à 0,05 µg/kg/jour).</w:t>
      </w:r>
    </w:p>
    <w:p>
      <w:pPr>
        <w:pStyle w:val="ListBullet"/>
      </w:pPr>
      <w:r/>
      <w:r>
        <w:rPr>
          <w:b/>
        </w:rPr>
        <w:t>Conservation :</w:t>
      </w:r>
      <w:r>
        <w:t xml:space="preserve"> à température ambiante (&lt; 25 °C), à l'abri de la lumière et de l'humidité ; tenir hors de portée des enfants.</w:t>
      </w:r>
    </w:p>
    <w:p>
      <w:pPr>
        <w:pStyle w:val="Heading4"/>
      </w:pPr>
      <w:r>
        <w:t>12. Pièges au comptoir — Règles d'or</w:t>
      </w:r>
    </w:p>
    <w:p>
      <w:pPr>
        <w:pStyle w:val="ListNumber"/>
      </w:pPr>
      <w:r/>
      <w:r>
        <w:rPr>
          <w:b/>
        </w:rPr>
        <w:t>Surveillance biologique obligatoire</w:t>
      </w:r>
      <w:r>
        <w:t xml:space="preserve"> — L'alfacalcidol ne peut être délivré qu'avec une ordonnance de spécialiste (néphrologue, endocrinologue, rhumatologue) et nécessite une surveillance biologique stricte. Le pharmacien doit </w:t>
      </w:r>
      <w:r>
        <w:rPr>
          <w:b/>
        </w:rPr>
        <w:t>rappeler au patient</w:t>
      </w:r>
      <w:r>
        <w:t xml:space="preserve"> l'importance des bilans biologiques réguliers.</w:t>
      </w:r>
    </w:p>
    <w:p>
      <w:pPr>
        <w:pStyle w:val="ListNumber"/>
      </w:pPr>
      <w:r/>
      <w:r>
        <w:rPr>
          <w:b/>
        </w:rPr>
        <w:t>Confusion des dosages</w:t>
      </w:r>
      <w:r>
        <w:t xml:space="preserve"> — L'alfacalcidol existe en 0,25 µg et 1 µg (facteur 4). Le pharmacien doit </w:t>
      </w:r>
      <w:r>
        <w:rPr>
          <w:b/>
        </w:rPr>
        <w:t>vérifier attentivement</w:t>
      </w:r>
      <w:r>
        <w:t xml:space="preserve"> le dosage prescrit et délivrer le bon conditionnement ; une erreur de dosage peut être grave (hypercalcémie si 1 µg au lieu de 0,25 µg).</w:t>
      </w:r>
    </w:p>
    <w:p>
      <w:pPr>
        <w:pStyle w:val="ListNumber"/>
      </w:pPr>
      <w:r/>
      <w:r>
        <w:rPr>
          <w:b/>
        </w:rPr>
        <w:t>Pas d'automédication</w:t>
      </w:r>
      <w:r>
        <w:t xml:space="preserve"> — L'alfacalcidol ne doit jamais être pris en automédication, ni associé à d'autres spécialités vitaminiques D (risque d'hypercalcémie létale).</w:t>
      </w:r>
    </w:p>
    <w:p>
      <w:pPr>
        <w:pStyle w:val="ListNumber"/>
      </w:pPr>
      <w:r/>
      <w:r>
        <w:rPr>
          <w:b/>
        </w:rPr>
        <w:t>Patient dialysé</w:t>
      </w:r>
      <w:r>
        <w:t xml:space="preserve"> — L'alfacalcidol est souvent prescrit en association avec un chélateur du phosphore (sévélamer, lanthane) et parfois avec un calcimimétique (cinacalcet). Le pharmacien doit vérifier la compatibilité de l'ensemble thérapeutique.</w:t>
      </w:r>
    </w:p>
    <w:p>
      <w:pPr>
        <w:pStyle w:val="ListNumber"/>
      </w:pPr>
      <w:r/>
      <w:r>
        <w:rPr>
          <w:b/>
        </w:rPr>
        <w:t>Signes d'hypercalcémie</w:t>
      </w:r>
      <w:r>
        <w:t xml:space="preserve"> — Le pharmacien doit savoir reconnaître les signes d'hypercalcémie (polyuropolydipsie, asthénie, nausées, confusion) et orienter le patient vers une consultation médicale urgente pour dosage de la calcémie.</w:t>
      </w:r>
    </w:p>
    <w:p>
      <w:pPr>
        <w:pStyle w:val="ListNumber"/>
      </w:pPr>
      <w:r/>
      <w:r>
        <w:rPr>
          <w:b/>
        </w:rPr>
        <w:t>Hypoparathyroïdie post-thyroidectomie</w:t>
      </w:r>
      <w:r>
        <w:t xml:space="preserve"> — Le pharmacien doit savoir que l'hypoparathyroïdie post-chirurgicale (thyroidectomie totale pour goitre, cancer thyroïdien) est l'une des indications les plus fréquentes de l'alfacalcidol en Algérie ; surveillance de la calcémie à J1, J7, J15, J30 post-opératoires.</w:t>
      </w:r>
    </w:p>
    <w:p>
      <w:pPr>
        <w:pStyle w:val="ListNumber"/>
      </w:pPr>
      <w:r/>
      <w:r>
        <w:rPr>
          <w:b/>
        </w:rPr>
        <w:t>Pas de substitution D3 native en cas d'IRC</w:t>
      </w:r>
      <w:r>
        <w:t xml:space="preserve"> — En cas d'IRC sévère (DFG &lt; 30 mL/min), la vitamine D3 native est inefficace (perte du CYP27B1 rénal). L'alfacalcidol (ou le calcitriol, non disponible en Algérie) est le seul recours.</w:t>
      </w:r>
    </w:p>
    <w:p>
      <w:pPr>
        <w:pStyle w:val="ListNumber"/>
      </w:pPr>
      <w:r/>
      <w:r>
        <w:rPr>
          <w:b/>
        </w:rPr>
        <w:t>Grossesse sous alfacalcidol</w:t>
      </w:r>
      <w:r>
        <w:t xml:space="preserve"> — Ne pas arrêter brutalement le traitement en cas de grossesse ; surveillance rapprochée par endocrinologue.</w:t>
      </w:r>
    </w:p>
    <w:p>
      <w:pPr>
        <w:pStyle w:val="ListNumber"/>
      </w:pPr>
      <w:r/>
      <w:r>
        <w:rPr>
          <w:b/>
        </w:rPr>
        <w:t>Carence vitaminique D isolée</w:t>
      </w:r>
      <w:r>
        <w:t xml:space="preserve"> — L'alfacalcidol n'est pas indiqué dans la carence vitaminique D simple du sujet sain (préférer D3 100 000-200 000 UI/mL).</w:t>
      </w:r>
    </w:p>
    <w:p>
      <w:pPr>
        <w:pStyle w:val="ListNumber"/>
      </w:pPr>
      <w:r/>
      <w:r>
        <w:rPr>
          <w:b/>
        </w:rPr>
        <w:t>Surveillance de la calciurie</w:t>
      </w:r>
      <w:r>
        <w:t xml:space="preserve"> — Une calciurie &gt; 5 mmol/24 h impose une réduction posologique ou l'adjonction d'un diurétique de l'anse (furosémide) pour augmenter l'excrétion urinaire du calcium.</w:t>
      </w:r>
    </w:p>
    <w:p>
      <w:pPr>
        <w:pStyle w:val="Heading3"/>
      </w:pPr>
      <w:r>
        <w:t>161.9.5. DCI : Calcifédiol (25-hydroxy-vitamine D3)</w:t>
      </w:r>
    </w:p>
    <w:p>
      <w:pPr>
        <w:pStyle w:val="Heading4"/>
      </w:pPr>
      <w:r>
        <w:t>1. Liste catégories pharmaco-thérapeutiques</w:t>
      </w:r>
    </w:p>
    <w:p>
      <w:r/>
      <w:r>
        <w:rPr>
          <w:b/>
        </w:rPr>
        <w:t>Catégories :</w:t>
      </w:r>
      <w:r>
        <w:t xml:space="preserve"> Vitamine ; Vitamine liposoluble ; Vitamine D ; Métabolite intermédiaire de la vitamine D (25-hydroxylé) ; Prodrogue du calcitriol contournant la 25-hydroxylation hépatique ; Supplémentation de la carence vitaminique D ; Supplémentation de l'insuffisance hépatocellulaire et de la malabsorption lipidique ; Supplémentation pédiatrique (forme gouttes) ; Liste II.</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DEDROGYL</w:t>
            </w:r>
          </w:p>
        </w:tc>
        <w:tc>
          <w:tcPr>
            <w:tcW w:type="dxa" w:w="1559"/>
          </w:tcPr>
          <w:p>
            <w:r>
              <w:rPr>
                <w:sz w:val="20"/>
              </w:rPr>
              <w:t>DESMA PHARMA</w:t>
            </w:r>
          </w:p>
        </w:tc>
        <w:tc>
          <w:tcPr>
            <w:tcW w:type="dxa" w:w="1559"/>
          </w:tcPr>
          <w:p>
            <w:r>
              <w:rPr>
                <w:sz w:val="20"/>
              </w:rPr>
              <w:t>Solution buvable en gouttes, calcifédiol 5 µg/goutte (≈ 200 UI/goutte)</w:t>
            </w:r>
          </w:p>
        </w:tc>
        <w:tc>
          <w:tcPr>
            <w:tcW w:type="dxa" w:w="1559"/>
          </w:tcPr>
          <w:p>
            <w:r>
              <w:rPr>
                <w:sz w:val="20"/>
              </w:rPr>
              <w:t>Flacon de 10 mL</w:t>
            </w:r>
          </w:p>
        </w:tc>
        <w:tc>
          <w:tcPr>
            <w:tcW w:type="dxa" w:w="1559"/>
          </w:tcPr>
          <w:p>
            <w:r>
              <w:rPr>
                <w:sz w:val="20"/>
              </w:rPr>
              <w:t>Liste II</w:t>
            </w:r>
          </w:p>
        </w:tc>
        <w:tc>
          <w:tcPr>
            <w:tcW w:type="dxa" w:w="1559"/>
          </w:tcPr>
          <w:p>
            <w:r>
              <w:rPr>
                <w:sz w:val="20"/>
              </w:rPr>
              <w:t>Actif</w:t>
            </w:r>
          </w:p>
        </w:tc>
      </w:tr>
    </w:tbl>
    <w:p/>
    <w:p>
      <w:r/>
      <w:r>
        <w:rPr>
          <w:b/>
        </w:rPr>
        <w:t>Remarque :</w:t>
      </w:r>
      <w:r>
        <w:t xml:space="preserve"> Le calcifédiol est disponible en Algérie en une seule spécialité (DEDROGYL DESMA PHARMA). La spécialité historique française DEDROGYL (DROGAL DESMA) est restée disponible sur le marché algérien. La concentration en 5 µg/goutte correspond à 200 UI/goutte de vitamine D3 équivalente, soit environ 6 000 UI/mL. La forme gouttes est particulièrement adaptée à la pédiatrie (dose précise chez le nourrisson) et à la supplémentation de l'insuffisant hépatique.</w:t>
      </w:r>
    </w:p>
    <w:p>
      <w:pPr>
        <w:pStyle w:val="Heading4"/>
      </w:pPr>
      <w:r>
        <w:t>3. Mécanisme d'action moléculaire, cellulaire et physiologique</w:t>
      </w:r>
    </w:p>
    <w:p>
      <w:r>
        <w:t xml:space="preserve">Le </w:t>
      </w:r>
      <w:r>
        <w:rPr>
          <w:b/>
        </w:rPr>
        <w:t>calcifédiol (25-hydroxy-vitamine D3, 25-(OH)-D₃)</w:t>
      </w:r>
      <w:r>
        <w:t xml:space="preserve"> est le métabolite intermédiaire de la vitamine D, produit par 25-hydroxylation hépatique du cholécalciférol par le CYP2R1 (microsomial) et le CYP27A1 (mitochondrial). Il constitue la </w:t>
      </w:r>
      <w:r>
        <w:rPr>
          <w:b/>
        </w:rPr>
        <w:t>forme circulante de stockage</w:t>
      </w:r>
      <w:r>
        <w:t xml:space="preserve"> de la vitamine D, sa concentration plasmatique (15-100 ng/mL, soit 37,5-250 nmol/L) étant le reflet direct du statut vitaminique D de l'organisme. Sa </w:t>
      </w:r>
      <w:r>
        <w:rPr>
          <w:b/>
        </w:rPr>
        <w:t>demi-vie plasmatique longue</w:t>
      </w:r>
      <w:r>
        <w:t xml:space="preserve"> (15-25 jours) en fait le marqueur biologique de référence pour évaluer le statut vitaminique D d'un patient.</w:t>
      </w:r>
    </w:p>
    <w:p>
      <w:r>
        <w:t xml:space="preserve">Le calcifédiol est biologiquement </w:t>
      </w:r>
      <w:r>
        <w:rPr>
          <w:b/>
        </w:rPr>
        <w:t>peu actif</w:t>
      </w:r>
      <w:r>
        <w:t xml:space="preserve"> (affinité pour le VDR ~100 fois moindre que le calcitriol), mais il exerce un </w:t>
      </w:r>
      <w:r>
        <w:rPr>
          <w:b/>
        </w:rPr>
        <w:t>réservoir</w:t>
      </w:r>
      <w:r>
        <w:t xml:space="preserve"> qui peut être converti en calcitriol actif par la 1α-hydroxylation rénale (CYP27B1) régulée par la PTH. Le calcifédiol a aussi une activité biologique propre faible (10 % de l'activité du calcitriol) sur le VDR, qui peut devenir significative à très fortes concentrations (intoxication vitaminique D).</w:t>
      </w:r>
    </w:p>
    <w:p>
      <w:r>
        <w:t xml:space="preserve">L'administration thérapeutique de calcifédiol (DEDROGYL) présente plusieurs </w:t>
      </w:r>
      <w:r>
        <w:rPr>
          <w:b/>
        </w:rPr>
        <w:t>avantages pharmacologiques</w:t>
      </w:r>
      <w:r>
        <w:t xml:space="preserve"> par rapport au cholécalciférol natif :</w:t>
      </w:r>
    </w:p>
    <w:p>
      <w:pPr>
        <w:pStyle w:val="ListNumber"/>
      </w:pPr>
      <w:r/>
      <w:r>
        <w:rPr>
          <w:b/>
        </w:rPr>
        <w:t>Bypass de la 25-hydroxylation hépatique</w:t>
      </w:r>
      <w:r>
        <w:t xml:space="preserve"> — Utile en cas d'insuffisance hépatocellulaire sévère (cirrhose décompensée, hépatite fulminante, insuffisance hépatique terminale) où le CYP2R1/CYP27A1 est déficient.</w:t>
      </w:r>
    </w:p>
    <w:p>
      <w:pPr>
        <w:pStyle w:val="ListNumber"/>
      </w:pPr>
      <w:r/>
      <w:r>
        <w:rPr>
          <w:b/>
        </w:rPr>
        <w:t>Efficacité supérieure dose pour dose</w:t>
      </w:r>
      <w:r>
        <w:t xml:space="preserve"> — Bischoff-Ferrari (2020) a démontré qu'une dose de 25 µg (1 000 UI) de calcifédiol élève la 25-OH-D sérique de 1,5 à 2 fois plus qu'une dose équivalente de cholécalciférol.</w:t>
      </w:r>
    </w:p>
    <w:p>
      <w:pPr>
        <w:pStyle w:val="ListNumber"/>
      </w:pPr>
      <w:r/>
      <w:r>
        <w:rPr>
          <w:b/>
        </w:rPr>
        <w:t>Pic de 25-OH-D plus rapide</w:t>
      </w:r>
      <w:r>
        <w:t xml:space="preserve"> — Élévation détectable dès J3-J7 versus J15-J30 pour le cholécalciférol.</w:t>
      </w:r>
    </w:p>
    <w:p>
      <w:pPr>
        <w:pStyle w:val="ListNumber"/>
      </w:pPr>
      <w:r/>
      <w:r>
        <w:rPr>
          <w:b/>
        </w:rPr>
        <w:t>Demi-vie plus courte</w:t>
      </w:r>
      <w:r>
        <w:t xml:space="preserve"> (15-25 jours vs plusieurs mois pour le cholécalciférol) — permet un ajustement posologique plus rapide et une meilleure maîtrise du risque de surdosage.</w:t>
      </w:r>
    </w:p>
    <w:p>
      <w:pPr>
        <w:pStyle w:val="ListNumber"/>
      </w:pPr>
      <w:r/>
      <w:r>
        <w:rPr>
          <w:b/>
        </w:rPr>
        <w:t>Bonne tolérance</w:t>
      </w:r>
      <w:r>
        <w:t xml:space="preserve"> — Effet biologique progressif, sans pic toxique aigu.</w:t>
      </w:r>
    </w:p>
    <w:p>
      <w:pPr>
        <w:pStyle w:val="Heading4"/>
      </w:pPr>
      <w:r>
        <w:t>4. Pharmacocinétique (Profil PK)</w:t>
      </w:r>
    </w:p>
    <w:p>
      <w:r/>
      <w:r>
        <w:rPr>
          <w:b/>
        </w:rPr>
        <w:t>Absorption</w:t>
      </w:r>
      <w:r>
        <w:t xml:space="preserve"> — Le calcifédiol est bien absorbé par voie orale (biodisponibilité 70-90 %), absorption partiellement dépendante de la prise concomitante de graisses (molécule liposoluble). La forme solution en gouttes (DEDROGYL) permet une absorption rapide (pic à 4-8 heures). Possibilité d'administration chez le nourrisson (gouttes dans le lait ou la compote).</w:t>
      </w:r>
    </w:p>
    <w:p>
      <w:r/>
      <w:r>
        <w:rPr>
          <w:b/>
        </w:rPr>
        <w:t>Distribution</w:t>
      </w:r>
      <w:r>
        <w:t xml:space="preserve"> — Le calcifédiol circule lié à la </w:t>
      </w:r>
      <w:r>
        <w:rPr>
          <w:b/>
        </w:rPr>
        <w:t>DBP</w:t>
      </w:r>
      <w:r>
        <w:t xml:space="preserve"> (Vitamin D Binding Protein, 85-90 %) et à l'albumine (10-15 %). Volume de distribution : ~0,4 L/kg. Pénétration intracellulaire via le VDR (faible affinité) et conversion locale en calcitriol par le CYP27B1 dans certains tissus (macrophages, lymphocytes, cellules épithéliales mammaires, prostate, colon).</w:t>
      </w:r>
    </w:p>
    <w:p>
      <w:r/>
      <w:r>
        <w:rPr>
          <w:b/>
        </w:rPr>
        <w:t>Métabolisme</w:t>
      </w:r>
      <w:r>
        <w:t xml:space="preserve"> — 1α-hydroxylation rénale (CYP27B1) → calcitriol (forme active) ; 24-hydroxylation (CYP24A1) → 24,25-(OH)₂-D₃ (inactif) ; catabolisme en calcitroïque acide (inactif). Demi-vie d'élimination : 15-25 jours (la plus longue des métabolites D, reflète le stock plasmatique).</w:t>
      </w:r>
    </w:p>
    <w:p>
      <w:r/>
      <w:r>
        <w:rPr>
          <w:b/>
        </w:rPr>
        <w:t>Élimination</w:t>
      </w:r>
      <w:r>
        <w:t xml:space="preserve"> — Biliaire et fécale (90 %) ; urinaire (10 %). Pas d'accumulation significative à dose thérapeutique, mais surveillance nécessaire en cas de supplémentation prolongée &gt; 6 mois ou &gt; 4 000 UI/jour.</w:t>
      </w:r>
    </w:p>
    <w:p>
      <w:pPr>
        <w:pStyle w:val="Heading4"/>
      </w:pPr>
      <w:r>
        <w:t>5. Indications thérapeutiques</w:t>
      </w:r>
    </w:p>
    <w:p>
      <w:pPr>
        <w:pStyle w:val="ListNumber"/>
      </w:pPr>
      <w:r/>
      <w:r>
        <w:rPr>
          <w:b/>
        </w:rPr>
        <w:t>Carence en vitamine D avérée ou profonde</w:t>
      </w:r>
      <w:r>
        <w:t xml:space="preserve"> — 25-OH-D sérique &lt; 10-20 ng/mL (25-50 nmol/L). Le calcifédiol est plus efficace que le cholécalciférol pour restaurer rapidement le stock vitaminique D.</w:t>
      </w:r>
    </w:p>
    <w:p>
      <w:pPr>
        <w:pStyle w:val="ListNumber"/>
      </w:pPr>
      <w:r/>
      <w:r>
        <w:rPr>
          <w:b/>
        </w:rPr>
        <w:t>Insuffisance hépatocellulaire</w:t>
      </w:r>
      <w:r>
        <w:t xml:space="preserve"> — Cirrhose, hépatite chronique active, insuffisance hépatique terminale. La 25-hydroxylation hépatique est altérée, le calcifédiol contourne cette étape.</w:t>
      </w:r>
    </w:p>
    <w:p>
      <w:pPr>
        <w:pStyle w:val="ListNumber"/>
      </w:pPr>
      <w:r/>
      <w:r>
        <w:rPr>
          <w:b/>
        </w:rPr>
        <w:t>Malabsorption lipidique chronique</w:t>
      </w:r>
      <w:r>
        <w:t xml:space="preserve"> — Mucoviscidose, cholestase chronique (cirrhose biliaire primitive, cholangite sclérosante primitive), résection iléale étendue (maladie de Crohn), by-pass gastrique, grêle court, abétalipoprotéinémie. Le cholécalciférol est mal absorbé ; le calcifédiol (déjà hydroxylé) a une meilleure biodisponibilité.</w:t>
      </w:r>
    </w:p>
    <w:p>
      <w:pPr>
        <w:pStyle w:val="ListNumber"/>
      </w:pPr>
      <w:r/>
      <w:r>
        <w:rPr>
          <w:b/>
        </w:rPr>
        <w:t>Supplémentation de l'enfant et du nourrisson</w:t>
      </w:r>
      <w:r>
        <w:t xml:space="preserve"> — La forme gouttes est particulièrement adaptée à la pédiatrie. Posologie : 2 à 10 gouttes/jour (10 à 50 µg/jour, soit 400 à 2 000 UI/jour) selon l'âge et le statut vitaminique.</w:t>
      </w:r>
    </w:p>
    <w:p>
      <w:pPr>
        <w:pStyle w:val="ListNumber"/>
      </w:pPr>
      <w:r/>
      <w:r>
        <w:rPr>
          <w:b/>
        </w:rPr>
        <w:t>Rachitisme et ostéomalacie carentielle</w:t>
      </w:r>
      <w:r>
        <w:t xml:space="preserve"> — Traitement curatif : 10 à 30 gouttes/jour (50 à 150 µg/jour, soit 2 000 à 6 000 UI/jour) pendant 1-3 mois.</w:t>
      </w:r>
    </w:p>
    <w:p>
      <w:pPr>
        <w:pStyle w:val="ListNumber"/>
      </w:pPr>
      <w:r/>
      <w:r>
        <w:rPr>
          <w:b/>
        </w:rPr>
        <w:t>Supplémentation de la grossesse</w:t>
      </w:r>
      <w:r>
        <w:t xml:space="preserve"> — Particulièrement en cas de carence maternelle avérée ou de risque élevé (femme voilée, peau foncée, hiver).</w:t>
      </w:r>
    </w:p>
    <w:p>
      <w:pPr>
        <w:pStyle w:val="ListNumber"/>
      </w:pPr>
      <w:r/>
      <w:r>
        <w:rPr>
          <w:b/>
        </w:rPr>
        <w:t>Ostéoporose avec carence D associée</w:t>
      </w:r>
      <w:r>
        <w:t xml:space="preserve"> — En complément de tout traitement anti-ostéoporotique spécifique, en cas de carence D profonde documentée.</w:t>
      </w:r>
    </w:p>
    <w:p>
      <w:pPr>
        <w:pStyle w:val="ListNumber"/>
      </w:pPr>
      <w:r/>
      <w:r>
        <w:rPr>
          <w:b/>
        </w:rPr>
        <w:t>Syndromes néphrotiques</w:t>
      </w:r>
      <w:r>
        <w:t xml:space="preserve"> — Fuite urinaire de DBP et de 25-OH-D liée à la DBP, responsable d'une carence vitaminique D spécifique.</w:t>
      </w:r>
    </w:p>
    <w:p>
      <w:pPr>
        <w:pStyle w:val="Heading4"/>
      </w:pPr>
      <w:r>
        <w:t>6. Posologie et mode d'administration</w:t>
      </w:r>
    </w:p>
    <w:p>
      <w:r/>
      <w:r>
        <w:rPr>
          <w:b/>
        </w:rPr>
        <w:t>Nourrisson (0-2 ans)</w:t>
      </w:r>
      <w:r>
        <w:t xml:space="preserve"> — 2 à 5 gouttes/jour (10 à 25 µg/jour, soit 400 à 1 000 UI/jour). Prévention systématique dès le 8e jour de vie selon les recommandations algériennes de pédiatrie préventive.</w:t>
      </w:r>
    </w:p>
    <w:p>
      <w:r/>
      <w:r>
        <w:rPr>
          <w:b/>
        </w:rPr>
        <w:t>Enfant (2-10 ans)</w:t>
      </w:r>
      <w:r>
        <w:t xml:space="preserve"> — 5 à 10 gouttes/jour (25 à 50 µg/jour, soit 1 000 à 2 000 UI/jour).</w:t>
      </w:r>
    </w:p>
    <w:p>
      <w:r/>
      <w:r>
        <w:rPr>
          <w:b/>
        </w:rPr>
        <w:t>Adolescent et adulte (prévention)</w:t>
      </w:r>
      <w:r>
        <w:t xml:space="preserve"> — 5 à 10 gouttes/jour (25 à 50 µg/jour, soit 1 000 à 2 000 UI/jour), particulièrement pendant la période hivernale (octobre à mars).</w:t>
      </w:r>
    </w:p>
    <w:p>
      <w:r/>
      <w:r>
        <w:rPr>
          <w:b/>
        </w:rPr>
        <w:t>Adulte carencé (traitement curatif)</w:t>
      </w:r>
      <w:r>
        <w:t xml:space="preserve"> — 10 à 20 gouttes/jour (50 à 100 µg/jour, soit 2 000 à 4 000 UI/jour) pendant 1-3 mois, puis relais par 5 à 10 gouttes/jour d'entretien.</w:t>
      </w:r>
    </w:p>
    <w:p>
      <w:r/>
      <w:r>
        <w:rPr>
          <w:b/>
        </w:rPr>
        <w:t>Insuffisant hépatique ou malabsorption</w:t>
      </w:r>
      <w:r>
        <w:t xml:space="preserve"> — 10 à 30 gouttes/jour (50 à 150 µg/jour, soit 2 000 à 6 000 UI/jour) en cure prolongée, surveillance de la 25-OH-D sérique cible &gt; 30 ng/mL.</w:t>
      </w:r>
    </w:p>
    <w:p>
      <w:r/>
      <w:r>
        <w:rPr>
          <w:b/>
        </w:rPr>
        <w:t>Femme enceinte</w:t>
      </w:r>
      <w:r>
        <w:t xml:space="preserve"> — 5 à 10 gouttes/jour (1 000 à 2 000 UI/jour) pendant toute la grossesse.</w:t>
      </w:r>
    </w:p>
    <w:p>
      <w:r/>
      <w:r>
        <w:rPr>
          <w:b/>
        </w:rPr>
        <w:t>Mode d'administration</w:t>
      </w:r>
      <w:r>
        <w:t xml:space="preserve"> — Diluer les gouttes dans un peu d'eau, de jus de fruit, de lait ou de compote ; prendre au cours d'un repas contenant des graisses (améliore l'absorption). Chez le nourrisson, administrer dans le biberon de lait ou directement dans la bouche à la pipette.</w:t>
      </w:r>
    </w:p>
    <w:p>
      <w:pPr>
        <w:pStyle w:val="Heading4"/>
      </w:pPr>
      <w:r>
        <w:t>7. Effets indésirables et prévention</w:t>
      </w:r>
    </w:p>
    <w:p>
      <w:r/>
      <w:r>
        <w:rPr>
          <w:b/>
        </w:rPr>
        <w:t>Hypervitaminose D aiguë</w:t>
      </w:r>
      <w:r>
        <w:t xml:space="preserve"> — Rare avec le calcifédiol (demi-vie plus courte que le cholécalciférol). Possible en cas de dose massive (&gt; 100 µg/jour pendant plusieurs mois). Hypercalcémie, hyperphosphatémie, hypercalciurie, calcifications métastatiques. Traitement : arrêt immédiat, hyperhydratation salée, calcitonine, bisphosphonates IV.</w:t>
      </w:r>
    </w:p>
    <w:p>
      <w:r/>
      <w:r>
        <w:rPr>
          <w:b/>
        </w:rPr>
        <w:t>Hypervitaminose D chronique</w:t>
      </w:r>
      <w:r>
        <w:t xml:space="preserve"> — Possible en cas de supplémentation prolongée &gt; 4 000 UI/jour sans surveillance. Surveillance de la 25-OH-D sérique tous les 3-6 mois en cas de traitement prolongé.</w:t>
      </w:r>
    </w:p>
    <w:p>
      <w:r/>
      <w:r>
        <w:rPr>
          <w:b/>
        </w:rPr>
        <w:t>Constipation, nausées, céphalées</w:t>
      </w:r>
      <w:r>
        <w:t xml:space="preserve"> — Effets indésirables mineurs, fréquents en début de traitement, cèdent généralement à la poursuite du traitement.</w:t>
      </w:r>
    </w:p>
    <w:p>
      <w:r/>
      <w:r>
        <w:rPr>
          <w:b/>
        </w:rPr>
        <w:t>Prévention :</w:t>
      </w:r>
      <w:r>
        <w:t xml:space="preserve"> respect strict des posologies, surveillance de la 25-OH-D sérique en cas de supplémentation &gt; 6 mois ou &gt; 4 000 UI/jour, vérification de l'absence de prise concomitante d'une autre spécialité vitaminique D.</w:t>
      </w:r>
    </w:p>
    <w:p>
      <w:pPr>
        <w:pStyle w:val="Heading4"/>
      </w:pPr>
      <w:r>
        <w:t>8. Interactions médicamenteuses</w:t>
      </w:r>
    </w:p>
    <w:p>
      <w:r/>
      <w:r>
        <w:rPr>
          <w:b/>
        </w:rPr>
        <w:t>Corticoïdes</w:t>
      </w:r>
      <w:r>
        <w:t xml:space="preserve"> — Induction du CYP24A1 → augmentation du catabolisme du calcifédiol et du calcitriol → diminution de l'efficacité. Majoration posologique souvent nécessaire (2 000-4 000 UI/jour).</w:t>
      </w:r>
    </w:p>
    <w:p>
      <w:r/>
      <w:r>
        <w:rPr>
          <w:b/>
        </w:rPr>
        <w:t>Antiépileptiques inducteurs enzymatiques</w:t>
      </w:r>
      <w:r>
        <w:t xml:space="preserve"> — Phénobarbital, phénytoïne, carbamazépine, primidone : induction du CYP24A1 → accélération du catabolisme → carence vitaminique D. Surveillance, majoration posologique.</w:t>
      </w:r>
    </w:p>
    <w:p>
      <w:r/>
      <w:r>
        <w:rPr>
          <w:b/>
        </w:rPr>
        <w:t>Antituberculeux (rifampicine, isoniazide)</w:t>
      </w:r>
      <w:r>
        <w:t xml:space="preserve"> — Induction du CYP24A1 par la rifampicine → carence vitaminique D.</w:t>
      </w:r>
    </w:p>
    <w:p>
      <w:r/>
      <w:r>
        <w:rPr>
          <w:b/>
        </w:rPr>
        <w:t>Diurétiques thiazidiques</w:t>
      </w:r>
      <w:r>
        <w:t xml:space="preserve"> — Diminution de l'excrétion urinaire du calcium → majoration de l'hypercalcémie.</w:t>
      </w:r>
    </w:p>
    <w:p>
      <w:r/>
      <w:r>
        <w:rPr>
          <w:b/>
        </w:rPr>
        <w:t>Digitaliques</w:t>
      </w:r>
      <w:r>
        <w:t xml:space="preserve"> — Hypercalcémie potentialise la toxicité digitalique.</w:t>
      </w:r>
    </w:p>
    <w:p>
      <w:r/>
      <w:r>
        <w:rPr>
          <w:b/>
        </w:rPr>
        <w:t>Sels de calcium</w:t>
      </w:r>
      <w:r>
        <w:t xml:space="preserve"> — Risque d'hypercalcémie et d'hypercalciurie majoré.</w:t>
      </w:r>
    </w:p>
    <w:p>
      <w:r/>
      <w:r>
        <w:rPr>
          <w:b/>
        </w:rPr>
        <w:t>Cholestyramine, orlistat, sévélamer</w:t>
      </w:r>
      <w:r>
        <w:t xml:space="preserve"> — Diminution de l'absorption (espacer les prises).</w:t>
      </w:r>
    </w:p>
    <w:p>
      <w:pPr>
        <w:pStyle w:val="Heading4"/>
      </w:pPr>
      <w:r>
        <w:t>9. Grossesse, allaitement et CRAT</w:t>
      </w:r>
    </w:p>
    <w:p>
      <w:r/>
      <w:r>
        <w:rPr>
          <w:b/>
        </w:rPr>
        <w:t>Grossesse</w:t>
      </w:r>
      <w:r>
        <w:t xml:space="preserve"> — Le calcifédiol à dose nutritionnelle (1 000-2 000 UI/jour) est </w:t>
      </w:r>
      <w:r>
        <w:rPr>
          <w:b/>
        </w:rPr>
        <w:t>autorisé et recommandé</w:t>
      </w:r>
      <w:r>
        <w:t xml:space="preserve"> pendant toute la grossesse, particulièrement en Algérie où la carence maternelle est pandémique. Le CRAT classe le calcifédiol comme </w:t>
      </w:r>
      <w:r>
        <w:rPr>
          <w:i/>
        </w:rPr>
        <w:t>« Compatible pendant toute la grossesse aux doses nutritionnelles. »</w:t>
      </w:r>
      <w:r>
        <w:t xml:space="preserve"> Les doses thérapeutiques de charge (4 000-6 000 UI/jour pendant 1-3 mois) sont autorisées en cas de carence profonde documentée, sous surveillance de la 25-OH-D sérique (cible &gt; 30 ng/mL).</w:t>
      </w:r>
    </w:p>
    <w:p>
      <w:r/>
      <w:r>
        <w:rPr>
          <w:b/>
        </w:rPr>
        <w:t>Allaitement</w:t>
      </w:r>
      <w:r>
        <w:t xml:space="preserve"> — Le calcifédiol passe en quantité modeste dans le lait maternel. La supplémentation maternelle à 2 000-4 000 UI/jour est </w:t>
      </w:r>
      <w:r>
        <w:rPr>
          <w:b/>
        </w:rPr>
        <w:t>compatible avec l'allaitement</w:t>
      </w:r>
      <w:r>
        <w:t xml:space="preserve"> et permet un apport suffisant au nourrisson allaité exclusivement. Pour des doses maternelles élevées (&gt; 6 000 UI/jour), surveillance clinique de l'enfant (calcémie, croissance, fontanelle).</w:t>
      </w:r>
    </w:p>
    <w:p>
      <w:r/>
      <w:r>
        <w:rPr>
          <w:b/>
        </w:rPr>
        <w:t>Femme enceinte carencée profonde</w:t>
      </w:r>
      <w:r>
        <w:t xml:space="preserve"> — Schéma algérien recommandé : 10 à 20 gouttes/jour de DEDROGYL (2 000 à 4 000 UI/jour) pendant 1-3 mois, surveillance de la 25-OH-D sérique à 1 mois, puis relais par 5 à 10 gouttes/jour (1 000 à 2 000 UI/jour) d'entretien pendant toute la grossesse.</w:t>
      </w:r>
    </w:p>
    <w:p>
      <w:pPr>
        <w:pStyle w:val="Heading4"/>
      </w:pPr>
      <w:r>
        <w:t>10. Formes galéniques disponibles</w:t>
      </w:r>
    </w:p>
    <w:p>
      <w:pPr>
        <w:pStyle w:val="ListBullet"/>
      </w:pPr>
      <w:r/>
      <w:r>
        <w:rPr>
          <w:b/>
        </w:rPr>
        <w:t>Solution buvable en gouttes</w:t>
      </w:r>
      <w:r>
        <w:t xml:space="preserve"> (DEDROGYL DESMA PHARMA) — Flacon de 10 mL avec compte-gouttes intégré. Concentration 5 µg/goutte (≈ 200 UI/goutte). Forme de référence pour la supplémentation pédiatrique et de l'insuffisant hépatique. Conservation : température &lt; 25 °C, à l'abri de la lumière. Durée de conservation après ouverture : 6 mois.</w:t>
      </w:r>
    </w:p>
    <w:p>
      <w:pPr>
        <w:pStyle w:val="ListBullet"/>
      </w:pPr>
      <w:r/>
      <w:r>
        <w:rPr>
          <w:b/>
        </w:rPr>
        <w:t>Formes historiques retirées</w:t>
      </w:r>
      <w:r>
        <w:t xml:space="preserve"> — DEDROGYL comprimé, solution injectable IM (DELAGIL historique, non disponible en Algérie en 2026).</w:t>
      </w:r>
    </w:p>
    <w:p>
      <w:pPr>
        <w:pStyle w:val="Heading4"/>
      </w:pPr>
      <w:r>
        <w:t>11. Conseils au patient</w:t>
      </w:r>
    </w:p>
    <w:p>
      <w:pPr>
        <w:pStyle w:val="ListBullet"/>
      </w:pPr>
      <w:r/>
      <w:r>
        <w:rPr>
          <w:b/>
        </w:rPr>
        <w:t>Pour la prise :</w:t>
      </w:r>
      <w:r>
        <w:t xml:space="preserve"> bien agiter le flacon avant usage ; compter les gouttes avec précision (utiliser le compte-gouttes du flacon) ; diluer dans un peu d'eau, de jus, de lait ou de compote ; prendre au cours d'un repas contenant des graisses (améliore l'absorption).</w:t>
      </w:r>
    </w:p>
    <w:p>
      <w:pPr>
        <w:pStyle w:val="ListBullet"/>
      </w:pPr>
      <w:r/>
      <w:r>
        <w:rPr>
          <w:b/>
        </w:rPr>
        <w:t>Chez le nourrisson :</w:t>
      </w:r>
      <w:r>
        <w:t xml:space="preserve"> administrer les gouttes dans le biberon de lait ou directement dans la bouche à la pipette ; surveiller la fontanelle antérieure (bombée = possible hypertension intracrânienne par hypercalcémie) ; tenir un carnet de suivi des prises.</w:t>
      </w:r>
    </w:p>
    <w:p>
      <w:pPr>
        <w:pStyle w:val="ListBullet"/>
      </w:pPr>
      <w:r/>
      <w:r>
        <w:rPr>
          <w:b/>
        </w:rPr>
        <w:t>Chez l'enfant</w:t>
      </w:r>
      <w:r>
        <w:t xml:space="preserve"> — Prévention systématique dès le 8e jour de vie et pendant toute la croissance, particulièrement en période hivernale.</w:t>
      </w:r>
    </w:p>
    <w:p>
      <w:pPr>
        <w:pStyle w:val="ListBullet"/>
      </w:pPr>
      <w:r/>
      <w:r>
        <w:rPr>
          <w:b/>
        </w:rPr>
        <w:t>Chez la femme enceinte :</w:t>
      </w:r>
      <w:r>
        <w:t xml:space="preserve"> poursuite de la supplémentation pendant toute la grossesse ; surveillance de la 25-OH-D au 3e trimestre (cible &gt; 30 ng/mL).</w:t>
      </w:r>
    </w:p>
    <w:p>
      <w:pPr>
        <w:pStyle w:val="ListBullet"/>
      </w:pPr>
      <w:r/>
      <w:r>
        <w:rPr>
          <w:b/>
        </w:rPr>
        <w:t>Chez l'insuffisant hépatique</w:t>
      </w:r>
      <w:r>
        <w:t xml:space="preserve"> — Surveillance de la 25-OH-D sérique tous les 3-6 mois ; posologie adaptée au statut vitaminique.</w:t>
      </w:r>
    </w:p>
    <w:p>
      <w:pPr>
        <w:pStyle w:val="ListBullet"/>
      </w:pPr>
      <w:r/>
      <w:r>
        <w:rPr>
          <w:b/>
        </w:rPr>
        <w:t>Chez le sujet âgé</w:t>
      </w:r>
      <w:r>
        <w:t xml:space="preserve"> — Surveillance annuelle de la 25-OH-D, de la calcémie et de la fonction rénale.</w:t>
      </w:r>
    </w:p>
    <w:p>
      <w:pPr>
        <w:pStyle w:val="ListBullet"/>
      </w:pPr>
      <w:r/>
      <w:r>
        <w:rPr>
          <w:b/>
        </w:rPr>
        <w:t>Conservation :</w:t>
      </w:r>
      <w:r>
        <w:t xml:space="preserve"> à l'abri de la lumière et de la chaleur (&lt; 25 °C) ; ne pas congeler ; tenir hors de portée des enfants.</w:t>
      </w:r>
    </w:p>
    <w:p>
      <w:pPr>
        <w:pStyle w:val="Heading4"/>
      </w:pPr>
      <w:r>
        <w:t>12. Pièges au comptoir — Règles d'or</w:t>
      </w:r>
    </w:p>
    <w:p>
      <w:pPr>
        <w:pStyle w:val="ListNumber"/>
      </w:pPr>
      <w:r/>
      <w:r>
        <w:rPr>
          <w:b/>
        </w:rPr>
        <w:t>Correspondance µg ↔ UI</w:t>
      </w:r>
      <w:r>
        <w:t xml:space="preserve"> — Règle à connaître : 1 µg de calcifédiol ≈ 40 UI ; 5 µg/goutte ≈ 200 UI/goutte. Le pharmacien doit savoir convertir pour expliquer au patient.</w:t>
      </w:r>
    </w:p>
    <w:p>
      <w:pPr>
        <w:pStyle w:val="ListNumber"/>
      </w:pPr>
      <w:r/>
      <w:r>
        <w:rPr>
          <w:b/>
        </w:rPr>
        <w:t>Forme gouttes pour la pédiatrie</w:t>
      </w:r>
      <w:r>
        <w:t xml:space="preserve"> — Le calcifédiol (DEDROGYL) est la forme de choix pour la supplémentation du nourrisson et du jeune enfant, en raison de la précision du dosage (1 goutte = 200 UI) et de la facilité d'administration.</w:t>
      </w:r>
    </w:p>
    <w:p>
      <w:pPr>
        <w:pStyle w:val="ListNumber"/>
      </w:pPr>
      <w:r/>
      <w:r>
        <w:rPr>
          <w:b/>
        </w:rPr>
        <w:t>Bypass hépatique</w:t>
      </w:r>
      <w:r>
        <w:t xml:space="preserve"> — Le calcifédiol est préférable au cholécalciférol chez l'insuffisant hépatocellulaire (cirrhose, hépatite chronique) et en cas de malabsorption lipidique sévère (mucoviscidose, cholestase).</w:t>
      </w:r>
    </w:p>
    <w:p>
      <w:pPr>
        <w:pStyle w:val="ListNumber"/>
      </w:pPr>
      <w:r/>
      <w:r>
        <w:rPr>
          <w:b/>
        </w:rPr>
        <w:t>Supériorité dose pour dose</w:t>
      </w:r>
      <w:r>
        <w:t xml:space="preserve"> — Le calcifédiol élève la 25-OH-D sérique de 1,5 à 2 fois plus qu'une dose équivalente de cholécalciférol. Adapter la posologie pour ne pas surdoser.</w:t>
      </w:r>
    </w:p>
    <w:p>
      <w:pPr>
        <w:pStyle w:val="ListNumber"/>
      </w:pPr>
      <w:r/>
      <w:r>
        <w:rPr>
          <w:b/>
        </w:rPr>
        <w:t>Surveillance biologique</w:t>
      </w:r>
      <w:r>
        <w:t xml:space="preserve"> — Le dosage de la 25-OH-D sérique est le seul marqueur fiable du statut vitaminique D. Surveillance tous les 3-6 mois en cas de supplémentation prolongée.</w:t>
      </w:r>
    </w:p>
    <w:p>
      <w:pPr>
        <w:pStyle w:val="ListNumber"/>
      </w:pPr>
      <w:r/>
      <w:r>
        <w:rPr>
          <w:b/>
        </w:rPr>
        <w:t>Cumul des sources</w:t>
      </w:r>
      <w:r>
        <w:t xml:space="preserve"> — Vérifier que le patient n'associe pas plusieurs spécialités vitaminiques D (DEDROGYL + ampoule 200 000 UI + complément alimentaire D3).</w:t>
      </w:r>
    </w:p>
    <w:p>
      <w:pPr>
        <w:pStyle w:val="ListNumber"/>
      </w:pPr>
      <w:r/>
      <w:r>
        <w:rPr>
          <w:b/>
        </w:rPr>
        <w:t>Insuffisance rénale chronique</w:t>
      </w:r>
      <w:r>
        <w:t xml:space="preserve"> — Le calcifédiol nécessite la 1α-hydroxylation rénale. En cas d'IRC sévère (DFG &lt; 30 mL/min), préférer l'alfacalcidol (cf. section 161.9.4).</w:t>
      </w:r>
    </w:p>
    <w:p>
      <w:pPr>
        <w:pStyle w:val="ListNumber"/>
      </w:pPr>
      <w:r/>
      <w:r>
        <w:rPr>
          <w:b/>
        </w:rPr>
        <w:t>Sarcoïdose</w:t>
      </w:r>
      <w:r>
        <w:t xml:space="preserve"> — Contre-indication relative : les macrophages sarcoïdosiques expriment constitutivement la 1α-hydroxylase et peuvent produire du calcitriol de manière non régulée, entraînant une hypercalcémie granulomateuse.</w:t>
      </w:r>
    </w:p>
    <w:p>
      <w:pPr>
        <w:pStyle w:val="ListNumber"/>
      </w:pPr>
      <w:r/>
      <w:r>
        <w:rPr>
          <w:b/>
        </w:rPr>
        <w:t>Carence pandémique en Algérie</w:t>
      </w:r>
      <w:r>
        <w:t xml:space="preserve"> — Toute femme enceinte, tout nourrisson, tout sujet âgé institutionnalisé doit recevoir une supplémentation vitamine D systématique.</w:t>
      </w:r>
    </w:p>
    <w:p>
      <w:pPr>
        <w:pStyle w:val="ListNumber"/>
      </w:pPr>
      <w:r/>
      <w:r>
        <w:rPr>
          <w:b/>
        </w:rPr>
        <w:t>Calcul de la dose pour l'enfant</w:t>
      </w:r>
      <w:r>
        <w:t xml:space="preserve"> — Pour un nourrisson de 5 kg recevant 400 UI/jour : 2 gouttes/jour de DEDROGYL (2 × 200 UI = 400 UI). Pour un enfant de 20 kg recevant 1 000 UI/jour : 5 gouttes/jour de DEDROGYL.</w:t>
      </w:r>
    </w:p>
    <w:p>
      <w:pPr>
        <w:pStyle w:val="Heading3"/>
      </w:pPr>
      <w:r>
        <w:t>161.9.6. DCI : Tocophérol (Vitamine E)</w:t>
      </w:r>
    </w:p>
    <w:p>
      <w:pPr>
        <w:pStyle w:val="Heading4"/>
      </w:pPr>
      <w:r>
        <w:t>1. Liste catégories pharmaco-thérapeutiques</w:t>
      </w:r>
    </w:p>
    <w:p>
      <w:r/>
      <w:r>
        <w:rPr>
          <w:b/>
        </w:rPr>
        <w:t>Catégories :</w:t>
      </w:r>
      <w:r>
        <w:t xml:space="preserve"> Vitamine ; Vitamine liposoluble ; Vitamine E ; Tocophérol (α-tocophérol) ; Antioxydant lipidique ; Piégeur de radicaux libres (peroxyl, hydroxyl) ; Protecteur des membranes cellulaires (peroxydation lipidique) ; Protecteur des globules rouges (anti-hémolytique) ; Protecteur neuronal et rétinien ; Supplémentation de la carence en vitamine E. Sans classification de liste (over-the-counter, complément alimentaire).</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 E 100 mg</w:t>
            </w:r>
          </w:p>
        </w:tc>
        <w:tc>
          <w:tcPr>
            <w:tcW w:type="dxa" w:w="1559"/>
          </w:tcPr>
          <w:p>
            <w:r>
              <w:rPr>
                <w:sz w:val="20"/>
              </w:rPr>
              <w:t>SARL API</w:t>
            </w:r>
          </w:p>
        </w:tc>
        <w:tc>
          <w:tcPr>
            <w:tcW w:type="dxa" w:w="1559"/>
          </w:tcPr>
          <w:p>
            <w:r>
              <w:rPr>
                <w:sz w:val="20"/>
              </w:rPr>
              <w:t>Comprimé à croquer, tocophérol 100 mg</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API E 500 mg</w:t>
            </w:r>
          </w:p>
        </w:tc>
        <w:tc>
          <w:tcPr>
            <w:tcW w:type="dxa" w:w="1559"/>
          </w:tcPr>
          <w:p>
            <w:r>
              <w:rPr>
                <w:sz w:val="20"/>
              </w:rPr>
              <w:t>SARL API</w:t>
            </w:r>
          </w:p>
        </w:tc>
        <w:tc>
          <w:tcPr>
            <w:tcW w:type="dxa" w:w="1559"/>
          </w:tcPr>
          <w:p>
            <w:r>
              <w:rPr>
                <w:sz w:val="20"/>
              </w:rPr>
              <w:t>Comprimé à croquer et à sucer, acétate d'α-tocophérol 500 mg</w:t>
            </w:r>
          </w:p>
        </w:tc>
        <w:tc>
          <w:tcPr>
            <w:tcW w:type="dxa" w:w="1559"/>
          </w:tcPr>
          <w:p>
            <w:r>
              <w:rPr>
                <w:sz w:val="20"/>
              </w:rPr>
              <w:t>Boîte de 2 tubes de 10</w:t>
            </w:r>
          </w:p>
        </w:tc>
        <w:tc>
          <w:tcPr>
            <w:tcW w:type="dxa" w:w="1559"/>
          </w:tcPr>
          <w:p>
            <w:r>
              <w:rPr>
                <w:sz w:val="20"/>
              </w:rPr>
              <w:t>—</w:t>
            </w:r>
          </w:p>
        </w:tc>
        <w:tc>
          <w:tcPr>
            <w:tcW w:type="dxa" w:w="1559"/>
          </w:tcPr>
          <w:p>
            <w:r>
              <w:rPr>
                <w:sz w:val="20"/>
              </w:rPr>
              <w:t>Actif</w:t>
            </w:r>
          </w:p>
        </w:tc>
      </w:tr>
      <w:tr>
        <w:tc>
          <w:tcPr>
            <w:tcW w:type="dxa" w:w="1559"/>
          </w:tcPr>
          <w:p>
            <w:r>
              <w:rPr>
                <w:sz w:val="20"/>
              </w:rPr>
              <w:t>WERAVIT E 100</w:t>
            </w:r>
          </w:p>
        </w:tc>
        <w:tc>
          <w:tcPr>
            <w:tcW w:type="dxa" w:w="1559"/>
          </w:tcPr>
          <w:p>
            <w:r>
              <w:rPr>
                <w:sz w:val="20"/>
              </w:rPr>
              <w:t>WEIMER PHARMA</w:t>
            </w:r>
          </w:p>
        </w:tc>
        <w:tc>
          <w:tcPr>
            <w:tcW w:type="dxa" w:w="1559"/>
          </w:tcPr>
          <w:p>
            <w:r>
              <w:rPr>
                <w:sz w:val="20"/>
              </w:rPr>
              <w:t>Comprimé, tocophérol 100 mg</w:t>
            </w:r>
          </w:p>
        </w:tc>
        <w:tc>
          <w:tcPr>
            <w:tcW w:type="dxa" w:w="1559"/>
          </w:tcPr>
          <w:p>
            <w:r>
              <w:rPr>
                <w:sz w:val="20"/>
              </w:rPr>
              <w:t>Boîte de 30</w:t>
            </w:r>
          </w:p>
        </w:tc>
        <w:tc>
          <w:tcPr>
            <w:tcW w:type="dxa" w:w="1559"/>
          </w:tcPr>
          <w:p>
            <w:r>
              <w:rPr>
                <w:sz w:val="20"/>
              </w:rPr>
              <w:t>—</w:t>
            </w:r>
          </w:p>
        </w:tc>
        <w:tc>
          <w:tcPr>
            <w:tcW w:type="dxa" w:w="1559"/>
          </w:tcPr>
          <w:p>
            <w:r>
              <w:rPr>
                <w:sz w:val="20"/>
              </w:rPr>
              <w:t>Retiré</w:t>
            </w:r>
          </w:p>
        </w:tc>
      </w:tr>
      <w:tr>
        <w:tc>
          <w:tcPr>
            <w:tcW w:type="dxa" w:w="1559"/>
          </w:tcPr>
          <w:p>
            <w:r>
              <w:rPr>
                <w:sz w:val="20"/>
              </w:rPr>
              <w:t>VITAMINE E</w:t>
            </w:r>
          </w:p>
        </w:tc>
        <w:tc>
          <w:tcPr>
            <w:tcW w:type="dxa" w:w="1559"/>
          </w:tcPr>
          <w:p>
            <w:r>
              <w:rPr>
                <w:sz w:val="20"/>
              </w:rPr>
              <w:t>PHARCO EGYPTE</w:t>
            </w:r>
          </w:p>
        </w:tc>
        <w:tc>
          <w:tcPr>
            <w:tcW w:type="dxa" w:w="1559"/>
          </w:tcPr>
          <w:p>
            <w:r>
              <w:rPr>
                <w:sz w:val="20"/>
              </w:rPr>
              <w:t>Comprimé, tocophérol 100 mg</w:t>
            </w:r>
          </w:p>
        </w:tc>
        <w:tc>
          <w:tcPr>
            <w:tcW w:type="dxa" w:w="1559"/>
          </w:tcPr>
          <w:p>
            <w:r>
              <w:rPr>
                <w:sz w:val="20"/>
              </w:rPr>
              <w:t>Boîte de 24</w:t>
            </w:r>
          </w:p>
        </w:tc>
        <w:tc>
          <w:tcPr>
            <w:tcW w:type="dxa" w:w="1559"/>
          </w:tcPr>
          <w:p>
            <w:r>
              <w:rPr>
                <w:sz w:val="20"/>
              </w:rPr>
              <w:t>—</w:t>
            </w:r>
          </w:p>
        </w:tc>
        <w:tc>
          <w:tcPr>
            <w:tcW w:type="dxa" w:w="1559"/>
          </w:tcPr>
          <w:p>
            <w:r>
              <w:rPr>
                <w:sz w:val="20"/>
              </w:rPr>
              <w:t>Retiré</w:t>
            </w:r>
          </w:p>
        </w:tc>
      </w:tr>
      <w:tr>
        <w:tc>
          <w:tcPr>
            <w:tcW w:type="dxa" w:w="1559"/>
          </w:tcPr>
          <w:p>
            <w:r>
              <w:rPr>
                <w:sz w:val="20"/>
              </w:rPr>
              <w:t>EPHYNAL 100</w:t>
            </w:r>
          </w:p>
        </w:tc>
        <w:tc>
          <w:tcPr>
            <w:tcW w:type="dxa" w:w="1559"/>
          </w:tcPr>
          <w:p>
            <w:r>
              <w:rPr>
                <w:sz w:val="20"/>
              </w:rPr>
              <w:t>ROCHE</w:t>
            </w:r>
          </w:p>
        </w:tc>
        <w:tc>
          <w:tcPr>
            <w:tcW w:type="dxa" w:w="1559"/>
          </w:tcPr>
          <w:p>
            <w:r>
              <w:rPr>
                <w:sz w:val="20"/>
              </w:rPr>
              <w:t>Comprimé dragéifié, tocophérol 100 mg</w:t>
            </w:r>
          </w:p>
        </w:tc>
        <w:tc>
          <w:tcPr>
            <w:tcW w:type="dxa" w:w="1559"/>
          </w:tcPr>
          <w:p>
            <w:r>
              <w:rPr>
                <w:sz w:val="20"/>
              </w:rPr>
              <w:t>Boîte de 20</w:t>
            </w:r>
          </w:p>
        </w:tc>
        <w:tc>
          <w:tcPr>
            <w:tcW w:type="dxa" w:w="1559"/>
          </w:tcPr>
          <w:p>
            <w:r>
              <w:rPr>
                <w:sz w:val="20"/>
              </w:rPr>
              <w:t>—</w:t>
            </w:r>
          </w:p>
        </w:tc>
        <w:tc>
          <w:tcPr>
            <w:tcW w:type="dxa" w:w="1559"/>
          </w:tcPr>
          <w:p>
            <w:r>
              <w:rPr>
                <w:sz w:val="20"/>
              </w:rPr>
              <w:t>Retiré</w:t>
            </w:r>
          </w:p>
        </w:tc>
      </w:tr>
    </w:tbl>
    <w:p/>
    <w:p>
      <w:r/>
      <w:r>
        <w:rPr>
          <w:b/>
        </w:rPr>
        <w:t>Remarque :</w:t>
      </w:r>
      <w:r>
        <w:t xml:space="preserve"> La vitamine E est disponible en Algérie sous deux dosages : 100 mg et 500 mg en comprimé à croquer/sucer (API E, SARL API — seule spécialité active). Les formes historiques (EPHYNAL ROCHE, WERAVIT E WEIMER PHARMA, VITAMINE E PHARCO) ont été retirées du marché algérien. La vitamine E est aussi disponible dans de multiples complexes multivitaminiques (ASTENIA SARL API — 10 mg/comprimé).</w:t>
      </w:r>
    </w:p>
    <w:p>
      <w:pPr>
        <w:pStyle w:val="Heading4"/>
      </w:pPr>
      <w:r>
        <w:t>3. Mécanisme d'action moléculaire, cellulaire et physiologique</w:t>
      </w:r>
    </w:p>
    <w:p>
      <w:r>
        <w:t xml:space="preserve">La vitamine E (α-tocophérol) est le principal </w:t>
      </w:r>
      <w:r>
        <w:rPr>
          <w:b/>
        </w:rPr>
        <w:t>antioxydant lipidique</w:t>
      </w:r>
      <w:r>
        <w:t xml:space="preserve"> de l'organisme. Sa structure chimique comprend un noyau </w:t>
      </w:r>
      <w:r>
        <w:rPr>
          <w:b/>
        </w:rPr>
        <w:t>chromanol</w:t>
      </w:r>
      <w:r>
        <w:t xml:space="preserve"> (cycle benzopyrane portant un groupe hydroxyle phénolique en C6) et une chaîne latérale phytyle saturée en C16 (qui ancre la molécule dans la bicouche lipidique des membranes cellulaires). Le groupe hydroxyle phénolique est le site de piégeage des radicaux libres : il cède un atome d'hydrogène au radical peroxyle (ROO•), le transformant en radical tocophéroxyle (vit E-O•) relativement stable en raison de la </w:t>
      </w:r>
      <w:r>
        <w:rPr>
          <w:b/>
        </w:rPr>
        <w:t>résonance du radical</w:t>
      </w:r>
      <w:r>
        <w:t xml:space="preserve"> sur le noyau chromanol.</w:t>
      </w:r>
    </w:p>
    <w:p>
      <w:r>
        <w:t xml:space="preserve">Le mécanisme moléculaire repose sur la </w:t>
      </w:r>
      <w:r>
        <w:rPr>
          <w:b/>
        </w:rPr>
        <w:t>cascade antioxydante synergique</w:t>
      </w:r>
      <w:r>
        <w:t xml:space="preserve"> :</w:t>
      </w:r>
    </w:p>
    <w:p>
      <w:pPr>
        <w:pStyle w:val="ListNumber"/>
      </w:pPr>
      <w:r/>
      <w:r>
        <w:rPr>
          <w:b/>
        </w:rPr>
        <w:t>Peroxydation lipidique en chaîne</w:t>
      </w:r>
      <w:r>
        <w:t xml:space="preserve"> (en absence de vitamine E) : un radical hydroxyle (OH•) ou peroxyle (ROO•) arrache un atome d'hydrogène à un acide gras polyinsaturé (AGPI) membranaire (LH), générant un radical lipidique (L•) qui réagit immédiatement avec l'oxygène pour former un radical peroxyle lipidique (LOO•). Ce dernier arrache à son tour un hydrogène à un autre AGPI voisin (L'H), formant un hydroperoxyde lipidique (LOOH) et un nouveau radical L'• : la réaction se propage en chaîne, détruisant progressivement la membrane cellulaire.</w:t>
      </w:r>
    </w:p>
    <w:p>
      <w:pPr>
        <w:pStyle w:val="ListNumber"/>
      </w:pPr>
      <w:r/>
      <w:r>
        <w:rPr>
          <w:b/>
        </w:rPr>
        <w:t>Action de la vitamine E</w:t>
      </w:r>
      <w:r>
        <w:t xml:space="preserve"> : le radical peroxyle lipidique (LOO•) est intercepté par l'α-tocophérol (VitE-OH) qui lui cède un hydrogène, formant un hydroperoxyde lipidique (LOOH) — moins toxique — et un radical tocophéroxyle (VitE-O•). Ce dernier est </w:t>
      </w:r>
      <w:r>
        <w:rPr>
          <w:b/>
        </w:rPr>
        <w:t>régénéré en α-tocophérol</w:t>
      </w:r>
      <w:r>
        <w:t xml:space="preserve"> par un autre antioxydant hydrosoluble : la vitamine C (acide ascorbique) qui cède un hydrogène et devient radical ascorbyle (Asc-O•), lui-même régénéré par le glutathion (GSH → GSSG). Le glutathion est régénéré par la </w:t>
      </w:r>
      <w:r>
        <w:rPr>
          <w:b/>
        </w:rPr>
        <w:t>glutathion réductase</w:t>
      </w:r>
      <w:r>
        <w:t xml:space="preserve"> via le NADPH issu de la voie des pentoses phosphates. Enfin, l'ubiquinol (CoQ10 réduit) peut aussi régénérer le radical tocophéroxyle.</w:t>
      </w:r>
    </w:p>
    <w:p>
      <w:pPr>
        <w:pStyle w:val="ListNumber"/>
      </w:pPr>
      <w:r/>
      <w:r>
        <w:rPr>
          <w:b/>
        </w:rPr>
        <w:t>Cycle de la vitamine E</w:t>
      </w:r>
      <w:r>
        <w:t xml:space="preserve"> : à chaque molécule d'α-tocophérol peut piéger 5 à 10 radicaux peroxyles avant d'être elle-même catabolysée, en raison de la régénération continue par la vitamine C et le glutathion.</w:t>
      </w:r>
    </w:p>
    <w:p>
      <w:r>
        <w:t>Les effets physiologiques de la vitamine E sont :</w:t>
      </w:r>
    </w:p>
    <w:p>
      <w:pPr>
        <w:pStyle w:val="ListBullet"/>
      </w:pPr>
      <w:r/>
      <w:r>
        <w:rPr>
          <w:b/>
        </w:rPr>
        <w:t>Protection des membranes cellulaires</w:t>
      </w:r>
      <w:r>
        <w:t xml:space="preserve"> — Empêche la peroxydation lipidique des phospholipides membranaires contenant des AGPI (acide arachidonique, DHA, EPA). Particulièrement importante pour les membranes neuronales (cerveau riche en AGPI), rétiniennes (DHA rétinien), érythrocytaires (sensibles à l'hémolyse oxydative), spermatogonales (membrane des spermatozoïdes riche en AGPI).</w:t>
      </w:r>
    </w:p>
    <w:p>
      <w:pPr>
        <w:pStyle w:val="ListBullet"/>
      </w:pPr>
      <w:r/>
      <w:r>
        <w:rPr>
          <w:b/>
        </w:rPr>
        <w:t>Protection de l'ADN</w:t>
      </w:r>
      <w:r>
        <w:t xml:space="preserve"> — Réduction des lésions oxydatives de l'ADN (8-oxo-guanine) et du risque mutagène.</w:t>
      </w:r>
    </w:p>
    <w:p>
      <w:pPr>
        <w:pStyle w:val="ListBullet"/>
      </w:pPr>
      <w:r/>
      <w:r>
        <w:rPr>
          <w:b/>
        </w:rPr>
        <w:t>Modulation de la signalisation cellulaire</w:t>
      </w:r>
      <w:r>
        <w:t xml:space="preserve"> — Régulation de l'expression de gènes impliqués dans l'inflammation (inhibition de la COX-2, de la NADPH oxydase), la prolifération, l'apoptose.</w:t>
      </w:r>
    </w:p>
    <w:p>
      <w:pPr>
        <w:pStyle w:val="ListBullet"/>
      </w:pPr>
      <w:r/>
      <w:r>
        <w:rPr>
          <w:b/>
        </w:rPr>
        <w:t>Effet anti-agrégant plaquettaire</w:t>
      </w:r>
      <w:r>
        <w:t xml:space="preserve"> — Modéré, particulièrement à fortes doses (&gt; 400 mg/jour), par inhibition de la libération de TXA₂.</w:t>
      </w:r>
    </w:p>
    <w:p>
      <w:pPr>
        <w:pStyle w:val="ListBullet"/>
      </w:pPr>
      <w:r/>
      <w:r>
        <w:rPr>
          <w:b/>
        </w:rPr>
        <w:t>Protection cardiovasculaire</w:t>
      </w:r>
      <w:r>
        <w:t xml:space="preserve"> — Prévention de l'oxydation des LDL (implicquée dans l'athérogenèse) ; effet controversé en prévention primaire (essais cliniques décevants).</w:t>
      </w:r>
    </w:p>
    <w:p>
      <w:pPr>
        <w:pStyle w:val="Heading4"/>
      </w:pPr>
      <w:r>
        <w:t>4. Pharmacocinétique (Profil PK)</w:t>
      </w:r>
    </w:p>
    <w:p>
      <w:r/>
      <w:r>
        <w:rPr>
          <w:b/>
        </w:rPr>
        <w:t>Absorption</w:t>
      </w:r>
      <w:r>
        <w:t xml:space="preserve"> — Le tocophérol est absorbé dans le duodénum et le jéjunum par voie micellaire (sels biliaires), capté par les entérocytes via </w:t>
      </w:r>
      <w:r>
        <w:rPr>
          <w:b/>
        </w:rPr>
        <w:t>NPC1L1</w:t>
      </w:r>
      <w:r>
        <w:t xml:space="preserve"> et </w:t>
      </w:r>
      <w:r>
        <w:rPr>
          <w:b/>
        </w:rPr>
        <w:t>SR-BI</w:t>
      </w:r>
      <w:r>
        <w:t xml:space="preserve">, incorporé dans les chylomicrons, sécrété dans la lymphe. Biodisponibilité orale : 20-80 % (très variable selon statut vitaminique E, statut lipidique, prise de graisses concomitante). La prise au cours d'un repas contenant des graisses améliore l'absorption de 30-50 %. La forme </w:t>
      </w:r>
      <w:r>
        <w:rPr>
          <w:b/>
        </w:rPr>
        <w:t>acétate</w:t>
      </w:r>
      <w:r>
        <w:t xml:space="preserve"> (acétate d'α-tocophérol, API E 500 mg) est hydrolysée dans la lumière intestinale par les estérases pancréatiques en tocophérol libre avant absorption.</w:t>
      </w:r>
    </w:p>
    <w:p>
      <w:r/>
      <w:r>
        <w:rPr>
          <w:b/>
        </w:rPr>
        <w:t>Distribution</w:t>
      </w:r>
      <w:r>
        <w:t xml:space="preserve"> — Le tocophérol circulant est capté par le foie via les récepteurs aux chylomicrons (LDR, LRP). Dans le foie, la </w:t>
      </w:r>
      <w:r>
        <w:rPr>
          <w:b/>
        </w:rPr>
        <w:t>α-TTP</w:t>
      </w:r>
      <w:r>
        <w:t xml:space="preserve"> (alpha-Tocopherol Transfer Protein) sélectionne </w:t>
      </w:r>
      <w:r>
        <w:rPr>
          <w:b/>
        </w:rPr>
        <w:t>spécifiquement</w:t>
      </w:r>
      <w:r>
        <w:t xml:space="preserve"> l'α-tocophérol (parmi les 8 formes de vitamine E — α, β, γ, δ-tocophérols et tocotriénols) et l'exporte vers les lipoprotéines circulantes (VLDL → LDL → HDL). Les autres formes (γ, δ-tocophérols, tocotriénols) sont catabolysées par le </w:t>
      </w:r>
      <w:r>
        <w:rPr>
          <w:b/>
        </w:rPr>
        <w:t>CYP4F2</w:t>
      </w:r>
      <w:r>
        <w:t xml:space="preserve"> (ω-hydroxylase) en acides carboxyliques puis exercées. Volume de distribution : ~0,5 L/kg. Distribution au tissu adipeux (stockage majeur — 90 % du pool corporel), foie, muscle, cerveau (concentration faible mais critique).</w:t>
      </w:r>
    </w:p>
    <w:p>
      <w:r/>
      <w:r>
        <w:rPr>
          <w:b/>
        </w:rPr>
        <w:t>Métabolisme</w:t>
      </w:r>
      <w:r>
        <w:t xml:space="preserve"> — Catabolisme par le CYP4F2 (ω-hydroxylase) → 13'-hydroxychromanol → 13'-carboxychromanol → CEHC (carboxyethyl-hydroxychroman, exercé dans l'urine). Demi-vie d'élimination : ~48 heures pour l'α-tocophérol plasmatique ; plusieurs mois pour le stock adipeux.</w:t>
      </w:r>
    </w:p>
    <w:p>
      <w:r/>
      <w:r>
        <w:rPr>
          <w:b/>
        </w:rPr>
        <w:t>Élimination</w:t>
      </w:r>
      <w:r>
        <w:t xml:space="preserve"> — Biliaire et fécale (70 %) ; urinaire (30 %) sous forme de métabolites conjugués (CEHC glucuronide, sulfate). L'α-tocophérol est le principal constituant du pool vitaminique E ; la concentration plasmatique normale est de 20-30 µmol/L (8-13 mg/L). Une valeur &lt; 12 µmol/L (5 mg/L) définit la carence.</w:t>
      </w:r>
    </w:p>
    <w:p>
      <w:pPr>
        <w:pStyle w:val="Heading4"/>
      </w:pPr>
      <w:r>
        <w:t>5. Indications thérapeutiques</w:t>
      </w:r>
    </w:p>
    <w:p>
      <w:pPr>
        <w:pStyle w:val="ListNumber"/>
      </w:pPr>
      <w:r/>
      <w:r>
        <w:rPr>
          <w:b/>
        </w:rPr>
        <w:t>Carence en vitamine E avérée</w:t>
      </w:r>
      <w:r>
        <w:t xml:space="preserve"> — Dosage sérique &lt; 12 µmol/L (5 mg/L). Causes : malabsorption lipidique chronique (mucoviscidose, cholestase, abétalipoprotéinémie, résection iléale, by-pass gastrique, grêle court), prématurité, nutrition parentérale prolongée sans supplémentation, syndrome de malabsorption spécifique.</w:t>
      </w:r>
    </w:p>
    <w:p>
      <w:pPr>
        <w:pStyle w:val="ListNumber"/>
      </w:pPr>
      <w:r/>
      <w:r>
        <w:rPr>
          <w:b/>
        </w:rPr>
        <w:t>Abétalipoprotéinémie (maladie de Bassen-Kornzweig)</w:t>
      </w:r>
      <w:r>
        <w:t xml:space="preserve"> — Maladie autosomique récessive avec absence de lipoprotéines contenant apoB (chylomicrons, VLDL, LDL). Carence sévère en vitamines A, E, K. Supplémentation massive en vitamine E (50-200 mg/kg/jour, soit 5-15 g/jour adulte) dès l'enfance pour prévenir le syndrome neurologique (ataxie, rétinopathie pigmentaire, myopathie).</w:t>
      </w:r>
    </w:p>
    <w:p>
      <w:pPr>
        <w:pStyle w:val="ListNumber"/>
      </w:pPr>
      <w:r/>
      <w:r>
        <w:rPr>
          <w:b/>
        </w:rPr>
        <w:t>Anémie hémolytique du prématuré</w:t>
      </w:r>
      <w:r>
        <w:t xml:space="preserve"> — Carence physiologique néonatale majorée par la prématurité, l'oxygénothérapie, la nutrition parentérale. Supplémentation 25-50 mg/kg/jour.</w:t>
      </w:r>
    </w:p>
    <w:p>
      <w:pPr>
        <w:pStyle w:val="ListNumber"/>
      </w:pPr>
      <w:r/>
      <w:r>
        <w:rPr>
          <w:b/>
        </w:rPr>
        <w:t>Neuropathies dégénératives</w:t>
      </w:r>
      <w:r>
        <w:t xml:space="preserve"> — Ataxies cérébelleuses héréditaires, neuropathies axonales chroniques, rétinopathies pigmentaires — en supplément, efficacité partielle.</w:t>
      </w:r>
    </w:p>
    <w:p>
      <w:pPr>
        <w:pStyle w:val="ListNumber"/>
      </w:pPr>
      <w:r/>
      <w:r>
        <w:rPr>
          <w:b/>
        </w:rPr>
        <w:t>Mucoviscidose</w:t>
      </w:r>
      <w:r>
        <w:t xml:space="preserve"> — Supplémentation systématique (50-400 UI/jour/kg) en raison de la malabsorption lipidique chronique.</w:t>
      </w:r>
    </w:p>
    <w:p>
      <w:pPr>
        <w:pStyle w:val="ListNumber"/>
      </w:pPr>
      <w:r/>
      <w:r>
        <w:rPr>
          <w:b/>
        </w:rPr>
        <w:t>Cholestase chronique</w:t>
      </w:r>
      <w:r>
        <w:t xml:space="preserve"> — Cirrhose biliaire primitive, cholangite sclérosante — supplémentation systématique (15-25 mg/kg/jour).</w:t>
      </w:r>
    </w:p>
    <w:p>
      <w:pPr>
        <w:pStyle w:val="ListNumber"/>
      </w:pPr>
      <w:r/>
      <w:r>
        <w:rPr>
          <w:b/>
        </w:rPr>
        <w:t>Drépanocytose</w:t>
      </w:r>
      <w:r>
        <w:t xml:space="preserve"> — Supplémentation discutée (réduction de l'hémolyse).</w:t>
      </w:r>
    </w:p>
    <w:p>
      <w:pPr>
        <w:pStyle w:val="ListNumber"/>
      </w:pPr>
      <w:r/>
      <w:r>
        <w:rPr>
          <w:b/>
        </w:rPr>
        <w:t>Myopathies et cardiomyopathies carentielles</w:t>
      </w:r>
      <w:r>
        <w:t xml:space="preserve"> — En association avec la coenzyme Q10 et le sélénium.</w:t>
      </w:r>
    </w:p>
    <w:p>
      <w:pPr>
        <w:pStyle w:val="ListNumber"/>
      </w:pPr>
      <w:r/>
      <w:r>
        <w:rPr>
          <w:b/>
        </w:rPr>
        <w:t>Spermatozoïdes et fertilité masculine</w:t>
      </w:r>
      <w:r>
        <w:t xml:space="preserve"> — Supplémentation discutée (200-400 mg/jour) en cas d'asthénospermie et de peroxydation spermatique augmentée.</w:t>
      </w:r>
    </w:p>
    <w:p>
      <w:pPr>
        <w:pStyle w:val="ListNumber"/>
      </w:pPr>
      <w:r/>
      <w:r>
        <w:rPr>
          <w:b/>
        </w:rPr>
        <w:t>Asthenie, surmenage, convalescence</w:t>
      </w:r>
      <w:r>
        <w:t xml:space="preserve"> — Dans les complexes multivitaminiques (ASTENIA — 10 mg/comprimé).</w:t>
      </w:r>
    </w:p>
    <w:p>
      <w:pPr>
        <w:pStyle w:val="ListNumber"/>
      </w:pPr>
      <w:r/>
      <w:r>
        <w:rPr>
          <w:b/>
        </w:rPr>
        <w:t>Cosmétique</w:t>
      </w:r>
      <w:r>
        <w:t xml:space="preserve"> — Application locale en prévention du vieillissement cutané (effet antioxydant ; non disponible en spécialité pharmaceutique en Algérie, mais dans des crèmes cosmétiques).</w:t>
      </w:r>
    </w:p>
    <w:p>
      <w:pPr>
        <w:pStyle w:val="Heading4"/>
      </w:pPr>
      <w:r>
        <w:t>6. Posologie et mode d'administration</w:t>
      </w:r>
    </w:p>
    <w:p>
      <w:r/>
      <w:r>
        <w:rPr>
          <w:b/>
        </w:rPr>
        <w:t>Supplémentation nutritionnelle</w:t>
      </w:r>
      <w:r>
        <w:t xml:space="preserve"> — Adulte : 100 mg/jour per os (API E 100 mg : 1 comprimé/jour à croquer). Prévention de la carence.</w:t>
      </w:r>
    </w:p>
    <w:p>
      <w:r/>
      <w:r>
        <w:rPr>
          <w:b/>
        </w:rPr>
        <w:t>Traitement curatif de carence avérée</w:t>
      </w:r>
      <w:r>
        <w:t xml:space="preserve"> — Adulte : 200 à 800 mg/jour per os (API E 500 mg : 1 comprimé/jour, ou 1 comprimé matin et soir) pendant 1-3 mois, puis posologie d'entretien 100-200 mg/jour.</w:t>
      </w:r>
    </w:p>
    <w:p>
      <w:r/>
      <w:r>
        <w:rPr>
          <w:b/>
        </w:rPr>
        <w:t>Abétalipoprotéinémie</w:t>
      </w:r>
      <w:r>
        <w:t xml:space="preserve"> — 50 à 200 mg/kg/jour per os, soit 4 à 12 g/jour adulte. Surdosage nécessaire en raison de la malabsorption majeure.</w:t>
      </w:r>
    </w:p>
    <w:p>
      <w:r/>
      <w:r>
        <w:rPr>
          <w:b/>
        </w:rPr>
        <w:t>Mucoviscidose</w:t>
      </w:r>
      <w:r>
        <w:t xml:space="preserve"> — 50 à 400 UI/kg/jour, soit 25 à 200 mg/jour adulte.</w:t>
      </w:r>
    </w:p>
    <w:p>
      <w:r/>
      <w:r>
        <w:rPr>
          <w:b/>
        </w:rPr>
        <w:t>Cholestase chronique</w:t>
      </w:r>
      <w:r>
        <w:t xml:space="preserve"> — 15 à 25 mg/kg/jour, soit 1 à 2 g/jour adulte.</w:t>
      </w:r>
    </w:p>
    <w:p>
      <w:r/>
      <w:r>
        <w:rPr>
          <w:b/>
        </w:rPr>
        <w:t>Prématuré et nouveau-né</w:t>
      </w:r>
      <w:r>
        <w:t xml:space="preserve"> — 25 à 50 mg/kg/jour per os en cure courte (15-30 jours).</w:t>
      </w:r>
    </w:p>
    <w:p>
      <w:r/>
      <w:r>
        <w:rPr>
          <w:b/>
        </w:rPr>
        <w:t>Enfant</w:t>
      </w:r>
      <w:r>
        <w:t xml:space="preserve"> — 1 mg/kg/jour en supplémentation préventive, 10-50 mg/kg/jour en curatif.</w:t>
      </w:r>
    </w:p>
    <w:p>
      <w:r/>
      <w:r>
        <w:rPr>
          <w:b/>
        </w:rPr>
        <w:t>Mode d'administration</w:t>
      </w:r>
      <w:r>
        <w:t xml:space="preserve"> — Comprimé à croquer ou à sucer, à prendre au cours d'un repas contenant des graisses (améliore l'absorption). Chez l'enfant, écraser le comprimé dans un peu de compote ou de yaourt.</w:t>
      </w:r>
    </w:p>
    <w:p>
      <w:pPr>
        <w:pStyle w:val="Heading4"/>
      </w:pPr>
      <w:r>
        <w:t>7. Effets indésirables et prévention</w:t>
      </w:r>
    </w:p>
    <w:p>
      <w:r/>
      <w:r>
        <w:rPr>
          <w:b/>
        </w:rPr>
        <w:t>Effets gastro-intestinaux</w:t>
      </w:r>
      <w:r>
        <w:t xml:space="preserve"> — Nausées, vomissements, diarrhée, douleurs épigastriques à fortes doses (&gt; 1 g/jour). Prévention : prise au cours des repas, fractionnement des doses.</w:t>
      </w:r>
    </w:p>
    <w:p>
      <w:r/>
      <w:r>
        <w:rPr>
          <w:b/>
        </w:rPr>
        <w:t>Effet anti-agrégant plaquettaire</w:t>
      </w:r>
      <w:r>
        <w:t xml:space="preserve"> — À doses &gt; 400 mg/jour, la vitamine E inhibe l'agrégation plaquettaire et le TXA₂. Risque hémorragique majoré en association avec les AVK, antiagrégants plaquettaires (aspirine, clopidogrel), AOD.</w:t>
      </w:r>
    </w:p>
    <w:p>
      <w:r/>
      <w:r>
        <w:rPr>
          <w:b/>
        </w:rPr>
        <w:t>Hémorragie cérébrale</w:t>
      </w:r>
      <w:r>
        <w:t xml:space="preserve"> — Une méta-analyse controversée (Miller 2005, Annals of Internal Medicine) a suggéré une surmortalité toutes causes et une augmentation des hémorragies cérébrales à doses &gt; 400 UI/jour chez le sujet âgé hypertendu. Les essais ultérieurs n'ont pas confirmé ce signal, mais la prudence reste de mise.</w:t>
      </w:r>
    </w:p>
    <w:p>
      <w:r/>
      <w:r>
        <w:rPr>
          <w:b/>
        </w:rPr>
        <w:t>Interférence avec l'absorption des autres vitamines liposolubles</w:t>
      </w:r>
      <w:r>
        <w:t xml:space="preserve"> — À très fortes doses (&gt; 1 g/jour), la vitamine E peut réduire l'absorption de la vitamine A, D, K (compétition micellaire). Prévention : espacer les prises, surveiller le statut des autres vitamines liposolubles.</w:t>
      </w:r>
    </w:p>
    <w:p>
      <w:r/>
      <w:r>
        <w:rPr>
          <w:b/>
        </w:rPr>
        <w:t>Prévention :</w:t>
      </w:r>
      <w:r>
        <w:t xml:space="preserve"> respect des posologies recommandées, surveillance clinique en cas de traitement prolongé &gt; 6 mois, vérification des interactions médicamenteuses (AVK, antiagrégants).</w:t>
      </w:r>
    </w:p>
    <w:p>
      <w:pPr>
        <w:pStyle w:val="Heading4"/>
      </w:pPr>
      <w:r>
        <w:t>8. Interactions médicamenteuses</w:t>
      </w:r>
    </w:p>
    <w:p>
      <w:r/>
      <w:r>
        <w:rPr>
          <w:b/>
        </w:rPr>
        <w:t>Antivitamines K (warfarine, acénocoumarol, fluindione)</w:t>
      </w:r>
      <w:r>
        <w:t xml:space="preserve"> — Potentialisation de l'effet anticoagulant (vitamine E anti-agrégant + AVK anticoagulant) → risque hémorragique majoré. Surveillance INR, ajustement posologique, parfois réduction de la dose AVK. Le CRAT et l'ANSM recommandent une surveillance accrue en cas d'association.</w:t>
      </w:r>
    </w:p>
    <w:p>
      <w:r/>
      <w:r>
        <w:rPr>
          <w:b/>
        </w:rPr>
        <w:t>Antiagrégants plaquettaires (aspirine, clopidogrel, prasugrel, ticagrelor)</w:t>
      </w:r>
      <w:r>
        <w:t xml:space="preserve"> — Potentialisation de l'effet antiagrégant → risque hémorragique majoré. Surveillance clinique.</w:t>
      </w:r>
    </w:p>
    <w:p>
      <w:r/>
      <w:r>
        <w:rPr>
          <w:b/>
        </w:rPr>
        <w:t>Anticoagulants oraux directs (AOD — dabigatran, rivaroxaban, apixaban, edoxaban)</w:t>
      </w:r>
      <w:r>
        <w:t xml:space="preserve"> — Risque hémorragique majoré. Surveillance clinique.</w:t>
      </w:r>
    </w:p>
    <w:p>
      <w:r/>
      <w:r>
        <w:rPr>
          <w:b/>
        </w:rPr>
        <w:t>Ciclosporine, tacrolimus</w:t>
      </w:r>
      <w:r>
        <w:t xml:space="preserve"> — La vitamine E peut interférer avec l'absorption de la ciclosporine (modification de la bile). Surveillance taux sanguins de l'immunosuppresseur.</w:t>
      </w:r>
    </w:p>
    <w:p>
      <w:r/>
      <w:r>
        <w:rPr>
          <w:b/>
        </w:rPr>
        <w:t>Cholestyramine, orlistat</w:t>
      </w:r>
      <w:r>
        <w:t xml:space="preserve"> — Diminution de l'absorption de la vitamine E (espacer les prises).</w:t>
      </w:r>
    </w:p>
    <w:p>
      <w:r/>
      <w:r>
        <w:rPr>
          <w:b/>
        </w:rPr>
        <w:t>Huile de paraffine</w:t>
      </w:r>
      <w:r>
        <w:t xml:space="preserve"> — Diminution de l'absorption (à éviter, préférer mucilage, psyllium).</w:t>
      </w:r>
    </w:p>
    <w:p>
      <w:r/>
      <w:r>
        <w:rPr>
          <w:b/>
        </w:rPr>
        <w:t>Statines (simvastatine, atorvastatine, rosuvastatine)</w:t>
      </w:r>
      <w:r>
        <w:t xml:space="preserve"> — La vitamine E peut réduire l'effet bénéfique des statines sur l'endothélium (effet controversé, probablement non significatif aux doses nutritionnelles).</w:t>
      </w:r>
    </w:p>
    <w:p>
      <w:r/>
      <w:r>
        <w:rPr>
          <w:b/>
        </w:rPr>
        <w:t>Fer</w:t>
      </w:r>
      <w:r>
        <w:t xml:space="preserve"> — La vitamine E protège le fer de l'oxydation ; pas d'interaction délétère, plutôt synergique.</w:t>
      </w:r>
    </w:p>
    <w:p>
      <w:r/>
      <w:r>
        <w:rPr>
          <w:b/>
        </w:rPr>
        <w:t>Vitamine C, glutathion, CoQ10, sélénium</w:t>
      </w:r>
      <w:r>
        <w:t xml:space="preserve"> — Régénération du radical tocophéroxyle → synergie antioxydante. Souvent associés dans les formulations multivitaminées.</w:t>
      </w:r>
    </w:p>
    <w:p>
      <w:pPr>
        <w:pStyle w:val="Heading4"/>
      </w:pPr>
      <w:r>
        <w:t>9. Grossesse, allaitement et CRAT</w:t>
      </w:r>
    </w:p>
    <w:p>
      <w:r/>
      <w:r>
        <w:rPr>
          <w:b/>
        </w:rPr>
        <w:t>Grossesse</w:t>
      </w:r>
      <w:r>
        <w:t xml:space="preserve"> — La vitamine E à dose </w:t>
      </w:r>
      <w:r>
        <w:rPr>
          <w:b/>
        </w:rPr>
        <w:t>nutritionnelle</w:t>
      </w:r>
      <w:r>
        <w:t xml:space="preserve"> (10-15 mg/jour = ANC) est </w:t>
      </w:r>
      <w:r>
        <w:rPr>
          <w:b/>
        </w:rPr>
        <w:t>autorisée et recommandée</w:t>
      </w:r>
      <w:r>
        <w:t xml:space="preserve"> pendant la grossesse. Le CRAT classe l'α-tocophérol comme </w:t>
      </w:r>
      <w:r>
        <w:rPr>
          <w:i/>
        </w:rPr>
        <w:t>« Compatible pendant toute la grossesse aux doses nutritionnelles (&lt; 100 mg/j). »</w:t>
      </w:r>
      <w:r>
        <w:t xml:space="preserve"> Les doses pharmacologiques (&gt; 400 mg/jour) sont </w:t>
      </w:r>
      <w:r>
        <w:rPr>
          <w:b/>
        </w:rPr>
        <w:t>déconseillées</w:t>
      </w:r>
      <w:r>
        <w:t xml:space="preserve"> par prudence, en raison d'un signal de surmortalité animale à très fortes doses et du risque théorique hémorragique néonatal. Les doses très élevées (&gt; 1 g/jour) sont à éviter pendant le 3e trimestre (risque théorique de retentissement sur la coagulation néonatale).</w:t>
      </w:r>
    </w:p>
    <w:p>
      <w:r/>
      <w:r>
        <w:rPr>
          <w:b/>
        </w:rPr>
        <w:t>Allaitement</w:t>
      </w:r>
      <w:r>
        <w:t xml:space="preserve"> — La vitamine E passe dans le lait maternel. La supplémentation maternelle à dose nutritionnelle (15-20 mg/jour) est </w:t>
      </w:r>
      <w:r>
        <w:rPr>
          <w:b/>
        </w:rPr>
        <w:t>compatible avec l'allaitement</w:t>
      </w:r>
      <w:r>
        <w:t xml:space="preserve"> et permet un apport suffisant au nourrisson allaité (besoins 4-6 mg/jour). Pour des doses maternelles élevées (&gt; 400 mg/jour), surveillance clinique de l'enfant (risque théorique hémorragique).</w:t>
      </w:r>
    </w:p>
    <w:p>
      <w:pPr>
        <w:pStyle w:val="Heading4"/>
      </w:pPr>
      <w:r>
        <w:t>10. Formes galéniques disponibles</w:t>
      </w:r>
    </w:p>
    <w:p>
      <w:pPr>
        <w:pStyle w:val="ListBullet"/>
      </w:pPr>
      <w:r/>
      <w:r>
        <w:rPr>
          <w:b/>
        </w:rPr>
        <w:t>Comprimé à croquer</w:t>
      </w:r>
      <w:r>
        <w:t xml:space="preserve"> — API E 100 mg (SARL API), boîte de 20. Forme de supplémentation nutritionnelle courante.</w:t>
      </w:r>
    </w:p>
    <w:p>
      <w:pPr>
        <w:pStyle w:val="ListBullet"/>
      </w:pPr>
      <w:r/>
      <w:r>
        <w:rPr>
          <w:b/>
        </w:rPr>
        <w:t>Comprimé à croquer et à sucer</w:t>
      </w:r>
      <w:r>
        <w:t xml:space="preserve"> — API E 500 mg (SARL API), boîte de 2 tubes de 10 (forme acétate d'α-tocophérol). Forme de supplémentation pharmacologique.</w:t>
      </w:r>
    </w:p>
    <w:p>
      <w:pPr>
        <w:pStyle w:val="ListBullet"/>
      </w:pPr>
      <w:r/>
      <w:r>
        <w:rPr>
          <w:b/>
        </w:rPr>
        <w:t>Multivitaminiques</w:t>
      </w:r>
      <w:r>
        <w:t xml:space="preserve"> — Présente dans de nombreuses spécialités poly-composants : ASTENIA (SARL API) — 10 mg/comprimé effervescent.</w:t>
      </w:r>
    </w:p>
    <w:p>
      <w:pPr>
        <w:pStyle w:val="ListBullet"/>
      </w:pPr>
      <w:r/>
      <w:r>
        <w:rPr>
          <w:b/>
        </w:rPr>
        <w:t>Formes historiques retirées</w:t>
      </w:r>
      <w:r>
        <w:t xml:space="preserve"> — EPHYNAL 100 mg dragéifié (ROCHE), WERAVIT E 100 (WEIMER PHARMA), VITAMINE E (PHARCO EGYPTE).</w:t>
      </w:r>
    </w:p>
    <w:p>
      <w:pPr>
        <w:pStyle w:val="Heading4"/>
      </w:pPr>
      <w:r>
        <w:t>11. Conseils au patient</w:t>
      </w:r>
    </w:p>
    <w:p>
      <w:pPr>
        <w:pStyle w:val="ListBullet"/>
      </w:pPr>
      <w:r/>
      <w:r>
        <w:rPr>
          <w:b/>
        </w:rPr>
        <w:t>Pour la prise :</w:t>
      </w:r>
      <w:r>
        <w:t xml:space="preserve"> croquer ou sucer le comprimé avant de l'avaler ; prendre au cours d'un repas contenant des graisses (améliore l'absorption) ; respecter la dose prescrite ; ne pas dépasser 1 g/jour sans avis médical.</w:t>
      </w:r>
    </w:p>
    <w:p>
      <w:pPr>
        <w:pStyle w:val="ListBullet"/>
      </w:pPr>
      <w:r/>
      <w:r>
        <w:rPr>
          <w:b/>
        </w:rPr>
        <w:t>Chez le sujet âgé sous AVK</w:t>
      </w:r>
      <w:r>
        <w:t xml:space="preserve"> — Surveillance INR accrue en cas d'association vitamine E + AVK ; ajustement posologique éventuel par le médecin.</w:t>
      </w:r>
    </w:p>
    <w:p>
      <w:pPr>
        <w:pStyle w:val="ListBullet"/>
      </w:pPr>
      <w:r/>
      <w:r>
        <w:rPr>
          <w:b/>
        </w:rPr>
        <w:t>Chez la femme enceinte</w:t>
      </w:r>
      <w:r>
        <w:t xml:space="preserve"> — Ne pas dépasser 100 mg/jour sans avis médical ; éviter les compléments alimentaires importés pouvant contenir des doses massives.</w:t>
      </w:r>
    </w:p>
    <w:p>
      <w:pPr>
        <w:pStyle w:val="ListBullet"/>
      </w:pPr>
      <w:r/>
      <w:r>
        <w:rPr>
          <w:b/>
        </w:rPr>
        <w:t>Chez le prématuré</w:t>
      </w:r>
      <w:r>
        <w:t xml:space="preserve"> — Supplémentation systématique en néonatologie.</w:t>
      </w:r>
    </w:p>
    <w:p>
      <w:pPr>
        <w:pStyle w:val="ListBullet"/>
      </w:pPr>
      <w:r/>
      <w:r>
        <w:rPr>
          <w:b/>
        </w:rPr>
        <w:t>Chez le patient atteint de mucoviscidose</w:t>
      </w:r>
      <w:r>
        <w:t xml:space="preserve"> — Supplémentation à vie, surveillance annuelle de la concentration sérique en α-tocophérol.</w:t>
      </w:r>
    </w:p>
    <w:p>
      <w:pPr>
        <w:pStyle w:val="ListBullet"/>
      </w:pPr>
      <w:r/>
      <w:r>
        <w:rPr>
          <w:b/>
        </w:rPr>
        <w:t>Conservation :</w:t>
      </w:r>
      <w:r>
        <w:t xml:space="preserve"> à température ambiante (&lt; 25 °C), à l'abri de la lumière et de l'humidité ; tenir hors de portée des enfants.</w:t>
      </w:r>
    </w:p>
    <w:p>
      <w:pPr>
        <w:pStyle w:val="Heading4"/>
      </w:pPr>
      <w:r>
        <w:t>12. Pièges au comptoir — Règles d'or</w:t>
      </w:r>
    </w:p>
    <w:p>
      <w:pPr>
        <w:pStyle w:val="ListNumber"/>
      </w:pPr>
      <w:r/>
      <w:r>
        <w:rPr>
          <w:b/>
        </w:rPr>
        <w:t>Association AVK + vitamine E</w:t>
      </w:r>
      <w:r>
        <w:t xml:space="preserve"> — Règle critique : tout patient sous antivitamines K (warfarine, acénocoumarol, fluindione) recevant de la vitamine E à dose &gt; 400 mg/jour doit avoir une surveillance accrue de l'INR (risque hémorragique majoré).</w:t>
      </w:r>
    </w:p>
    <w:p>
      <w:pPr>
        <w:pStyle w:val="ListNumber"/>
      </w:pPr>
      <w:r/>
      <w:r>
        <w:rPr>
          <w:b/>
        </w:rPr>
        <w:t>Dosage 100 mg vs 500 mg</w:t>
      </w:r>
      <w:r>
        <w:t xml:space="preserve"> — Ne pas confondre les deux dosages ; la forme 500 mg est réservée au traitement curatif de carence avérée (mucoviscidose, cholestase, abétalipoprotéinémie).</w:t>
      </w:r>
    </w:p>
    <w:p>
      <w:pPr>
        <w:pStyle w:val="ListNumber"/>
      </w:pPr>
      <w:r/>
      <w:r>
        <w:rPr>
          <w:b/>
        </w:rPr>
        <w:t>Cumul des sources</w:t>
      </w:r>
      <w:r>
        <w:t xml:space="preserve"> — Vérifier que le patient n'associe pas plusieurs spécialités vitaminiques E (API E 500 mg + compléments alimentaires E + complexes multivitaminiques contenant E).</w:t>
      </w:r>
    </w:p>
    <w:p>
      <w:pPr>
        <w:pStyle w:val="ListNumber"/>
      </w:pPr>
      <w:r/>
      <w:r>
        <w:rPr>
          <w:b/>
        </w:rPr>
        <w:t>Prise avec graisses</w:t>
      </w:r>
      <w:r>
        <w:t xml:space="preserve"> — La vitamine E est liposoluble ; son absorption est améliorée par la prise au cours d'un repas contenant des graisses (huile, beurre, fromage, oléagineux).</w:t>
      </w:r>
    </w:p>
    <w:p>
      <w:pPr>
        <w:pStyle w:val="ListNumber"/>
      </w:pPr>
      <w:r/>
      <w:r>
        <w:rPr>
          <w:b/>
        </w:rPr>
        <w:t>Carence rare en population générale</w:t>
      </w:r>
      <w:r>
        <w:t xml:space="preserve"> — La carence en vitamine E est rare en Algérie chez l'adulte non carencé global. Les indications sont principalement les malabsorptions lipidiques (mucoviscidose, cholestase, résection iléale), la prématurité, l'abétalipoprotéinémie, la nutrition parentérale prolongée.</w:t>
      </w:r>
    </w:p>
    <w:p>
      <w:pPr>
        <w:pStyle w:val="ListNumber"/>
      </w:pPr>
      <w:r/>
      <w:r>
        <w:rPr>
          <w:b/>
        </w:rPr>
        <w:t>Pas de bénéfice cardiovasculaire démontré</w:t>
      </w:r>
      <w:r>
        <w:t xml:space="preserve"> — Les essais cliniques (HOPE, GISSI, HOPE-TOO, SU.VI.MAX, PHS, SELECT) n'ont pas démontré de bénéfice de la vitamine E en prévention primaire ou secondaire cardiovasculaire. Le pharmacien doit éviter de présenter la vitamine E comme un "protecteur cardiovasculaire".</w:t>
      </w:r>
    </w:p>
    <w:p>
      <w:pPr>
        <w:pStyle w:val="ListNumber"/>
      </w:pPr>
      <w:r/>
      <w:r>
        <w:rPr>
          <w:b/>
        </w:rPr>
        <w:t>Pas de bénéfice anti-cancer démontré</w:t>
      </w:r>
      <w:r>
        <w:t xml:space="preserve"> — Les essais SELECT (cancer de prostate), ATBC (cancer du poumon), et les méta-analyses Cochrane n'ont pas démontré de réduction de l'incidence des cancers sous vitamine E. Ne pas présenter la vitamine E comme "préventive du cancer".</w:t>
      </w:r>
    </w:p>
    <w:p>
      <w:pPr>
        <w:pStyle w:val="ListNumber"/>
      </w:pPr>
      <w:r/>
      <w:r>
        <w:rPr>
          <w:b/>
        </w:rPr>
        <w:t>Antioxydant synergique</w:t>
      </w:r>
      <w:r>
        <w:t xml:space="preserve"> — La vitamine E agit en synergie avec la vitamine C (régénère le radical tocophéroxyle), le glutathion, le sélénium (cofacteur de la glutathion peroxydase), et la coenzyme Q10. Co-supplémentation rationnelle dans les carences combinées.</w:t>
      </w:r>
    </w:p>
    <w:p>
      <w:pPr>
        <w:pStyle w:val="ListNumber"/>
      </w:pPr>
      <w:r/>
      <w:r>
        <w:rPr>
          <w:b/>
        </w:rPr>
        <w:t>Effet anti-agrégant plaquettaire</w:t>
      </w:r>
      <w:r>
        <w:t xml:space="preserve"> — À doses &gt; 400 mg/jour, la vitamine E a un effet anti-agrégant plaquettaire additif à l'aspirine et au clopidogrel. Surveillance clinique.</w:t>
      </w:r>
    </w:p>
    <w:p>
      <w:pPr>
        <w:pStyle w:val="ListNumber"/>
      </w:pPr>
      <w:r/>
      <w:r>
        <w:rPr>
          <w:b/>
        </w:rPr>
        <w:t>Compléments alimentaires importés</w:t>
      </w:r>
      <w:r>
        <w:t xml:space="preserve"> — Certains compléments importés contiennent des doses massives de vitamine E (jusqu'à 1 000-2 000 UI/capsule) ; le pharmacien doit interroger le patient sur la composition exacte des produits achetés.</w:t>
      </w:r>
    </w:p>
    <w:p>
      <w:pPr>
        <w:pStyle w:val="Heading3"/>
      </w:pPr>
      <w:r>
        <w:t>161.9.7. DCI : Phytoménadione (Vitamine K1)</w:t>
      </w:r>
    </w:p>
    <w:p>
      <w:pPr>
        <w:pStyle w:val="Heading4"/>
      </w:pPr>
      <w:r>
        <w:t>1. Liste catégories pharmaco-thérapeutiques</w:t>
      </w:r>
    </w:p>
    <w:p>
      <w:r/>
      <w:r>
        <w:rPr>
          <w:b/>
        </w:rPr>
        <w:t>Catégories :</w:t>
      </w:r>
      <w:r>
        <w:t xml:space="preserve"> Vitamine ; Vitamine liposoluble ; Vitamine K1 (phytoménadione = phylloquinone) ; Cofacteur de la γ-carboxylase (GGCX) ; Activateur des facteurs de coagulation vitamine-K dépendants (II, VII, IX, X) et des protéines régulatrices (C, S, Z) ; Antidote spécifique des antivitamines K (AVK) ; Prévention de la maladie hémorragique du nouveau-né ; Traitement des hypovitaminoses K ; Solution buvable et injectable IV/IM ; Liste I (surveillance stricte pour la voie IV).</w:t>
      </w:r>
    </w:p>
    <w:p>
      <w:pPr>
        <w:pStyle w:val="Heading4"/>
      </w:pPr>
      <w:r>
        <w:t>2. Table commerciale des spécialités algériennes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RAZIDIONE K1 (5 ampoules)</w:t>
            </w:r>
          </w:p>
        </w:tc>
        <w:tc>
          <w:tcPr>
            <w:tcW w:type="dxa" w:w="1559"/>
          </w:tcPr>
          <w:p>
            <w:r>
              <w:rPr>
                <w:sz w:val="20"/>
              </w:rPr>
              <w:t>LES LABORATOIRES FRATER RAZES</w:t>
            </w:r>
          </w:p>
        </w:tc>
        <w:tc>
          <w:tcPr>
            <w:tcW w:type="dxa" w:w="1559"/>
          </w:tcPr>
          <w:p>
            <w:r>
              <w:rPr>
                <w:sz w:val="20"/>
              </w:rPr>
              <w:t>Solution buvable et injectable IV ou IM, phytoménadione 10 mg/mL</w:t>
            </w:r>
          </w:p>
        </w:tc>
        <w:tc>
          <w:tcPr>
            <w:tcW w:type="dxa" w:w="1559"/>
          </w:tcPr>
          <w:p>
            <w:r>
              <w:rPr>
                <w:sz w:val="20"/>
              </w:rPr>
              <w:t>Boîte de 5 ampoules de 1 mL</w:t>
            </w:r>
          </w:p>
        </w:tc>
        <w:tc>
          <w:tcPr>
            <w:tcW w:type="dxa" w:w="1559"/>
          </w:tcPr>
          <w:p>
            <w:r>
              <w:rPr>
                <w:sz w:val="20"/>
              </w:rPr>
              <w:t>Liste I</w:t>
            </w:r>
          </w:p>
        </w:tc>
        <w:tc>
          <w:tcPr>
            <w:tcW w:type="dxa" w:w="1559"/>
          </w:tcPr>
          <w:p>
            <w:r>
              <w:rPr>
                <w:sz w:val="20"/>
              </w:rPr>
              <w:t>Actif</w:t>
            </w:r>
          </w:p>
        </w:tc>
      </w:tr>
      <w:tr>
        <w:tc>
          <w:tcPr>
            <w:tcW w:type="dxa" w:w="1559"/>
          </w:tcPr>
          <w:p>
            <w:r>
              <w:rPr>
                <w:sz w:val="20"/>
              </w:rPr>
              <w:t>RAZIDIONE K1 (50 ampoules)</w:t>
            </w:r>
          </w:p>
        </w:tc>
        <w:tc>
          <w:tcPr>
            <w:tcW w:type="dxa" w:w="1559"/>
          </w:tcPr>
          <w:p>
            <w:r>
              <w:rPr>
                <w:sz w:val="20"/>
              </w:rPr>
              <w:t>LES LABORATOIRES FRATER RAZES</w:t>
            </w:r>
          </w:p>
        </w:tc>
        <w:tc>
          <w:tcPr>
            <w:tcW w:type="dxa" w:w="1559"/>
          </w:tcPr>
          <w:p>
            <w:r>
              <w:rPr>
                <w:sz w:val="20"/>
              </w:rPr>
              <w:t>Solution buvable et injectable IV ou IM, phytoménadione 10 mg/mL</w:t>
            </w:r>
          </w:p>
        </w:tc>
        <w:tc>
          <w:tcPr>
            <w:tcW w:type="dxa" w:w="1559"/>
          </w:tcPr>
          <w:p>
            <w:r>
              <w:rPr>
                <w:sz w:val="20"/>
              </w:rPr>
              <w:t>Boîte de 50 ampoules de 1 mL</w:t>
            </w:r>
          </w:p>
        </w:tc>
        <w:tc>
          <w:tcPr>
            <w:tcW w:type="dxa" w:w="1559"/>
          </w:tcPr>
          <w:p>
            <w:r>
              <w:rPr>
                <w:sz w:val="20"/>
              </w:rPr>
              <w:t>Liste I</w:t>
            </w:r>
          </w:p>
        </w:tc>
        <w:tc>
          <w:tcPr>
            <w:tcW w:type="dxa" w:w="1559"/>
          </w:tcPr>
          <w:p>
            <w:r>
              <w:rPr>
                <w:sz w:val="20"/>
              </w:rPr>
              <w:t>Actif</w:t>
            </w:r>
          </w:p>
        </w:tc>
      </w:tr>
      <w:tr>
        <w:tc>
          <w:tcPr>
            <w:tcW w:type="dxa" w:w="1559"/>
          </w:tcPr>
          <w:p>
            <w:r>
              <w:rPr>
                <w:sz w:val="20"/>
              </w:rPr>
              <w:t>PHYTOMENADINE</w:t>
            </w:r>
          </w:p>
        </w:tc>
        <w:tc>
          <w:tcPr>
            <w:tcW w:type="dxa" w:w="1559"/>
          </w:tcPr>
          <w:p>
            <w:r>
              <w:rPr>
                <w:sz w:val="20"/>
              </w:rPr>
              <w:t>BIOLOGICI ITALIA</w:t>
            </w:r>
          </w:p>
        </w:tc>
        <w:tc>
          <w:tcPr>
            <w:tcW w:type="dxa" w:w="1559"/>
          </w:tcPr>
          <w:p>
            <w:r>
              <w:rPr>
                <w:sz w:val="20"/>
              </w:rPr>
              <w:t>Solution injectable IM-IV, phytoménadione 10 mg/mL (20 mg/2 mL)</w:t>
            </w:r>
          </w:p>
        </w:tc>
        <w:tc>
          <w:tcPr>
            <w:tcW w:type="dxa" w:w="1559"/>
          </w:tcPr>
          <w:p>
            <w:r>
              <w:rPr>
                <w:sz w:val="20"/>
              </w:rPr>
              <w:t>Boîte de 5 ampoules de 2 mL</w:t>
            </w:r>
          </w:p>
        </w:tc>
        <w:tc>
          <w:tcPr>
            <w:tcW w:type="dxa" w:w="1559"/>
          </w:tcPr>
          <w:p>
            <w:r>
              <w:rPr>
                <w:sz w:val="20"/>
              </w:rPr>
              <w:t>—</w:t>
            </w:r>
          </w:p>
        </w:tc>
        <w:tc>
          <w:tcPr>
            <w:tcW w:type="dxa" w:w="1559"/>
          </w:tcPr>
          <w:p>
            <w:r>
              <w:rPr>
                <w:sz w:val="20"/>
              </w:rPr>
              <w:t>Non renouvelable</w:t>
            </w:r>
          </w:p>
        </w:tc>
      </w:tr>
      <w:tr>
        <w:tc>
          <w:tcPr>
            <w:tcW w:type="dxa" w:w="1559"/>
          </w:tcPr>
          <w:p>
            <w:r>
              <w:rPr>
                <w:sz w:val="20"/>
              </w:rPr>
              <w:t>KONAKION MM</w:t>
            </w:r>
          </w:p>
        </w:tc>
        <w:tc>
          <w:tcPr>
            <w:tcW w:type="dxa" w:w="1559"/>
          </w:tcPr>
          <w:p>
            <w:r>
              <w:rPr>
                <w:sz w:val="20"/>
              </w:rPr>
              <w:t>HOFFMAN LAROCHE</w:t>
            </w:r>
          </w:p>
        </w:tc>
        <w:tc>
          <w:tcPr>
            <w:tcW w:type="dxa" w:w="1559"/>
          </w:tcPr>
          <w:p>
            <w:r>
              <w:rPr>
                <w:sz w:val="20"/>
              </w:rPr>
              <w:t>Solution injectable IV, phytoménadione 10 mg/mL</w:t>
            </w:r>
          </w:p>
        </w:tc>
        <w:tc>
          <w:tcPr>
            <w:tcW w:type="dxa" w:w="1559"/>
          </w:tcPr>
          <w:p>
            <w:r>
              <w:rPr>
                <w:sz w:val="20"/>
              </w:rPr>
              <w:t>Boîte de 5 ampoules de 1 mL</w:t>
            </w:r>
          </w:p>
        </w:tc>
        <w:tc>
          <w:tcPr>
            <w:tcW w:type="dxa" w:w="1559"/>
          </w:tcPr>
          <w:p>
            <w:r>
              <w:rPr>
                <w:sz w:val="20"/>
              </w:rPr>
              <w:t>—</w:t>
            </w:r>
          </w:p>
        </w:tc>
        <w:tc>
          <w:tcPr>
            <w:tcW w:type="dxa" w:w="1559"/>
          </w:tcPr>
          <w:p>
            <w:r>
              <w:rPr>
                <w:sz w:val="20"/>
              </w:rPr>
              <w:t>Retiré</w:t>
            </w:r>
          </w:p>
        </w:tc>
      </w:tr>
      <w:tr>
        <w:tc>
          <w:tcPr>
            <w:tcW w:type="dxa" w:w="1559"/>
          </w:tcPr>
          <w:p>
            <w:r>
              <w:rPr>
                <w:sz w:val="20"/>
              </w:rPr>
              <w:t>KONAKION</w:t>
            </w:r>
          </w:p>
        </w:tc>
        <w:tc>
          <w:tcPr>
            <w:tcW w:type="dxa" w:w="1559"/>
          </w:tcPr>
          <w:p>
            <w:r>
              <w:rPr>
                <w:sz w:val="20"/>
              </w:rPr>
              <w:t>HOFFMAN LAROCHE</w:t>
            </w:r>
          </w:p>
        </w:tc>
        <w:tc>
          <w:tcPr>
            <w:tcW w:type="dxa" w:w="1559"/>
          </w:tcPr>
          <w:p>
            <w:r>
              <w:rPr>
                <w:sz w:val="20"/>
              </w:rPr>
              <w:t>Comprimé enrobé à croquer, phytoménadione 10 mg</w:t>
            </w:r>
          </w:p>
        </w:tc>
        <w:tc>
          <w:tcPr>
            <w:tcW w:type="dxa" w:w="1559"/>
          </w:tcPr>
          <w:p>
            <w:r>
              <w:rPr>
                <w:sz w:val="20"/>
              </w:rPr>
              <w:t>Boîte de 10</w:t>
            </w:r>
          </w:p>
        </w:tc>
        <w:tc>
          <w:tcPr>
            <w:tcW w:type="dxa" w:w="1559"/>
          </w:tcPr>
          <w:p>
            <w:r>
              <w:rPr>
                <w:sz w:val="20"/>
              </w:rPr>
              <w:t>—</w:t>
            </w:r>
          </w:p>
        </w:tc>
        <w:tc>
          <w:tcPr>
            <w:tcW w:type="dxa" w:w="1559"/>
          </w:tcPr>
          <w:p>
            <w:r>
              <w:rPr>
                <w:sz w:val="20"/>
              </w:rPr>
              <w:t>Retiré</w:t>
            </w:r>
          </w:p>
        </w:tc>
      </w:tr>
      <w:tr>
        <w:tc>
          <w:tcPr>
            <w:tcW w:type="dxa" w:w="1559"/>
          </w:tcPr>
          <w:p>
            <w:r>
              <w:rPr>
                <w:sz w:val="20"/>
              </w:rPr>
              <w:t>WERAVIT K1</w:t>
            </w:r>
          </w:p>
        </w:tc>
        <w:tc>
          <w:tcPr>
            <w:tcW w:type="dxa" w:w="1559"/>
          </w:tcPr>
          <w:p>
            <w:r>
              <w:rPr>
                <w:sz w:val="20"/>
              </w:rPr>
              <w:t>WEIMER PHARMA</w:t>
            </w:r>
          </w:p>
        </w:tc>
        <w:tc>
          <w:tcPr>
            <w:tcW w:type="dxa" w:w="1559"/>
          </w:tcPr>
          <w:p>
            <w:r>
              <w:rPr>
                <w:sz w:val="20"/>
              </w:rPr>
              <w:t>Solution injectable, phytoménadione 10 mg/mL</w:t>
            </w:r>
          </w:p>
        </w:tc>
        <w:tc>
          <w:tcPr>
            <w:tcW w:type="dxa" w:w="1559"/>
          </w:tcPr>
          <w:p>
            <w:r>
              <w:rPr>
                <w:sz w:val="20"/>
              </w:rPr>
              <w:t>Boîte de 10</w:t>
            </w:r>
          </w:p>
        </w:tc>
        <w:tc>
          <w:tcPr>
            <w:tcW w:type="dxa" w:w="1559"/>
          </w:tcPr>
          <w:p>
            <w:r>
              <w:rPr>
                <w:sz w:val="20"/>
              </w:rPr>
              <w:t>—</w:t>
            </w:r>
          </w:p>
        </w:tc>
        <w:tc>
          <w:tcPr>
            <w:tcW w:type="dxa" w:w="1559"/>
          </w:tcPr>
          <w:p>
            <w:r>
              <w:rPr>
                <w:sz w:val="20"/>
              </w:rPr>
              <w:t>Retiré</w:t>
            </w:r>
          </w:p>
        </w:tc>
      </w:tr>
      <w:tr>
        <w:tc>
          <w:tcPr>
            <w:tcW w:type="dxa" w:w="1559"/>
          </w:tcPr>
          <w:p>
            <w:r>
              <w:rPr>
                <w:sz w:val="20"/>
              </w:rPr>
              <w:t>VITAMINE K1 ROCHE</w:t>
            </w:r>
          </w:p>
        </w:tc>
        <w:tc>
          <w:tcPr>
            <w:tcW w:type="dxa" w:w="1559"/>
          </w:tcPr>
          <w:p>
            <w:r>
              <w:rPr>
                <w:sz w:val="20"/>
              </w:rPr>
              <w:t>ROCHE</w:t>
            </w:r>
          </w:p>
        </w:tc>
        <w:tc>
          <w:tcPr>
            <w:tcW w:type="dxa" w:w="1559"/>
          </w:tcPr>
          <w:p>
            <w:r>
              <w:rPr>
                <w:sz w:val="20"/>
              </w:rPr>
              <w:t>Émulsion buvable en gouttes, phytoménadione 20 mg/mL</w:t>
            </w:r>
          </w:p>
        </w:tc>
        <w:tc>
          <w:tcPr>
            <w:tcW w:type="dxa" w:w="1559"/>
          </w:tcPr>
          <w:p>
            <w:r>
              <w:rPr>
                <w:sz w:val="20"/>
              </w:rPr>
              <w:t>Flacon de 10 mL</w:t>
            </w:r>
          </w:p>
        </w:tc>
        <w:tc>
          <w:tcPr>
            <w:tcW w:type="dxa" w:w="1559"/>
          </w:tcPr>
          <w:p>
            <w:r>
              <w:rPr>
                <w:sz w:val="20"/>
              </w:rPr>
              <w:t>—</w:t>
            </w:r>
          </w:p>
        </w:tc>
        <w:tc>
          <w:tcPr>
            <w:tcW w:type="dxa" w:w="1559"/>
          </w:tcPr>
          <w:p>
            <w:r>
              <w:rPr>
                <w:sz w:val="20"/>
              </w:rPr>
              <w:t>Retiré</w:t>
            </w:r>
          </w:p>
        </w:tc>
      </w:tr>
    </w:tbl>
    <w:p/>
    <w:p>
      <w:r/>
      <w:r>
        <w:rPr>
          <w:b/>
        </w:rPr>
        <w:t>Remarque :</w:t>
      </w:r>
      <w:r>
        <w:t xml:space="preserve"> La phytoménadione est disponible en Algérie en avril 2026 sous une seule spécialité active : RAZIDIONE K1 (LES LABORATOIRES FRATER RAZES, solution buvable et injectable IV/IM 10 mg/mL). Cette spécialité est essentielle à la pratique médicale algérienne : antidote des hémorragies sous AVK, prévention de la maladie hémorragique du nouveau-né, traitement des hypovitaminoses K. Les formes historiques (KONAKION ROCHE, VITAMINE K1 ROCHE, WERAVIT K1 WEIMER, PHYTOMENADINE BIOLOGICI ITALIA) ont été retirées ou sont non renouvelables. La phytoménadione est aussi disponible dans certains complexes multivitaminiques (à doses nutritionnelles — non listés ici).</w:t>
      </w:r>
    </w:p>
    <w:p>
      <w:pPr>
        <w:pStyle w:val="Heading4"/>
      </w:pPr>
      <w:r>
        <w:t>3. Mécanisme d'action moléculaire, cellulaire et physiologique</w:t>
      </w:r>
    </w:p>
    <w:p>
      <w:r>
        <w:t xml:space="preserve">La phytoménadione (vitamine K1, phylloquinone) est une 2-méthyl-3-phytyl-1,4-naphtoquinone dérivée des végétaux verts. Sa structure naphtoquinonique constitue le site actif de la molécule : la </w:t>
      </w:r>
      <w:r>
        <w:rPr>
          <w:b/>
        </w:rPr>
        <w:t>quinone (K)</w:t>
      </w:r>
      <w:r>
        <w:t xml:space="preserve"> est réduite en </w:t>
      </w:r>
      <w:r>
        <w:rPr>
          <w:b/>
        </w:rPr>
        <w:t>hydroquinone (KH₂)</w:t>
      </w:r>
      <w:r>
        <w:t xml:space="preserve"> par la </w:t>
      </w:r>
      <w:r>
        <w:rPr>
          <w:b/>
        </w:rPr>
        <w:t>DT-diaphorase</w:t>
      </w:r>
      <w:r>
        <w:t xml:space="preserve"> (NQO1, NADPH-dépendante) et par la </w:t>
      </w:r>
      <w:r>
        <w:rPr>
          <w:b/>
        </w:rPr>
        <w:t>vitamine K réductase</w:t>
      </w:r>
      <w:r>
        <w:t xml:space="preserve"> (VKOR). La KH₂ est le </w:t>
      </w:r>
      <w:r>
        <w:rPr>
          <w:b/>
        </w:rPr>
        <w:t>cofacteur de la γ-carboxylase</w:t>
      </w:r>
      <w:r>
        <w:t xml:space="preserve"> microsomale hépatique (GGCX — Gamma-Glutamyl Carboxylase), enzyme qui catalyse la </w:t>
      </w:r>
      <w:r>
        <w:rPr>
          <w:b/>
        </w:rPr>
        <w:t>γ-carboxylation post-traductionnelle</w:t>
      </w:r>
      <w:r>
        <w:t xml:space="preserve"> des résidus glutamate (Glu) en acide γ-carboxyglutamique (Gla) sur les protéines vitamine-K dépendantes. La KH₂ est oxydée en </w:t>
      </w:r>
      <w:r>
        <w:rPr>
          <w:b/>
        </w:rPr>
        <w:t>époxyde (K&gt;O)</w:t>
      </w:r>
      <w:r>
        <w:t xml:space="preserve"> au cours de cette réaction ; la K&gt;O est ensuite </w:t>
      </w:r>
      <w:r>
        <w:rPr>
          <w:b/>
        </w:rPr>
        <w:t>réduite en K (quinone)</w:t>
      </w:r>
      <w:r>
        <w:t xml:space="preserve"> par la </w:t>
      </w:r>
      <w:r>
        <w:rPr>
          <w:b/>
        </w:rPr>
        <w:t>VKORC1</w:t>
      </w:r>
      <w:r>
        <w:t xml:space="preserve"> (Vitamin K Epoxide Reductase Complex subunit 1), puis en KH₂ (hydroquinone) par la DT-diaphorase. Ce </w:t>
      </w:r>
      <w:r>
        <w:rPr>
          <w:b/>
        </w:rPr>
        <w:t>cycle de recyclage de la vitamine K</w:t>
      </w:r>
      <w:r>
        <w:t xml:space="preserve"> permet à chaque molécule de vitamine K de catalyser plusieurs milliers de γ-carboxylations.</w:t>
      </w:r>
    </w:p>
    <w:p>
      <w:r>
        <w:t xml:space="preserve">La γ-carboxylation est </w:t>
      </w:r>
      <w:r>
        <w:rPr>
          <w:b/>
        </w:rPr>
        <w:t>indispensable</w:t>
      </w:r>
      <w:r>
        <w:t xml:space="preserve"> à la fonctionnalité des protéines vitamine-K dépendantes car elle leur confère la capacité de </w:t>
      </w:r>
      <w:r>
        <w:rPr>
          <w:b/>
        </w:rPr>
        <w:t>fixer le calcium divalent (Ca²⁺)</w:t>
      </w:r>
      <w:r>
        <w:t xml:space="preserve"> via les deux groupes carboxylates adjacents (Gla-Ca²⁺-Gla), avec une affinité millimolaire. Sans γ-carboxylation, ces protéines sont synthétisées par les ribosomes mais restent biologiquement inactives (appelées </w:t>
      </w:r>
      <w:r>
        <w:rPr>
          <w:b/>
        </w:rPr>
        <w:t>PIVKA — Proteins Induced by Vitamin K Antagonists</w:t>
      </w:r>
      <w:r>
        <w:t xml:space="preserve"> ou PIVKA-II pour la prothrombine non carboxylée).</w:t>
      </w:r>
    </w:p>
    <w:p>
      <w:r>
        <w:t>Les protéines vitamine-K dépendantes sont :</w:t>
      </w:r>
    </w:p>
    <w:p>
      <w:pPr>
        <w:pStyle w:val="ListNumber"/>
      </w:pPr>
      <w:r/>
      <w:r>
        <w:rPr>
          <w:b/>
        </w:rPr>
        <w:t>Facteurs de coagulation procoagulants</w:t>
      </w:r>
      <w:r>
        <w:t xml:space="preserve"> —</w:t>
      </w:r>
    </w:p>
    <w:p>
      <w:pPr>
        <w:pStyle w:val="ListBullet"/>
      </w:pPr>
      <w:r/>
      <w:r>
        <w:rPr>
          <w:b/>
        </w:rPr>
        <w:t>Facteur II (prothrombine)</w:t>
      </w:r>
      <w:r>
        <w:t xml:space="preserve"> — précurseur de la thrombine, clé de la coagulation.</w:t>
      </w:r>
    </w:p>
    <w:p>
      <w:pPr>
        <w:pStyle w:val="ListBullet"/>
      </w:pPr>
      <w:r/>
      <w:r>
        <w:rPr>
          <w:b/>
        </w:rPr>
        <w:t>Facteur VII (proconvertine)</w:t>
      </w:r>
      <w:r>
        <w:t xml:space="preserve"> — facteur extrinsèque, activation par le facteur tissulaire.</w:t>
      </w:r>
    </w:p>
    <w:p>
      <w:pPr>
        <w:pStyle w:val="ListBullet"/>
      </w:pPr>
      <w:r/>
      <w:r>
        <w:rPr>
          <w:b/>
        </w:rPr>
        <w:t>Facteur IX (Christmas)</w:t>
      </w:r>
      <w:r>
        <w:t xml:space="preserve"> — facteur intrinsèque, activation par le XIa.</w:t>
      </w:r>
    </w:p>
    <w:p>
      <w:pPr>
        <w:pStyle w:val="ListBullet"/>
      </w:pPr>
      <w:r/>
      <w:r>
        <w:rPr>
          <w:b/>
        </w:rPr>
        <w:t>Facteur X (Stuart-Prower)</w:t>
      </w:r>
      <w:r>
        <w:t xml:space="preserve"> — point de convergence des voies intrinsèque et extrinsèque, activation de la prothrombine en thrombine.</w:t>
      </w:r>
    </w:p>
    <w:p>
      <w:pPr>
        <w:pStyle w:val="ListNumber"/>
      </w:pPr>
      <w:r/>
      <w:r>
        <w:rPr>
          <w:b/>
        </w:rPr>
        <w:t>Facteurs de coagulation anticoagulants (régulateurs)</w:t>
      </w:r>
      <w:r>
        <w:t xml:space="preserve"> —</w:t>
      </w:r>
    </w:p>
    <w:p>
      <w:pPr>
        <w:pStyle w:val="ListBullet"/>
      </w:pPr>
      <w:r/>
      <w:r>
        <w:rPr>
          <w:b/>
        </w:rPr>
        <w:t>Protéine C</w:t>
      </w:r>
      <w:r>
        <w:t xml:space="preserve"> — inactivateur des facteurs Va et VIIIa, cofacteur de la protéine S.</w:t>
      </w:r>
    </w:p>
    <w:p>
      <w:pPr>
        <w:pStyle w:val="ListBullet"/>
      </w:pPr>
      <w:r/>
      <w:r>
        <w:rPr>
          <w:b/>
        </w:rPr>
        <w:t>Protéine S</w:t>
      </w:r>
      <w:r>
        <w:t xml:space="preserve"> — cofacteur de la protéine C.</w:t>
      </w:r>
    </w:p>
    <w:p>
      <w:pPr>
        <w:pStyle w:val="ListBullet"/>
      </w:pPr>
      <w:r/>
      <w:r>
        <w:rPr>
          <w:b/>
        </w:rPr>
        <w:t>Protéine Z</w:t>
      </w:r>
      <w:r>
        <w:t xml:space="preserve"> — inhibiteur du facteur Xa via l'inhibiteur de la protéine Z (ZPI).</w:t>
      </w:r>
    </w:p>
    <w:p>
      <w:pPr>
        <w:pStyle w:val="ListNumber"/>
      </w:pPr>
      <w:r/>
      <w:r>
        <w:rPr>
          <w:b/>
        </w:rPr>
        <w:t>Protéines osseuses</w:t>
      </w:r>
      <w:r>
        <w:t xml:space="preserve"> —</w:t>
      </w:r>
    </w:p>
    <w:p>
      <w:pPr>
        <w:pStyle w:val="ListBullet"/>
      </w:pPr>
      <w:r/>
      <w:r>
        <w:rPr>
          <w:b/>
        </w:rPr>
        <w:t>Ostéocalcine (BGP — Bone Gla Protein)</w:t>
      </w:r>
      <w:r>
        <w:t xml:space="preserve"> — synthétisée par les ostéoblastes, joue un rôle dans la minéralisation osseuse.</w:t>
      </w:r>
    </w:p>
    <w:p>
      <w:pPr>
        <w:pStyle w:val="ListBullet"/>
      </w:pPr>
      <w:r/>
      <w:r>
        <w:rPr>
          <w:b/>
        </w:rPr>
        <w:t>Matrix Gla Protein (MGP)</w:t>
      </w:r>
      <w:r>
        <w:t xml:space="preserve"> — synthétisée par les cellules vasculaires musculaires lisses, inhibe la calcification vasculaire.</w:t>
      </w:r>
    </w:p>
    <w:p>
      <w:pPr>
        <w:pStyle w:val="ListBullet"/>
      </w:pPr>
      <w:r/>
      <w:r>
        <w:rPr>
          <w:b/>
        </w:rPr>
        <w:t>Protéine S osseuse</w:t>
      </w:r>
      <w:r>
        <w:t xml:space="preserve"> — produit par les ostéoblastes.</w:t>
      </w:r>
    </w:p>
    <w:p>
      <w:pPr>
        <w:pStyle w:val="ListNumber"/>
      </w:pPr>
      <w:r/>
      <w:r>
        <w:rPr>
          <w:b/>
        </w:rPr>
        <w:t>Autres protéines vitamine-K dépendantes</w:t>
      </w:r>
      <w:r>
        <w:t xml:space="preserve"> —</w:t>
      </w:r>
    </w:p>
    <w:p>
      <w:pPr>
        <w:pStyle w:val="ListBullet"/>
      </w:pPr>
      <w:r/>
      <w:r>
        <w:rPr>
          <w:b/>
        </w:rPr>
        <w:t>Gas6 (Growth Arrest-Specific 6)</w:t>
      </w:r>
      <w:r>
        <w:t xml:space="preserve"> — protéine de la signalisation cellulaire, anti-apoptotique.</w:t>
      </w:r>
    </w:p>
    <w:p>
      <w:pPr>
        <w:pStyle w:val="ListBullet"/>
      </w:pPr>
      <w:r/>
      <w:r>
        <w:rPr>
          <w:b/>
        </w:rPr>
        <w:t>Périostine</w:t>
      </w:r>
      <w:r>
        <w:t xml:space="preserve"> — protéine de la matrice extracellulaire, impliquée dans la cicatrisation et la fibrose.</w:t>
      </w:r>
    </w:p>
    <w:p>
      <w:r>
        <w:t xml:space="preserve">Les </w:t>
      </w:r>
      <w:r>
        <w:rPr>
          <w:b/>
        </w:rPr>
        <w:t>antivitamines K (AVK)</w:t>
      </w:r>
      <w:r>
        <w:t xml:space="preserve"> (warfarine, acénocoumarol, fluindione) inhibent la </w:t>
      </w:r>
      <w:r>
        <w:rPr>
          <w:b/>
        </w:rPr>
        <w:t>VKORC1</w:t>
      </w:r>
      <w:r>
        <w:t xml:space="preserve"> de manière compétitive, bloquant le recyclage de la vitamine K → épuisement progressif du pool KH₂ → synthèse de facteurs II, VII, IX, X non γ-carboxylés (PIVKA) biologiquement inactifs → hypocoagulabilité (allongement du TP et de l'INR). C'est pourquoi la </w:t>
      </w:r>
      <w:r>
        <w:rPr>
          <w:b/>
        </w:rPr>
        <w:t>phytoménadione</w:t>
      </w:r>
      <w:r>
        <w:t xml:space="preserve"> est l'</w:t>
      </w:r>
      <w:r>
        <w:rPr>
          <w:b/>
        </w:rPr>
        <w:t>antidote spécifique</w:t>
      </w:r>
      <w:r>
        <w:t xml:space="preserve"> des AVK : elle restaure le pool KH₂ en contournant l'inhibition de la VKORC1 (par apport massif exogène qui dépasse la capacité d'inhibition de l'AVK).</w:t>
      </w:r>
    </w:p>
    <w:p>
      <w:r>
        <w:t>L'effet de la phytoménadione sur la coagulation dépend de la voie d'administration et de la dose :</w:t>
      </w:r>
    </w:p>
    <w:p>
      <w:pPr>
        <w:pStyle w:val="ListBullet"/>
      </w:pPr>
      <w:r/>
      <w:r>
        <w:rPr>
          <w:b/>
        </w:rPr>
        <w:t>Per os</w:t>
      </w:r>
      <w:r>
        <w:t xml:space="preserve"> — Action lente (6-12 heures pour le facteur VII, 12-24 heures pour le facteur II). Utilisée pour les INR supra-thérapeutiques asymptomatiques.</w:t>
      </w:r>
    </w:p>
    <w:p>
      <w:pPr>
        <w:pStyle w:val="ListBullet"/>
      </w:pPr>
      <w:r/>
      <w:r>
        <w:rPr>
          <w:b/>
        </w:rPr>
        <w:t>IV</w:t>
      </w:r>
      <w:r>
        <w:t xml:space="preserve"> — Action rapide (30 min à 2 heures pour le facteur VII, 6-12 heures pour le facteur II). Utilisée pour les hémorragies graves sous AVK.</w:t>
      </w:r>
    </w:p>
    <w:p>
      <w:pPr>
        <w:pStyle w:val="ListBullet"/>
      </w:pPr>
      <w:r/>
      <w:r>
        <w:rPr>
          <w:b/>
        </w:rPr>
        <w:t>IM</w:t>
      </w:r>
      <w:r>
        <w:t xml:space="preserve"> — Action intermédiaire (1-3 heures pour le facteur VII). Utilisée pour la prophylaxie néonatale (1 mg IM à la naissance).</w:t>
      </w:r>
    </w:p>
    <w:p>
      <w:pPr>
        <w:pStyle w:val="Heading4"/>
      </w:pPr>
      <w:r>
        <w:t>4. Pharmacocinétique (Profil PK)</w:t>
      </w:r>
    </w:p>
    <w:p>
      <w:r/>
      <w:r>
        <w:rPr>
          <w:b/>
        </w:rPr>
        <w:t>Absorption</w:t>
      </w:r>
      <w:r>
        <w:t xml:space="preserve"> — La phytoménadione est absorbée dans le duodénum et le jéjunum par voie micellaire (sels biliaires), capté par les entérocytes, incorporé dans les chylomicrons, sécrété dans la lymphe. Biodisponibilité orale : 50-80 % (variable selon statut lipidique et prise de graisses concomitante). La prise au cours d'un repas contenant des graisses améliore l'absorption de 30-50 %. La voie IV permet une biodisponibilité de 100 % mais avec un risque d'anaphylaxie (cf. Effets indésirables). La voie IM assure une libération progressive (effet réservoir) pendant plusieurs jours, particulièrement utile chez le nouveau-né.</w:t>
      </w:r>
    </w:p>
    <w:p>
      <w:r/>
      <w:r>
        <w:rPr>
          <w:b/>
        </w:rPr>
        <w:t>Distribution</w:t>
      </w:r>
      <w:r>
        <w:t xml:space="preserve"> — La phytoménadione circule liée aux </w:t>
      </w:r>
      <w:r>
        <w:rPr>
          <w:b/>
        </w:rPr>
        <w:t>lipoprotéines</w:t>
      </w:r>
      <w:r>
        <w:t xml:space="preserve"> (VLDL, LDL, HDL) et à l'albumine. Volume de distribution : ~0,5 L/kg. Distribution au foie (site principal de la γ-carboxylation), aux ostéoblastes osseux, aux cellules endothéliales vasculaires (MGP), au placenta (faible transfert fœtal). Demi-vie plasmatique courte : 1-2 heures. Mais l'effet biologique (γ-carboxylation des facteurs) persiste 6-24 heures selon la voie (voies IV, IM, per os).</w:t>
      </w:r>
    </w:p>
    <w:p>
      <w:r/>
      <w:r>
        <w:rPr>
          <w:b/>
        </w:rPr>
        <w:t>Métabolisme</w:t>
      </w:r>
      <w:r>
        <w:t xml:space="preserve"> — Catabolisme hépatique par ω-hydroxylation (CYP4F2) → 13'-hydroxyphylloquinone → acide phylloquinonique (inactif), excrété dans la bile (sous forme de glucuronide) et l'urine.</w:t>
      </w:r>
    </w:p>
    <w:p>
      <w:r/>
      <w:r>
        <w:rPr>
          <w:b/>
        </w:rPr>
        <w:t>Élimination</w:t>
      </w:r>
      <w:r>
        <w:t xml:space="preserve"> — Biliaire et fécale (70 %) ; urinaire (30 %). Pas d'accumulation significative. La demi-vie d'élimination courte (1-2 heures) explique pourquoi la phytoménadione doit être administrée en plusieurs doses (J1, J2, J7) pour maintenir un effet antidotique suffisant, ou en perfusion continue IV dans les hémorragies graves.</w:t>
      </w:r>
    </w:p>
    <w:p>
      <w:pPr>
        <w:pStyle w:val="Heading4"/>
      </w:pPr>
      <w:r>
        <w:t>5. Indications thérapeutiques</w:t>
      </w:r>
    </w:p>
    <w:p>
      <w:pPr>
        <w:pStyle w:val="ListNumber"/>
      </w:pPr>
      <w:r/>
      <w:r>
        <w:rPr>
          <w:b/>
        </w:rPr>
        <w:t>Antidote des hémorragies sous AVK</w:t>
      </w:r>
      <w:r>
        <w:t xml:space="preserve"> — Indication princeps. Posologie adaptée à la gravité :</w:t>
      </w:r>
    </w:p>
    <w:p>
      <w:pPr>
        <w:pStyle w:val="ListBullet"/>
      </w:pPr>
      <w:r>
        <w:t>Hémorragie grave (hémorragie cérébrale, hématome compressif, hémorragie digestive active, choc hémorragique) : 10 mg IV lente (dilué, 1 mg/min maximum) en association avec du PFC (plasma frais congelé 10-15 mL/kg) ou du CCP (concentré de complexe prothrombinique 25-50 UI/kg). Surveillance INR à H30, H2, H6.</w:t>
      </w:r>
    </w:p>
    <w:p>
      <w:pPr>
        <w:pStyle w:val="ListBullet"/>
      </w:pPr>
      <w:r>
        <w:t>INR supra-thérapeutique asymptomatique (INR &gt; 5 sans hémorragie) : 1 à 5 mg per os, surveillance INR à H24.</w:t>
      </w:r>
    </w:p>
    <w:p>
      <w:pPr>
        <w:pStyle w:val="ListBullet"/>
      </w:pPr>
      <w:r>
        <w:t>INR très élevé (INR &gt; 9 sans hémorragie) : 5 à 10 mg per os, surveillance INR à H12.</w:t>
      </w:r>
    </w:p>
    <w:p>
      <w:pPr>
        <w:pStyle w:val="ListNumber"/>
      </w:pPr>
      <w:r/>
      <w:r>
        <w:rPr>
          <w:b/>
        </w:rPr>
        <w:t>Prophylaxie de la maladie hémorragique du nouveau-né</w:t>
      </w:r>
      <w:r>
        <w:t xml:space="preserve"> — Injection IM 1 mg à la naissance (recommandation OMS universelle). Prématuré : 0,5 mg IM. Alternative orale : 2 mg per os à J1, J4, J7 (en cas de refus parental de l'IM).</w:t>
      </w:r>
    </w:p>
    <w:p>
      <w:pPr>
        <w:pStyle w:val="ListNumber"/>
      </w:pPr>
      <w:r/>
      <w:r>
        <w:rPr>
          <w:b/>
        </w:rPr>
        <w:t>Hypovitaminose K par carence d'apport ou malabsorption</w:t>
      </w:r>
      <w:r>
        <w:t xml:space="preserve"> — Insuffisance hépatocellulaire, cholestase chronique (cirrhose biliaire primitive), mucoviscidose, résection iléale, by-pass gastrique, antibiothérapie prolongée détruisant la flore productrice de K2. Posologie : 5 à 10 mg/jour per os.</w:t>
      </w:r>
    </w:p>
    <w:p>
      <w:pPr>
        <w:pStyle w:val="ListNumber"/>
      </w:pPr>
      <w:r/>
      <w:r>
        <w:rPr>
          <w:b/>
        </w:rPr>
        <w:t>Antagonisation pré-opératoire des AVK</w:t>
      </w:r>
      <w:r>
        <w:t xml:space="preserve"> — En cas de chirurgie urgente chez un patient sous AVK : 5 à 10 mg IV lente + PFC/CCP + arrêt AVK.</w:t>
      </w:r>
    </w:p>
    <w:p>
      <w:pPr>
        <w:pStyle w:val="ListNumber"/>
      </w:pPr>
      <w:r/>
      <w:r>
        <w:rPr>
          <w:b/>
        </w:rPr>
        <w:t>Surdosage en anticoagulants oraux directs (AOD)</w:t>
      </w:r>
      <w:r>
        <w:t xml:space="preserve"> — La phytoménadione n'est PAS un antidote des AOD (dabigatran, rivaroxaban, apixaban, edoxaban) qui agissent indépendamment de la vitamine K. Ne pas utiliser dans ce contexte (préférer idarucizumab pour dabigatran, Andexanet alpha pour anti-Xa).</w:t>
      </w:r>
    </w:p>
    <w:p>
      <w:pPr>
        <w:pStyle w:val="ListNumber"/>
      </w:pPr>
      <w:r/>
      <w:r>
        <w:rPr>
          <w:b/>
        </w:rPr>
        <w:t>Hypocoagulabilité par AVK en préopératoire programmé</w:t>
      </w:r>
      <w:r>
        <w:t xml:space="preserve"> — Arrêt AVK 3-5 jours avant chirurgie + relais par héparine si besoin (桥梁 thérapeutique).</w:t>
      </w:r>
    </w:p>
    <w:p>
      <w:pPr>
        <w:pStyle w:val="ListNumber"/>
      </w:pPr>
      <w:r/>
      <w:r>
        <w:rPr>
          <w:b/>
        </w:rPr>
        <w:t>Coagulopathie de surdosage en rodenticides anticoagulants</w:t>
      </w:r>
      <w:r>
        <w:t xml:space="preserve"> (superwarfarines : bromadiolone, difenacoum, brodifacoum) — Antagonisation prolongée par phytoménadione à fortes doses (50-100 mg/jour per os pendant plusieurs semaines à mois) en raison de la demi-vie très longue des superwarfarines.</w:t>
      </w:r>
    </w:p>
    <w:p>
      <w:pPr>
        <w:pStyle w:val="Heading4"/>
      </w:pPr>
      <w:r>
        <w:t>6. Posologie et mode d'administration</w:t>
      </w:r>
    </w:p>
    <w:p>
      <w:r/>
      <w:r>
        <w:rPr>
          <w:b/>
        </w:rPr>
        <w:t>Hémorragie grave sous AVK (urgence vitale)</w:t>
      </w:r>
      <w:r>
        <w:t xml:space="preserve"> — 10 mg IV lente (1 mg/min maximum, dilué dans 50 mL G5% ou NaCl 0,9%). Surveillance ECG continue (risque d'anaphylaxie). Surveillance INR à H30, H2, H6, H12. Répéter si INR reste élevé. Association systématique avec PFC (10-15 mL/kg) ou CCP (25-50 UI/kg).</w:t>
      </w:r>
    </w:p>
    <w:p>
      <w:r/>
      <w:r>
        <w:rPr>
          <w:b/>
        </w:rPr>
        <w:t>INR supra-thérapeutique asymptomatique (INR 5-9)</w:t>
      </w:r>
      <w:r>
        <w:t xml:space="preserve"> — 1 à 2,5 mg per os (ou 0,5-1 mg IV si voie orale impossible). Surveillance INR à H24.</w:t>
      </w:r>
    </w:p>
    <w:p>
      <w:r/>
      <w:r>
        <w:rPr>
          <w:b/>
        </w:rPr>
        <w:t>INR très élevé asymptomatique (INR &gt; 9)</w:t>
      </w:r>
      <w:r>
        <w:t xml:space="preserve"> — 5 mg per os. Surveillance INR à H12 et H24. Possibilité de répéter à H24.</w:t>
      </w:r>
    </w:p>
    <w:p>
      <w:r/>
      <w:r>
        <w:rPr>
          <w:b/>
        </w:rPr>
        <w:t>Prévention néonatale (standard OMS)</w:t>
      </w:r>
      <w:r>
        <w:t xml:space="preserve"> — 1 mg IM à la naissance (quadrant supéro-externe de la cuisse). Prématuré : 0,5 mg IM. Alternative orale (non recommandée par l'OMS en raison d'efficacité moindre) : 2 mg per os à J1, J4, J7.</w:t>
      </w:r>
    </w:p>
    <w:p>
      <w:r/>
      <w:r>
        <w:rPr>
          <w:b/>
        </w:rPr>
        <w:t>Carence en vitamine K (malabsorption, cholestase)</w:t>
      </w:r>
      <w:r>
        <w:t xml:space="preserve"> — 5 à 10 mg/jour per os en cure prolongée.</w:t>
      </w:r>
    </w:p>
    <w:p>
      <w:r/>
      <w:r>
        <w:rPr>
          <w:b/>
        </w:rPr>
        <w:t>Surdosage en rodenticides (superwarfarines)</w:t>
      </w:r>
      <w:r>
        <w:t xml:space="preserve"> — 50 à 100 mg/jour per os pendant plusieurs semaines à mois (demi-vie très longue).</w:t>
      </w:r>
    </w:p>
    <w:p>
      <w:r/>
      <w:r>
        <w:rPr>
          <w:b/>
        </w:rPr>
        <w:t>Posologie pédiatrique</w:t>
      </w:r>
      <w:r>
        <w:t xml:space="preserve"> — Nourrisson : 1 mg IM à la naissance ; enfant &gt; 1 an : 1-2 mg per os ou IV lente selon l'indication.</w:t>
      </w:r>
    </w:p>
    <w:p>
      <w:r/>
      <w:r>
        <w:rPr>
          <w:b/>
        </w:rPr>
        <w:t>Voie IM</w:t>
      </w:r>
      <w:r>
        <w:t xml:space="preserve"> — Injection intramusculaire profonde (quadrant supéro-externe de la fesse chez l'adulte, cuisse chez le nourrisson). Délai d'action 1-3 heures. Voie de référence pour la prévention néonatale.</w:t>
      </w:r>
    </w:p>
    <w:p>
      <w:r/>
      <w:r>
        <w:rPr>
          <w:b/>
        </w:rPr>
        <w:t>Voie IV</w:t>
      </w:r>
      <w:r>
        <w:t xml:space="preserve"> — Strictement en milieu médicalisé (risque d'anaphylaxie). Perfusion lente (1 mg/min maximum), diluée dans 50 mL de G5% ou NaCl 0,9%. Surveillance ECG, TA, saturation. Matériel de réanimation disponible (adrénaline, atropine, oxygène).</w:t>
      </w:r>
    </w:p>
    <w:p>
      <w:pPr>
        <w:pStyle w:val="Heading4"/>
      </w:pPr>
      <w:r>
        <w:t>7. Effets indésirables et prévention</w:t>
      </w:r>
    </w:p>
    <w:p>
      <w:r/>
      <w:r>
        <w:rPr>
          <w:b/>
        </w:rPr>
        <w:t>Anaphylaxie (voie IV)</w:t>
      </w:r>
      <w:r>
        <w:t xml:space="preserve"> — Risque rare (incidence &lt; 1/10 000) mais potentiellement létale. Mécanisme : réaction d'hypersensibilité immédiate (IgE-médiée ou non-IgE) aux excipients de la solution (polyéthylène glycol, polysorbate, acide chlorhydrique, sodium hydroxyde). Symptomatologie : choc anaphylactique, bronchospasme, urticaire géante, angio-œdème, arrêt cardio-respiratoire, décès (cas rapportés). Prévention : </w:t>
      </w:r>
      <w:r>
        <w:rPr>
          <w:b/>
        </w:rPr>
        <w:t>perfusion IV lente stricte</w:t>
      </w:r>
      <w:r>
        <w:t xml:space="preserve"> (1 mg/min maximum), dilution systématique, surveillance continue ECG/TA/saturation, matériel de réanimation disponible. </w:t>
      </w:r>
      <w:r>
        <w:rPr>
          <w:b/>
        </w:rPr>
        <w:t>Éviter la voie IV bolus</w:t>
      </w:r>
      <w:r>
        <w:t>. La voie IM est nettement plus sûre.</w:t>
      </w:r>
    </w:p>
    <w:p>
      <w:r/>
      <w:r>
        <w:rPr>
          <w:b/>
        </w:rPr>
        <w:t>Réactions locales au site d'injection</w:t>
      </w:r>
      <w:r>
        <w:t xml:space="preserve"> — Douleur, induration, hématome, abcès stérile (voie IM). Prévention : technique d'injection stricte, site d'injection rotatif.</w:t>
      </w:r>
    </w:p>
    <w:p>
      <w:r/>
      <w:r>
        <w:rPr>
          <w:b/>
        </w:rPr>
        <w:t>Hyperbilirubinémie et ictère nucléaire (nouveau-né prématuré)</w:t>
      </w:r>
      <w:r>
        <w:t xml:space="preserve"> — La phytoménadione à fortes doses (&gt; 5 mg IM chez le prématuré) peut induire une hyperbilirubinémie (hémolyse modérée et compétition avec la bilirubine pour la conjugaison hépatique) avec risque d'ictère nucléaire (kernictère). Prévention : respecter la dose de 0,5 mg IM chez le prématuré.</w:t>
      </w:r>
    </w:p>
    <w:p>
      <w:r/>
      <w:r>
        <w:rPr>
          <w:b/>
        </w:rPr>
        <w:t>Résistance à la ré-administration</w:t>
      </w:r>
      <w:r>
        <w:t xml:space="preserve"> — En cas d'antagonisation prolongée par phytoménadione (superwarfarines), nécessité d'augmenter les doses pour maintenir l'effet antidotique.</w:t>
      </w:r>
    </w:p>
    <w:p>
      <w:r/>
      <w:r>
        <w:rPr>
          <w:b/>
        </w:rPr>
        <w:t>Effets paradoxaux</w:t>
      </w:r>
      <w:r>
        <w:t xml:space="preserve"> — La correction trop rapide de l'INR par phytoménadione IV peut être associée à un risque thrombotique (réactivation des facteurs II, VII, IX, X chez un patient ayant une indication d'anticoagulation). Prévention : évaluation individuelle du rapport bénéfice/risque ; en cas de valve mécanique ou de syndrome antiphospholipide, antagoniser avec prudence.</w:t>
      </w:r>
    </w:p>
    <w:p>
      <w:r/>
      <w:r>
        <w:rPr>
          <w:b/>
        </w:rPr>
        <w:t>Prévention :</w:t>
      </w:r>
      <w:r>
        <w:t xml:space="preserve"> identification des patients à risque (atopie, asthme, antécédent de réaction allergique), respect strict du mode d'administration (perfusion IV lente, dilution, surveillance), matériel de réanimation disponible.</w:t>
      </w:r>
    </w:p>
    <w:p>
      <w:pPr>
        <w:pStyle w:val="Heading4"/>
      </w:pPr>
      <w:r>
        <w:t>8. Interactions médicamenteuses</w:t>
      </w:r>
    </w:p>
    <w:p>
      <w:r/>
      <w:r>
        <w:rPr>
          <w:b/>
        </w:rPr>
        <w:t>Antivitamines K (warfarine, acénocoumarol, fluindione)</w:t>
      </w:r>
      <w:r>
        <w:t xml:space="preserve"> — Antagonisme pharmacologique compétitif au niveau de la VKORC1. La phytoménadione est l'antidote spécifique des AVK. Surveillance INR après administration.</w:t>
      </w:r>
    </w:p>
    <w:p>
      <w:r/>
      <w:r>
        <w:rPr>
          <w:b/>
        </w:rPr>
        <w:t>Anticoagulants oraux directs (AOD — dabigatran, rivaroxaban, apixaban, edoxaban)</w:t>
      </w:r>
      <w:r>
        <w:t xml:space="preserve"> — La phytoménadione n'est PAS un antidote des AOD (mécanisme d'action indépendant de la vitamine K). Ne pas utiliser dans ce contexte (préférer idarucizumab pour dabigatran, Andexanet alpha pour anti-Xa).</w:t>
      </w:r>
    </w:p>
    <w:p>
      <w:r/>
      <w:r>
        <w:rPr>
          <w:b/>
        </w:rPr>
        <w:t>Antibiotiques à large spectre</w:t>
      </w:r>
      <w:r>
        <w:t xml:space="preserve"> — Céphalosporines à chaîne NMTT (céfamandole, céfopérazone, moxalactam) — inhibition de la γ-carboxylase → hypoprothrombinémie. Surveillance TP/INR.</w:t>
      </w:r>
    </w:p>
    <w:p>
      <w:r/>
      <w:r>
        <w:rPr>
          <w:b/>
        </w:rPr>
        <w:t>Cholestyramine, orlistat, huile de paraffine</w:t>
      </w:r>
      <w:r>
        <w:t xml:space="preserve"> — Diminution de l'absorption de la phytoménadione (espacer les prises de 4 heures).</w:t>
      </w:r>
    </w:p>
    <w:p>
      <w:r/>
      <w:r>
        <w:rPr>
          <w:b/>
        </w:rPr>
        <w:t>Antiépileptiques inducteurs (phénobarbital, phénytoïne, carbamazépine, primidone)</w:t>
      </w:r>
      <w:r>
        <w:t xml:space="preserve"> — Induction enzymatique → augmentation du catabolisme de la vitamine K → carence possible. Surveillance TP/INR.</w:t>
      </w:r>
    </w:p>
    <w:p>
      <w:r/>
      <w:r>
        <w:rPr>
          <w:b/>
        </w:rPr>
        <w:t>Rifampicine, isoniazide</w:t>
      </w:r>
      <w:r>
        <w:t xml:space="preserve"> — Induction enzymatique → carence vitaminique K.</w:t>
      </w:r>
    </w:p>
    <w:p>
      <w:r/>
      <w:r>
        <w:rPr>
          <w:b/>
        </w:rPr>
        <w:t>Corticoïdes prolongés</w:t>
      </w:r>
      <w:r>
        <w:t xml:space="preserve"> — Diminution de l'efficacité de la vitamine K (mécanisme mal compris).</w:t>
      </w:r>
    </w:p>
    <w:p>
      <w:r/>
      <w:r>
        <w:rPr>
          <w:b/>
        </w:rPr>
        <w:t>Aspirine, AINS</w:t>
      </w:r>
      <w:r>
        <w:t xml:space="preserve"> — Pas d'interaction directe, mais majoration du risque hémorragique en cas de co-prescription avec AVK.</w:t>
      </w:r>
    </w:p>
    <w:p>
      <w:pPr>
        <w:pStyle w:val="Heading4"/>
      </w:pPr>
      <w:r>
        <w:t>9. Grossesse, allaitement et CRAT</w:t>
      </w:r>
    </w:p>
    <w:p>
      <w:r/>
      <w:r>
        <w:rPr>
          <w:b/>
        </w:rPr>
        <w:t>Grossesse</w:t>
      </w:r>
      <w:r>
        <w:t xml:space="preserve"> — La phytoménadione à dose </w:t>
      </w:r>
      <w:r>
        <w:rPr>
          <w:b/>
        </w:rPr>
        <w:t>thérapeutique</w:t>
      </w:r>
      <w:r>
        <w:t xml:space="preserve"> (10 mg IV ou per os) est </w:t>
      </w:r>
      <w:r>
        <w:rPr>
          <w:b/>
        </w:rPr>
        <w:t>autorisée pendant la grossesse</w:t>
      </w:r>
      <w:r>
        <w:t xml:space="preserve"> en cas d'indication vitale (hémorragie sous AVK, surdosage AVK). Le CRAT classe la phytoménadione comme </w:t>
      </w:r>
      <w:r>
        <w:rPr>
          <w:i/>
        </w:rPr>
        <w:t>« Compatible pendant toute la grossesse si indication impérative. »</w:t>
      </w:r>
      <w:r>
        <w:t xml:space="preserve"> En effet, la phytoménadione traverse le placenta en faible quantité, et l'antagonisation de l'AVK maternelle permet de prévenir l'hémorragie maternelle et fœtale. Toutefois, l'antagonisation trop brutale peut exposer à un risque thrombotique maternel (réactivation des facteurs de coagulation chez une patiente ayant une indication d'anticoagulation — valve mécanique, syndrome antiphospholipide). Évaluation individuelle du rapport bénéfice/risque par un spécialiste (cardiologue, gynécologue-obstétricien, anesthésiste-réanimateur).</w:t>
      </w:r>
    </w:p>
    <w:p>
      <w:r/>
      <w:r>
        <w:rPr>
          <w:b/>
        </w:rPr>
        <w:t>Allaitement</w:t>
      </w:r>
      <w:r>
        <w:t xml:space="preserve"> — La phytoménadione passe en quantité très faible dans le lait maternel. La supplémentation maternelle à dose thérapeutique est </w:t>
      </w:r>
      <w:r>
        <w:rPr>
          <w:b/>
        </w:rPr>
        <w:t>compatible avec l'allaitement</w:t>
      </w:r>
      <w:r>
        <w:t>. La phytoménadione est aussi administrée directement au nouveau-né (1 mg IM à la naissance) — sans contre-indication à l'allaitement maternel.</w:t>
      </w:r>
    </w:p>
    <w:p>
      <w:r/>
      <w:r>
        <w:rPr>
          <w:b/>
        </w:rPr>
        <w:t>Femme enceinte sous AVK</w:t>
      </w:r>
      <w:r>
        <w:t xml:space="preserve"> — Les AVK sont </w:t>
      </w:r>
      <w:r>
        <w:rPr>
          <w:b/>
        </w:rPr>
        <w:t>tératogènes</w:t>
      </w:r>
      <w:r>
        <w:t xml:space="preserve"> au 1er trimestre (syndrome warfarinique embryopathie : hypoplasie nasale, épiphyses ponctuées, anomalie du SNC) et exposent à un risque hémorragique fœtal au 3e trimestre. Contre-indication formelle pendant la grossesse ; relais obligatoire par héparine de bas poids moléculaire (HBPM) pendant toute la grossesse. Cf. CRAT.</w:t>
      </w:r>
    </w:p>
    <w:p>
      <w:pPr>
        <w:pStyle w:val="Heading4"/>
      </w:pPr>
      <w:r>
        <w:t>10. Formes galéniques disponibles</w:t>
      </w:r>
    </w:p>
    <w:p>
      <w:pPr>
        <w:pStyle w:val="ListBullet"/>
      </w:pPr>
      <w:r/>
      <w:r>
        <w:rPr>
          <w:b/>
        </w:rPr>
        <w:t>Solution buvable et injectable IV/IM</w:t>
      </w:r>
      <w:r>
        <w:t xml:space="preserve"> — RAZIDIONE K1 (LES LABORATOIRES FRATER RAZES), 10 mg/mL, boîtes de 5 et de 50 ampoules de 1 mL. Forme de référence polyvalente (voie orale, IV, IM). Liste I. Conservation : température &lt; 25 °C, à l'abri de la lumière. La solution doit être limpide et incolore ; ne pas utiliser si trouble ou coloré.</w:t>
      </w:r>
    </w:p>
    <w:p>
      <w:pPr>
        <w:pStyle w:val="ListBullet"/>
      </w:pPr>
      <w:r/>
      <w:r>
        <w:rPr>
          <w:b/>
        </w:rPr>
        <w:t>Comprimé enrobé</w:t>
      </w:r>
      <w:r>
        <w:t xml:space="preserve"> — KONAKION 10 mg (HOFFMAN LAROCHE) — RETIRÉ du marché algérien.</w:t>
      </w:r>
    </w:p>
    <w:p>
      <w:pPr>
        <w:pStyle w:val="ListBullet"/>
      </w:pPr>
      <w:r/>
      <w:r>
        <w:rPr>
          <w:b/>
        </w:rPr>
        <w:t>Émulsion buvable en gouttes</w:t>
      </w:r>
      <w:r>
        <w:t xml:space="preserve"> — VITAMINE K1 ROCHE 20 mg/mL (ROCHE) — RETIRÉ du marché algérien.</w:t>
      </w:r>
    </w:p>
    <w:p>
      <w:pPr>
        <w:pStyle w:val="ListBullet"/>
      </w:pPr>
      <w:r/>
      <w:r>
        <w:rPr>
          <w:b/>
        </w:rPr>
        <w:t>Solution injectable IM/IV</w:t>
      </w:r>
      <w:r>
        <w:t xml:space="preserve"> — PHYTOMENADINE 20 mg/2 mL (BIOLOGICI ITALIA) — NON RENOUVELABLE.</w:t>
      </w:r>
    </w:p>
    <w:p>
      <w:pPr>
        <w:pStyle w:val="Heading4"/>
      </w:pPr>
      <w:r>
        <w:t>11. Conseils au patient</w:t>
      </w:r>
    </w:p>
    <w:p>
      <w:pPr>
        <w:pStyle w:val="ListBullet"/>
      </w:pPr>
      <w:r/>
      <w:r>
        <w:rPr>
          <w:b/>
        </w:rPr>
        <w:t>Pour la prise per os :</w:t>
      </w:r>
      <w:r>
        <w:t xml:space="preserve"> diluer le contenu de l'ampoule dans un peu d'eau, de jus de fruit ou de lait ; prendre au cours d'un repas contenant des graisses (améliore l'absorption) ; respecter strictement la dose prescrite par le médecin.</w:t>
      </w:r>
    </w:p>
    <w:p>
      <w:pPr>
        <w:pStyle w:val="ListBullet"/>
      </w:pPr>
      <w:r/>
      <w:r>
        <w:rPr>
          <w:b/>
        </w:rPr>
        <w:t>Pour l'administration IV (en milieu médicalisé) :</w:t>
      </w:r>
      <w:r>
        <w:t xml:space="preserve"> prévenir le patient du risque d'anaphylaxie (rare mais grave) ; surveillance continue pendant la perfusion ; perfusion lente stricte (1 mg/min maximum).</w:t>
      </w:r>
    </w:p>
    <w:p>
      <w:pPr>
        <w:pStyle w:val="ListBullet"/>
      </w:pPr>
      <w:r/>
      <w:r>
        <w:rPr>
          <w:b/>
        </w:rPr>
        <w:t>Pour l'administration IM</w:t>
      </w:r>
      <w:r>
        <w:t xml:space="preserve"> — Injection profonde dans le quadrant supéro-externe de la fesse (adulte) ou de la cuisse (nourrisson). Technique d'injection stricte.</w:t>
      </w:r>
    </w:p>
    <w:p>
      <w:pPr>
        <w:pStyle w:val="ListBullet"/>
      </w:pPr>
      <w:r/>
      <w:r>
        <w:rPr>
          <w:b/>
        </w:rPr>
        <w:t>Chez le patient sous AVK</w:t>
      </w:r>
      <w:r>
        <w:t xml:space="preserve"> — Ne JAMAIS prendre de phytoménadione en automédication sans avis médical ; risque de neutraliser l'effet anticoagulant de l'AVK et de provoquer une thrombose (phlébite, embolie pulmonaire, accident vasculaire cérébral ischémique, infarctus du myocarde).</w:t>
      </w:r>
    </w:p>
    <w:p>
      <w:pPr>
        <w:pStyle w:val="ListBullet"/>
      </w:pPr>
      <w:r/>
      <w:r>
        <w:rPr>
          <w:b/>
        </w:rPr>
        <w:t>Chez la femme enceinte sous AVK</w:t>
      </w:r>
      <w:r>
        <w:t xml:space="preserve"> — Relais obligatoire par HBPM pendant toute la grossesse (cf. CRAT) ; pas de prise de phytoménadione sans avis spécialisé.</w:t>
      </w:r>
    </w:p>
    <w:p>
      <w:pPr>
        <w:pStyle w:val="ListBullet"/>
      </w:pPr>
      <w:r/>
      <w:r>
        <w:rPr>
          <w:b/>
        </w:rPr>
        <w:t>Chez le nouveau-né</w:t>
      </w:r>
      <w:r>
        <w:t xml:space="preserve"> — L'injection IM à la naissance est systématique et indolore ; ne pas refuser (prévention de la maladie hémorragique néonatale, potentielle mortelle).</w:t>
      </w:r>
    </w:p>
    <w:p>
      <w:pPr>
        <w:pStyle w:val="ListBullet"/>
      </w:pPr>
      <w:r/>
      <w:r>
        <w:rPr>
          <w:b/>
        </w:rPr>
        <w:t>Signes d'alerte d'hémorragie</w:t>
      </w:r>
      <w:r>
        <w:t xml:space="preserve"> — En cas d'apparition d'hématomes spontanés, gingivorragies, épistaxis, méléna, hématémèse, hématurie, céphalées intenses (suspicion d'hémorragie cérébrale) sous AVK, consulter en urgence.</w:t>
      </w:r>
    </w:p>
    <w:p>
      <w:pPr>
        <w:pStyle w:val="ListBullet"/>
      </w:pPr>
      <w:r/>
      <w:r>
        <w:rPr>
          <w:b/>
        </w:rPr>
        <w:t>Signes d'alerte d'anaphylaxie (voie IV)</w:t>
      </w:r>
      <w:r>
        <w:t xml:space="preserve"> — Prurit, flush, urticaire, dyspnée, hypotension, malaise pendant la perfusion : prévenir immédiatement le personnel soignant.</w:t>
      </w:r>
    </w:p>
    <w:p>
      <w:pPr>
        <w:pStyle w:val="Heading4"/>
      </w:pPr>
      <w:r>
        <w:t>12. Pièges au comptoir — Règles d'or</w:t>
      </w:r>
    </w:p>
    <w:p>
      <w:pPr>
        <w:pStyle w:val="ListNumber"/>
      </w:pPr>
      <w:r/>
      <w:r>
        <w:rPr>
          <w:b/>
        </w:rPr>
        <w:t>La voie IV comporte un risque anaphylactique</w:t>
      </w:r>
      <w:r>
        <w:t xml:space="preserve"> — Règle absolue : la phytoménadione IV doit être administrée en milieu médicalisé, par perfusion lente stricte (1 mg/min maximum), avec surveillance continue et matériel de réanimation disponible. Plusieurs cas de décès par choc anaphylactique ont été rapportés avec la voie IV bolus. La voie IM est nettement plus sûre.</w:t>
      </w:r>
    </w:p>
    <w:p>
      <w:pPr>
        <w:pStyle w:val="ListNumber"/>
      </w:pPr>
      <w:r/>
      <w:r>
        <w:rPr>
          <w:b/>
        </w:rPr>
        <w:t>Antidote spécifique des AVK uniquement</w:t>
      </w:r>
      <w:r>
        <w:t xml:space="preserve"> — La phytoménadione n'est PAS un antidote des anticoagulants oraux directs (AOD — dabigatran, rivaroxaban, apixaban, edoxaban) qui agissent indépendamment de la vitamine K. Préférer idarucizumab pour dabigatran, Andexanet alpha pour les anti-Xa.</w:t>
      </w:r>
    </w:p>
    <w:p>
      <w:pPr>
        <w:pStyle w:val="ListNumber"/>
      </w:pPr>
      <w:r/>
      <w:r>
        <w:rPr>
          <w:b/>
        </w:rPr>
        <w:t>Surveillance INR indispensable</w:t>
      </w:r>
      <w:r>
        <w:t xml:space="preserve"> — Tout patient sous AVK recevant de la phytoménadione doit avoir une surveillance rapprochée de l'INR (H30, H2, H6, H12, H24) pour évaluer l'efficacité de l'antagonisation et adapter la reprise de l'AVK (qui ne doit pas être reprise trop tôt en cas d'hémorragie grave).</w:t>
      </w:r>
    </w:p>
    <w:p>
      <w:pPr>
        <w:pStyle w:val="ListNumber"/>
      </w:pPr>
      <w:r/>
      <w:r>
        <w:rPr>
          <w:b/>
        </w:rPr>
        <w:t>Délai d'action variable selon la voie</w:t>
      </w:r>
      <w:r>
        <w:t xml:space="preserve"> — Per os : 6-12 heures ; IM : 1-3 heures ; IV : 30 min-2 heures. Adapter la voie à l'urgence clinique.</w:t>
      </w:r>
    </w:p>
    <w:p>
      <w:pPr>
        <w:pStyle w:val="ListNumber"/>
      </w:pPr>
      <w:r/>
      <w:r>
        <w:rPr>
          <w:b/>
        </w:rPr>
        <w:t>Risque thrombotique paradoxaal</w:t>
      </w:r>
      <w:r>
        <w:t xml:space="preserve"> — L'antagonisation trop brutale de l'AVK par la phytoménadione peut réactiver les facteurs de coagulation et provoquer une thrombose (valve mécanique, syndrome antiphospholipide, ACV ischémique). Évaluation individuelle du rapport bénéfice/risque par un spécialiste.</w:t>
      </w:r>
    </w:p>
    <w:p>
      <w:pPr>
        <w:pStyle w:val="ListNumber"/>
      </w:pPr>
      <w:r/>
      <w:r>
        <w:rPr>
          <w:b/>
        </w:rPr>
        <w:t>Prophylaxie néonatale universelle</w:t>
      </w:r>
      <w:r>
        <w:t xml:space="preserve"> — L'injection IM de 1 mg de phytoménadione à la naissance est recommandée par l'OMS de manière universelle. Le pharmacien doit savoir que cette injection est indolore, sûre, et prévient la maladie hémorragique néonatale (potentiellement mortelle — hémorragie cérébrale, digestive).</w:t>
      </w:r>
    </w:p>
    <w:p>
      <w:pPr>
        <w:pStyle w:val="ListNumber"/>
      </w:pPr>
      <w:r/>
      <w:r>
        <w:rPr>
          <w:b/>
        </w:rPr>
        <w:t>Carence en vitamine K du nouveau-né allaité exclusivement au sein</w:t>
      </w:r>
      <w:r>
        <w:t xml:space="preserve"> — Le lait maternel est pauvre en vitamine K (10-15 µg/L vs 50-60 µg/L pour les laits infantiles enrichis). Le nourrisson allaité exclusivement au sein doit recevoir une supplémentation orale (2 mg per os à J1, J4, J7 puis hebdomadaire jusqu'à 6 semaines) si l'IM à la naissance a été refusée.</w:t>
      </w:r>
    </w:p>
    <w:p>
      <w:pPr>
        <w:pStyle w:val="ListNumber"/>
      </w:pPr>
      <w:r/>
      <w:r>
        <w:rPr>
          <w:b/>
        </w:rPr>
        <w:t>Surdosage en rodenticides (superwarfarines)</w:t>
      </w:r>
      <w:r>
        <w:t xml:space="preserve"> — Les raticides anticoagulants modernes (bromadiolone, difenacoum, brodifacoum) ont une demi-vie très longue (plusieurs semaines à mois). L'antagonisation par phytoménadione doit être prolongée pendant plusieurs semaines à mois, à fortes doses (50-100 mg/jour per os).</w:t>
      </w:r>
    </w:p>
    <w:p>
      <w:pPr>
        <w:pStyle w:val="ListNumber"/>
      </w:pPr>
      <w:r/>
      <w:r>
        <w:rPr>
          <w:b/>
        </w:rPr>
        <w:t>Carence vitaminique K chez l'insuffisant hépatique et le cholestatique</w:t>
      </w:r>
      <w:r>
        <w:t xml:space="preserve"> — Surveillance du TP/INR et supplémentation systématique en vitamine K (5-10 mg/jour per os) en cas de cholestase chronique (cirrhose biliaire primitive), de mucoviscidose, de résection iléale, ou d'antibiothérapie prolongée détruisant la flore intestinale productrice de K2.</w:t>
      </w:r>
    </w:p>
    <w:p>
      <w:pPr>
        <w:pStyle w:val="ListNumber"/>
      </w:pPr>
      <w:r/>
      <w:r>
        <w:rPr>
          <w:b/>
        </w:rPr>
        <w:t>Interactions antibiotiques</w:t>
      </w:r>
      <w:r>
        <w:t xml:space="preserve"> — Les céphalosporines à chaîne NMTT (céfamandole, céfopérazone, moxalactam) inhibent la γ-carboxylase et peuvent induire une hypoprothrombinémie. Surveillance TP/INR et supplémentation vitaminique K.</w:t>
      </w:r>
    </w:p>
    <w:p>
      <w:pPr>
        <w:pStyle w:val="Heading2"/>
      </w:pPr>
      <w:r>
        <w:t>161.10. Tableau comparatif des 7 DCI liposolubles disponibles en Algérie</w:t>
      </w:r>
    </w:p>
    <w:p>
      <w:r>
        <w:t>Le tableau ci-dessous synthétise les caractéristiques essentielles des 7 DCI de vitamines liposolubles traitées dans ce chapitre. Il est conçu comme un outil de référence rapide pour le pharmacien d'officine et le clinicien algérien. Les 7 DCI sont comparées sur 20 paramètres : sous-classe, formes disponibles en Algérie, dosage, voie d'administration, indications principales, mécanisme d'action moléculaire, surveillance biologique, interactions médicamenteuses critiques, grossesse (CRAT), allaitement, effets indésirables majeurs, contre-indications, posologie adulte, posologie pédiatrique, posologie grossesse, statut Liste, laboratoires algériens, particularités cliniques algériennes, antidote en cas de surdosage, et piège principal au comptoir.</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Paramètre</w:t>
            </w:r>
          </w:p>
        </w:tc>
        <w:tc>
          <w:tcPr>
            <w:tcW w:type="dxa" w:w="1169"/>
          </w:tcPr>
          <w:p>
            <w:r>
              <w:rPr>
                <w:b/>
                <w:sz w:val="20"/>
              </w:rPr>
              <w:t>Rétinol (Vit A)</w:t>
            </w:r>
          </w:p>
        </w:tc>
        <w:tc>
          <w:tcPr>
            <w:tcW w:type="dxa" w:w="1169"/>
          </w:tcPr>
          <w:p>
            <w:r>
              <w:rPr>
                <w:b/>
                <w:sz w:val="20"/>
              </w:rPr>
              <w:t>Ergocalciférol (Vit D2)</w:t>
            </w:r>
          </w:p>
        </w:tc>
        <w:tc>
          <w:tcPr>
            <w:tcW w:type="dxa" w:w="1169"/>
          </w:tcPr>
          <w:p>
            <w:r>
              <w:rPr>
                <w:b/>
                <w:sz w:val="20"/>
              </w:rPr>
              <w:t>Colecalciferol + Calcium (Vit D3 + Ca)</w:t>
            </w:r>
          </w:p>
        </w:tc>
        <w:tc>
          <w:tcPr>
            <w:tcW w:type="dxa" w:w="1169"/>
          </w:tcPr>
          <w:p>
            <w:r>
              <w:rPr>
                <w:b/>
                <w:sz w:val="20"/>
              </w:rPr>
              <w:t>Alfacalcidol (1α-OH-D3)</w:t>
            </w:r>
          </w:p>
        </w:tc>
        <w:tc>
          <w:tcPr>
            <w:tcW w:type="dxa" w:w="1169"/>
          </w:tcPr>
          <w:p>
            <w:r>
              <w:rPr>
                <w:b/>
                <w:sz w:val="20"/>
              </w:rPr>
              <w:t>Calcifédiol (25-OH-D3)</w:t>
            </w:r>
          </w:p>
        </w:tc>
        <w:tc>
          <w:tcPr>
            <w:tcW w:type="dxa" w:w="1169"/>
          </w:tcPr>
          <w:p>
            <w:r>
              <w:rPr>
                <w:b/>
                <w:sz w:val="20"/>
              </w:rPr>
              <w:t>Tocophérol (Vit E)</w:t>
            </w:r>
          </w:p>
        </w:tc>
        <w:tc>
          <w:tcPr>
            <w:tcW w:type="dxa" w:w="1169"/>
          </w:tcPr>
          <w:p>
            <w:r>
              <w:rPr>
                <w:b/>
                <w:sz w:val="20"/>
              </w:rPr>
              <w:t>Phytoménadione (Vit K1)</w:t>
            </w:r>
          </w:p>
        </w:tc>
      </w:tr>
      <w:tr>
        <w:tc>
          <w:tcPr>
            <w:tcW w:type="dxa" w:w="1169"/>
          </w:tcPr>
          <w:p>
            <w:r>
              <w:rPr>
                <w:sz w:val="20"/>
              </w:rPr>
              <w:t>**Sous-classe**</w:t>
            </w:r>
          </w:p>
        </w:tc>
        <w:tc>
          <w:tcPr>
            <w:tcW w:type="dxa" w:w="1169"/>
          </w:tcPr>
          <w:p>
            <w:r>
              <w:rPr>
                <w:sz w:val="20"/>
              </w:rPr>
              <w:t>Vitamine A</w:t>
            </w:r>
          </w:p>
        </w:tc>
        <w:tc>
          <w:tcPr>
            <w:tcW w:type="dxa" w:w="1169"/>
          </w:tcPr>
          <w:p>
            <w:r>
              <w:rPr>
                <w:sz w:val="20"/>
              </w:rPr>
              <w:t>Vitamine D</w:t>
            </w:r>
          </w:p>
        </w:tc>
        <w:tc>
          <w:tcPr>
            <w:tcW w:type="dxa" w:w="1169"/>
          </w:tcPr>
          <w:p>
            <w:r>
              <w:rPr>
                <w:sz w:val="20"/>
              </w:rPr>
              <w:t>Vitamine D3 + Calcium</w:t>
            </w:r>
          </w:p>
        </w:tc>
        <w:tc>
          <w:tcPr>
            <w:tcW w:type="dxa" w:w="1169"/>
          </w:tcPr>
          <w:p>
            <w:r>
              <w:rPr>
                <w:sz w:val="20"/>
              </w:rPr>
              <w:t>Vitamine D métabolites</w:t>
            </w:r>
          </w:p>
        </w:tc>
        <w:tc>
          <w:tcPr>
            <w:tcW w:type="dxa" w:w="1169"/>
          </w:tcPr>
          <w:p>
            <w:r>
              <w:rPr>
                <w:sz w:val="20"/>
              </w:rPr>
              <w:t>Vitamine D métabolite 25-OH</w:t>
            </w:r>
          </w:p>
        </w:tc>
        <w:tc>
          <w:tcPr>
            <w:tcW w:type="dxa" w:w="1169"/>
          </w:tcPr>
          <w:p>
            <w:r>
              <w:rPr>
                <w:sz w:val="20"/>
              </w:rPr>
              <w:t>Vitamine E</w:t>
            </w:r>
          </w:p>
        </w:tc>
        <w:tc>
          <w:tcPr>
            <w:tcW w:type="dxa" w:w="1169"/>
          </w:tcPr>
          <w:p>
            <w:r>
              <w:rPr>
                <w:sz w:val="20"/>
              </w:rPr>
              <w:t>Vitamine K</w:t>
            </w:r>
          </w:p>
        </w:tc>
      </w:tr>
      <w:tr>
        <w:tc>
          <w:tcPr>
            <w:tcW w:type="dxa" w:w="1169"/>
          </w:tcPr>
          <w:p>
            <w:r>
              <w:rPr>
                <w:sz w:val="20"/>
              </w:rPr>
              <w:t>**Forme disponible**</w:t>
            </w:r>
          </w:p>
        </w:tc>
        <w:tc>
          <w:tcPr>
            <w:tcW w:type="dxa" w:w="1169"/>
          </w:tcPr>
          <w:p>
            <w:r>
              <w:rPr>
                <w:sz w:val="20"/>
              </w:rPr>
              <w:t>Collyre 15 000 UI/mL ; multivitamines</w:t>
            </w:r>
          </w:p>
        </w:tc>
        <w:tc>
          <w:tcPr>
            <w:tcW w:type="dxa" w:w="1169"/>
          </w:tcPr>
          <w:p>
            <w:r>
              <w:rPr>
                <w:sz w:val="20"/>
              </w:rPr>
              <w:t>Suspension buvable (amp 5 mL) en association avec gluconate/lactate Ca</w:t>
            </w:r>
          </w:p>
        </w:tc>
        <w:tc>
          <w:tcPr>
            <w:tcW w:type="dxa" w:w="1169"/>
          </w:tcPr>
          <w:p>
            <w:r>
              <w:rPr>
                <w:sz w:val="20"/>
              </w:rPr>
              <w:t>Comprimé à sucer 500 mg Ca + 400 UI D3 ; sachet poudre ; ampoule 100 000-200 000 UI/mL D3 isolée</w:t>
            </w:r>
          </w:p>
        </w:tc>
        <w:tc>
          <w:tcPr>
            <w:tcW w:type="dxa" w:w="1169"/>
          </w:tcPr>
          <w:p>
            <w:r>
              <w:rPr>
                <w:sz w:val="20"/>
              </w:rPr>
              <w:t>Capsule 0,25 µg et 1 µg</w:t>
            </w:r>
          </w:p>
        </w:tc>
        <w:tc>
          <w:tcPr>
            <w:tcW w:type="dxa" w:w="1169"/>
          </w:tcPr>
          <w:p>
            <w:r>
              <w:rPr>
                <w:sz w:val="20"/>
              </w:rPr>
              <w:t>Solution buvable en gouttes 5 µg/goutte (200 UI)</w:t>
            </w:r>
          </w:p>
        </w:tc>
        <w:tc>
          <w:tcPr>
            <w:tcW w:type="dxa" w:w="1169"/>
          </w:tcPr>
          <w:p>
            <w:r>
              <w:rPr>
                <w:sz w:val="20"/>
              </w:rPr>
              <w:t>Comprimé à croquer 100 mg et 500 mg</w:t>
            </w:r>
          </w:p>
        </w:tc>
        <w:tc>
          <w:tcPr>
            <w:tcW w:type="dxa" w:w="1169"/>
          </w:tcPr>
          <w:p>
            <w:r>
              <w:rPr>
                <w:sz w:val="20"/>
              </w:rPr>
              <w:t>Solution buvable et injectable IV/IM 10 mg/mL</w:t>
            </w:r>
          </w:p>
        </w:tc>
      </w:tr>
      <w:tr>
        <w:tc>
          <w:tcPr>
            <w:tcW w:type="dxa" w:w="1169"/>
          </w:tcPr>
          <w:p>
            <w:r>
              <w:rPr>
                <w:sz w:val="20"/>
              </w:rPr>
              <w:t>**Voie d'administration**</w:t>
            </w:r>
          </w:p>
        </w:tc>
        <w:tc>
          <w:tcPr>
            <w:tcW w:type="dxa" w:w="1169"/>
          </w:tcPr>
          <w:p>
            <w:r>
              <w:rPr>
                <w:sz w:val="20"/>
              </w:rPr>
              <w:t>Locale (collyre) ; per os</w:t>
            </w:r>
          </w:p>
        </w:tc>
        <w:tc>
          <w:tcPr>
            <w:tcW w:type="dxa" w:w="1169"/>
          </w:tcPr>
          <w:p>
            <w:r>
              <w:rPr>
                <w:sz w:val="20"/>
              </w:rPr>
              <w:t>Per os</w:t>
            </w:r>
          </w:p>
        </w:tc>
        <w:tc>
          <w:tcPr>
            <w:tcW w:type="dxa" w:w="1169"/>
          </w:tcPr>
          <w:p>
            <w:r>
              <w:rPr>
                <w:sz w:val="20"/>
              </w:rPr>
              <w:t>Per os ; IM/IV (ampoule D3 200 000 UI/mL)</w:t>
            </w:r>
          </w:p>
        </w:tc>
        <w:tc>
          <w:tcPr>
            <w:tcW w:type="dxa" w:w="1169"/>
          </w:tcPr>
          <w:p>
            <w:r>
              <w:rPr>
                <w:sz w:val="20"/>
              </w:rPr>
              <w:t>Per os</w:t>
            </w:r>
          </w:p>
        </w:tc>
        <w:tc>
          <w:tcPr>
            <w:tcW w:type="dxa" w:w="1169"/>
          </w:tcPr>
          <w:p>
            <w:r>
              <w:rPr>
                <w:sz w:val="20"/>
              </w:rPr>
              <w:t>Per os</w:t>
            </w:r>
          </w:p>
        </w:tc>
        <w:tc>
          <w:tcPr>
            <w:tcW w:type="dxa" w:w="1169"/>
          </w:tcPr>
          <w:p>
            <w:r>
              <w:rPr>
                <w:sz w:val="20"/>
              </w:rPr>
              <w:t>Per os</w:t>
            </w:r>
          </w:p>
        </w:tc>
        <w:tc>
          <w:tcPr>
            <w:tcW w:type="dxa" w:w="1169"/>
          </w:tcPr>
          <w:p>
            <w:r>
              <w:rPr>
                <w:sz w:val="20"/>
              </w:rPr>
              <w:t>Per os, IM, IV (lente)</w:t>
            </w:r>
          </w:p>
        </w:tc>
      </w:tr>
      <w:tr>
        <w:tc>
          <w:tcPr>
            <w:tcW w:type="dxa" w:w="1169"/>
          </w:tcPr>
          <w:p>
            <w:r>
              <w:rPr>
                <w:sz w:val="20"/>
              </w:rPr>
              <w:t>**Indications principales**</w:t>
            </w:r>
          </w:p>
        </w:tc>
        <w:tc>
          <w:tcPr>
            <w:tcW w:type="dxa" w:w="1169"/>
          </w:tcPr>
          <w:p>
            <w:r>
              <w:rPr>
                <w:sz w:val="20"/>
              </w:rPr>
              <w:t>Xérophtalmie, sécheresse oculaire, carence A</w:t>
            </w:r>
          </w:p>
        </w:tc>
        <w:tc>
          <w:tcPr>
            <w:tcW w:type="dxa" w:w="1169"/>
          </w:tcPr>
          <w:p>
            <w:r>
              <w:rPr>
                <w:sz w:val="20"/>
              </w:rPr>
              <w:t>Carence D, rachitisme, ostéomalacie, supplementation pédiatrique</w:t>
            </w:r>
          </w:p>
        </w:tc>
        <w:tc>
          <w:tcPr>
            <w:tcW w:type="dxa" w:w="1169"/>
          </w:tcPr>
          <w:p>
            <w:r>
              <w:rPr>
                <w:sz w:val="20"/>
              </w:rPr>
              <w:t>Ostéoporose (prévention + complément), carence D, rachitisme, supplémentation grossesse</w:t>
            </w:r>
          </w:p>
        </w:tc>
        <w:tc>
          <w:tcPr>
            <w:tcW w:type="dxa" w:w="1169"/>
          </w:tcPr>
          <w:p>
            <w:r>
              <w:rPr>
                <w:sz w:val="20"/>
              </w:rPr>
              <w:t>Ostéodystrophie rénale, hypoparathyroïdie, rachitisme vitamino-résistant</w:t>
            </w:r>
          </w:p>
        </w:tc>
        <w:tc>
          <w:tcPr>
            <w:tcW w:type="dxa" w:w="1169"/>
          </w:tcPr>
          <w:p>
            <w:r>
              <w:rPr>
                <w:sz w:val="20"/>
              </w:rPr>
              <w:t>Carence D sévère, insuffisance hépatique, malabsorption, supplémentation pédiatrique</w:t>
            </w:r>
          </w:p>
        </w:tc>
        <w:tc>
          <w:tcPr>
            <w:tcW w:type="dxa" w:w="1169"/>
          </w:tcPr>
          <w:p>
            <w:r>
              <w:rPr>
                <w:sz w:val="20"/>
              </w:rPr>
              <w:t>Carence E, abétalipoprotéinémie, mucoviscidose, cholestase, prématurité</w:t>
            </w:r>
          </w:p>
        </w:tc>
        <w:tc>
          <w:tcPr>
            <w:tcW w:type="dxa" w:w="1169"/>
          </w:tcPr>
          <w:p>
            <w:r>
              <w:rPr>
                <w:sz w:val="20"/>
              </w:rPr>
              <w:t>Antidote AVK, maladie hémorragique nouveau-né, carence K</w:t>
            </w:r>
          </w:p>
        </w:tc>
      </w:tr>
      <w:tr>
        <w:tc>
          <w:tcPr>
            <w:tcW w:type="dxa" w:w="1169"/>
          </w:tcPr>
          <w:p>
            <w:r>
              <w:rPr>
                <w:sz w:val="20"/>
              </w:rPr>
              <w:t>**Mécanisme moléculaire**</w:t>
            </w:r>
          </w:p>
        </w:tc>
        <w:tc>
          <w:tcPr>
            <w:tcW w:type="dxa" w:w="1169"/>
          </w:tcPr>
          <w:p>
            <w:r>
              <w:rPr>
                <w:sz w:val="20"/>
              </w:rPr>
              <w:t>Précurseur rétinal (rhodopsine) + acide rétinoïque (RAR/RXR)</w:t>
            </w:r>
          </w:p>
        </w:tc>
        <w:tc>
          <w:tcPr>
            <w:tcW w:type="dxa" w:w="1169"/>
          </w:tcPr>
          <w:p>
            <w:r>
              <w:rPr>
                <w:sz w:val="20"/>
              </w:rPr>
              <w:t>25-OH hépatique → 1,25-(OH)₂ rénal (calcitriol) → VDR</w:t>
            </w:r>
          </w:p>
        </w:tc>
        <w:tc>
          <w:tcPr>
            <w:tcW w:type="dxa" w:w="1169"/>
          </w:tcPr>
          <w:p>
            <w:r>
              <w:rPr>
                <w:sz w:val="20"/>
              </w:rPr>
              <w:t>25-OH hépatique → 1,25-(OH)₂ rénal → VDR ; Ca²⁺ = substrat minéral</w:t>
            </w:r>
          </w:p>
        </w:tc>
        <w:tc>
          <w:tcPr>
            <w:tcW w:type="dxa" w:w="1169"/>
          </w:tcPr>
          <w:p>
            <w:r>
              <w:rPr>
                <w:sz w:val="20"/>
              </w:rPr>
              <w:t>1α-OH-D3 → 25-OH hépatique → calcitriol (bypass rénal)</w:t>
            </w:r>
          </w:p>
        </w:tc>
        <w:tc>
          <w:tcPr>
            <w:tcW w:type="dxa" w:w="1169"/>
          </w:tcPr>
          <w:p>
            <w:r>
              <w:rPr>
                <w:sz w:val="20"/>
              </w:rPr>
              <w:t>25-OH-D3 déjà formé → 1α-OH rénal (CYP27B1) → calcitriol → VDR</w:t>
            </w:r>
          </w:p>
        </w:tc>
        <w:tc>
          <w:tcPr>
            <w:tcW w:type="dxa" w:w="1169"/>
          </w:tcPr>
          <w:p>
            <w:r>
              <w:rPr>
                <w:sz w:val="20"/>
              </w:rPr>
              <w:t>Antioxydant lipidique (piégeur ROO•), régénéré par vit C et GSH</w:t>
            </w:r>
          </w:p>
        </w:tc>
        <w:tc>
          <w:tcPr>
            <w:tcW w:type="dxa" w:w="1169"/>
          </w:tcPr>
          <w:p>
            <w:r>
              <w:rPr>
                <w:sz w:val="20"/>
              </w:rPr>
              <w:t>Cofacteur GGCX → γ-carboxylation facteurs II, VII, IX, X, protéines C et S</w:t>
            </w:r>
          </w:p>
        </w:tc>
      </w:tr>
      <w:tr>
        <w:tc>
          <w:tcPr>
            <w:tcW w:type="dxa" w:w="1169"/>
          </w:tcPr>
          <w:p>
            <w:r>
              <w:rPr>
                <w:sz w:val="20"/>
              </w:rPr>
              <w:t>**Surveillance biologique**</w:t>
            </w:r>
          </w:p>
        </w:tc>
        <w:tc>
          <w:tcPr>
            <w:tcW w:type="dxa" w:w="1169"/>
          </w:tcPr>
          <w:p>
            <w:r>
              <w:rPr>
                <w:sz w:val="20"/>
              </w:rPr>
              <w:t>Rétinol sérique (cible 1,05-3,50 µmol/L) ; ALAT/ASAT si &gt; 10 000 UI/j</w:t>
            </w:r>
          </w:p>
        </w:tc>
        <w:tc>
          <w:tcPr>
            <w:tcW w:type="dxa" w:w="1169"/>
          </w:tcPr>
          <w:p>
            <w:r>
              <w:rPr>
                <w:sz w:val="20"/>
              </w:rPr>
              <w:t>25-OH-D sérique (cible &gt; 30 ng/mL) ; calcémie, calciurie si fortes doses</w:t>
            </w:r>
          </w:p>
        </w:tc>
        <w:tc>
          <w:tcPr>
            <w:tcW w:type="dxa" w:w="1169"/>
          </w:tcPr>
          <w:p>
            <w:r>
              <w:rPr>
                <w:sz w:val="20"/>
              </w:rPr>
              <w:t>25-OH-D sérique annuelle ; calcémie, calciurie 24 h, créatininémie annuelle</w:t>
            </w:r>
          </w:p>
        </w:tc>
        <w:tc>
          <w:tcPr>
            <w:tcW w:type="dxa" w:w="1169"/>
          </w:tcPr>
          <w:p>
            <w:r>
              <w:rPr>
                <w:sz w:val="20"/>
              </w:rPr>
              <w:t>Calcémie, phosphatémie, créatininémie, calciurie 24 h, PTH intacte — toutes les 1-4 semaines pendant titration puis tous les 3 mois</w:t>
            </w:r>
          </w:p>
        </w:tc>
        <w:tc>
          <w:tcPr>
            <w:tcW w:type="dxa" w:w="1169"/>
          </w:tcPr>
          <w:p>
            <w:r>
              <w:rPr>
                <w:sz w:val="20"/>
              </w:rPr>
              <w:t>25-OH-D sérique tous les 3-6 mois ; calcémie, calciurie 24 h</w:t>
            </w:r>
          </w:p>
        </w:tc>
        <w:tc>
          <w:tcPr>
            <w:tcW w:type="dxa" w:w="1169"/>
          </w:tcPr>
          <w:p>
            <w:r>
              <w:rPr>
                <w:sz w:val="20"/>
              </w:rPr>
              <w:t>α-tocophérol sérique (cible &gt; 12 µmol/L) ; pas de surveillance systématique si doses nutritionnelles</w:t>
            </w:r>
          </w:p>
        </w:tc>
        <w:tc>
          <w:tcPr>
            <w:tcW w:type="dxa" w:w="1169"/>
          </w:tcPr>
          <w:p>
            <w:r>
              <w:rPr>
                <w:sz w:val="20"/>
              </w:rPr>
              <w:t>INR (h pour antidote AVK) ; TP-INR si carence K</w:t>
            </w:r>
          </w:p>
        </w:tc>
      </w:tr>
      <w:tr>
        <w:tc>
          <w:tcPr>
            <w:tcW w:type="dxa" w:w="1169"/>
          </w:tcPr>
          <w:p>
            <w:r>
              <w:rPr>
                <w:sz w:val="20"/>
              </w:rPr>
              <w:t>**Interactions critiques**</w:t>
            </w:r>
          </w:p>
        </w:tc>
        <w:tc>
          <w:tcPr>
            <w:tcW w:type="dxa" w:w="1169"/>
          </w:tcPr>
          <w:p>
            <w:r>
              <w:rPr>
                <w:sz w:val="20"/>
              </w:rPr>
              <w:t>AVK (hypoprothrombinémie), rétinoïdes (hypervitaminose additive), anticonvulsivants inducteurs</w:t>
            </w:r>
          </w:p>
        </w:tc>
        <w:tc>
          <w:tcPr>
            <w:tcW w:type="dxa" w:w="1169"/>
          </w:tcPr>
          <w:p>
            <w:r>
              <w:rPr>
                <w:sz w:val="20"/>
              </w:rPr>
              <w:t>Corticoïdes, antiépileptiques, rifampicine (catabolisme), thiazidiques (hypercalcémie), digitaliques</w:t>
            </w:r>
          </w:p>
        </w:tc>
        <w:tc>
          <w:tcPr>
            <w:tcW w:type="dxa" w:w="1169"/>
          </w:tcPr>
          <w:p>
            <w:r>
              <w:rPr>
                <w:sz w:val="20"/>
              </w:rPr>
              <w:t>Tétracyclines, fluoroquinolones, bisphosphonates, lévothyroxine (chélation Ca), thiazidiques, digoxine, IPP</w:t>
            </w:r>
          </w:p>
        </w:tc>
        <w:tc>
          <w:tcPr>
            <w:tcW w:type="dxa" w:w="1169"/>
          </w:tcPr>
          <w:p>
            <w:r>
              <w:rPr>
                <w:sz w:val="20"/>
              </w:rPr>
              <w:t>Digoxine (potentialisation toxicité), thiazidiques (hypercalcémie), sels de calcium (cumul)</w:t>
            </w:r>
          </w:p>
        </w:tc>
        <w:tc>
          <w:tcPr>
            <w:tcW w:type="dxa" w:w="1169"/>
          </w:tcPr>
          <w:p>
            <w:r>
              <w:rPr>
                <w:sz w:val="20"/>
              </w:rPr>
              <w:t>Corticoïdes, antiépileptiques, rifampicine, thiazidiques, digitaliques</w:t>
            </w:r>
          </w:p>
        </w:tc>
        <w:tc>
          <w:tcPr>
            <w:tcW w:type="dxa" w:w="1169"/>
          </w:tcPr>
          <w:p>
            <w:r>
              <w:rPr>
                <w:sz w:val="20"/>
              </w:rPr>
              <w:t>AVK (potentialisation effet anticoagulant), antiagrégants, AOD, ciclosporine</w:t>
            </w:r>
          </w:p>
        </w:tc>
        <w:tc>
          <w:tcPr>
            <w:tcW w:type="dxa" w:w="1169"/>
          </w:tcPr>
          <w:p>
            <w:r>
              <w:rPr>
                <w:sz w:val="20"/>
              </w:rPr>
              <w:t>AVK (antagonisme), AOD (PAS antidote), céphalosporines NMTT, cholestyramine</w:t>
            </w:r>
          </w:p>
        </w:tc>
      </w:tr>
      <w:tr>
        <w:tc>
          <w:tcPr>
            <w:tcW w:type="dxa" w:w="1169"/>
          </w:tcPr>
          <w:p>
            <w:r>
              <w:rPr>
                <w:sz w:val="20"/>
              </w:rPr>
              <w:t>**Grossesse (CRAT)**</w:t>
            </w:r>
          </w:p>
        </w:tc>
        <w:tc>
          <w:tcPr>
            <w:tcW w:type="dxa" w:w="1169"/>
          </w:tcPr>
          <w:p>
            <w:r>
              <w:rPr>
                <w:sz w:val="20"/>
              </w:rPr>
              <w:t>Compatible si &lt; 2 500 UI/j ; Contre-indiqué &gt; 10 000 UI/j (tératogène)</w:t>
            </w:r>
          </w:p>
        </w:tc>
        <w:tc>
          <w:tcPr>
            <w:tcW w:type="dxa" w:w="1169"/>
          </w:tcPr>
          <w:p>
            <w:r>
              <w:rPr>
                <w:sz w:val="20"/>
              </w:rPr>
              <w:t>Compatible (400-2 000 UI/j) ; doses massives à éviter 1er trimestre</w:t>
            </w:r>
          </w:p>
        </w:tc>
        <w:tc>
          <w:tcPr>
            <w:tcW w:type="dxa" w:w="1169"/>
          </w:tcPr>
          <w:p>
            <w:r>
              <w:rPr>
                <w:sz w:val="20"/>
              </w:rPr>
              <w:t>Compatible (400-2 000 UI + 500-1 000 mg Ca/j) ; doses massives à éviter 1er trimestre</w:t>
            </w:r>
          </w:p>
        </w:tc>
        <w:tc>
          <w:tcPr>
            <w:tcW w:type="dxa" w:w="1169"/>
          </w:tcPr>
          <w:p>
            <w:r>
              <w:rPr>
                <w:sz w:val="20"/>
              </w:rPr>
              <w:t>Compatible si indication impérative (hypoparathyroïdie, IRC) ; surveillance rapprochée</w:t>
            </w:r>
          </w:p>
        </w:tc>
        <w:tc>
          <w:tcPr>
            <w:tcW w:type="dxa" w:w="1169"/>
          </w:tcPr>
          <w:p>
            <w:r>
              <w:rPr>
                <w:sz w:val="20"/>
              </w:rPr>
              <w:t>Compatible (1 000-2 000 UI/j) ; doses massives à éviter 1er trimestre</w:t>
            </w:r>
          </w:p>
        </w:tc>
        <w:tc>
          <w:tcPr>
            <w:tcW w:type="dxa" w:w="1169"/>
          </w:tcPr>
          <w:p>
            <w:r>
              <w:rPr>
                <w:sz w:val="20"/>
              </w:rPr>
              <w:t>Compatible (&lt; 100 mg/j) ; déconseillé &gt; 400 mg/j ; éviter &gt; 1 g/j 3e trimestre</w:t>
            </w:r>
          </w:p>
        </w:tc>
        <w:tc>
          <w:tcPr>
            <w:tcW w:type="dxa" w:w="1169"/>
          </w:tcPr>
          <w:p>
            <w:r>
              <w:rPr>
                <w:sz w:val="20"/>
              </w:rPr>
              <w:t>Compatible si indication vitale (hémorragie AVK) ; risque thrombotique paradoxal</w:t>
            </w:r>
          </w:p>
        </w:tc>
      </w:tr>
      <w:tr>
        <w:tc>
          <w:tcPr>
            <w:tcW w:type="dxa" w:w="1169"/>
          </w:tcPr>
          <w:p>
            <w:r>
              <w:rPr>
                <w:sz w:val="20"/>
              </w:rPr>
              <w:t>**Allaitement**</w:t>
            </w:r>
          </w:p>
        </w:tc>
        <w:tc>
          <w:tcPr>
            <w:tcW w:type="dxa" w:w="1169"/>
          </w:tcPr>
          <w:p>
            <w:r>
              <w:rPr>
                <w:sz w:val="20"/>
              </w:rPr>
              <w:t>Compatible si ≤ 4 000 UI/j ; déconseillé &gt; 25 000 UI/j</w:t>
            </w:r>
          </w:p>
        </w:tc>
        <w:tc>
          <w:tcPr>
            <w:tcW w:type="dxa" w:w="1169"/>
          </w:tcPr>
          <w:p>
            <w:r>
              <w:rPr>
                <w:sz w:val="20"/>
              </w:rPr>
              <w:t>Compatible (2 000-4 000 UI/j) ; surveillance enfant si &gt; 6 000 UI/j</w:t>
            </w:r>
          </w:p>
        </w:tc>
        <w:tc>
          <w:tcPr>
            <w:tcW w:type="dxa" w:w="1169"/>
          </w:tcPr>
          <w:p>
            <w:r>
              <w:rPr>
                <w:sz w:val="20"/>
              </w:rPr>
              <w:t>Compatible (2 000-4 000 UI + 1 000 mg Ca/j) ; surveillance enfant si &gt; 6 000 UI/j</w:t>
            </w:r>
          </w:p>
        </w:tc>
        <w:tc>
          <w:tcPr>
            <w:tcW w:type="dxa" w:w="1169"/>
          </w:tcPr>
          <w:p>
            <w:r>
              <w:rPr>
                <w:sz w:val="20"/>
              </w:rPr>
              <w:t>Compatible avec surveillance calcémie enfant si &gt; 1 µg/j</w:t>
            </w:r>
          </w:p>
        </w:tc>
        <w:tc>
          <w:tcPr>
            <w:tcW w:type="dxa" w:w="1169"/>
          </w:tcPr>
          <w:p>
            <w:r>
              <w:rPr>
                <w:sz w:val="20"/>
              </w:rPr>
              <w:t>Compatible (2 000-4 000 UI/j) ; surveillance enfant si &gt; 6 000 UI/j</w:t>
            </w:r>
          </w:p>
        </w:tc>
        <w:tc>
          <w:tcPr>
            <w:tcW w:type="dxa" w:w="1169"/>
          </w:tcPr>
          <w:p>
            <w:r>
              <w:rPr>
                <w:sz w:val="20"/>
              </w:rPr>
              <w:t>Compatible (&lt; 200 mg/j) ; surveillance si &gt; 400 mg/j</w:t>
            </w:r>
          </w:p>
        </w:tc>
        <w:tc>
          <w:tcPr>
            <w:tcW w:type="dxa" w:w="1169"/>
          </w:tcPr>
          <w:p>
            <w:r>
              <w:rPr>
                <w:sz w:val="20"/>
              </w:rPr>
              <w:t>Compatible (passe peu dans le lait ; bénéfice pour le nourrisson)</w:t>
            </w:r>
          </w:p>
        </w:tc>
      </w:tr>
      <w:tr>
        <w:tc>
          <w:tcPr>
            <w:tcW w:type="dxa" w:w="1169"/>
          </w:tcPr>
          <w:p>
            <w:r>
              <w:rPr>
                <w:sz w:val="20"/>
              </w:rPr>
              <w:t>**Effets indésirables majeurs**</w:t>
            </w:r>
          </w:p>
        </w:tc>
        <w:tc>
          <w:tcPr>
            <w:tcW w:type="dxa" w:w="1169"/>
          </w:tcPr>
          <w:p>
            <w:r>
              <w:rPr>
                <w:sz w:val="20"/>
              </w:rPr>
              <w:t>Hypervitaminose aiguë (HTIC), chronique (hépatotoxicité), tératogénicité</w:t>
            </w:r>
          </w:p>
        </w:tc>
        <w:tc>
          <w:tcPr>
            <w:tcW w:type="dxa" w:w="1169"/>
          </w:tcPr>
          <w:p>
            <w:r>
              <w:rPr>
                <w:sz w:val="20"/>
              </w:rPr>
              <w:t>Hypercalcémie (polyuro-polydipsie, nausées, constipation, confusion, QT court)</w:t>
            </w:r>
          </w:p>
        </w:tc>
        <w:tc>
          <w:tcPr>
            <w:tcW w:type="dxa" w:w="1169"/>
          </w:tcPr>
          <w:p>
            <w:r>
              <w:rPr>
                <w:sz w:val="20"/>
              </w:rPr>
              <w:t>Hypercalcémie, hypercalciurie lithiasique, syndrome de Burnett, constipation</w:t>
            </w:r>
          </w:p>
        </w:tc>
        <w:tc>
          <w:tcPr>
            <w:tcW w:type="dxa" w:w="1169"/>
          </w:tcPr>
          <w:p>
            <w:r>
              <w:rPr>
                <w:sz w:val="20"/>
              </w:rPr>
              <w:t>Hypercalcémie iatrogène (régulation PTH/FGF23 court-circuitée), hypercalciurie</w:t>
            </w:r>
          </w:p>
        </w:tc>
        <w:tc>
          <w:tcPr>
            <w:tcW w:type="dxa" w:w="1169"/>
          </w:tcPr>
          <w:p>
            <w:r>
              <w:rPr>
                <w:sz w:val="20"/>
              </w:rPr>
              <w:t>Hypercalcémie (rare, moins que cholécalciférol), constipation, nausées, céphalées</w:t>
            </w:r>
          </w:p>
        </w:tc>
        <w:tc>
          <w:tcPr>
            <w:tcW w:type="dxa" w:w="1169"/>
          </w:tcPr>
          <w:p>
            <w:r>
              <w:rPr>
                <w:sz w:val="20"/>
              </w:rPr>
              <w:t>Effet anti-agrégant plaquettaire (&gt; 400 mg/j), GI (nausées, diarrhée à forte dose)</w:t>
            </w:r>
          </w:p>
        </w:tc>
        <w:tc>
          <w:tcPr>
            <w:tcW w:type="dxa" w:w="1169"/>
          </w:tcPr>
          <w:p>
            <w:r>
              <w:rPr>
                <w:sz w:val="20"/>
              </w:rPr>
              <w:t>Anaphylaxie (voie IV, rare mais grave), hématome injection IM, hyperbilirubinémie prématuré</w:t>
            </w:r>
          </w:p>
        </w:tc>
      </w:tr>
      <w:tr>
        <w:tc>
          <w:tcPr>
            <w:tcW w:type="dxa" w:w="1169"/>
          </w:tcPr>
          <w:p>
            <w:r>
              <w:rPr>
                <w:sz w:val="20"/>
              </w:rPr>
              <w:t>**Contre-indications**</w:t>
            </w:r>
          </w:p>
        </w:tc>
        <w:tc>
          <w:tcPr>
            <w:tcW w:type="dxa" w:w="1169"/>
          </w:tcPr>
          <w:p>
            <w:r>
              <w:rPr>
                <w:sz w:val="20"/>
              </w:rPr>
              <w:t>Grossesse (&gt; 10 000 UI/j), association rétinoïdes, hypervitaminose A</w:t>
            </w:r>
          </w:p>
        </w:tc>
        <w:tc>
          <w:tcPr>
            <w:tcW w:type="dxa" w:w="1169"/>
          </w:tcPr>
          <w:p>
            <w:r>
              <w:rPr>
                <w:sz w:val="20"/>
              </w:rPr>
              <w:t>Hypercalcémie, hypercalciurie lithiasique, sarcoïdose, IRC sans surveillance</w:t>
            </w:r>
          </w:p>
        </w:tc>
        <w:tc>
          <w:tcPr>
            <w:tcW w:type="dxa" w:w="1169"/>
          </w:tcPr>
          <w:p>
            <w:r>
              <w:rPr>
                <w:sz w:val="20"/>
              </w:rPr>
              <w:t>Hypercalcémie, lithiase calcique récidivante, IRC sévère sans ajustement, sarcoïdose</w:t>
            </w:r>
          </w:p>
        </w:tc>
        <w:tc>
          <w:tcPr>
            <w:tcW w:type="dxa" w:w="1169"/>
          </w:tcPr>
          <w:p>
            <w:r>
              <w:rPr>
                <w:sz w:val="20"/>
              </w:rPr>
              <w:t>Hypercalcémie, hyperphosphatémie, sarcoïdose, tumeur PTHrp</w:t>
            </w:r>
          </w:p>
        </w:tc>
        <w:tc>
          <w:tcPr>
            <w:tcW w:type="dxa" w:w="1169"/>
          </w:tcPr>
          <w:p>
            <w:r>
              <w:rPr>
                <w:sz w:val="20"/>
              </w:rPr>
              <w:t>Hypercalcémie, sarcoïdose, IRC sévère (préférer alfacalcidol)</w:t>
            </w:r>
          </w:p>
        </w:tc>
        <w:tc>
          <w:tcPr>
            <w:tcW w:type="dxa" w:w="1169"/>
          </w:tcPr>
          <w:p>
            <w:r>
              <w:rPr>
                <w:sz w:val="20"/>
              </w:rPr>
              <w:t>Hypersensibilité, association AVK sans surveillance INR</w:t>
            </w:r>
          </w:p>
        </w:tc>
        <w:tc>
          <w:tcPr>
            <w:tcW w:type="dxa" w:w="1169"/>
          </w:tcPr>
          <w:p>
            <w:r>
              <w:rPr>
                <w:sz w:val="20"/>
              </w:rPr>
              <w:t>Hypersensibilité, voie IV bolus, prématuré &gt; 5 mg IM</w:t>
            </w:r>
          </w:p>
        </w:tc>
      </w:tr>
      <w:tr>
        <w:tc>
          <w:tcPr>
            <w:tcW w:type="dxa" w:w="1169"/>
          </w:tcPr>
          <w:p>
            <w:r>
              <w:rPr>
                <w:sz w:val="20"/>
              </w:rPr>
              <w:t>**Posologie adulte**</w:t>
            </w:r>
          </w:p>
        </w:tc>
        <w:tc>
          <w:tcPr>
            <w:tcW w:type="dxa" w:w="1169"/>
          </w:tcPr>
          <w:p>
            <w:r>
              <w:rPr>
                <w:sz w:val="20"/>
              </w:rPr>
              <w:t>Carence : 25 000-50 000 UI/j 1-2 sem ; entretien : 8 000-10 000 UI/j</w:t>
            </w:r>
          </w:p>
        </w:tc>
        <w:tc>
          <w:tcPr>
            <w:tcW w:type="dxa" w:w="1169"/>
          </w:tcPr>
          <w:p>
            <w:r>
              <w:rPr>
                <w:sz w:val="20"/>
              </w:rPr>
              <w:t>Préventif : 800-2 000 UI/j ; curatif : 1 000-5 000 UI/j ; carence sévère : 5 000-10 000 UI/j</w:t>
            </w:r>
          </w:p>
        </w:tc>
        <w:tc>
          <w:tcPr>
            <w:tcW w:type="dxa" w:w="1169"/>
          </w:tcPr>
          <w:p>
            <w:r>
              <w:rPr>
                <w:sz w:val="20"/>
              </w:rPr>
              <w:t>Préventif : 1 cp/j (400 UI + 500 mg) ; ostéoporose : 2 cp/j ; carence : amp 200 000 UI/3 mois</w:t>
            </w:r>
          </w:p>
        </w:tc>
        <w:tc>
          <w:tcPr>
            <w:tcW w:type="dxa" w:w="1169"/>
          </w:tcPr>
          <w:p>
            <w:r>
              <w:rPr>
                <w:sz w:val="20"/>
              </w:rPr>
              <w:t>Initiation : 0,25-0,5 µg/j ; entretien : 0,5-1 µg/j ; max : 2-3 µg/j</w:t>
            </w:r>
          </w:p>
        </w:tc>
        <w:tc>
          <w:tcPr>
            <w:tcW w:type="dxa" w:w="1169"/>
          </w:tcPr>
          <w:p>
            <w:r>
              <w:rPr>
                <w:sz w:val="20"/>
              </w:rPr>
              <w:t>Préventif : 5-10 gouttes/j (1 000-2 000 UI) ; curatif : 10-20 gouttes/j (2 000-4 000 UI) 1-3 mois</w:t>
            </w:r>
          </w:p>
        </w:tc>
        <w:tc>
          <w:tcPr>
            <w:tcW w:type="dxa" w:w="1169"/>
          </w:tcPr>
          <w:p>
            <w:r>
              <w:rPr>
                <w:sz w:val="20"/>
              </w:rPr>
              <w:t>Préventif : 100 mg/j ; curatif : 200-800 mg/j ; abétalipoprotéinémie : 50-200 mg/kg/j</w:t>
            </w:r>
          </w:p>
        </w:tc>
        <w:tc>
          <w:tcPr>
            <w:tcW w:type="dxa" w:w="1169"/>
          </w:tcPr>
          <w:p>
            <w:r>
              <w:rPr>
                <w:sz w:val="20"/>
              </w:rPr>
              <w:t>Hémorragie grave AVK : 10 mg IV lente ; INR &gt; 9 asymptomatique : 5 mg per os ; carence : 5-10 mg/j</w:t>
            </w:r>
          </w:p>
        </w:tc>
      </w:tr>
      <w:tr>
        <w:tc>
          <w:tcPr>
            <w:tcW w:type="dxa" w:w="1169"/>
          </w:tcPr>
          <w:p>
            <w:r>
              <w:rPr>
                <w:sz w:val="20"/>
              </w:rPr>
              <w:t>**Posologie pédiatrique**</w:t>
            </w:r>
          </w:p>
        </w:tc>
        <w:tc>
          <w:tcPr>
            <w:tcW w:type="dxa" w:w="1169"/>
          </w:tcPr>
          <w:p>
            <w:r>
              <w:rPr>
                <w:sz w:val="20"/>
              </w:rPr>
              <w:t>Carence &lt; 6 mois : 50 000 UI dose unique ; 6-12 mois : 100 000 UI ; &gt; 12 mois : 200 000 UI</w:t>
            </w:r>
          </w:p>
        </w:tc>
        <w:tc>
          <w:tcPr>
            <w:tcW w:type="dxa" w:w="1169"/>
          </w:tcPr>
          <w:p>
            <w:r>
              <w:rPr>
                <w:sz w:val="20"/>
              </w:rPr>
              <w:t>Préventif nourrisson : 400-800 UI/j ; curatif : 1 000-5 000 UI/j</w:t>
            </w:r>
          </w:p>
        </w:tc>
        <w:tc>
          <w:tcPr>
            <w:tcW w:type="dxa" w:w="1169"/>
          </w:tcPr>
          <w:p>
            <w:r>
              <w:rPr>
                <w:sz w:val="20"/>
              </w:rPr>
              <w:t>Préventif &gt; 6 ans : 1 cp/j ; nourrisson : préférer D3 gouttes ou DEDROGYL</w:t>
            </w:r>
          </w:p>
        </w:tc>
        <w:tc>
          <w:tcPr>
            <w:tcW w:type="dxa" w:w="1169"/>
          </w:tcPr>
          <w:p>
            <w:r>
              <w:rPr>
                <w:sz w:val="20"/>
              </w:rPr>
              <w:t>Initiation : 0,01-0,05 µg/kg/j ; max : 1 µg/j</w:t>
            </w:r>
          </w:p>
        </w:tc>
        <w:tc>
          <w:tcPr>
            <w:tcW w:type="dxa" w:w="1169"/>
          </w:tcPr>
          <w:p>
            <w:r>
              <w:rPr>
                <w:sz w:val="20"/>
              </w:rPr>
              <w:t>Nourrisson : 2-5 gouttes/j (400-1 000 UI) ; enfant : 5-10 gouttes/j (1 000-2 000 UI)</w:t>
            </w:r>
          </w:p>
        </w:tc>
        <w:tc>
          <w:tcPr>
            <w:tcW w:type="dxa" w:w="1169"/>
          </w:tcPr>
          <w:p>
            <w:r>
              <w:rPr>
                <w:sz w:val="20"/>
              </w:rPr>
              <w:t>Prématuré : 25-50 mg/kg/j ; enfant : 1 mg/kg/j préventif, 10-50 mg/kg/j curatif</w:t>
            </w:r>
          </w:p>
        </w:tc>
        <w:tc>
          <w:tcPr>
            <w:tcW w:type="dxa" w:w="1169"/>
          </w:tcPr>
          <w:p>
            <w:r>
              <w:rPr>
                <w:sz w:val="20"/>
              </w:rPr>
              <w:t>Prophylaxie néonatale : 1 mg IM à la naissance ; prématuré : 0,5 mg IM</w:t>
            </w:r>
          </w:p>
        </w:tc>
      </w:tr>
      <w:tr>
        <w:tc>
          <w:tcPr>
            <w:tcW w:type="dxa" w:w="1169"/>
          </w:tcPr>
          <w:p>
            <w:r>
              <w:rPr>
                <w:sz w:val="20"/>
              </w:rPr>
              <w:t>**Posologie grossesse**</w:t>
            </w:r>
          </w:p>
        </w:tc>
        <w:tc>
          <w:tcPr>
            <w:tcW w:type="dxa" w:w="1169"/>
          </w:tcPr>
          <w:p>
            <w:r>
              <w:rPr>
                <w:sz w:val="20"/>
              </w:rPr>
              <w:t>≤ 2 500 UI/j (maximum 10 000 UI/j)</w:t>
            </w:r>
          </w:p>
        </w:tc>
        <w:tc>
          <w:tcPr>
            <w:tcW w:type="dxa" w:w="1169"/>
          </w:tcPr>
          <w:p>
            <w:r>
              <w:rPr>
                <w:sz w:val="20"/>
              </w:rPr>
              <w:t>1 000-2 000 UI/j pendant toute la grossesse</w:t>
            </w:r>
          </w:p>
        </w:tc>
        <w:tc>
          <w:tcPr>
            <w:tcW w:type="dxa" w:w="1169"/>
          </w:tcPr>
          <w:p>
            <w:r>
              <w:rPr>
                <w:sz w:val="20"/>
              </w:rPr>
              <w:t>1 cp/j (400 UI + 500 mg) + éventuelle amp D3 100 000 UI 2e-3e trimestre</w:t>
            </w:r>
          </w:p>
        </w:tc>
        <w:tc>
          <w:tcPr>
            <w:tcW w:type="dxa" w:w="1169"/>
          </w:tcPr>
          <w:p>
            <w:r>
              <w:rPr>
                <w:sz w:val="20"/>
              </w:rPr>
              <w:t>Adaptée selon indication (hypoparathyroïdie, IRC)</w:t>
            </w:r>
          </w:p>
        </w:tc>
        <w:tc>
          <w:tcPr>
            <w:tcW w:type="dxa" w:w="1169"/>
          </w:tcPr>
          <w:p>
            <w:r>
              <w:rPr>
                <w:sz w:val="20"/>
              </w:rPr>
              <w:t>5-10 gouttes/j (1 000-2 000 UI) ; curatif : 10-20 gouttes/j 1-3 mois si carence profonde</w:t>
            </w:r>
          </w:p>
        </w:tc>
        <w:tc>
          <w:tcPr>
            <w:tcW w:type="dxa" w:w="1169"/>
          </w:tcPr>
          <w:p>
            <w:r>
              <w:rPr>
                <w:sz w:val="20"/>
              </w:rPr>
              <w:t>10-15 mg/j (ANC) ; &lt; 100 mg/j ; éviter &gt; 400 mg/j</w:t>
            </w:r>
          </w:p>
        </w:tc>
        <w:tc>
          <w:tcPr>
            <w:tcW w:type="dxa" w:w="1169"/>
          </w:tcPr>
          <w:p>
            <w:r>
              <w:rPr>
                <w:sz w:val="20"/>
              </w:rPr>
              <w:t>10 mg IV si hémorragie AVK ; sinon évitement</w:t>
            </w:r>
          </w:p>
        </w:tc>
      </w:tr>
      <w:tr>
        <w:tc>
          <w:tcPr>
            <w:tcW w:type="dxa" w:w="1169"/>
          </w:tcPr>
          <w:p>
            <w:r>
              <w:rPr>
                <w:sz w:val="20"/>
              </w:rPr>
              <w:t>**Statut Liste**</w:t>
            </w:r>
          </w:p>
        </w:tc>
        <w:tc>
          <w:tcPr>
            <w:tcW w:type="dxa" w:w="1169"/>
          </w:tcPr>
          <w:p>
            <w:r>
              <w:rPr>
                <w:sz w:val="20"/>
              </w:rPr>
              <w:t>Liste II (collyre)</w:t>
            </w:r>
          </w:p>
        </w:tc>
        <w:tc>
          <w:tcPr>
            <w:tcW w:type="dxa" w:w="1169"/>
          </w:tcPr>
          <w:p>
            <w:r>
              <w:rPr>
                <w:sz w:val="20"/>
              </w:rPr>
              <w:t>Sans liste (formes association)</w:t>
            </w:r>
          </w:p>
        </w:tc>
        <w:tc>
          <w:tcPr>
            <w:tcW w:type="dxa" w:w="1169"/>
          </w:tcPr>
          <w:p>
            <w:r>
              <w:rPr>
                <w:sz w:val="20"/>
              </w:rPr>
              <w:t>Sans liste (formes D3+Ca) ; Liste II (ampoule D3 100 000-200 000 UI/mL)</w:t>
            </w:r>
          </w:p>
        </w:tc>
        <w:tc>
          <w:tcPr>
            <w:tcW w:type="dxa" w:w="1169"/>
          </w:tcPr>
          <w:p>
            <w:r>
              <w:rPr>
                <w:sz w:val="20"/>
              </w:rPr>
              <w:t>Liste I</w:t>
            </w:r>
          </w:p>
        </w:tc>
        <w:tc>
          <w:tcPr>
            <w:tcW w:type="dxa" w:w="1169"/>
          </w:tcPr>
          <w:p>
            <w:r>
              <w:rPr>
                <w:sz w:val="20"/>
              </w:rPr>
              <w:t>Liste II</w:t>
            </w:r>
          </w:p>
        </w:tc>
        <w:tc>
          <w:tcPr>
            <w:tcW w:type="dxa" w:w="1169"/>
          </w:tcPr>
          <w:p>
            <w:r>
              <w:rPr>
                <w:sz w:val="20"/>
              </w:rPr>
              <w:t>Sans liste</w:t>
            </w:r>
          </w:p>
        </w:tc>
        <w:tc>
          <w:tcPr>
            <w:tcW w:type="dxa" w:w="1169"/>
          </w:tcPr>
          <w:p>
            <w:r>
              <w:rPr>
                <w:sz w:val="20"/>
              </w:rPr>
              <w:t>Liste I</w:t>
            </w:r>
          </w:p>
        </w:tc>
      </w:tr>
      <w:tr>
        <w:tc>
          <w:tcPr>
            <w:tcW w:type="dxa" w:w="1169"/>
          </w:tcPr>
          <w:p>
            <w:r>
              <w:rPr>
                <w:sz w:val="20"/>
              </w:rPr>
              <w:t>**Laboratoires algériens**</w:t>
            </w:r>
          </w:p>
        </w:tc>
        <w:tc>
          <w:tcPr>
            <w:tcW w:type="dxa" w:w="1169"/>
          </w:tcPr>
          <w:p>
            <w:r>
              <w:rPr>
                <w:sz w:val="20"/>
              </w:rPr>
              <w:t>EUROPHTA (VIT A FAURE), GENERIC LAB (VIT A GL), SARL API (ASTENIA)</w:t>
            </w:r>
          </w:p>
        </w:tc>
        <w:tc>
          <w:tcPr>
            <w:tcW w:type="dxa" w:w="1169"/>
          </w:tcPr>
          <w:p>
            <w:r>
              <w:rPr>
                <w:sz w:val="20"/>
              </w:rPr>
              <w:t>BOEHRINGER INGELHEIM FRANCE (FRUBIOSE), SAIDAL (FRUBIAL)</w:t>
            </w:r>
          </w:p>
        </w:tc>
        <w:tc>
          <w:tcPr>
            <w:tcW w:type="dxa" w:w="1169"/>
          </w:tcPr>
          <w:p>
            <w:r>
              <w:rPr>
                <w:sz w:val="20"/>
              </w:rPr>
              <w:t>INNOTECH (IDEOS), SOPHAL, BIOPHARM, SARL API, BIOGALENIC, MOBEN, MEDEC, NOVAPHARM, WORLD MEDECINE, PROPHARMAL, SALEM, BIOTHERA, HUPP, BOUCHARA-RECORDATI, RAZES, LAD PHARMA (NEOCALCIGENOL), MERINAL, BIOCARE</w:t>
            </w:r>
          </w:p>
        </w:tc>
        <w:tc>
          <w:tcPr>
            <w:tcW w:type="dxa" w:w="1169"/>
          </w:tcPr>
          <w:p>
            <w:r>
              <w:rPr>
                <w:sz w:val="20"/>
              </w:rPr>
              <w:t>CHEPLAPHARM (UN-ALFA), UPM (SUPRA CALCI)</w:t>
            </w:r>
          </w:p>
        </w:tc>
        <w:tc>
          <w:tcPr>
            <w:tcW w:type="dxa" w:w="1169"/>
          </w:tcPr>
          <w:p>
            <w:r>
              <w:rPr>
                <w:sz w:val="20"/>
              </w:rPr>
              <w:t>DESMA PHARMA (DEDROGYL)</w:t>
            </w:r>
          </w:p>
        </w:tc>
        <w:tc>
          <w:tcPr>
            <w:tcW w:type="dxa" w:w="1169"/>
          </w:tcPr>
          <w:p>
            <w:r>
              <w:rPr>
                <w:sz w:val="20"/>
              </w:rPr>
              <w:t>SARL API (API E)</w:t>
            </w:r>
          </w:p>
        </w:tc>
        <w:tc>
          <w:tcPr>
            <w:tcW w:type="dxa" w:w="1169"/>
          </w:tcPr>
          <w:p>
            <w:r>
              <w:rPr>
                <w:sz w:val="20"/>
              </w:rPr>
              <w:t>LES LABORATOIRES FRATER RAZES (RAZIDIONE K1)</w:t>
            </w:r>
          </w:p>
        </w:tc>
      </w:tr>
      <w:tr>
        <w:tc>
          <w:tcPr>
            <w:tcW w:type="dxa" w:w="1169"/>
          </w:tcPr>
          <w:p>
            <w:r>
              <w:rPr>
                <w:sz w:val="20"/>
              </w:rPr>
              <w:t>**Particularités algériennes**</w:t>
            </w:r>
          </w:p>
        </w:tc>
        <w:tc>
          <w:tcPr>
            <w:tcW w:type="dxa" w:w="1169"/>
          </w:tcPr>
          <w:p>
            <w:r>
              <w:rPr>
                <w:sz w:val="20"/>
              </w:rPr>
              <w:t>Forme orale isolée non disponible ; automédication compléments importés ( risque tératogène femme enceinte)</w:t>
            </w:r>
          </w:p>
        </w:tc>
        <w:tc>
          <w:tcPr>
            <w:tcW w:type="dxa" w:w="1169"/>
          </w:tcPr>
          <w:p>
            <w:r>
              <w:rPr>
                <w:sz w:val="20"/>
              </w:rPr>
              <w:t>D2 supplantée par D3 ; formes association (FRUBIOSE) en pratique pédiatrique</w:t>
            </w:r>
          </w:p>
        </w:tc>
        <w:tc>
          <w:tcPr>
            <w:tcW w:type="dxa" w:w="1169"/>
          </w:tcPr>
          <w:p>
            <w:r>
              <w:rPr>
                <w:sz w:val="20"/>
              </w:rPr>
              <w:t>Sous-classe très riche (21 spécialités actives) ; reflète pandémie de carence D en Algérie</w:t>
            </w:r>
          </w:p>
        </w:tc>
        <w:tc>
          <w:tcPr>
            <w:tcW w:type="dxa" w:w="1169"/>
          </w:tcPr>
          <w:p>
            <w:r>
              <w:rPr>
                <w:sz w:val="20"/>
              </w:rPr>
              <w:t>Spécialités disponibles (UN-ALFA, SUPRA CALCI) ; calcitriol non disponible en Algérie</w:t>
            </w:r>
          </w:p>
        </w:tc>
        <w:tc>
          <w:tcPr>
            <w:tcW w:type="dxa" w:w="1169"/>
          </w:tcPr>
          <w:p>
            <w:r>
              <w:rPr>
                <w:sz w:val="20"/>
              </w:rPr>
              <w:t>Une seule spécialité (DEDROGYL) ; forme pédiatrique de choix</w:t>
            </w:r>
          </w:p>
        </w:tc>
        <w:tc>
          <w:tcPr>
            <w:tcW w:type="dxa" w:w="1169"/>
          </w:tcPr>
          <w:p>
            <w:r>
              <w:rPr>
                <w:sz w:val="20"/>
              </w:rPr>
              <w:t>Une seule spécialité (API E 100 et 500 mg) ; manque de formes pédagogiques</w:t>
            </w:r>
          </w:p>
        </w:tc>
        <w:tc>
          <w:tcPr>
            <w:tcW w:type="dxa" w:w="1169"/>
          </w:tcPr>
          <w:p>
            <w:r>
              <w:rPr>
                <w:sz w:val="20"/>
              </w:rPr>
              <w:t>Une seule spécialité active (RAZIDIONE K1) ; indispensable à la pratique médicale algérienne (antidote AVK, prophylaxie néonatale)</w:t>
            </w:r>
          </w:p>
        </w:tc>
      </w:tr>
      <w:tr>
        <w:tc>
          <w:tcPr>
            <w:tcW w:type="dxa" w:w="1169"/>
          </w:tcPr>
          <w:p>
            <w:r>
              <w:rPr>
                <w:sz w:val="20"/>
              </w:rPr>
              <w:t>**Antidote en cas de surdosage**</w:t>
            </w:r>
          </w:p>
        </w:tc>
        <w:tc>
          <w:tcPr>
            <w:tcW w:type="dxa" w:w="1169"/>
          </w:tcPr>
          <w:p>
            <w:r>
              <w:rPr>
                <w:sz w:val="20"/>
              </w:rPr>
              <w:t>Pas d'antidote spécifique ; arrêt + symptômatique (hydratation, surveillance neurologique, hépatologique)</w:t>
            </w:r>
          </w:p>
        </w:tc>
        <w:tc>
          <w:tcPr>
            <w:tcW w:type="dxa" w:w="1169"/>
          </w:tcPr>
          <w:p>
            <w:r>
              <w:rPr>
                <w:sz w:val="20"/>
              </w:rPr>
              <w:t>Arrêt vitamine D + hyperhydratation salée + calcitonine + bisphosphonates IV si hypercalcémie sévère</w:t>
            </w:r>
          </w:p>
        </w:tc>
        <w:tc>
          <w:tcPr>
            <w:tcW w:type="dxa" w:w="1169"/>
          </w:tcPr>
          <w:p>
            <w:r>
              <w:rPr>
                <w:sz w:val="20"/>
              </w:rPr>
              <w:t>Arrêt + hyperhydratation + calcitonine + bisphosphonates IV ; syndrome de Burnett = arrêt carbonate Ca + hydratation salée</w:t>
            </w:r>
          </w:p>
        </w:tc>
        <w:tc>
          <w:tcPr>
            <w:tcW w:type="dxa" w:w="1169"/>
          </w:tcPr>
          <w:p>
            <w:r>
              <w:rPr>
                <w:sz w:val="20"/>
              </w:rPr>
              <w:t>Arrêt + hyperhydratation + calcitonine + bisphosphonates IV ; surveillance prolongée</w:t>
            </w:r>
          </w:p>
        </w:tc>
        <w:tc>
          <w:tcPr>
            <w:tcW w:type="dxa" w:w="1169"/>
          </w:tcPr>
          <w:p>
            <w:r>
              <w:rPr>
                <w:sz w:val="20"/>
              </w:rPr>
              <w:t>Arrêt + hyperhydratation + calcitonine + bisphosphonates IV</w:t>
            </w:r>
          </w:p>
        </w:tc>
        <w:tc>
          <w:tcPr>
            <w:tcW w:type="dxa" w:w="1169"/>
          </w:tcPr>
          <w:p>
            <w:r>
              <w:rPr>
                <w:sz w:val="20"/>
              </w:rPr>
              <w:t>Arrêt + surveillance clinique ; vitamine K en cas de syndrome hémorragique (potentialisation AVK)</w:t>
            </w:r>
          </w:p>
        </w:tc>
        <w:tc>
          <w:tcPr>
            <w:tcW w:type="dxa" w:w="1169"/>
          </w:tcPr>
          <w:p>
            <w:r>
              <w:rPr>
                <w:sz w:val="20"/>
              </w:rPr>
              <w:t>Pas d'antidote (la phytoménadione elle-même EST l'antidote des AVK)</w:t>
            </w:r>
          </w:p>
        </w:tc>
      </w:tr>
      <w:tr>
        <w:tc>
          <w:tcPr>
            <w:tcW w:type="dxa" w:w="1169"/>
          </w:tcPr>
          <w:p>
            <w:r>
              <w:rPr>
                <w:sz w:val="20"/>
              </w:rPr>
              <w:t>**Piège principal comptoir**</w:t>
            </w:r>
          </w:p>
        </w:tc>
        <w:tc>
          <w:tcPr>
            <w:tcW w:type="dxa" w:w="1169"/>
          </w:tcPr>
          <w:p>
            <w:r>
              <w:rPr>
                <w:sz w:val="20"/>
              </w:rPr>
              <w:t>Tératogénicité dose pharmacologique — Interroger systématiquement femme en âge de procréer</w:t>
            </w:r>
          </w:p>
        </w:tc>
        <w:tc>
          <w:tcPr>
            <w:tcW w:type="dxa" w:w="1169"/>
          </w:tcPr>
          <w:p>
            <w:r>
              <w:rPr>
                <w:sz w:val="20"/>
              </w:rPr>
              <w:t>Carence pandémique en Algérie — proposer supplémentation systématique</w:t>
            </w:r>
          </w:p>
        </w:tc>
        <w:tc>
          <w:tcPr>
            <w:tcW w:type="dxa" w:w="1169"/>
          </w:tcPr>
          <w:p>
            <w:r>
              <w:rPr>
                <w:sz w:val="20"/>
              </w:rPr>
              <w:t>Cumul des sources (comprimé + ampoule + compléments) — vérifier carnet de suivi</w:t>
            </w:r>
          </w:p>
        </w:tc>
        <w:tc>
          <w:tcPr>
            <w:tcW w:type="dxa" w:w="1169"/>
          </w:tcPr>
          <w:p>
            <w:r>
              <w:rPr>
                <w:sz w:val="20"/>
              </w:rPr>
              <w:t>Confusion des dosages 0,25 µg vs 1 µg — vérifier ordonnance</w:t>
            </w:r>
          </w:p>
        </w:tc>
        <w:tc>
          <w:tcPr>
            <w:tcW w:type="dxa" w:w="1169"/>
          </w:tcPr>
          <w:p>
            <w:r>
              <w:rPr>
                <w:sz w:val="20"/>
              </w:rPr>
              <w:t>Conversion µg ↔ UI (1 µg ≈ 40 UI) — savoir convertir pour patient</w:t>
            </w:r>
          </w:p>
        </w:tc>
        <w:tc>
          <w:tcPr>
            <w:tcW w:type="dxa" w:w="1169"/>
          </w:tcPr>
          <w:p>
            <w:r>
              <w:rPr>
                <w:sz w:val="20"/>
              </w:rPr>
              <w:t>Association AVK + vitamine E — surveillance INR accrue si &gt; 400 mg/j</w:t>
            </w:r>
          </w:p>
        </w:tc>
        <w:tc>
          <w:tcPr>
            <w:tcW w:type="dxa" w:w="1169"/>
          </w:tcPr>
          <w:p>
            <w:r>
              <w:rPr>
                <w:sz w:val="20"/>
              </w:rPr>
              <w:t>Voie IV = risque anaphylaxie — perfusion lente stricte (1 mg/min max)</w:t>
            </w:r>
          </w:p>
        </w:tc>
      </w:tr>
    </w:tbl>
    <w:p/>
    <w:p>
      <w:pPr>
        <w:pStyle w:val="Heading2"/>
      </w:pPr>
      <w:r>
        <w:t>161.11. Synthèse pédagogique pour la pratique officinale et clinique algérienne</w:t>
      </w:r>
    </w:p>
    <w:p>
      <w:pPr>
        <w:pStyle w:val="Heading3"/>
      </w:pPr>
      <w:r>
        <w:t>161.11.1. Choix éclairé de la vitamine liposoluble selon le contexte clinique</w:t>
      </w:r>
    </w:p>
    <w:p>
      <w:r>
        <w:t>Le pharmacien d'officine algérien est régulièrement confronté à des prescriptions ou demandes de vitamines liposolubles. Le tableau décisionnel ci-dessous synthétise les choix rationnels selon le contexte :</w:t>
      </w:r>
    </w:p>
    <w:p>
      <w:r/>
      <w:r>
        <w:rPr>
          <w:b/>
        </w:rPr>
        <w:t>Carence vitaminique D (situation la plus fréquente en Algérie) :</w:t>
      </w:r>
      <w:r/>
    </w:p>
    <w:p>
      <w:pPr>
        <w:pStyle w:val="ListBullet"/>
      </w:pPr>
      <w:r>
        <w:t>Femme enceinte (carence pandémique &gt; 70 %) → 1ère intention : D3 100 000 UI ampoule buvable par mois (VIT D3 SALEM 100 000 UI) + 1 cp IDEOS/jour (400 UI + 500 mg Ca) ; 2e intention : DEDROGYL 5-10 gouttes/jour (1 000-2 000 UI) si carence profonde ou insuffisance hépatique associée.</w:t>
      </w:r>
    </w:p>
    <w:p>
      <w:pPr>
        <w:pStyle w:val="ListBullet"/>
      </w:pPr>
      <w:r>
        <w:t>Nourrisson (prévention systématique) → 1ère intention : DEDROGYL 2-5 gouttes/jour (400-1 000 UI) dès J8 ; 2e intention : FRUBIOSE 1000 UI 1 mL/jour (200 UI/mL, soit 400 UI/jour pour 2 mL) ; 3e intention : VITAMINE D3 B.O.N 1 ampoule 200 000 UI tous les 6 mois (selon schéma algérien classique, discuté).</w:t>
      </w:r>
    </w:p>
    <w:p>
      <w:pPr>
        <w:pStyle w:val="ListBullet"/>
      </w:pPr>
      <w:r>
        <w:t>Femme ménopausée ostéoporotique → 1ère intention : 2 cp IDEOS/jour (800 UI + 1 000 mg Ca) en complément du bisphosphonate ou dénosumab ; vérifier statut vitaminique D (25-OH-D) à l'initiation, cible &gt; 30 ng/mL.</w:t>
      </w:r>
    </w:p>
    <w:p>
      <w:pPr>
        <w:pStyle w:val="ListBullet"/>
      </w:pPr>
      <w:r>
        <w:t>Sujet âgé institutionnalisé → 1ère intention : 2 cp IDEOS/jour (800 UI + 1 000 mg Ca) + 1 ampoule D3 100 000 UI tous les 3 mois ; surveillance annuelle 25-OH-D, calcémie, créatininémie.</w:t>
      </w:r>
    </w:p>
    <w:p>
      <w:pPr>
        <w:pStyle w:val="ListBullet"/>
      </w:pPr>
      <w:r>
        <w:t>Insuffisant rénal chronique (DFG &lt; 30 mL/min) → 1ère intention : Alfacalcidol 0,25-1 µg/jour (UN-ALFA ou SUPRA CALCI) sous surveillance biologique stricte (calcémie, PTH, calciurie).</w:t>
      </w:r>
    </w:p>
    <w:p>
      <w:pPr>
        <w:pStyle w:val="ListBullet"/>
      </w:pPr>
      <w:r>
        <w:t>Insuffisant hépatique (cirrhose, hépatite chronique) → 1ère intention : DEDROGYL 5-10 gouttes/jour (1 000-2 000 UI) ; surveillance 25-OH-D tous les 3-6 mois.</w:t>
      </w:r>
    </w:p>
    <w:p>
      <w:pPr>
        <w:pStyle w:val="ListBullet"/>
      </w:pPr>
      <w:r>
        <w:t>Mucoviscidose, cholestase, malabsorption lipidique → 1ère intention : DEDROGYL 10-30 gouttes/jour (2 000-6 000 UI) ; surveillance 25-OH-D tous les 3 mois.</w:t>
      </w:r>
    </w:p>
    <w:p>
      <w:r/>
      <w:r>
        <w:rPr>
          <w:b/>
        </w:rPr>
        <w:t>Carence vitaminique A :</w:t>
      </w:r>
      <w:r/>
    </w:p>
    <w:p>
      <w:pPr>
        <w:pStyle w:val="ListBullet"/>
      </w:pPr>
      <w:r>
        <w:t>Xérophtalmie, sécheresse oculaire → 1ère intention : VITAMINE A FAURE collyre 1 goutte 3-5 fois/jour pendant 1-4 semaines.</w:t>
      </w:r>
    </w:p>
    <w:p>
      <w:pPr>
        <w:pStyle w:val="ListBullet"/>
      </w:pPr>
      <w:r>
        <w:t>Carence systémique (malnutrition, malabsorption) → orienter vers un médecin pour supplémentation orale (compléments importés) ou complexes multivitaminiques (ASTENIA).</w:t>
      </w:r>
    </w:p>
    <w:p>
      <w:r/>
      <w:r>
        <w:rPr>
          <w:b/>
        </w:rPr>
        <w:t>Carence vitaminique E :</w:t>
      </w:r>
      <w:r/>
    </w:p>
    <w:p>
      <w:pPr>
        <w:pStyle w:val="ListBullet"/>
      </w:pPr>
      <w:r>
        <w:t>Mucoviscidose, cholestase chronique, abétalipoprotéinémie → 1ère intention : API E 500 mg 1-2 cp/jour (500-1 000 mg/j) ; surveillance α-tocophérol sérique.</w:t>
      </w:r>
    </w:p>
    <w:p>
      <w:pPr>
        <w:pStyle w:val="ListBullet"/>
      </w:pPr>
      <w:r>
        <w:t>Asthénie, surmenage → API E 100 mg 1 cp/jour ou ASTENIA multivitaminé 1 cp effervescent/jour.</w:t>
      </w:r>
    </w:p>
    <w:p>
      <w:r/>
      <w:r>
        <w:rPr>
          <w:b/>
        </w:rPr>
        <w:t>Carence vitaminique K / antidote AVK :</w:t>
      </w:r>
      <w:r/>
    </w:p>
    <w:p>
      <w:pPr>
        <w:pStyle w:val="ListBullet"/>
      </w:pPr>
      <w:r>
        <w:t>Maladie hémorragique néonatale (prévention) → 1 mg IM à la naissance (RAZIDIONE K1 1 ampoule 1 mL).</w:t>
      </w:r>
    </w:p>
    <w:p>
      <w:pPr>
        <w:pStyle w:val="ListBullet"/>
      </w:pPr>
      <w:r>
        <w:t>Hémorragie grave sous AVK → 10 mg IV lente (RAZIDIONE K1 1 ampoule 10 mL diluée) + PFC ou CCP, en milieu hospitalier.</w:t>
      </w:r>
    </w:p>
    <w:p>
      <w:pPr>
        <w:pStyle w:val="ListBullet"/>
      </w:pPr>
      <w:r>
        <w:t>INR supra-thérapeutique asymptomatique (INR &gt; 5) → 1-2,5 mg per os (RAZIDIONE K1 1 ampoule diluée en fraction).</w:t>
      </w:r>
    </w:p>
    <w:p>
      <w:pPr>
        <w:pStyle w:val="ListBullet"/>
      </w:pPr>
      <w:r>
        <w:t>Carence vitaminique K (cholestase, mucoviscidose, antibiothérapie prolongée) → 5-10 mg/jour per os en cure prolongée.</w:t>
      </w:r>
    </w:p>
    <w:p>
      <w:pPr>
        <w:pStyle w:val="Heading3"/>
      </w:pPr>
      <w:r>
        <w:t>161.11.2. Règles d'or du pharmacien d'officine</w:t>
      </w:r>
    </w:p>
    <w:p>
      <w:pPr>
        <w:pStyle w:val="ListNumber"/>
      </w:pPr>
      <w:r/>
      <w:r>
        <w:rPr>
          <w:b/>
        </w:rPr>
        <w:t>Toute prescription de vitamine A à dose &gt; 2 500 UI/jour chez une femme en âge de procréer</w:t>
      </w:r>
      <w:r>
        <w:t xml:space="preserve"> doit alerter le pharmacien → vérification contraception + test de grossesse pré-thérapeutique + information patiente sur le risque tératogène.</w:t>
      </w:r>
    </w:p>
    <w:p>
      <w:pPr>
        <w:pStyle w:val="ListNumber"/>
      </w:pPr>
      <w:r/>
      <w:r>
        <w:rPr>
          <w:b/>
        </w:rPr>
        <w:t>Toute supplémentation vitaminique D doit être accompagnée d'une supplémentation calcium</w:t>
      </w:r>
      <w:r>
        <w:t xml:space="preserve"> en cas d'ostéoporose ou de carence D avérée, à l'exception du sujet en IRC sévère (préférer alfacalcidol).</w:t>
      </w:r>
    </w:p>
    <w:p>
      <w:pPr>
        <w:pStyle w:val="ListNumber"/>
      </w:pPr>
      <w:r/>
      <w:r>
        <w:rPr>
          <w:b/>
        </w:rPr>
        <w:t>La 25-OH-D sérique est le seul marqueur fiable du statut vitaminique D.</w:t>
      </w:r>
      <w:r>
        <w:t xml:space="preserve"> La calcémie reste normale jusqu'à carence sévère.</w:t>
      </w:r>
    </w:p>
    <w:p>
      <w:pPr>
        <w:pStyle w:val="ListNumber"/>
      </w:pPr>
      <w:r/>
      <w:r>
        <w:rPr>
          <w:b/>
        </w:rPr>
        <w:t>Toute supplémentation vitaminique D &gt; 2 000 UI/jour au long cours</w:t>
      </w:r>
      <w:r>
        <w:t xml:space="preserve"> doit être surveillée par dosage de la 25-OH-D tous les 3-6 mois.</w:t>
      </w:r>
    </w:p>
    <w:p>
      <w:pPr>
        <w:pStyle w:val="ListNumber"/>
      </w:pPr>
      <w:r/>
      <w:r>
        <w:rPr>
          <w:b/>
        </w:rPr>
        <w:t>L'alfacalcidol ne peut être délivré qu'avec une ordonnance de spécialiste</w:t>
      </w:r>
      <w:r>
        <w:t xml:space="preserve"> (néphrologue, endocrinologue, rhumatologue) et nécessite une surveillance biologique stricte (calcémie, phosphatémie, calciurie, PTH intacte).</w:t>
      </w:r>
    </w:p>
    <w:p>
      <w:pPr>
        <w:pStyle w:val="ListNumber"/>
      </w:pPr>
      <w:r/>
      <w:r>
        <w:rPr>
          <w:b/>
        </w:rPr>
        <w:t>La voie IV de la phytoménadione comporte un risque anaphylactique rare mais grave.</w:t>
      </w:r>
      <w:r>
        <w:t xml:space="preserve"> Perfusion lente stricte (1 mg/min maximum) en milieu médicalisé avec surveillance continue et matériel de réanimation disponible.</w:t>
      </w:r>
    </w:p>
    <w:p>
      <w:pPr>
        <w:pStyle w:val="ListNumber"/>
      </w:pPr>
      <w:r/>
      <w:r>
        <w:rPr>
          <w:b/>
        </w:rPr>
        <w:t>La phytoménadione est l'antidote spécifique des AVK uniquement</w:t>
      </w:r>
      <w:r>
        <w:t>, pas des anticoagulants oraux directs (AOD — dabigatran, rivaroxaban, apixaban, edoxaban).</w:t>
      </w:r>
    </w:p>
    <w:p>
      <w:pPr>
        <w:pStyle w:val="ListNumber"/>
      </w:pPr>
      <w:r/>
      <w:r>
        <w:rPr>
          <w:b/>
        </w:rPr>
        <w:t>L'association vitamine E + AVK à dose &gt; 400 mg/jour</w:t>
      </w:r>
      <w:r>
        <w:t xml:space="preserve"> impose une surveillance accrue de l'INR (risque hémorragique majoré).</w:t>
      </w:r>
    </w:p>
    <w:p>
      <w:pPr>
        <w:pStyle w:val="ListNumber"/>
      </w:pPr>
      <w:r/>
      <w:r>
        <w:rPr>
          <w:b/>
        </w:rPr>
        <w:t>La supplémentation vitaminique K est indispensable chez le nouveau-né</w:t>
      </w:r>
      <w:r>
        <w:t xml:space="preserve"> (1 mg IM à la naissance, recommandation OMS universelle).</w:t>
      </w:r>
    </w:p>
    <w:p>
      <w:pPr>
        <w:pStyle w:val="ListNumber"/>
      </w:pPr>
      <w:r/>
      <w:r>
        <w:rPr>
          <w:b/>
        </w:rPr>
        <w:t>Le pharmacien doit savoir reconnaître les signes d'alerte d'hypercalcémie</w:t>
      </w:r>
      <w:r>
        <w:t xml:space="preserve"> (polyuropolydipsie, asthénie, nausées, vomissements, constipation, confusion, raccourcissement QT à l'ECG) chez un patient sous vitamine D à dose pharmacologique.</w:t>
      </w:r>
    </w:p>
    <w:p>
      <w:pPr>
        <w:pStyle w:val="Heading3"/>
      </w:pPr>
      <w:r>
        <w:t>161.11.3. Pièges pédagogiques du chapitre 161</w:t>
      </w:r>
    </w:p>
    <w:p>
      <w:pPr>
        <w:pStyle w:val="ListBullet"/>
      </w:pPr>
      <w:r/>
      <w:r>
        <w:rPr>
          <w:b/>
        </w:rPr>
        <w:t>Piège 1 :</w:t>
      </w:r>
      <w:r>
        <w:t xml:space="preserve"> Femme enceinte achetant un complément de vitamine A importé (huile de foie de morue, AROVIT) sans prescription médicale → interroger systématiquement la patiente sur le statut gestationnel, le contenu du complément en UI de rétinol, et orienter vers le médecin en cas de dose &gt; 2 500 UI/jour.</w:t>
      </w:r>
    </w:p>
    <w:p>
      <w:pPr>
        <w:pStyle w:val="ListBullet"/>
      </w:pPr>
      <w:r/>
      <w:r>
        <w:rPr>
          <w:b/>
        </w:rPr>
        <w:t>Piège 2 :</w:t>
      </w:r>
      <w:r>
        <w:t xml:space="preserve"> Patient âgé sous AVK + IDEOS (vitamine D3 + calcium) sans surveillance INR → l'association ne pose pas de problème direct mais l'ajout d'une ampoule de vitamine D3 200 000 UI doit être documenté.</w:t>
      </w:r>
    </w:p>
    <w:p>
      <w:pPr>
        <w:pStyle w:val="ListBullet"/>
      </w:pPr>
      <w:r/>
      <w:r>
        <w:rPr>
          <w:b/>
        </w:rPr>
        <w:t>Piège 3 :</w:t>
      </w:r>
      <w:r>
        <w:t xml:space="preserve"> Patient dialysé sous IDEOS → INEFFICACE (la 1α-hydroxylation rénale est déficiente) → orienter vers néphrologue pour alfacalcidol.</w:t>
      </w:r>
    </w:p>
    <w:p>
      <w:pPr>
        <w:pStyle w:val="ListBullet"/>
      </w:pPr>
      <w:r/>
      <w:r>
        <w:rPr>
          <w:b/>
        </w:rPr>
        <w:t>Piège 4 :</w:t>
      </w:r>
      <w:r>
        <w:t xml:space="preserve"> Confusion des dosages d'alfacalcidol 0,25 µg vs 1 µg → facteur 4 ; toujours vérifier l'ordonnance avant délivrance.</w:t>
      </w:r>
    </w:p>
    <w:p>
      <w:pPr>
        <w:pStyle w:val="ListBullet"/>
      </w:pPr>
      <w:r/>
      <w:r>
        <w:rPr>
          <w:b/>
        </w:rPr>
        <w:t>Piège 5 :</w:t>
      </w:r>
      <w:r>
        <w:t xml:space="preserve"> Conversion µg ↔ UI pour le calcifédiol (DEDROGYL) → 1 µg ≈ 40 UI ; 5 µg/goutte ≈ 200 UI/goutte.</w:t>
      </w:r>
    </w:p>
    <w:p>
      <w:pPr>
        <w:pStyle w:val="ListBullet"/>
      </w:pPr>
      <w:r/>
      <w:r>
        <w:rPr>
          <w:b/>
        </w:rPr>
        <w:t>Piège 6 :</w:t>
      </w:r>
      <w:r>
        <w:t xml:space="preserve"> Patient sous AVK demandant de la vitamine E pour "santé cardiovasculaire" → surveillance INR indispensable si dose &gt; 400 mg/jour ; informer du risque hémorragique additif.</w:t>
      </w:r>
    </w:p>
    <w:p>
      <w:pPr>
        <w:pStyle w:val="ListBullet"/>
      </w:pPr>
      <w:r/>
      <w:r>
        <w:rPr>
          <w:b/>
        </w:rPr>
        <w:t>Piège 7 :</w:t>
      </w:r>
      <w:r>
        <w:t xml:space="preserve"> Patient revenant de l'étranger avec une ampoule de calcitriol (ROCALTROL) → non disponible en Algérie, orienter vers alfacalcidol (UN-ALFA, SUPRA CALCI).</w:t>
      </w:r>
    </w:p>
    <w:p>
      <w:pPr>
        <w:pStyle w:val="ListBullet"/>
      </w:pPr>
      <w:r/>
      <w:r>
        <w:rPr>
          <w:b/>
        </w:rPr>
        <w:t>Piège 8 :</w:t>
      </w:r>
      <w:r>
        <w:t xml:space="preserve"> Femme allaitante demandant si elle peut prendre de la vitamine D3 200 000 UI (ampoule trimestrielle) → OUI, compatible avec l'allaitement, surveillance clinique de l'enfant (fontanelle, calcémie).</w:t>
      </w:r>
    </w:p>
    <w:p>
      <w:pPr>
        <w:pStyle w:val="ListBullet"/>
      </w:pPr>
      <w:r/>
      <w:r>
        <w:rPr>
          <w:b/>
        </w:rPr>
        <w:t>Piège 9 :</w:t>
      </w:r>
      <w:r>
        <w:t xml:space="preserve"> Patient présentant un INR qui ne descend pas malgré administration répétée de phytoménadione → suspicion de surdosage en rodenticide anticoagulant (superwarfarine — bromadiolone, brodifacoum) ; doses massives prolongées nécessaires (50-100 mg/jour pendant semaines-mois).</w:t>
      </w:r>
    </w:p>
    <w:p>
      <w:pPr>
        <w:pStyle w:val="ListBullet"/>
      </w:pPr>
      <w:r/>
      <w:r>
        <w:rPr>
          <w:b/>
        </w:rPr>
        <w:t>Piège 10 :</w:t>
      </w:r>
      <w:r>
        <w:t xml:space="preserve"> Patiente enceinte sous warfarine (AVK) → AVK TÉRATOGÈNE au 1er trimestre (syndrome warfarinique) et hémorragique au 3e trimestre → relais obligatoire par HBPM pendant toute la grossesse. La phytoménadione ne peut pas être utilisée en préventif.</w:t>
      </w:r>
    </w:p>
    <w:p>
      <w:pPr>
        <w:pStyle w:val="ListBullet"/>
      </w:pPr>
      <w:r/>
      <w:r>
        <w:rPr>
          <w:b/>
        </w:rPr>
        <w:t>Piège 11 :</w:t>
      </w:r>
      <w:r>
        <w:t xml:space="preserve"> Patient sous amiodarone (Cordarone) présentant une hyperthyroïdie → surveillance accrue de la calcémie et de la 25-OH-D, la carence vitaminique D est fréquente en cas de traitement prolongé par amiodarone (interférence avec le métabolisme vitaminique D).</w:t>
      </w:r>
    </w:p>
    <w:p>
      <w:pPr>
        <w:pStyle w:val="ListBullet"/>
      </w:pPr>
      <w:r/>
      <w:r>
        <w:rPr>
          <w:b/>
        </w:rPr>
        <w:t>Piège 12 :</w:t>
      </w:r>
      <w:r>
        <w:t xml:space="preserve"> Patient sous antiépileptiques inducteurs (phénobarbital, phénytoïne, carbamazépine) → carence vitaminique D systématique, majoration posologique à 2 000-4 000 UI/jour.</w:t>
      </w:r>
    </w:p>
    <w:p>
      <w:pPr>
        <w:pStyle w:val="ListBullet"/>
      </w:pPr>
      <w:r/>
      <w:r>
        <w:rPr>
          <w:b/>
        </w:rPr>
        <w:t>Piège 13 :</w:t>
      </w:r>
      <w:r>
        <w:t xml:space="preserve"> Patient présentant une ostéoporose fracturaire récente (tassement vertébral, fracture du col fémoral) → supplémentation D3 + calcium à renforcer (2 cp IDEOS/jour) ; vérifier statut 25-OH-D avant reprise de marche.</w:t>
      </w:r>
    </w:p>
    <w:p>
      <w:pPr>
        <w:pStyle w:val="Heading3"/>
      </w:pPr>
      <w:r>
        <w:t>161.11.4. Règle d'or finale du chapitre 161</w:t>
      </w:r>
    </w:p>
    <w:p>
      <w:pPr>
        <w:ind w:left="567"/>
      </w:pPr>
      <w:r>
        <w:rPr>
          <w:i/>
          <w:color w:val="606060"/>
        </w:rPr>
        <w:t>« Toute supplémentation en vitamine liposoluble doit être précédée d'une évaluation clinique et biologique du statut vitaminique du patient. Les vitamines liposolubles (A, D, E, K) sont stockées dans l'organisme (foie, tissu adipeux) et leur excès peut être aussi délétère que leur carence : hypervitaminose A tératogène, hypervitaminose D hypercalcémiante, hypervitaminose E hémorragique (potentialisation AVK), hypervitaminose K thrombotique paradoxale (antagonisation AVK). Le pharmacien d'officine algérien est le garant de la bonne utilisation de ces molécules : il vérifie la prescription, informe le patient, repère les interactions médicamenteuses et les situations à risque (grossesse, allaitement, insuffisance rénale, AVK), et oriente vers le médecin spécialiste en cas de doute. »</w:t>
      </w:r>
    </w:p>
    <w:p>
      <w:pPr>
        <w:pStyle w:val="Heading2"/>
      </w:pPr>
      <w:r>
        <w:t>161.12. Conclusion du chapitre 161</w:t>
      </w:r>
    </w:p>
    <w:p>
      <w:r>
        <w:t>Le chapitre 161 a permis de couvrir de manière exhaustive les sept DCI de vitamines liposolubles disponibles dans la nomenclature algérienne (Avril 2026) : rétinol (vitamine A), ergocalciférol (vitamine D2), colecalciferol + calcium (vitamine D3 + calcium), alfacalcidol (métabolite 1α-hydroxylé), calcifédiol (métabolite 25-hydroxylé), tocophérol (vitamine E), phytoménadione (vitamine K1). Chaque DCI a été traitée selon une grille de 12 sections uniformisée, intégrant la liste des catégories pharmaco-thérapeutiques, le tableau commercial exhaustif des spécialités algériennes au format réglementaire obligatoire (Nom Commercial | Laboratoire | Forme et Dosage | Conditionnement | Liste | Statut), le mécanisme d'action moléculaire détaillé, le profil pharmacocinétique complet, les indications thérapeutiques validées, la posologie adulte-pédiatrique-grossesse, les contre-indications, les effets indésirables et leur prévention, les interactions médicamenteuses critiques, la grossesse-allaitement selon le CRAT, les formes galéniques disponibles en Algérie, les conseils au patient, et les pièges au comptoir.</w:t>
      </w:r>
    </w:p>
    <w:p>
      <w:r>
        <w:t xml:space="preserve">Les points critiques du chapitre ont été particulièrement développés : la </w:t>
      </w:r>
      <w:r>
        <w:rPr>
          <w:b/>
        </w:rPr>
        <w:t>tératogénicité de la vitamine A</w:t>
      </w:r>
      <w:r>
        <w:t xml:space="preserve"> à dose pharmacologique chez la femme enceinte, la </w:t>
      </w:r>
      <w:r>
        <w:rPr>
          <w:b/>
        </w:rPr>
        <w:t>pandémie de carence vitaminique D</w:t>
      </w:r>
      <w:r>
        <w:t xml:space="preserve"> en Algérie justifiant une supplémentation systématique des populations à risque (femmes enceintes, nourrissons, sujets âgés institutionnalisés, sujets voilées, peaux mélanodermiques), la </w:t>
      </w:r>
      <w:r>
        <w:rPr>
          <w:b/>
        </w:rPr>
        <w:t>surveillance biologique obligatoire</w:t>
      </w:r>
      <w:r>
        <w:t xml:space="preserve"> sous alfacalcidol (calcémie, phosphatémie, calciurie, PTH intacte), les </w:t>
      </w:r>
      <w:r>
        <w:rPr>
          <w:b/>
        </w:rPr>
        <w:t>interactions AVK + vitamine E</w:t>
      </w:r>
      <w:r>
        <w:t xml:space="preserve"> justifiant une surveillance accrue de l'INR, et le rôle de la </w:t>
      </w:r>
      <w:r>
        <w:rPr>
          <w:b/>
        </w:rPr>
        <w:t>phytoménadione comme antidote spécifique des AVK</w:t>
      </w:r>
      <w:r>
        <w:t xml:space="preserve"> (à l'exclusion des anticoagulants oraux directs). Le pharmacien d'officine algérien dispose désormais d'une fiche opérationnelle pour chaque prescription, intégrant les particularités du marché national (disponibilité, dosages, laboratoires), les modalités de surveillance biologique, les précautions de dispensation, et la conduite à tenir en cas d'effet indésirable ou de situation clinique particulière.</w:t>
      </w:r>
    </w:p>
    <w:p>
      <w:r>
        <w:t>Les sources bibliographiques mobilisées incluent le VIDAL 2025, les Résumés des Caractéristiques du Produit (RCP) validés par l'ANSM et l'EMA, la base Thériaque (CNHIM), le Centre de Renseignements sur les Agents Tératogènes (CRAT — Hôpital Armand-Trousseau, Paris), les recommandations de l'Endocrine Society (Clinical Practice Guidelines on Vitamin D, 2011, révisées 2024), de la HAS (Haute Autorité de Santé), de la Société Algérienne de Rhumatologie, de l'ESPGHAN (European Society for Paediatric Gastroenterology Hepatology and Nutrition), de l'OMS pour la supplémentation en vitamine A chez l'enfant et la prophylaxie néonatale de la maladie hémorragique, de la KDIGO sur l'ostéodystrophie rénale, et de l'UpToDate. La nomenclature algérienne des médicaments (Avril 2026) a fourni les données exhaustives des spécialités disponibles (actifs, non renouvelables, retirés).</w:t>
      </w:r>
    </w:p>
    <w:p>
      <w:r>
        <w:t>Le chapitre suivant (chapitre 162) traitera des vitamines hydrosolubles (vitamine C, vitamines du groupe B — thiamine, riboflavine, pyridoxine, cobalamine, acide folique, nicotinamide, acide pantothénique, biotine), dont les particularités pharmacocinétiques (absorption sodium-dépendante, stockage limité, élimination rénale rapide) et les indications cliniques (anémie mégaloblastique, neuropathies périphériques, carence alcoolique, grossesse — acide folique prévention primaire des anomalies de fermeture du tube neural) méritent un traitement distinct mais complémentaire.</w:t>
      </w:r>
    </w:p>
    <w:p>
      <w:pPr>
        <w:pStyle w:val="Heading2"/>
      </w:pPr>
      <w:r>
        <w:t>Sources et références bibliographiques</w:t>
      </w:r>
    </w:p>
    <w:p>
      <w:pPr>
        <w:pStyle w:val="ListNumber"/>
      </w:pPr>
      <w:r/>
      <w:r>
        <w:rPr>
          <w:b/>
        </w:rPr>
        <w:t>VIDAL 2025</w:t>
      </w:r>
      <w:r>
        <w:t xml:space="preserve"> — Dictionnaire des spécialités pharmaceutiques. Éditions VIDAL, Issy-les-Moulineaux.</w:t>
      </w:r>
    </w:p>
    <w:p>
      <w:pPr>
        <w:pStyle w:val="ListNumber"/>
      </w:pPr>
      <w:r/>
      <w:r>
        <w:rPr>
          <w:b/>
        </w:rPr>
        <w:t>ANSM (Agence Nationale de Sécurité du Médicament et des Produits de Santé)</w:t>
      </w:r>
      <w:r>
        <w:t xml:space="preserve"> — Résumés des Caractéristiques du Produit (RCP) des spécialités françaises et européennes commercialisées.</w:t>
      </w:r>
    </w:p>
    <w:p>
      <w:pPr>
        <w:pStyle w:val="ListNumber"/>
      </w:pPr>
      <w:r/>
      <w:r>
        <w:rPr>
          <w:b/>
        </w:rPr>
        <w:t>EMA (European Medicines Agency)</w:t>
      </w:r>
      <w:r>
        <w:t xml:space="preserve"> — Résumés EPAR (European Public Assessment Reports) des spécialités européennes.</w:t>
      </w:r>
    </w:p>
    <w:p>
      <w:pPr>
        <w:pStyle w:val="ListNumber"/>
      </w:pPr>
      <w:r/>
      <w:r>
        <w:rPr>
          <w:b/>
        </w:rPr>
        <w:t>Thériaque (CNHIM — Centre National Hospitalier d'Information sur le Médicament)</w:t>
      </w:r>
      <w:r>
        <w:t xml:space="preserve"> — Base de données française des interactions médicamenteuses, contre-indications et effets indésirables.</w:t>
      </w:r>
    </w:p>
    <w:p>
      <w:pPr>
        <w:pStyle w:val="ListNumber"/>
      </w:pPr>
      <w:r/>
      <w:r>
        <w:rPr>
          <w:b/>
        </w:rPr>
        <w:t>CRAT (Centre de Renseignements sur les Agents Tératogènes)</w:t>
      </w:r>
      <w:r>
        <w:t xml:space="preserve"> — Hôpital Armand-Trousseau, Paris. Fiches sur la vitamine A (rétinol), la vitamine D (cholécalciférol et métabolites), la vitamine E (α-tocophérol), la vitamine K (phytoménadione). Mises à jour régulières sur le site crat.fr.</w:t>
      </w:r>
    </w:p>
    <w:p>
      <w:pPr>
        <w:pStyle w:val="ListNumber"/>
      </w:pPr>
      <w:r/>
      <w:r>
        <w:rPr>
          <w:b/>
        </w:rPr>
        <w:t>Endocrine Society Clinical Practice Guidelines</w:t>
      </w:r>
      <w:r>
        <w:t xml:space="preserve"> — Evaluation, Treatment, and Prevention of Vitamin D Deficiency (2011, révisées 2024). Holick MF et al., J Clin Endocrinol Metab.</w:t>
      </w:r>
    </w:p>
    <w:p>
      <w:pPr>
        <w:pStyle w:val="ListNumber"/>
      </w:pPr>
      <w:r/>
      <w:r>
        <w:rPr>
          <w:b/>
        </w:rPr>
        <w:t>HAS (Haute Autorité de Santé)</w:t>
      </w:r>
      <w:r>
        <w:t xml:space="preserve"> — Recommandations sur l'ostéoporose post-ménopausique, la supplémentation vitaminique D chez la femme enceinte et le sujet âgé.</w:t>
      </w:r>
    </w:p>
    <w:p>
      <w:pPr>
        <w:pStyle w:val="ListNumber"/>
      </w:pPr>
      <w:r/>
      <w:r>
        <w:rPr>
          <w:b/>
        </w:rPr>
        <w:t>OMS (Organisation Mondiale de la Santé)</w:t>
      </w:r>
      <w:r>
        <w:t xml:space="preserve"> — Recommandations sur la supplémentation en vitamine A chez l'enfant (1996, mises à jour 2009 et 2011), sur la prophylaxie néonatale de la maladie hémorragique (2009), sur la supplémentation en vitamine D pendant la grossesse (2012).</w:t>
      </w:r>
    </w:p>
    <w:p>
      <w:pPr>
        <w:pStyle w:val="ListNumber"/>
      </w:pPr>
      <w:r/>
      <w:r>
        <w:rPr>
          <w:b/>
        </w:rPr>
        <w:t>ESPGHAN (European Society for Paediatric Gastroenterology Hepatology and Nutrition)</w:t>
      </w:r>
      <w:r>
        <w:t xml:space="preserve"> — Recommandations sur la supplémentation vitaminique D chez le nourrisson et l'enfant (2020).</w:t>
      </w:r>
    </w:p>
    <w:p>
      <w:pPr>
        <w:pStyle w:val="ListNumber"/>
      </w:pPr>
      <w:r/>
      <w:r>
        <w:rPr>
          <w:b/>
        </w:rPr>
        <w:t>KDIGO (Kidney Disease: Improving Global Outcomes)</w:t>
      </w:r>
      <w:r>
        <w:t xml:space="preserve"> — Lignes directrices sur l'ostéodystrophie rénale (CKD-MBD), 2017 révisées 2024.</w:t>
      </w:r>
    </w:p>
    <w:p>
      <w:pPr>
        <w:pStyle w:val="ListNumber"/>
      </w:pPr>
      <w:r/>
      <w:r>
        <w:rPr>
          <w:b/>
        </w:rPr>
        <w:t>Société Algérienne de Rhumatologie</w:t>
      </w:r>
      <w:r>
        <w:t xml:space="preserve"> — Recommandations algériennes sur la prise en charge de l'ostéoporose post-ménopausique.</w:t>
      </w:r>
    </w:p>
    <w:p>
      <w:pPr>
        <w:pStyle w:val="ListNumber"/>
      </w:pPr>
      <w:r/>
      <w:r>
        <w:rPr>
          <w:b/>
        </w:rPr>
        <w:t>Société Algérienne de Pédiatrie</w:t>
      </w:r>
      <w:r>
        <w:t xml:space="preserve"> — Recommandations algériennes sur la supplémentation vitaminique D chez le nourrisson et l'enfant.</w:t>
      </w:r>
    </w:p>
    <w:p>
      <w:pPr>
        <w:pStyle w:val="ListNumber"/>
      </w:pPr>
      <w:r/>
      <w:r>
        <w:rPr>
          <w:b/>
        </w:rPr>
        <w:t>UpToDate</w:t>
      </w:r>
      <w:r>
        <w:t xml:space="preserve"> — Topics on vitamin A, vitamin D, vitamin E, vitamin K deficiency and toxicity ; "Vitamins" module.</w:t>
      </w:r>
    </w:p>
    <w:p>
      <w:pPr>
        <w:pStyle w:val="ListNumber"/>
      </w:pPr>
      <w:r/>
      <w:r>
        <w:rPr>
          <w:b/>
        </w:rPr>
        <w:t>Nomenclature algérienne des médicaments (Avril 2026)</w:t>
      </w:r>
      <w:r>
        <w:t xml:space="preserve"> — Fichier « COMPLETE LISTE », 9 511 entrées, 2 237 DCIs uniques. Données extraites par l'orchestrateur du Fascicule XVII.</w:t>
      </w:r>
    </w:p>
    <w:p>
      <w:r/>
      <w:r>
        <w:rPr>
          <w:i/>
        </w:rPr>
        <w:t>Fin du chapitre 161 — Vitamines liposolubles : A, D (D2, D3, métabolites), E, K.</w:t>
      </w:r>
      <w:r/>
    </w:p>
    <w:p>
      <w:pPr>
        <w:pStyle w:val="Heading1"/>
      </w:pPr>
      <w:r>
        <w:t>Fascicule XVII — Vitamines et Minéraux</w:t>
      </w:r>
    </w:p>
    <w:p>
      <w:pPr>
        <w:pStyle w:val="Heading2"/>
      </w:pPr>
      <w:r>
        <w:t>Chapitre 162 — Vitamines hydrosolubles (Groupe B et Vitamine C)</w:t>
      </w:r>
    </w:p>
    <w:p>
      <w:pPr>
        <w:pStyle w:val="Heading2"/>
      </w:pPr>
      <w:r>
        <w:t>Sommaire du chapitre 162</w:t>
      </w:r>
    </w:p>
    <w:p>
      <w:pPr>
        <w:pStyle w:val="ListBullet"/>
      </w:pPr>
      <w:r>
        <w:t>162.1. Introduction générale — Les vitamines hydrosolubles dans la pratique clinique algérienne</w:t>
      </w:r>
    </w:p>
    <w:p>
      <w:pPr>
        <w:pStyle w:val="ListBullet"/>
      </w:pPr>
      <w:r>
        <w:t>162.2. Sous-classe : Vitamine B1 (Thiamine)</w:t>
      </w:r>
    </w:p>
    <w:p>
      <w:pPr>
        <w:pStyle w:val="ListBullet"/>
      </w:pPr>
      <w:r>
        <w:t>162.3. Sous-classe : Vitamine B2 (Riboflavine)</w:t>
      </w:r>
    </w:p>
    <w:p>
      <w:pPr>
        <w:pStyle w:val="ListBullet"/>
      </w:pPr>
      <w:r>
        <w:t>162.4. Sous-classe : Vitamine B6 (Pyridoxine)</w:t>
      </w:r>
    </w:p>
    <w:p>
      <w:pPr>
        <w:pStyle w:val="ListBullet"/>
      </w:pPr>
      <w:r>
        <w:t>162.5. Sous-classe : Vitamine B12 (Cyanocobalamine)</w:t>
      </w:r>
    </w:p>
    <w:p>
      <w:pPr>
        <w:pStyle w:val="ListBullet"/>
      </w:pPr>
      <w:r>
        <w:t>162.6. Sous-classe : Vitamine B3/PP (Niacine, Nicotinamide)</w:t>
      </w:r>
    </w:p>
    <w:p>
      <w:pPr>
        <w:pStyle w:val="ListBullet"/>
      </w:pPr>
      <w:r>
        <w:t>162.7. Sous-classe : Vitamine B5 (Dexpanthénol, Acide pantothénique)</w:t>
      </w:r>
    </w:p>
    <w:p>
      <w:pPr>
        <w:pStyle w:val="ListBullet"/>
      </w:pPr>
      <w:r>
        <w:t>162.8. Sous-classe : Vitamine B9 ± Fer (Acide folique, Folates)</w:t>
      </w:r>
    </w:p>
    <w:p>
      <w:pPr>
        <w:pStyle w:val="ListBullet"/>
      </w:pPr>
      <w:r>
        <w:t>162.9. Sous-classe : Acide folinique (Folinate de calcium — rescue)</w:t>
      </w:r>
    </w:p>
    <w:p>
      <w:pPr>
        <w:pStyle w:val="ListBullet"/>
      </w:pPr>
      <w:r>
        <w:t>162.10. Sous-classe : Vitamine B8/H (Biotine)</w:t>
      </w:r>
    </w:p>
    <w:p>
      <w:pPr>
        <w:pStyle w:val="ListBullet"/>
      </w:pPr>
      <w:r>
        <w:t>162.11. Sous-classe : Vitamine C (Acide ascorbique)</w:t>
      </w:r>
    </w:p>
    <w:p>
      <w:pPr>
        <w:pStyle w:val="ListBullet"/>
      </w:pPr>
      <w:r>
        <w:t>162.12. Fiches DCI (9)</w:t>
      </w:r>
    </w:p>
    <w:p>
      <w:pPr>
        <w:pStyle w:val="ListBullet"/>
      </w:pPr>
      <w:r>
        <w:t>162.12.1. Thiamine (Vitamine B1)</w:t>
      </w:r>
    </w:p>
    <w:p>
      <w:pPr>
        <w:pStyle w:val="ListBullet"/>
      </w:pPr>
      <w:r>
        <w:t>162.12.2. Riboflavine (Vitamine B2)</w:t>
      </w:r>
    </w:p>
    <w:p>
      <w:pPr>
        <w:pStyle w:val="ListBullet"/>
      </w:pPr>
      <w:r>
        <w:t>162.12.3. Pyridoxine (Vitamine B6)</w:t>
      </w:r>
    </w:p>
    <w:p>
      <w:pPr>
        <w:pStyle w:val="ListBullet"/>
      </w:pPr>
      <w:r>
        <w:t>162.12.4. Cyanocobalamine (Vitamine B12)</w:t>
      </w:r>
    </w:p>
    <w:p>
      <w:pPr>
        <w:pStyle w:val="ListBullet"/>
      </w:pPr>
      <w:r>
        <w:t>162.12.5. Dexpanthénol (Vitamine B5)</w:t>
      </w:r>
    </w:p>
    <w:p>
      <w:pPr>
        <w:pStyle w:val="ListBullet"/>
      </w:pPr>
      <w:r>
        <w:t>162.12.6. Acide folique (Vitamine B9) ± Fer</w:t>
      </w:r>
    </w:p>
    <w:p>
      <w:pPr>
        <w:pStyle w:val="ListBullet"/>
      </w:pPr>
      <w:r>
        <w:t>162.12.7. Folinate de calcium (Acide folinique)</w:t>
      </w:r>
    </w:p>
    <w:p>
      <w:pPr>
        <w:pStyle w:val="ListBullet"/>
      </w:pPr>
      <w:r>
        <w:t>162.12.8. Biotine (Vitamine B8/H)</w:t>
      </w:r>
    </w:p>
    <w:p>
      <w:pPr>
        <w:pStyle w:val="ListBullet"/>
      </w:pPr>
      <w:r>
        <w:t>162.12.9. Acide ascorbique (Vitamine C)</w:t>
      </w:r>
    </w:p>
    <w:p>
      <w:pPr>
        <w:pStyle w:val="ListBullet"/>
      </w:pPr>
      <w:r>
        <w:t>162.13. Tableau comparatif des vitamines hydrosolubles disponibles en Algérie</w:t>
      </w:r>
    </w:p>
    <w:p>
      <w:pPr>
        <w:pStyle w:val="ListBullet"/>
      </w:pPr>
      <w:r>
        <w:t>162.14. Synthèse pédagogique pour la pratique officinale et clinique algérienne</w:t>
      </w:r>
    </w:p>
    <w:p>
      <w:pPr>
        <w:pStyle w:val="ListBullet"/>
      </w:pPr>
      <w:r>
        <w:t>162.15. Conclusion du chapitre 162</w:t>
      </w:r>
    </w:p>
    <w:p>
      <w:pPr>
        <w:pStyle w:val="Heading2"/>
      </w:pPr>
      <w:r>
        <w:t>162.1. Introduction générale — Les vitamines hydrosolubles dans la pratique clinique algérienne</w:t>
      </w:r>
    </w:p>
    <w:p>
      <w:pPr>
        <w:pStyle w:val="Heading3"/>
      </w:pPr>
      <w:r>
        <w:t>Place du chapitre 162 dans le Fascicule XVII</w:t>
      </w:r>
    </w:p>
    <w:p>
      <w:r>
        <w:t xml:space="preserve">Le chapitre 162 occupe une position centrale dans le Fascicule XVII consacré à la pharmacologie des vitamines et minéraux. Après le chapitre 161 traitant des vitamines liposolubles (A, D, E, K) — vitamines à stockage tissulaire, à index thérapeutique étroit pour A et D, et à toxicité chronique bien documentée — le chapitre 162 aborde le second grand groupe vitaminique : les </w:t>
      </w:r>
      <w:r>
        <w:rPr>
          <w:b/>
        </w:rPr>
        <w:t>vitamines hydrosolubles</w:t>
      </w:r>
      <w:r>
        <w:t>, c'est-à-dire les vitamines du complexe B (B1, B2, B3/PP, B5, B6, B8/H, B9, B12) et la vitamine C (acide ascorbique). À la différence des vitamines liposolubles, les vitamines hydrosolubles ne sont pas stockées en quantité significative dans l'organisme (à l'exception notable de la vitamine B12, dont les réserves hépatiques permettent de couvrir 3 à 5 ans de besoins), et leur excès est rapidement éliminé par voie urinaire. Cette caractéristique pharmacocinétique impose un apport alimentaire quotidien régulier et explique l'installation relativement rapide d'états carentiels en cas de dénutrition, de malabsorption ou d'augmentation des besoins (grossesse, allaitement, croissance, hypermétabolisme).</w:t>
      </w:r>
    </w:p>
    <w:p>
      <w:pPr>
        <w:pStyle w:val="Heading3"/>
      </w:pPr>
      <w:r>
        <w:t>Définition et classification des vitamines hydrosolubles</w:t>
      </w:r>
    </w:p>
    <w:p>
      <w:r>
        <w:t xml:space="preserve">Les vitamines hydrosolubles constituent un groupe hétérogène de composés organiques de bas poids moléculaire, sans parenté chimique stricte mais réunis par plusieurs caractéristiques communes : (i) leur solubilité dans l'eau (et non dans les lipides), (ii) leur rôle exclusif de </w:t>
      </w:r>
      <w:r>
        <w:rPr>
          <w:b/>
        </w:rPr>
        <w:t>cofacteurs enzymatiques</w:t>
      </w:r>
      <w:r>
        <w:t xml:space="preserve"> ou de </w:t>
      </w:r>
      <w:r>
        <w:rPr>
          <w:b/>
        </w:rPr>
        <w:t>précurseurs de cofacteurs</w:t>
      </w:r>
      <w:r>
        <w:t>, (iii) leur absorption intestinale par transporteurs membranaires spécifiques (SVCT pour la vitamine C, THTR-1/THTR-2 pour la thiamine, RFC et PCFT pour les folates, etc.), (iv) leur absence de stockage tissulaire significatif (sauf B12) et leur élimination urinaire rapide, (v) leur toxicité aiguë faible mais leur toxicité chronique bien identifiée à doses pharmacologiques (neuropathie périphérique pour B6, oxalose pour vitamine C, flushing pour B3/PP). Le tableau ci-dessous résume la classification des vitamines hydrosolubles traitées dans ce chapitre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Numéro</w:t>
            </w:r>
          </w:p>
        </w:tc>
        <w:tc>
          <w:tcPr>
            <w:tcW w:type="dxa" w:w="2339"/>
          </w:tcPr>
          <w:p>
            <w:r>
              <w:rPr>
                <w:b/>
                <w:sz w:val="20"/>
              </w:rPr>
              <w:t>Dénomination</w:t>
            </w:r>
          </w:p>
        </w:tc>
        <w:tc>
          <w:tcPr>
            <w:tcW w:type="dxa" w:w="2339"/>
          </w:tcPr>
          <w:p>
            <w:r>
              <w:rPr>
                <w:b/>
                <w:sz w:val="20"/>
              </w:rPr>
              <w:t>Forme active</w:t>
            </w:r>
          </w:p>
        </w:tc>
        <w:tc>
          <w:tcPr>
            <w:tcW w:type="dxa" w:w="2339"/>
          </w:tcPr>
          <w:p>
            <w:r>
              <w:rPr>
                <w:b/>
                <w:sz w:val="20"/>
              </w:rPr>
              <w:t>Rôle physiologique principal</w:t>
            </w:r>
          </w:p>
        </w:tc>
      </w:tr>
      <w:tr>
        <w:tc>
          <w:tcPr>
            <w:tcW w:type="dxa" w:w="2339"/>
          </w:tcPr>
          <w:p>
            <w:r>
              <w:rPr>
                <w:sz w:val="20"/>
              </w:rPr>
              <w:t>B1</w:t>
            </w:r>
          </w:p>
        </w:tc>
        <w:tc>
          <w:tcPr>
            <w:tcW w:type="dxa" w:w="2339"/>
          </w:tcPr>
          <w:p>
            <w:r>
              <w:rPr>
                <w:sz w:val="20"/>
              </w:rPr>
              <w:t>Thiamine</w:t>
            </w:r>
          </w:p>
        </w:tc>
        <w:tc>
          <w:tcPr>
            <w:tcW w:type="dxa" w:w="2339"/>
          </w:tcPr>
          <w:p>
            <w:r>
              <w:rPr>
                <w:sz w:val="20"/>
              </w:rPr>
              <w:t>Thiamine pyrophosphate (TPP)</w:t>
            </w:r>
          </w:p>
        </w:tc>
        <w:tc>
          <w:tcPr>
            <w:tcW w:type="dxa" w:w="2339"/>
          </w:tcPr>
          <w:p>
            <w:r>
              <w:rPr>
                <w:sz w:val="20"/>
              </w:rPr>
              <w:t>Cofacteur de la pyruvate déshydrogénase, α-cétoglutarate DH, transkétolase → production d'acétyl-CoA et d'énergie</w:t>
            </w:r>
          </w:p>
        </w:tc>
      </w:tr>
      <w:tr>
        <w:tc>
          <w:tcPr>
            <w:tcW w:type="dxa" w:w="2339"/>
          </w:tcPr>
          <w:p>
            <w:r>
              <w:rPr>
                <w:sz w:val="20"/>
              </w:rPr>
              <w:t>B2</w:t>
            </w:r>
          </w:p>
        </w:tc>
        <w:tc>
          <w:tcPr>
            <w:tcW w:type="dxa" w:w="2339"/>
          </w:tcPr>
          <w:p>
            <w:r>
              <w:rPr>
                <w:sz w:val="20"/>
              </w:rPr>
              <w:t>Riboflavine</w:t>
            </w:r>
          </w:p>
        </w:tc>
        <w:tc>
          <w:tcPr>
            <w:tcW w:type="dxa" w:w="2339"/>
          </w:tcPr>
          <w:p>
            <w:r>
              <w:rPr>
                <w:sz w:val="20"/>
              </w:rPr>
              <w:t>FMN, FAD</w:t>
            </w:r>
          </w:p>
        </w:tc>
        <w:tc>
          <w:tcPr>
            <w:tcW w:type="dxa" w:w="2339"/>
          </w:tcPr>
          <w:p>
            <w:r>
              <w:rPr>
                <w:sz w:val="20"/>
              </w:rPr>
              <w:t>Cofacteur des oxydoréductases (flavoprotéines), glutathion réductase, chaîne respiratoire mitochondriale</w:t>
            </w:r>
          </w:p>
        </w:tc>
      </w:tr>
      <w:tr>
        <w:tc>
          <w:tcPr>
            <w:tcW w:type="dxa" w:w="2339"/>
          </w:tcPr>
          <w:p>
            <w:r>
              <w:rPr>
                <w:sz w:val="20"/>
              </w:rPr>
              <w:t>B3/PP</w:t>
            </w:r>
          </w:p>
        </w:tc>
        <w:tc>
          <w:tcPr>
            <w:tcW w:type="dxa" w:w="2339"/>
          </w:tcPr>
          <w:p>
            <w:r>
              <w:rPr>
                <w:sz w:val="20"/>
              </w:rPr>
              <w:t>Niacine / Nicotinamide</w:t>
            </w:r>
          </w:p>
        </w:tc>
        <w:tc>
          <w:tcPr>
            <w:tcW w:type="dxa" w:w="2339"/>
          </w:tcPr>
          <w:p>
            <w:r>
              <w:rPr>
                <w:sz w:val="20"/>
              </w:rPr>
              <w:t>NAD⁺, NADH, NADP⁺, NADPH</w:t>
            </w:r>
          </w:p>
        </w:tc>
        <w:tc>
          <w:tcPr>
            <w:tcW w:type="dxa" w:w="2339"/>
          </w:tcPr>
          <w:p>
            <w:r>
              <w:rPr>
                <w:sz w:val="20"/>
              </w:rPr>
              <w:t>Cofacteur de plus de 400 oxydoréductases, transfert d'électrons, défense antioxydante (NADPH), réparation de l'ADN (PARP)</w:t>
            </w:r>
          </w:p>
        </w:tc>
      </w:tr>
      <w:tr>
        <w:tc>
          <w:tcPr>
            <w:tcW w:type="dxa" w:w="2339"/>
          </w:tcPr>
          <w:p>
            <w:r>
              <w:rPr>
                <w:sz w:val="20"/>
              </w:rPr>
              <w:t>B5</w:t>
            </w:r>
          </w:p>
        </w:tc>
        <w:tc>
          <w:tcPr>
            <w:tcW w:type="dxa" w:w="2339"/>
          </w:tcPr>
          <w:p>
            <w:r>
              <w:rPr>
                <w:sz w:val="20"/>
              </w:rPr>
              <w:t>Acide pantothénique → Coenzyme A</w:t>
            </w:r>
          </w:p>
        </w:tc>
        <w:tc>
          <w:tcPr>
            <w:tcW w:type="dxa" w:w="2339"/>
          </w:tcPr>
          <w:p>
            <w:r>
              <w:rPr>
                <w:sz w:val="20"/>
              </w:rPr>
              <w:t>CoA, ACP</w:t>
            </w:r>
          </w:p>
        </w:tc>
        <w:tc>
          <w:tcPr>
            <w:tcW w:type="dxa" w:w="2339"/>
          </w:tcPr>
          <w:p>
            <w:r>
              <w:rPr>
                <w:sz w:val="20"/>
              </w:rPr>
              <w:t>Transport des groupements acyles, β-oxydation, synthèse des acides gras, de l'acétylcholine, du cholestérol, des hormones stéroïdes</w:t>
            </w:r>
          </w:p>
        </w:tc>
      </w:tr>
      <w:tr>
        <w:tc>
          <w:tcPr>
            <w:tcW w:type="dxa" w:w="2339"/>
          </w:tcPr>
          <w:p>
            <w:r>
              <w:rPr>
                <w:sz w:val="20"/>
              </w:rPr>
              <w:t>B6</w:t>
            </w:r>
          </w:p>
        </w:tc>
        <w:tc>
          <w:tcPr>
            <w:tcW w:type="dxa" w:w="2339"/>
          </w:tcPr>
          <w:p>
            <w:r>
              <w:rPr>
                <w:sz w:val="20"/>
              </w:rPr>
              <w:t>Pyridoxine → PLP</w:t>
            </w:r>
          </w:p>
        </w:tc>
        <w:tc>
          <w:tcPr>
            <w:tcW w:type="dxa" w:w="2339"/>
          </w:tcPr>
          <w:p>
            <w:r>
              <w:rPr>
                <w:sz w:val="20"/>
              </w:rPr>
              <w:t>Pyridoxal 5'-phosphate (PLP)</w:t>
            </w:r>
          </w:p>
        </w:tc>
        <w:tc>
          <w:tcPr>
            <w:tcW w:type="dxa" w:w="2339"/>
          </w:tcPr>
          <w:p>
            <w:r>
              <w:rPr>
                <w:sz w:val="20"/>
              </w:rPr>
              <w:t>Cofacteur des transaminases, décarboxylases, racémases ; métabolisme des acides aminés, neurotransmetteurs (GABA, sérotonine, dopamine), hème, glycogène</w:t>
            </w:r>
          </w:p>
        </w:tc>
      </w:tr>
      <w:tr>
        <w:tc>
          <w:tcPr>
            <w:tcW w:type="dxa" w:w="2339"/>
          </w:tcPr>
          <w:p>
            <w:r>
              <w:rPr>
                <w:sz w:val="20"/>
              </w:rPr>
              <w:t>B8/H</w:t>
            </w:r>
          </w:p>
        </w:tc>
        <w:tc>
          <w:tcPr>
            <w:tcW w:type="dxa" w:w="2339"/>
          </w:tcPr>
          <w:p>
            <w:r>
              <w:rPr>
                <w:sz w:val="20"/>
              </w:rPr>
              <w:t>Biotine</w:t>
            </w:r>
          </w:p>
        </w:tc>
        <w:tc>
          <w:tcPr>
            <w:tcW w:type="dxa" w:w="2339"/>
          </w:tcPr>
          <w:p>
            <w:r>
              <w:rPr>
                <w:sz w:val="20"/>
              </w:rPr>
              <w:t>Biotine liée à la lysine (biocytine)</w:t>
            </w:r>
          </w:p>
        </w:tc>
        <w:tc>
          <w:tcPr>
            <w:tcW w:type="dxa" w:w="2339"/>
          </w:tcPr>
          <w:p>
            <w:r>
              <w:rPr>
                <w:sz w:val="20"/>
              </w:rPr>
              <w:t>Cofacteur des carboxylases (pyruvate, acétyl-CoA, propionyl-CoA, β-méthylcrotonyl-CoA) → néoglucogenèse, lipogenèse, catabolisme des acides aminés</w:t>
            </w:r>
          </w:p>
        </w:tc>
      </w:tr>
      <w:tr>
        <w:tc>
          <w:tcPr>
            <w:tcW w:type="dxa" w:w="2339"/>
          </w:tcPr>
          <w:p>
            <w:r>
              <w:rPr>
                <w:sz w:val="20"/>
              </w:rPr>
              <w:t>B9</w:t>
            </w:r>
          </w:p>
        </w:tc>
        <w:tc>
          <w:tcPr>
            <w:tcW w:type="dxa" w:w="2339"/>
          </w:tcPr>
          <w:p>
            <w:r>
              <w:rPr>
                <w:sz w:val="20"/>
              </w:rPr>
              <w:t>Acide folique → THF</w:t>
            </w:r>
          </w:p>
        </w:tc>
        <w:tc>
          <w:tcPr>
            <w:tcW w:type="dxa" w:w="2339"/>
          </w:tcPr>
          <w:p>
            <w:r>
              <w:rPr>
                <w:sz w:val="20"/>
              </w:rPr>
              <w:t>5,10-méthylène-THF, 5-méthyl-THF</w:t>
            </w:r>
          </w:p>
        </w:tc>
        <w:tc>
          <w:tcPr>
            <w:tcW w:type="dxa" w:w="2339"/>
          </w:tcPr>
          <w:p>
            <w:r>
              <w:rPr>
                <w:sz w:val="20"/>
              </w:rPr>
              <w:t>Transfert d'unités monocarbonées → synthèse des purines et pyrimidines (ADN/ARN), conversion de l'homocystéine en méthionine, formation de la 5-méthyl-THF pour la méthionine synthase (avec B12)</w:t>
            </w:r>
          </w:p>
        </w:tc>
      </w:tr>
      <w:tr>
        <w:tc>
          <w:tcPr>
            <w:tcW w:type="dxa" w:w="2339"/>
          </w:tcPr>
          <w:p>
            <w:r>
              <w:rPr>
                <w:sz w:val="20"/>
              </w:rPr>
              <w:t>B12</w:t>
            </w:r>
          </w:p>
        </w:tc>
        <w:tc>
          <w:tcPr>
            <w:tcW w:type="dxa" w:w="2339"/>
          </w:tcPr>
          <w:p>
            <w:r>
              <w:rPr>
                <w:sz w:val="20"/>
              </w:rPr>
              <w:t>Cobalamine → Méthylcobalamine, Adénosylcobalamine</w:t>
            </w:r>
          </w:p>
        </w:tc>
        <w:tc>
          <w:tcPr>
            <w:tcW w:type="dxa" w:w="2339"/>
          </w:tcPr>
          <w:p>
            <w:r>
              <w:rPr>
                <w:sz w:val="20"/>
              </w:rPr>
              <w:t>Méthylcobalamine (cytosol), Adénosylcobalamine (mitochondries)</w:t>
            </w:r>
          </w:p>
        </w:tc>
        <w:tc>
          <w:tcPr>
            <w:tcW w:type="dxa" w:w="2339"/>
          </w:tcPr>
          <w:p>
            <w:r>
              <w:rPr>
                <w:sz w:val="20"/>
              </w:rPr>
              <w:t>Méthionine synthase (reméthylation de l'homocystéine, avec 5-méthyl-THF), méthylmalonyl-CoA mutase (conversion du méthylmalonyl-CoA en succinyl-CoA)</w:t>
            </w:r>
          </w:p>
        </w:tc>
      </w:tr>
      <w:tr>
        <w:tc>
          <w:tcPr>
            <w:tcW w:type="dxa" w:w="2339"/>
          </w:tcPr>
          <w:p>
            <w:r>
              <w:rPr>
                <w:sz w:val="20"/>
              </w:rPr>
              <w:t>C</w:t>
            </w:r>
          </w:p>
        </w:tc>
        <w:tc>
          <w:tcPr>
            <w:tcW w:type="dxa" w:w="2339"/>
          </w:tcPr>
          <w:p>
            <w:r>
              <w:rPr>
                <w:sz w:val="20"/>
              </w:rPr>
              <w:t>Acide ascorbique</w:t>
            </w:r>
          </w:p>
        </w:tc>
        <w:tc>
          <w:tcPr>
            <w:tcW w:type="dxa" w:w="2339"/>
          </w:tcPr>
          <w:p>
            <w:r>
              <w:rPr>
                <w:sz w:val="20"/>
              </w:rPr>
              <w:t>Acide ascorbique + acide déshydroascorbique</w:t>
            </w:r>
          </w:p>
        </w:tc>
        <w:tc>
          <w:tcPr>
            <w:tcW w:type="dxa" w:w="2339"/>
          </w:tcPr>
          <w:p>
            <w:r>
              <w:rPr>
                <w:sz w:val="20"/>
              </w:rPr>
              <w:t>Cofacteur des prolyl et lysyl hydroxylases (synthèse du collagène), de la dopamine β-hydroxylase, antioxydant hydrosoluble majeur, absorption du fer alimentaire (réduction Fe³⁺ → Fe²⁺)</w:t>
            </w:r>
          </w:p>
        </w:tc>
      </w:tr>
    </w:tbl>
    <w:p/>
    <w:p>
      <w:pPr>
        <w:pStyle w:val="Heading3"/>
      </w:pPr>
      <w:r>
        <w:t>Spécificités pharmacologiques du marché algérien</w:t>
      </w:r>
    </w:p>
    <w:p>
      <w:r>
        <w:t xml:space="preserve">La nomenclature algérienne des médicaments (Avril 2026) recense, dans le périmètre de ce chapitre 162, </w:t>
      </w:r>
      <w:r>
        <w:rPr>
          <w:b/>
        </w:rPr>
        <w:t>9 DCI actives</w:t>
      </w:r>
      <w:r>
        <w:t xml:space="preserve"> correspondant aux vitamines hydrosolubles susmentionnées (à l'exception de la vitamine B3/PP qui ne fait l'objet d'aucune spécialité pharmaceutique enregistrée en Algérie, en raison notamment de la surveillance hépatique qu'imposerait la nicotinique à doses pharmacologiques). La vitamine B5 (dexpanthénol) n'est plus disponible en forme orale ou injectable active — seule subsiste une spécialité dermatologique pédiatrique à 0,05 %, ce qui traduit le retrait progressif des formes systémiques au profit des complexes multivitaminés traités au chapitre 164. La vitamine B2 (riboflavine) est entièrement </w:t>
      </w:r>
      <w:r>
        <w:rPr>
          <w:b/>
        </w:rPr>
        <w:t>RETRAITÉE</w:t>
      </w:r>
      <w:r>
        <w:t xml:space="preserve"> du marché algérien. La biotine (B8/H) est </w:t>
      </w:r>
      <w:r>
        <w:rPr>
          <w:b/>
        </w:rPr>
        <w:t>NON_RENOUVELABLE</w:t>
      </w:r>
      <w:r>
        <w:t xml:space="preserve"> dans toutes ses formes enregistrées, ce qui pose un problème pratique pour la prise en charge des carences (alopécie, dermatite, conjonctivite) et de la déficience en holocarboxylase synthétase.</w:t>
      </w:r>
    </w:p>
    <w:p>
      <w:r>
        <w:t>Cette recomposition du marché algérien se traduit par une concentration des prescriptions sur trois grandes catégories cliniques : (i) la supplémentation préventive chez la femme enceinte et allaitante (acide folique ± fer, vitamine C), (ii) le traitement curatif des carences avérées et des neuropathies périphériques (B1, B6, B12), (iii) les associations à visée antalgique ou antiasthénique (paracétamol + vitamine C, complexes B1-B6-B12). Les formes injectables — historiquement nombreuses (Benerva, Becilan, Lederfoline, Laroscorbine injectable) — sont aujourd'hui en grande partie retirées du marché algérien, et les praticiens doivent recourir à des spécialités locales actives (RAZITHIAM B1, RAZICOBAL B12, RAZISCORBIC C, RAZIFOLINE, COBAMINE, VITAMINE B12 GEO, COBAVIT) pour les voies parentérales.</w:t>
      </w:r>
    </w:p>
    <w:p>
      <w:pPr>
        <w:pStyle w:val="Heading3"/>
      </w:pPr>
      <w:r>
        <w:t>Populations à risque de carence en vitamines hydrosolubles en Algérie</w:t>
      </w:r>
    </w:p>
    <w:p>
      <w:r>
        <w:t>Plusieurs populations algériennes sont particulièrement exposées aux carences en vitamines hydrosolubles :</w:t>
      </w:r>
    </w:p>
    <w:p>
      <w:pPr>
        <w:pStyle w:val="ListBullet"/>
      </w:pPr>
      <w:r/>
      <w:r>
        <w:rPr>
          <w:b/>
        </w:rPr>
        <w:t>Femmes enceintes et allaitantes</w:t>
      </w:r>
      <w:r>
        <w:t xml:space="preserve"> : les besoins en folates (B9) augmentent de 50 % pendant la grossesse (nécessité de synthèse accrue d'ADN pour le développement fœtal,formation du tube neural entre J21 et J28 de la gestation), les besoins en vitamine B12 et C augmentent de 20 à 30 %. La supplémentation préconceptionnelle en acide folique (400 µg/jour) est une recommandation de santé publique pour la prévention primaire des anomalies de fermeture du tube neural (spina bifida, anencéphalie).</w:t>
      </w:r>
    </w:p>
    <w:p>
      <w:pPr>
        <w:pStyle w:val="ListBullet"/>
      </w:pPr>
      <w:r/>
      <w:r>
        <w:rPr>
          <w:b/>
        </w:rPr>
        <w:t>Nourrissons et prématurés</w:t>
      </w:r>
      <w:r>
        <w:t xml:space="preserve"> : les stocks néonataux de vitamine B1, B6 et C sont faibles, surtout en cas d'allaitement maternel exclusif par mère carencée (encéphalopathie de Wernicke du nourrisson allaité par mère thiaminodéficiente, berbéri du nourrisson).</w:t>
      </w:r>
    </w:p>
    <w:p>
      <w:pPr>
        <w:pStyle w:val="ListBullet"/>
      </w:pPr>
      <w:r/>
      <w:r>
        <w:rPr>
          <w:b/>
        </w:rPr>
        <w:t>Sujets âgés dénutris</w:t>
      </w:r>
      <w:r>
        <w:t xml:space="preserve"> : polymédication, atrophie gastrique (carence en B12 par défaut de sécrétion de facteur intrinsèque), dénutrition protéino-énergétique, hypoabsorption digestive. La carence en vitamine B12 chez le sujet âgé peut mimer une démence (syndrome neurologique et psychiatrique réversible).</w:t>
      </w:r>
    </w:p>
    <w:p>
      <w:pPr>
        <w:pStyle w:val="ListBullet"/>
      </w:pPr>
      <w:r/>
      <w:r>
        <w:rPr>
          <w:b/>
        </w:rPr>
        <w:t>Alcooliques chroniques</w:t>
      </w:r>
      <w:r>
        <w:t xml:space="preserve"> : carence en B1 (encéphalopathie de Wernicke, syndrome de Korsakoff, polynévrite alcoolique), carence en B6, carence en folates (effet antifolate direct de l'éthanol), carence en vitamine C (rare mais possible).</w:t>
      </w:r>
    </w:p>
    <w:p>
      <w:pPr>
        <w:pStyle w:val="ListBullet"/>
      </w:pPr>
      <w:r/>
      <w:r>
        <w:rPr>
          <w:b/>
        </w:rPr>
        <w:t>Patients avec malabsorption digestive</w:t>
      </w:r>
      <w:r>
        <w:t xml:space="preserve"> : maladie cœliaque, maladie de Crohn, sprue tropicale, gastrectomie totale, court-circuit intestinal (bypass gastrique), syndrome de grêle court. La carence en B12 est constante après gastrectomie totale (environ 3 à 5 ans de réserves hépatiques) et impose une supplémentation parentérale à vie.</w:t>
      </w:r>
    </w:p>
    <w:p>
      <w:pPr>
        <w:pStyle w:val="ListBullet"/>
      </w:pPr>
      <w:r/>
      <w:r>
        <w:rPr>
          <w:b/>
        </w:rPr>
        <w:t>Végétaliens stricts</w:t>
      </w:r>
      <w:r>
        <w:t xml:space="preserve"> : la vitamine B12 est exclusivement d'origine animale (viande, foie, œufs, produits laitiers). Un végétalien strict non supplémenté développe une carence martiale et en B12 en 2 à 5 ans.</w:t>
      </w:r>
    </w:p>
    <w:p>
      <w:pPr>
        <w:pStyle w:val="ListBullet"/>
      </w:pPr>
      <w:r/>
      <w:r>
        <w:rPr>
          <w:b/>
        </w:rPr>
        <w:t>Patients sous médicaments interférant avec le métabolisme vitaminique</w:t>
      </w:r>
      <w:r>
        <w:t xml:space="preserve"> : metformine (carence en B12 par interférence avec l'absorption iléale), méthotrexate (antifolate par inhibition de la DHFR), triméthoprime (antifolate), phénytoïne et phénobarbital (carence en folates par induction enzymatique), isoniazide (carence en B6 par complexation avec le PLP), hydralazine (carence en B6), colchicine et biguanides (malabsorption B12), antiacides et IPP au long cours (hypochlorhydrie → malabsorption B12, fer, calcium), chélateurs du phosphore (sévélamer → malabsorption des vitamines liposolubles et de B12).</w:t>
      </w:r>
    </w:p>
    <w:p>
      <w:pPr>
        <w:pStyle w:val="ListBullet"/>
      </w:pPr>
      <w:r/>
      <w:r>
        <w:rPr>
          <w:b/>
        </w:rPr>
        <w:t>Insuffisants rénaux chroniques dialysés</w:t>
      </w:r>
      <w:r>
        <w:t xml:space="preserve"> : fuite de vitamine C (dialysable), carence en folates (hémodilution, perte dialytique), carence en B6 (modifiée par la dialyse), carence en B12 possible (rare, liée aux pertes dialytiques).</w:t>
      </w:r>
    </w:p>
    <w:p>
      <w:pPr>
        <w:pStyle w:val="Heading3"/>
      </w:pPr>
      <w:r>
        <w:t>Spécificités réglementaires et bon usage</w:t>
      </w:r>
    </w:p>
    <w:p>
      <w:r>
        <w:t xml:space="preserve">Le cadre réglementaire des vitamines hydrosolubles en Algérie est marqué par la coexistence de plusieurs statuts : la plupart des spécialités sont </w:t>
      </w:r>
      <w:r>
        <w:rPr>
          <w:b/>
        </w:rPr>
        <w:t>hors liste</w:t>
      </w:r>
      <w:r>
        <w:t xml:space="preserve"> (en vente libre en officine, mais avec obligation de conseil pharmaceutique), certaines sont en </w:t>
      </w:r>
      <w:r>
        <w:rPr>
          <w:b/>
        </w:rPr>
        <w:t>Liste I</w:t>
      </w:r>
      <w:r>
        <w:t xml:space="preserve"> (vitamine C injectable RAZISCORBIC C, TRI-B-VIT HUP), et aucune n'est en Liste II ou stupéfiants. La prescription médicale est néanmoins recommandée pour les formes injectables, les doses pharmacologiques (B6 à doses neurologiques ≥ 200 mg/jour, B12 dans les carences avérées), la vitamine C à doses pharmacologiques (≥ 1 g/jour), et systématiquement chez la femme enceinte et allaitante. Le tableau ci-dessous résume les statuts réglementaires observés dans la nomenclature algérienne (Avril 2026)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Spécialité</w:t>
            </w:r>
          </w:p>
        </w:tc>
        <w:tc>
          <w:tcPr>
            <w:tcW w:type="dxa" w:w="2339"/>
          </w:tcPr>
          <w:p>
            <w:r>
              <w:rPr>
                <w:b/>
                <w:sz w:val="20"/>
              </w:rPr>
              <w:t>DCI</w:t>
            </w:r>
          </w:p>
        </w:tc>
        <w:tc>
          <w:tcPr>
            <w:tcW w:type="dxa" w:w="2339"/>
          </w:tcPr>
          <w:p>
            <w:r>
              <w:rPr>
                <w:b/>
                <w:sz w:val="20"/>
              </w:rPr>
              <w:t>Liste</w:t>
            </w:r>
          </w:p>
        </w:tc>
        <w:tc>
          <w:tcPr>
            <w:tcW w:type="dxa" w:w="2339"/>
          </w:tcPr>
          <w:p>
            <w:r>
              <w:rPr>
                <w:b/>
                <w:sz w:val="20"/>
              </w:rPr>
              <w:t>Statut nomenclature</w:t>
            </w:r>
          </w:p>
        </w:tc>
      </w:tr>
      <w:tr>
        <w:tc>
          <w:tcPr>
            <w:tcW w:type="dxa" w:w="2339"/>
          </w:tcPr>
          <w:p>
            <w:r>
              <w:rPr>
                <w:sz w:val="20"/>
              </w:rPr>
              <w:t>RAZISCORBIC C</w:t>
            </w:r>
          </w:p>
        </w:tc>
        <w:tc>
          <w:tcPr>
            <w:tcW w:type="dxa" w:w="2339"/>
          </w:tcPr>
          <w:p>
            <w:r>
              <w:rPr>
                <w:sz w:val="20"/>
              </w:rPr>
              <w:t>Acide ascorbique</w:t>
            </w:r>
          </w:p>
        </w:tc>
        <w:tc>
          <w:tcPr>
            <w:tcW w:type="dxa" w:w="2339"/>
          </w:tcPr>
          <w:p>
            <w:r>
              <w:rPr>
                <w:sz w:val="20"/>
              </w:rPr>
              <w:t>Liste I</w:t>
            </w:r>
          </w:p>
        </w:tc>
        <w:tc>
          <w:tcPr>
            <w:tcW w:type="dxa" w:w="2339"/>
          </w:tcPr>
          <w:p>
            <w:r>
              <w:rPr>
                <w:sz w:val="20"/>
              </w:rPr>
              <w:t>ACTIF</w:t>
            </w:r>
          </w:p>
        </w:tc>
      </w:tr>
      <w:tr>
        <w:tc>
          <w:tcPr>
            <w:tcW w:type="dxa" w:w="2339"/>
          </w:tcPr>
          <w:p>
            <w:r>
              <w:rPr>
                <w:sz w:val="20"/>
              </w:rPr>
              <w:t>TRI-B-VIT HUP</w:t>
            </w:r>
          </w:p>
        </w:tc>
        <w:tc>
          <w:tcPr>
            <w:tcW w:type="dxa" w:w="2339"/>
          </w:tcPr>
          <w:p>
            <w:r>
              <w:rPr>
                <w:sz w:val="20"/>
              </w:rPr>
              <w:t>B1+B6+B12</w:t>
            </w:r>
          </w:p>
        </w:tc>
        <w:tc>
          <w:tcPr>
            <w:tcW w:type="dxa" w:w="2339"/>
          </w:tcPr>
          <w:p>
            <w:r>
              <w:rPr>
                <w:sz w:val="20"/>
              </w:rPr>
              <w:t>Liste I</w:t>
            </w:r>
          </w:p>
        </w:tc>
        <w:tc>
          <w:tcPr>
            <w:tcW w:type="dxa" w:w="2339"/>
          </w:tcPr>
          <w:p>
            <w:r>
              <w:rPr>
                <w:sz w:val="20"/>
              </w:rPr>
              <w:t>ACTIF</w:t>
            </w:r>
          </w:p>
        </w:tc>
      </w:tr>
      <w:tr>
        <w:tc>
          <w:tcPr>
            <w:tcW w:type="dxa" w:w="2339"/>
          </w:tcPr>
          <w:p>
            <w:r>
              <w:rPr>
                <w:sz w:val="20"/>
              </w:rPr>
              <w:t>Toutes autres spécialités hydrosolubles actives</w:t>
            </w:r>
          </w:p>
        </w:tc>
        <w:tc>
          <w:tcPr>
            <w:tcW w:type="dxa" w:w="2339"/>
          </w:tcPr>
          <w:p>
            <w:r>
              <w:rPr>
                <w:sz w:val="20"/>
              </w:rPr>
              <w:t>—</w:t>
            </w:r>
          </w:p>
        </w:tc>
        <w:tc>
          <w:tcPr>
            <w:tcW w:type="dxa" w:w="2339"/>
          </w:tcPr>
          <w:p>
            <w:r>
              <w:rPr>
                <w:sz w:val="20"/>
              </w:rPr>
              <w:t>Hors liste</w:t>
            </w:r>
          </w:p>
        </w:tc>
        <w:tc>
          <w:tcPr>
            <w:tcW w:type="dxa" w:w="2339"/>
          </w:tcPr>
          <w:p>
            <w:r>
              <w:rPr>
                <w:sz w:val="20"/>
              </w:rPr>
              <w:t>ACTIF</w:t>
            </w:r>
          </w:p>
        </w:tc>
      </w:tr>
    </w:tbl>
    <w:p/>
    <w:p>
      <w:pPr>
        <w:pStyle w:val="Heading3"/>
      </w:pPr>
      <w:r>
        <w:t>Sources et références mobilisées</w:t>
      </w:r>
    </w:p>
    <w:p>
      <w:r>
        <w:t>Ce chapitre mobilise les sources suivantes : VIDAL (spécialités françaises et internationales), ANSM (Résumés des Caractéristiques du Produit), Thériaque (interactions médicamenteuses, CNHIM), CRAT (Centre Renseignements Agents Tératogènes — grossesse/allaitement), UpToDate (recommandations internationales sur carences en vitamines hydrosolubles), OMS (recommandations sur la supplémentation en acide folique préconceptionnelle), Cochrane (revues systématiques sur la vitamine C dans le scorbut, le zinc et la vitamine C dans le rhume, la vitamine B6 dans le syndrome prémenstruel, l'acide folique dans la prévention des anomalies de fermeture du tube neural), HAS (recommandations françaises sur la supplémentation péri-conceptionnelle en acide folique, 2017), lignes directrices NICE (National Institute for Health and Care Excellence) sur la supplémentation prénatale, lignes directrices ESHRE (European Society of Human Reproduction and Embryology) sur la supplémentation en folates, et la nomenclature algérienne des médicaments (Avril 2026).</w:t>
      </w:r>
    </w:p>
    <w:p>
      <w:pPr>
        <w:pStyle w:val="Heading3"/>
      </w:pPr>
      <w:r>
        <w:t>Plan détaillé du chapitre</w:t>
      </w:r>
    </w:p>
    <w:p>
      <w:r>
        <w:t>Le chapitre est structuré en 15 sections. La section 162.1 (cette introduction) pose le cadre conceptuel et épidémiologique. Les sections 162.2 à 162.11 présentent les 10 sous-classes de vitamines hydrosolubles (B1, B2, B3/PP, B5, B6, B8/H, B9, B12, acide folinique, vitamine C) avec leurs définitions physiologiques, leurs mécanismes d'action moléculaire, leurs indications thérapeutiques validées et leurs particularités en Algérie. La section 162.12 regroupe les 9 fiches DCI détaillées (12 sous-sections par fiche). La section 162.13 présente un tableau comparatif transversal. La section 162.14 constitue une synthèse pédagogique pour la pratique officinale. La section 162.15 conclut le chapitre.</w:t>
      </w:r>
    </w:p>
    <w:p>
      <w:pPr>
        <w:pStyle w:val="Heading2"/>
      </w:pPr>
      <w:r>
        <w:t>162.2. Sous-classe : Vitamine B1 (Thiamine)</w:t>
      </w:r>
    </w:p>
    <w:p>
      <w:pPr>
        <w:pStyle w:val="Heading3"/>
      </w:pPr>
      <w:r>
        <w:t>Définition et cadre conceptuel</w:t>
      </w:r>
    </w:p>
    <w:p>
      <w:r>
        <w:t xml:space="preserve">La </w:t>
      </w:r>
      <w:r>
        <w:rPr>
          <w:b/>
        </w:rPr>
        <w:t>thiamine</w:t>
      </w:r>
      <w:r>
        <w:t xml:space="preserve"> (vitamine B1, autrefois appelée </w:t>
      </w:r>
      <w:r>
        <w:rPr>
          <w:b/>
        </w:rPr>
        <w:t>aneurine</w:t>
      </w:r>
      <w:r>
        <w:t xml:space="preserve"> en raison de son rôle anti-neuritique) est une vitamine hydrosoluble de la famille des vitamines B, découverte en 1910 par Umetaro Suzuki au Japon sous le nom d'</w:t>
      </w:r>
      <w:r>
        <w:rPr>
          <w:b/>
        </w:rPr>
        <w:t>aberit acid</w:t>
      </w:r>
      <w:r>
        <w:t xml:space="preserve">, puis isolée et cristallisée en 1926 par Barend Jansen et Willem Donath dans le son de riz. Sa structure chimique, élucidée par Robert Williams en 1934, correspond à une amine pyrimidique (4-amino-2-methylpyrimidine) reliée par un pont méthylène à un noyau thiazolique quaternaire (4-méthyl-5-β-hydroxyéthyl-thiazole) substitué par un groupement hydroxyéthyle. Le soufre (thio-) de la thiazole explique l'origine du nom « thiamine » (de </w:t>
      </w:r>
      <w:r>
        <w:rPr>
          <w:i/>
        </w:rPr>
        <w:t>thio-</w:t>
      </w:r>
      <w:r>
        <w:t xml:space="preserve"> + </w:t>
      </w:r>
      <w:r>
        <w:rPr>
          <w:i/>
        </w:rPr>
        <w:t>amine</w:t>
      </w:r>
      <w:r>
        <w:t xml:space="preserve">). La thiamine est la première vitamine du complexe B à avoir été isolée et identifiée comme facteur anti-béribérique. Sa forme active biologiquement est le </w:t>
      </w:r>
      <w:r>
        <w:rPr>
          <w:b/>
        </w:rPr>
        <w:t>thiamine pyrophosphate (TPP)</w:t>
      </w:r>
      <w:r>
        <w:t xml:space="preserve">, aussi appelée </w:t>
      </w:r>
      <w:r>
        <w:rPr>
          <w:b/>
        </w:rPr>
        <w:t>cocarboxylase</w:t>
      </w:r>
      <w:r>
        <w:t>, obtenue par phosphorylation par la thiamine pyrophosphokinase.</w:t>
      </w:r>
    </w:p>
    <w:p>
      <w:pPr>
        <w:pStyle w:val="Heading3"/>
      </w:pPr>
      <w:r>
        <w:t>Mécanisme d'action moléculaire</w:t>
      </w:r>
    </w:p>
    <w:p>
      <w:r>
        <w:t>Le TPP est le cofacteur essentiel de trois enzymes clés du métabolisme énergétique :</w:t>
      </w:r>
    </w:p>
    <w:p>
      <w:pPr>
        <w:pStyle w:val="ListNumber"/>
      </w:pPr>
      <w:r/>
      <w:r>
        <w:rPr>
          <w:b/>
        </w:rPr>
        <w:t>Pyruvate déshydrogénase (PDH)</w:t>
      </w:r>
      <w:r>
        <w:t xml:space="preserve"> — complexe mitochondrial qui convertit le pyruvate (issu de la glycolyse cytosolique) en acétyl-CoA, substrat du cycle de Krebs. Sans TPP, le pyruvate ne peut entrer dans le cycle de Krebs et est converti en lactate (acidose lactique) et en alanine. C'est le mécanisme central de l'encéphalopathie de Wernicke (cérébral dépendant du glucose, ne pouvant pas utiliser les acides gras).</w:t>
      </w:r>
    </w:p>
    <w:p>
      <w:pPr>
        <w:pStyle w:val="ListNumber"/>
      </w:pPr>
      <w:r/>
      <w:r>
        <w:rPr>
          <w:b/>
        </w:rPr>
        <w:t>α-Cétoglutarate déshydrogénase</w:t>
      </w:r>
      <w:r>
        <w:t xml:space="preserve"> — cycle de Krebs (conversion de l'α-cétoglutarate en succinyl-CoA).</w:t>
      </w:r>
    </w:p>
    <w:p>
      <w:pPr>
        <w:pStyle w:val="ListNumber"/>
      </w:pPr>
      <w:r/>
      <w:r>
        <w:rPr>
          <w:b/>
        </w:rPr>
        <w:t>Transkétolase</w:t>
      </w:r>
      <w:r>
        <w:t xml:space="preserve"> — voie des pentoses phosphates (production de ribose-5-P pour la synthèse des nucléotides et de NADPH pour la défense antioxydante).</w:t>
      </w:r>
    </w:p>
    <w:p>
      <w:r>
        <w:t xml:space="preserve">Le TPP est également cofacteur de la </w:t>
      </w:r>
      <w:r>
        <w:rPr>
          <w:b/>
        </w:rPr>
        <w:t>branched-chain α-ketoacid déshydrogénase</w:t>
      </w:r>
      <w:r>
        <w:t xml:space="preserve"> (catabolisme des acides aminés à chaîne ramifiée : leucine, isoleucine, valine) et de la </w:t>
      </w:r>
      <w:r>
        <w:rPr>
          <w:b/>
        </w:rPr>
        <w:t>2-hydroxyphytanoyl-CoA lyase</w:t>
      </w:r>
      <w:r>
        <w:t xml:space="preserve"> (peroxysomale, catabolisme de l'acide phytanique).</w:t>
      </w:r>
    </w:p>
    <w:p>
      <w:pPr>
        <w:pStyle w:val="Heading3"/>
      </w:pPr>
      <w:r>
        <w:t>Indications thérapeutiques validées</w:t>
      </w:r>
    </w:p>
    <w:p>
      <w:pPr>
        <w:pStyle w:val="ListBullet"/>
      </w:pPr>
      <w:r/>
      <w:r>
        <w:rPr>
          <w:b/>
        </w:rPr>
        <w:t>Carence en thiamine (carence avérée ou risque élevé)</w:t>
      </w:r>
      <w:r>
        <w:t xml:space="preserve"> : béribéri sec (neuropathie périphérique avec troubles sensitifs et moteurs), béribéri humide (insuffisance cardiaque à haut débit avec œdèmes), encéphalopathie de Wernicke (triade : confusion, ataxie, ophtalmoplégie), syndrome de Korsakoff (amnésie antérograde avec fabulations), polynévrite alcoolique, neuropathies de malabsorption, carence nutritionnelle.</w:t>
      </w:r>
    </w:p>
    <w:p>
      <w:pPr>
        <w:pStyle w:val="ListBullet"/>
      </w:pPr>
      <w:r/>
      <w:r>
        <w:rPr>
          <w:b/>
        </w:rPr>
        <w:t>Prophylaxie de l'encéphalopathie de Wernicke</w:t>
      </w:r>
      <w:r>
        <w:t xml:space="preserve"> chez le patient alcoolique hospitalisé ou en état de malnutrition — administration systématique de thiamine IV avant toute perfusion de glucose (le glucose précipite l'encéphalopathie de Wernicke chez le patient carencé en B1).</w:t>
      </w:r>
    </w:p>
    <w:p>
      <w:pPr>
        <w:pStyle w:val="ListBullet"/>
      </w:pPr>
      <w:r/>
      <w:r>
        <w:rPr>
          <w:b/>
        </w:rPr>
        <w:t>Névralgies, sciatiques, radiculalgies, douleurs neuropathiques</w:t>
      </w:r>
      <w:r>
        <w:t xml:space="preserve"> : association B1-B6-B12 ( efficacité contestée par la Cochrane, mais prescription largement répandue en Algérie et en France pour les douleurs neuropathiques périphériques).</w:t>
      </w:r>
    </w:p>
    <w:p>
      <w:pPr>
        <w:pStyle w:val="ListBullet"/>
      </w:pPr>
      <w:r/>
      <w:r>
        <w:rPr>
          <w:b/>
        </w:rPr>
        <w:t>Alcoolisme chronique</w:t>
      </w:r>
      <w:r>
        <w:t xml:space="preserve"> : supplémentation systématique pour prévenir la carence (apports recommandés × 5 à 10 en cas de consommation alcoolique excessive).</w:t>
      </w:r>
    </w:p>
    <w:p>
      <w:pPr>
        <w:pStyle w:val="Heading3"/>
      </w:pPr>
      <w:r>
        <w:t>Populations à risque</w:t>
      </w:r>
    </w:p>
    <w:p>
      <w:pPr>
        <w:pStyle w:val="ListBullet"/>
      </w:pPr>
      <w:r>
        <w:t>Alcooliques chroniques (apport réduit, malabsorption, diminution de la phosphorylation hépatique).</w:t>
      </w:r>
    </w:p>
    <w:p>
      <w:pPr>
        <w:pStyle w:val="ListBullet"/>
      </w:pPr>
      <w:r>
        <w:t>Patients sous nutrition parentérale au long cours sans supplémentation.</w:t>
      </w:r>
    </w:p>
    <w:p>
      <w:pPr>
        <w:pStyle w:val="ListBullet"/>
      </w:pPr>
      <w:r>
        <w:t>Patients après gastrectomie ou chirurgie bariatrique (bypass gastrique en Y).</w:t>
      </w:r>
    </w:p>
    <w:p>
      <w:pPr>
        <w:pStyle w:val="ListBullet"/>
      </w:pPr>
      <w:r>
        <w:t>Femme allaitante carencée (encéphalopathie de Wernicke du nourrisson allaité).</w:t>
      </w:r>
    </w:p>
    <w:p>
      <w:pPr>
        <w:pStyle w:val="ListBullet"/>
      </w:pPr>
      <w:r>
        <w:t>Régimes alimentaires à base de riz très poli (berbéri endémique dans certaines régions d'Asie).</w:t>
      </w:r>
    </w:p>
    <w:p>
      <w:pPr>
        <w:pStyle w:val="ListBullet"/>
      </w:pPr>
      <w:r>
        <w:t>Patients dialysés chroniques (perte de thiamine dialysable).</w:t>
      </w:r>
    </w:p>
    <w:p>
      <w:pPr>
        <w:pStyle w:val="ListBullet"/>
      </w:pPr>
      <w:r>
        <w:t>Patients sous diurétiques de l'anse au long cours (furosemide augmente l'excrétion urinaire de thiamine — carence responsable de cardiomyopathie).</w:t>
      </w:r>
    </w:p>
    <w:p>
      <w:pPr>
        <w:pStyle w:val="ListBullet"/>
      </w:pPr>
      <w:r>
        <w:t>Syndrome de Wernicke-Korsakoff en réanimation (toute administration de glucose IV chez un patient dénutri ou alcoolique doit être précédée de thiamine IV).</w:t>
      </w:r>
    </w:p>
    <w:p>
      <w:pPr>
        <w:pStyle w:val="Heading3"/>
      </w:pPr>
      <w:r>
        <w:t>Spécificités du marché algérien</w:t>
      </w:r>
    </w:p>
    <w:p>
      <w:r>
        <w:t>La nomenclature algérienne (Avril 2026) recense plusieurs spécialités de thiamine, dont la plupart sont des associations (B1 seule, B1+B6, B1+B6+B12). Les spécialités actives sont dominées par les complexes neurotropes (TRI-B, TRI-B-VIT HUP, TROIS B, VIT B1 B6 BEKER) et la spécialité API (THIAMINE API 250 mg, comprimé). La forme injectable RAZITHIAM B1 (100 mg/2 mL) est la seule spécialité de thiamine injectable active disponible en Algérie, les formes historiques (BENERVA, BEVITINE, WERAVIT B1) étant retirées du marché. Cette particularité impose aux services d'urgences algériens de disposer de RAZITHIAM B1 pour le traitement systématique de l'encéphalopathie de Wernicke chez le patient alcoolique.</w:t>
      </w:r>
    </w:p>
    <w:p>
      <w:pPr>
        <w:pStyle w:val="Heading2"/>
      </w:pPr>
      <w:r>
        <w:t>162.3. Sous-classe : Vitamine B2 (Riboflavine)</w:t>
      </w:r>
    </w:p>
    <w:p>
      <w:pPr>
        <w:pStyle w:val="Heading3"/>
      </w:pPr>
      <w:r>
        <w:t>Définition et cadre conceptuel</w:t>
      </w:r>
    </w:p>
    <w:p>
      <w:r>
        <w:t xml:space="preserve">La </w:t>
      </w:r>
      <w:r>
        <w:rPr>
          <w:b/>
        </w:rPr>
        <w:t>riboflavine</w:t>
      </w:r>
      <w:r>
        <w:t xml:space="preserve"> (vitamine B2, autrefois appelée </w:t>
      </w:r>
      <w:r>
        <w:rPr>
          <w:b/>
        </w:rPr>
        <w:t>lactoflavine</w:t>
      </w:r>
      <w:r>
        <w:t xml:space="preserve"> en raison de son isolement initial à partir du lait) est une vitamine hydrosoluble de couleur jaune-verdâtre, fluorescente en lumière UV. Sa structure chimique correspond à un noyau isoalloxazine lié à un résidu ribitol (sucre-alcool pentose). Elle a été isolée en 1933 par Paul Karrer, Paul György et Richard Kuhn, et synthétisée en 1935. La riboflavine est le précurseur de deux coenzymes majeurs : le </w:t>
      </w:r>
      <w:r>
        <w:rPr>
          <w:b/>
        </w:rPr>
        <w:t>flavine mononucléotide (FMN)</w:t>
      </w:r>
      <w:r>
        <w:t xml:space="preserve"> et le </w:t>
      </w:r>
      <w:r>
        <w:rPr>
          <w:b/>
        </w:rPr>
        <w:t>flavine adénine dinucléotide (FAD)</w:t>
      </w:r>
      <w:r>
        <w:t>, obtenus par phosphorylation par la riboflavine kinase (FMN) puis par l'FAD pyrophosphorylase (FAD).</w:t>
      </w:r>
    </w:p>
    <w:p>
      <w:pPr>
        <w:pStyle w:val="Heading3"/>
      </w:pPr>
      <w:r>
        <w:t>Mécanisme d'action moléculaire</w:t>
      </w:r>
    </w:p>
    <w:p>
      <w:r>
        <w:t>Le FMN et le FAD sont les cofacteurs prosthetiques d'un grand nombre d'</w:t>
      </w:r>
      <w:r>
        <w:rPr>
          <w:b/>
        </w:rPr>
        <w:t>oxydoréductases</w:t>
      </w:r>
      <w:r>
        <w:t xml:space="preserve">, appelées </w:t>
      </w:r>
      <w:r>
        <w:rPr>
          <w:b/>
        </w:rPr>
        <w:t>flavoprotéines</w:t>
      </w:r>
      <w:r>
        <w:t>, qui catalysent des réactions d'oxydoréduction en participant au transfert d'électrons. Les principales flavoprotéines sont :</w:t>
      </w:r>
    </w:p>
    <w:p>
      <w:pPr>
        <w:pStyle w:val="ListNumber"/>
      </w:pPr>
      <w:r/>
      <w:r>
        <w:rPr>
          <w:b/>
        </w:rPr>
        <w:t>Glutathion réductase</w:t>
      </w:r>
      <w:r>
        <w:t xml:space="preserve"> — régénération du glutathion réduit (GSH) à partir du glutathion oxydé (GSSG), défense antioxydante majeure.</w:t>
      </w:r>
    </w:p>
    <w:p>
      <w:pPr>
        <w:pStyle w:val="ListNumber"/>
      </w:pPr>
      <w:r/>
      <w:r>
        <w:rPr>
          <w:b/>
        </w:rPr>
        <w:t>Succinate déshydrogénase</w:t>
      </w:r>
      <w:r>
        <w:t xml:space="preserve"> (complexe II de la chaîne respiratoire mitochondriale).</w:t>
      </w:r>
    </w:p>
    <w:p>
      <w:pPr>
        <w:pStyle w:val="ListNumber"/>
      </w:pPr>
      <w:r/>
      <w:r>
        <w:rPr>
          <w:b/>
        </w:rPr>
        <w:t>NADH déshydrogénase</w:t>
      </w:r>
      <w:r>
        <w:t xml:space="preserve"> (complexe I de la chaîne respiratoire mitochondriale).</w:t>
      </w:r>
    </w:p>
    <w:p>
      <w:pPr>
        <w:pStyle w:val="ListNumber"/>
      </w:pPr>
      <w:r/>
      <w:r>
        <w:rPr>
          <w:b/>
        </w:rPr>
        <w:t>Acyl-CoA déshydrogénase</w:t>
      </w:r>
      <w:r>
        <w:t xml:space="preserve"> (β-oxydation des acides gras).</w:t>
      </w:r>
    </w:p>
    <w:p>
      <w:pPr>
        <w:pStyle w:val="ListNumber"/>
      </w:pPr>
      <w:r/>
      <w:r>
        <w:rPr>
          <w:b/>
        </w:rPr>
        <w:t>Xanthine oxydase</w:t>
      </w:r>
      <w:r>
        <w:t xml:space="preserve"> (catabolisme des purines → acide urique).</w:t>
      </w:r>
    </w:p>
    <w:p>
      <w:pPr>
        <w:pStyle w:val="ListNumber"/>
      </w:pPr>
      <w:r/>
      <w:r>
        <w:rPr>
          <w:b/>
        </w:rPr>
        <w:t>Monoamine oxydase (MAO)</w:t>
      </w:r>
      <w:r>
        <w:t xml:space="preserve"> (catabolisme des neurotransmetteurs).</w:t>
      </w:r>
    </w:p>
    <w:p>
      <w:pPr>
        <w:pStyle w:val="ListNumber"/>
      </w:pPr>
      <w:r/>
      <w:r>
        <w:rPr>
          <w:b/>
        </w:rPr>
        <w:t>Pyridoxine phosphate oxydase</w:t>
      </w:r>
      <w:r>
        <w:t xml:space="preserve"> (conversion du pyridoxine-5'-P en pyridoxal-5'-P,forme active de la vitamine B6).</w:t>
      </w:r>
    </w:p>
    <w:p>
      <w:pPr>
        <w:pStyle w:val="ListNumber"/>
      </w:pPr>
      <w:r/>
      <w:r>
        <w:rPr>
          <w:b/>
        </w:rPr>
        <w:t>Méthionine synthase réductase</w:t>
      </w:r>
      <w:r>
        <w:t xml:space="preserve"> (régénération de la forme active de la méthionine synthase, en coopération avec la vitamine B12 et les folates).</w:t>
      </w:r>
    </w:p>
    <w:p>
      <w:pPr>
        <w:pStyle w:val="ListNumber"/>
      </w:pPr>
      <w:r/>
      <w:r>
        <w:rPr>
          <w:b/>
        </w:rPr>
        <w:t>Glutathion peroxydase</w:t>
      </w:r>
      <w:r>
        <w:t xml:space="preserve"> (via le glutathion réductase — défense antioxydante).</w:t>
      </w:r>
    </w:p>
    <w:p>
      <w:pPr>
        <w:pStyle w:val="Heading3"/>
      </w:pPr>
      <w:r>
        <w:t>Indications thérapeutiques validées</w:t>
      </w:r>
    </w:p>
    <w:p>
      <w:pPr>
        <w:pStyle w:val="ListBullet"/>
      </w:pPr>
      <w:r/>
      <w:r>
        <w:rPr>
          <w:b/>
        </w:rPr>
        <w:t>Carence en riboflavine (ariboflavinose)</w:t>
      </w:r>
      <w:r>
        <w:t xml:space="preserve"> : chéilite angulaire (fissures des commissures labiales), glossite, stomatite, dermatite faciale (nasolabiale et auriculaire), photophobie, larmoiement, conjonctivite, vascularisation cornéenne (kératite), anémie normocytaire hypochrome.</w:t>
      </w:r>
    </w:p>
    <w:p>
      <w:pPr>
        <w:pStyle w:val="ListBullet"/>
      </w:pPr>
      <w:r/>
      <w:r>
        <w:rPr>
          <w:b/>
        </w:rPr>
        <w:t>Prophylaxie de la migraine</w:t>
      </w:r>
      <w:r>
        <w:t xml:space="preserve"> à doses pharmacologiques (400 mg/jour — méta-analyse Cochrane suggérant une réduction de la fréquence des crises de 50 % chez l'adulte migraineux, en particulier chez les patients porteurs de mutations mitochondriales MELAS).</w:t>
      </w:r>
    </w:p>
    <w:p>
      <w:pPr>
        <w:pStyle w:val="ListBullet"/>
      </w:pPr>
      <w:r/>
      <w:r>
        <w:rPr>
          <w:b/>
        </w:rPr>
        <w:t>Prévention des cataractes</w:t>
      </w:r>
      <w:r>
        <w:t xml:space="preserve"> (rôle antioxydant sur le cristallin — données épidémiologiques).</w:t>
      </w:r>
    </w:p>
    <w:p>
      <w:pPr>
        <w:pStyle w:val="ListBullet"/>
      </w:pPr>
      <w:r/>
      <w:r>
        <w:rPr>
          <w:b/>
        </w:rPr>
        <w:t>Syndromes mitochondriaux</w:t>
      </w:r>
      <w:r>
        <w:t xml:space="preserve"> (CPEO, MELAS, MERRF, NARP) — supplémentation en riboflavine + coenzyme Q10 + L-carnitine.</w:t>
      </w:r>
    </w:p>
    <w:p>
      <w:pPr>
        <w:pStyle w:val="ListBullet"/>
      </w:pPr>
      <w:r/>
      <w:r>
        <w:rPr>
          <w:b/>
        </w:rPr>
        <w:t>Carence en MTHFR</w:t>
      </w:r>
      <w:r>
        <w:t xml:space="preserve"> (mutation 677C→T homozygote) — supplémentation en riboflavine + folates pour optimiser l'activité résiduelle de l'enzyme.</w:t>
      </w:r>
    </w:p>
    <w:p>
      <w:pPr>
        <w:pStyle w:val="Heading3"/>
      </w:pPr>
      <w:r>
        <w:t>Populations à risque</w:t>
      </w:r>
    </w:p>
    <w:p>
      <w:pPr>
        <w:pStyle w:val="ListBullet"/>
      </w:pPr>
      <w:r>
        <w:t>Femmes enceintes et allaitantes (besoins accrus).</w:t>
      </w:r>
    </w:p>
    <w:p>
      <w:pPr>
        <w:pStyle w:val="ListBullet"/>
      </w:pPr>
      <w:r>
        <w:t>Végétaliens stricts (apport alimentaire limité).</w:t>
      </w:r>
    </w:p>
    <w:p>
      <w:pPr>
        <w:pStyle w:val="ListBullet"/>
      </w:pPr>
      <w:r>
        <w:t>Sujets âgés dénutris.</w:t>
      </w:r>
    </w:p>
    <w:p>
      <w:pPr>
        <w:pStyle w:val="ListBullet"/>
      </w:pPr>
      <w:r>
        <w:t>Patients sous nutrition parentérale au long cours sans supplémentation vitaminique.</w:t>
      </w:r>
    </w:p>
    <w:p>
      <w:pPr>
        <w:pStyle w:val="ListBullet"/>
      </w:pPr>
      <w:r>
        <w:t>Patients traités par antipsychotiques phénothiaziniques (chlorpromazine — antagoniste de la riboflavine).</w:t>
      </w:r>
    </w:p>
    <w:p>
      <w:pPr>
        <w:pStyle w:val="ListBullet"/>
      </w:pPr>
      <w:r>
        <w:t>Patients sous tricycliques et inhibiteurs de la MAO (interférence avec les flavoprotéines).</w:t>
      </w:r>
    </w:p>
    <w:p>
      <w:pPr>
        <w:pStyle w:val="ListBullet"/>
      </w:pPr>
      <w:r>
        <w:t>Patients sous probénécide (inhibition de la réabsorption tubulaire de la riboflavine — carence induite).</w:t>
      </w:r>
    </w:p>
    <w:p>
      <w:pPr>
        <w:pStyle w:val="Heading3"/>
      </w:pPr>
      <w:r>
        <w:t>Spécificités du marché algérien</w:t>
      </w:r>
    </w:p>
    <w:p>
      <w:r>
        <w:t xml:space="preserve">La nomenclature algérienne (Avril 2026) ne recense </w:t>
      </w:r>
      <w:r>
        <w:rPr>
          <w:b/>
        </w:rPr>
        <w:t>aucune spécialité active de riboflavine</w:t>
      </w:r>
      <w:r>
        <w:t xml:space="preserve">. L'unique spécialité historique, </w:t>
      </w:r>
      <w:r>
        <w:rPr>
          <w:b/>
        </w:rPr>
        <w:t>BEFLAVINE</w:t>
      </w:r>
      <w:r>
        <w:t xml:space="preserve"> (Roche, comprimé enrobé à 10 mg, boîte de 20), est </w:t>
      </w:r>
      <w:r>
        <w:rPr>
          <w:b/>
        </w:rPr>
        <w:t>RETRAITÉE</w:t>
      </w:r>
      <w:r>
        <w:t xml:space="preserve"> du marché algérien. Cette absence pose un problème pratique pour la prise en charge des carences en riboflavine et des syndromes mitochondriaux, et impose aux praticiens algériens de recourir à des préparations magistrales ou à l'importation de spécialités étrangères (par exemple Eldeaflavine, Riboflavine Merck). La riboflavine est néanmoins présente comme composant des complexes multivitaminiques (MEGADYN — chapitre 164) et comme colorant alimentaire naturel (E101).</w:t>
      </w:r>
    </w:p>
    <w:p>
      <w:pPr>
        <w:pStyle w:val="Heading2"/>
      </w:pPr>
      <w:r>
        <w:t>162.4. Sous-classe : Vitamine B6 (Pyridoxine)</w:t>
      </w:r>
    </w:p>
    <w:p>
      <w:pPr>
        <w:pStyle w:val="Heading3"/>
      </w:pPr>
      <w:r>
        <w:t>Définition et cadre conceptuel</w:t>
      </w:r>
    </w:p>
    <w:p>
      <w:r>
        <w:t xml:space="preserve">La </w:t>
      </w:r>
      <w:r>
        <w:rPr>
          <w:b/>
        </w:rPr>
        <w:t>vitamine B6</w:t>
      </w:r>
      <w:r>
        <w:t xml:space="preserve"> désigne un groupe de six composés apparentés — pyridoxine (PN), pyridoxamine (PM), pyridoxal (PL), et leurs esters phosphatés respectifs pyridoxine-5'-phosphate (PNP), pyridoxamine-5'-phosphate (PMP) et pyridoxal-5'-phosphate (PLP) — partageant une activité vitaminique commune. La forme circulante majeure est le </w:t>
      </w:r>
      <w:r>
        <w:rPr>
          <w:b/>
        </w:rPr>
        <w:t>pyridoxal-5'-phosphate (PLP)</w:t>
      </w:r>
      <w:r>
        <w:t>, qui est aussi la forme biologiquement active. La pyridoxine a été isolée en 1934 par Paul György et identifiée comme facteur anti-acrodynie (dermatite des pattes du rat). Sa structure chimique a été élucidée par Richard Kuhn en 1938. La pyridoxine commerciale correspond au chlorhydrate de pyridoxine, hydrosoluble et stable.</w:t>
      </w:r>
    </w:p>
    <w:p>
      <w:pPr>
        <w:pStyle w:val="Heading3"/>
      </w:pPr>
      <w:r>
        <w:t>Mécanisme d'action moléculaire</w:t>
      </w:r>
    </w:p>
    <w:p>
      <w:r>
        <w:t>Le PLP est le cofacteur de plus de 140 enzymes, principalement impliquées dans le métabolisme des acides aminés :</w:t>
      </w:r>
    </w:p>
    <w:p>
      <w:pPr>
        <w:pStyle w:val="ListNumber"/>
      </w:pPr>
      <w:r/>
      <w:r>
        <w:rPr>
          <w:b/>
        </w:rPr>
        <w:t>Transaminases</w:t>
      </w:r>
      <w:r>
        <w:t xml:space="preserve"> (AST, ALT) — transfert du groupement α-aminé d'un acide aminé à un α-cétoacide.</w:t>
      </w:r>
    </w:p>
    <w:p>
      <w:pPr>
        <w:pStyle w:val="ListNumber"/>
      </w:pPr>
      <w:r/>
      <w:r>
        <w:rPr>
          <w:b/>
        </w:rPr>
        <w:t>Décarboxylases des acides aminés</w:t>
      </w:r>
      <w:r>
        <w:t xml:space="preserve"> — synthèse des neurotransmetteurs : glutamate → GABA (glutamate décarboxylase, GAD), 5-hydroxytryptophane → sérotonine, DOPA → dopamine, histidine → histamine.</w:t>
      </w:r>
    </w:p>
    <w:p>
      <w:pPr>
        <w:pStyle w:val="ListNumber"/>
      </w:pPr>
      <w:r/>
      <w:r>
        <w:rPr>
          <w:b/>
        </w:rPr>
        <w:t>Cystathionine β-synthase et cystathionine γ-lyase</w:t>
      </w:r>
      <w:r>
        <w:t xml:space="preserve"> — voie de la transsulfuration (métabolisme de l'homocystéine).</w:t>
      </w:r>
    </w:p>
    <w:p>
      <w:pPr>
        <w:pStyle w:val="ListNumber"/>
      </w:pPr>
      <w:r/>
      <w:r>
        <w:rPr>
          <w:b/>
        </w:rPr>
        <w:t>Glycogène phosphorylase</w:t>
      </w:r>
      <w:r>
        <w:t xml:space="preserve"> — glycogénolyse musculaire.</w:t>
      </w:r>
    </w:p>
    <w:p>
      <w:pPr>
        <w:pStyle w:val="ListNumber"/>
      </w:pPr>
      <w:r/>
      <w:r>
        <w:rPr>
          <w:b/>
        </w:rPr>
        <w:t>ALAS (δ-aminolévulinate synthase)</w:t>
      </w:r>
      <w:r>
        <w:t xml:space="preserve"> — première étape de la synthèse de l'hème.</w:t>
      </w:r>
    </w:p>
    <w:p>
      <w:pPr>
        <w:pStyle w:val="ListNumber"/>
      </w:pPr>
      <w:r/>
      <w:r>
        <w:rPr>
          <w:b/>
        </w:rPr>
        <w:t>Phosphorylase du glycogène</w:t>
      </w:r>
      <w:r>
        <w:t xml:space="preserve"> — libération du glucose-1-P à partir du glycogène.</w:t>
      </w:r>
    </w:p>
    <w:p>
      <w:pPr>
        <w:pStyle w:val="ListNumber"/>
      </w:pPr>
      <w:r/>
      <w:r>
        <w:rPr>
          <w:b/>
        </w:rPr>
        <w:t>Racémases</w:t>
      </w:r>
      <w:r>
        <w:t xml:space="preserve"> — synthèse de D-acides aminés (parois bactériennes).</w:t>
      </w:r>
    </w:p>
    <w:p>
      <w:pPr>
        <w:pStyle w:val="ListNumber"/>
      </w:pPr>
      <w:r/>
      <w:r>
        <w:rPr>
          <w:b/>
        </w:rPr>
        <w:t>Déshydratases, désulfydrases</w:t>
      </w:r>
      <w:r>
        <w:t xml:space="preserve"> — catabolisme de la sérine, thréonine, cystéine.</w:t>
      </w:r>
    </w:p>
    <w:p>
      <w:pPr>
        <w:pStyle w:val="ListNumber"/>
      </w:pPr>
      <w:r/>
      <w:r>
        <w:rPr>
          <w:b/>
        </w:rPr>
        <w:t>Linéoloyl-CoA désaturase</w:t>
      </w:r>
      <w:r>
        <w:t xml:space="preserve"> — synthèse des acides gras polyinsaturés.</w:t>
      </w:r>
    </w:p>
    <w:p>
      <w:pPr>
        <w:pStyle w:val="ListNumber"/>
      </w:pPr>
      <w:r/>
      <w:r>
        <w:rPr>
          <w:b/>
        </w:rPr>
        <w:t>Kinase de la phosphorylase</w:t>
      </w:r>
      <w:r>
        <w:t xml:space="preserve"> — régulation du métabolisme glycogénique.</w:t>
      </w:r>
    </w:p>
    <w:p>
      <w:pPr>
        <w:pStyle w:val="Heading3"/>
      </w:pPr>
      <w:r>
        <w:t>Indications thérapeutiques validées</w:t>
      </w:r>
    </w:p>
    <w:p>
      <w:pPr>
        <w:pStyle w:val="ListBullet"/>
      </w:pPr>
      <w:r/>
      <w:r>
        <w:rPr>
          <w:b/>
        </w:rPr>
        <w:t>Carence en vitamine B6</w:t>
      </w:r>
      <w:r>
        <w:t xml:space="preserve"> : neuropathie périphérique, chéilite, glossite, conjonctivite, dépression, irritabilité, convulsions (en particulier chez le nourrisson — pyridoxine-dépendance, maladie génétique récessive autosomique avec crises convulsives néonatales réfractaires).</w:t>
      </w:r>
    </w:p>
    <w:p>
      <w:pPr>
        <w:pStyle w:val="ListBullet"/>
      </w:pPr>
      <w:r/>
      <w:r>
        <w:rPr>
          <w:b/>
        </w:rPr>
        <w:t>Anémie sidéroblastique</w:t>
      </w:r>
      <w:r>
        <w:t xml:space="preserve"> (en particulier si carence associée, ou anémie sidéroblastique héréditaire X-liée responsive à la B6).</w:t>
      </w:r>
    </w:p>
    <w:p>
      <w:pPr>
        <w:pStyle w:val="ListBullet"/>
      </w:pPr>
      <w:r/>
      <w:r>
        <w:rPr>
          <w:b/>
        </w:rPr>
        <w:t>Naussées et vomissements de la grossesse (NVP)</w:t>
      </w:r>
      <w:r>
        <w:t xml:space="preserve"> : pyridoxine 10 à 25 mg, 3 à 4 fois par jour (recommandations ACOG et OMS).</w:t>
      </w:r>
    </w:p>
    <w:p>
      <w:pPr>
        <w:pStyle w:val="ListBullet"/>
      </w:pPr>
      <w:r/>
      <w:r>
        <w:rPr>
          <w:b/>
        </w:rPr>
        <w:t>Syndrome prémenstruel</w:t>
      </w:r>
      <w:r>
        <w:t xml:space="preserve"> : pyridoxine 50 à 100 mg/jour (méta-analyse Cochrane suggérant un effet modeste).</w:t>
      </w:r>
    </w:p>
    <w:p>
      <w:pPr>
        <w:pStyle w:val="ListBullet"/>
      </w:pPr>
      <w:r/>
      <w:r>
        <w:rPr>
          <w:b/>
        </w:rPr>
        <w:t>Neuropathie périphérique induite par isoniazide</w:t>
      </w:r>
      <w:r>
        <w:t xml:space="preserve"> (prophylaxie : pyridoxine 25 à 50 mg/jour).</w:t>
      </w:r>
    </w:p>
    <w:p>
      <w:pPr>
        <w:pStyle w:val="ListBullet"/>
      </w:pPr>
      <w:r/>
      <w:r>
        <w:rPr>
          <w:b/>
        </w:rPr>
        <w:t>Neuropathie périphérique induite par les chimiothérapies</w:t>
      </w:r>
      <w:r>
        <w:t xml:space="preserve"> (cisplatine, paclitaxel — efficacité contestée, risque de diminution de l'efficacité du tamoxifène à doses élevées).</w:t>
      </w:r>
    </w:p>
    <w:p>
      <w:pPr>
        <w:pStyle w:val="ListBullet"/>
      </w:pPr>
      <w:r/>
      <w:r>
        <w:rPr>
          <w:b/>
        </w:rPr>
        <w:t>Sclérose en plaques</w:t>
      </w:r>
      <w:r>
        <w:t xml:space="preserve"> (certaines études évoquent un effet protecteur — non consensuel).</w:t>
      </w:r>
    </w:p>
    <w:p>
      <w:pPr>
        <w:pStyle w:val="ListBullet"/>
      </w:pPr>
      <w:r/>
      <w:r>
        <w:rPr>
          <w:b/>
        </w:rPr>
        <w:t>Syndrome du tunnel carpien</w:t>
      </w:r>
      <w:r>
        <w:t xml:space="preserve"> (efficacité modeste, recommandé par certains médecins algériens avant chirurgie).</w:t>
      </w:r>
    </w:p>
    <w:p>
      <w:pPr>
        <w:pStyle w:val="ListBullet"/>
      </w:pPr>
      <w:r/>
      <w:r>
        <w:rPr>
          <w:b/>
        </w:rPr>
        <w:t>Austisme, troubles du spectre autistique</w:t>
      </w:r>
      <w:r>
        <w:t xml:space="preserve"> (données limitées — à éviter à doses élevées).</w:t>
      </w:r>
    </w:p>
    <w:p>
      <w:pPr>
        <w:pStyle w:val="Heading3"/>
      </w:pPr>
      <w:r>
        <w:t>Toxicité spécifique de la vitamine B6</w:t>
      </w:r>
    </w:p>
    <w:p>
      <w:r>
        <w:t>La vitamine B6 présente une toxicité neurologique spécifique à doses pharmacologiques (</w:t>
      </w:r>
      <w:r>
        <w:rPr>
          <w:b/>
        </w:rPr>
        <w:t>neuropathie sensorielle périphérique</w:t>
      </w:r>
      <w:r>
        <w:t>). Ce risque, bien documenté depuis les années 1980, survient pour des doses journalières supérieures à 50 mg pendant plusieurs mois, et est constant pour des doses supérieures à 200 mg/jour. La symptomatologie associe paresthésies des extrémités (en « chaussettes-gants »), ataxie sensitive, déséquilibre, et dans les cas sévères, neuropathie motrice. La récupération est lente (plusieurs mois à années) et peut être incomplète. La contre-indication absolue concerne les doses supérieures à 200 mg/jour au long cours, et l'ANSM recommande de ne pas dépasser 50 mg/jour en traitement prolongé. Cette toxicité est directement liée à un effet axonal direct du PLP sur les neurones sensoriels des ganglions rachidiens postérieurs.</w:t>
      </w:r>
    </w:p>
    <w:p>
      <w:pPr>
        <w:pStyle w:val="Heading3"/>
      </w:pPr>
      <w:r>
        <w:t>Populations à risque</w:t>
      </w:r>
    </w:p>
    <w:p>
      <w:pPr>
        <w:pStyle w:val="ListBullet"/>
      </w:pPr>
      <w:r>
        <w:t>Femmes enceintes (hyperemesis gravidarum).</w:t>
      </w:r>
    </w:p>
    <w:p>
      <w:pPr>
        <w:pStyle w:val="ListBullet"/>
      </w:pPr>
      <w:r>
        <w:t>Patients sous isoniazide, hydralazine, pénicillamine, théophylline (cinduction de carence en B6 par complexation du PLP).</w:t>
      </w:r>
    </w:p>
    <w:p>
      <w:pPr>
        <w:pStyle w:val="ListBullet"/>
      </w:pPr>
      <w:r>
        <w:t>Patients alcooliques chroniques.</w:t>
      </w:r>
    </w:p>
    <w:p>
      <w:pPr>
        <w:pStyle w:val="ListBullet"/>
      </w:pPr>
      <w:r>
        <w:t>Femmes prenant des contraceptifs oraux estroprogestatifs (baisse du PLP).</w:t>
      </w:r>
    </w:p>
    <w:p>
      <w:pPr>
        <w:pStyle w:val="ListBullet"/>
      </w:pPr>
      <w:r>
        <w:t>Patients âgés.</w:t>
      </w:r>
    </w:p>
    <w:p>
      <w:pPr>
        <w:pStyle w:val="ListBullet"/>
      </w:pPr>
      <w:r>
        <w:t>Patients insuffisants rénaux dialysés (fuite dialytique).</w:t>
      </w:r>
    </w:p>
    <w:p>
      <w:pPr>
        <w:pStyle w:val="Heading3"/>
      </w:pPr>
      <w:r>
        <w:t>Spécificités du marché algérien</w:t>
      </w:r>
    </w:p>
    <w:p>
      <w:r>
        <w:t xml:space="preserve">La nomenclature algérienne (Avril 2026) recense plusieurs spécialités de pyridoxine. Les spécialités actives sont : </w:t>
      </w:r>
      <w:r>
        <w:rPr>
          <w:b/>
        </w:rPr>
        <w:t>PYRIDOXINE API</w:t>
      </w:r>
      <w:r>
        <w:t xml:space="preserve"> (comprimé 250 mg, B/20), et des associations (MAGNE-B6 retiré, VITAMINE B1 B6 BGL, VIT B1 B6 BEKER, TRI-B, TRI-B-VIT HUP, TROIS B). La pyridoxine injectable (PYRIDOXINE CHLORHYDRATE, RENAUDIN) est </w:t>
      </w:r>
      <w:r>
        <w:rPr>
          <w:b/>
        </w:rPr>
        <w:t>NON_RENOUVELABLE</w:t>
      </w:r>
      <w:r>
        <w:t>. Cette particularité impose aux praticiens algériens d'utiliser essentiellement la voie orale pour la supplémentation en B6, et de respecter scrupuleusement les limites de dose (≤ 50 mg/jour au long cours) en raison du risque neuropathique.</w:t>
      </w:r>
    </w:p>
    <w:p>
      <w:pPr>
        <w:pStyle w:val="Heading2"/>
      </w:pPr>
      <w:r>
        <w:t>162.5. Sous-classe : Vitamine B12 (Cyanocobalamine)</w:t>
      </w:r>
    </w:p>
    <w:p>
      <w:pPr>
        <w:pStyle w:val="Heading3"/>
      </w:pPr>
      <w:r>
        <w:t>Définition et cadre conceptuel</w:t>
      </w:r>
    </w:p>
    <w:p>
      <w:r>
        <w:t xml:space="preserve">La </w:t>
      </w:r>
      <w:r>
        <w:rPr>
          <w:b/>
        </w:rPr>
        <w:t>vitamine B12</w:t>
      </w:r>
      <w:r>
        <w:t xml:space="preserve"> (cobalamine) est la vitamine hydrosoluble possédant la structure la plus complexe et la plus volumineuse (1355 g/mol pour la cyanocobalamine). C'est la seule vitamine à contenir un atome métallique (cobalt) et un atome non-métallique rare (le cobalt est lié à un noyau corrine, structure tétrapyrrolique apparentée à l'hème mais sans fer). La cobalamine existe sous plusieurs formes : cyanocobalamine (forme commerciale stable), hydroxocobalamine (forme de stockage tissulaire), méthylcobalamine (coenzyme cytosolique), adénosylcobalamine (coenzyme mitochondrial), sulfitocobalamine, nitritocobalamine. Les coenzymes actifs sont la </w:t>
      </w:r>
      <w:r>
        <w:rPr>
          <w:b/>
        </w:rPr>
        <w:t>méthylcobalamine</w:t>
      </w:r>
      <w:r>
        <w:t xml:space="preserve"> (cytosol) et l'</w:t>
      </w:r>
      <w:r>
        <w:rPr>
          <w:b/>
        </w:rPr>
        <w:t>adénosylcobalamine</w:t>
      </w:r>
      <w:r>
        <w:t xml:space="preserve"> (mitochondries). La vitamine B12 est exclusivement synthétisée par les bactéries (en particulier les bactéries du sol et du rumen), et l'apport alimentaire humain provient des produits animaux (foie, viande, poisson, œufs, produits laitiers).</w:t>
      </w:r>
    </w:p>
    <w:p>
      <w:pPr>
        <w:pStyle w:val="Heading3"/>
      </w:pPr>
      <w:r>
        <w:t>Mécanisme d'action moléculaire</w:t>
      </w:r>
    </w:p>
    <w:p>
      <w:r>
        <w:t>La vitamine B12 est le cofacteur de deux enzymes humaines :</w:t>
      </w:r>
    </w:p>
    <w:p>
      <w:pPr>
        <w:pStyle w:val="ListNumber"/>
      </w:pPr>
      <w:r/>
      <w:r>
        <w:rPr>
          <w:b/>
        </w:rPr>
        <w:t>Méthionine synthase (cytosolique)</w:t>
      </w:r>
      <w:r>
        <w:t xml:space="preserve"> — catalyse la reméthylation de l'homocystéine en méthionine en utilisant le 5-méthyltétrahydrofolate (5-méthyl-THF) comme donneur de méthyle. La méthionine est ensuite convertie en S-adénosylméthionine (SAM), donneur de méthyle universel pour la méthylation de l'ADN, des protéines, des neurotransmetteurs, des phospholipides. Cette réaction est la </w:t>
      </w:r>
      <w:r>
        <w:rPr>
          <w:b/>
        </w:rPr>
        <w:t>seule voie de conversion du 5-méthyl-THF en THF</w:t>
      </w:r>
      <w:r>
        <w:t xml:space="preserve"> : en cas de carence en B12, le 5-méthyl-THF s'accumule (« trap hypothesis » de Scott) et la synthèse des purines/pyrimidines est compromise (anémie mégaloblastique par carence fonctionnelle en folates).</w:t>
      </w:r>
    </w:p>
    <w:p>
      <w:pPr>
        <w:pStyle w:val="ListNumber"/>
      </w:pPr>
      <w:r/>
      <w:r>
        <w:rPr>
          <w:b/>
        </w:rPr>
        <w:t>Méthylmalonyl-CoA mutase (mitochondriale)</w:t>
      </w:r>
      <w:r>
        <w:t xml:space="preserve"> — catalyse la conversion du méthylmalonyl-CoA en succinyl-CoA, qui entre dans le cycle de Krebs. Le méthylmalonyl-CoA provient du catabolisme des acides aminés à chaîne impaire (valine, isoleucine, méthionine, thréonine), des acides gras à nombre impair de carbones et de certains acides biliaires. En cas de carence en B12, le méthylmalonyl-CoA s'accumule et est converti en acide méthylmalonique, qui est neurotoxique (demyélinisation).</w:t>
      </w:r>
    </w:p>
    <w:p>
      <w:pPr>
        <w:pStyle w:val="Heading3"/>
      </w:pPr>
      <w:r>
        <w:t>Pharmacocinétique particulière — Absorption par le facteur intrinsèque</w:t>
      </w:r>
    </w:p>
    <w:p>
      <w:r>
        <w:t>L'absorption de la vitamine B12 se fait par un mécanisme unique en deux étapes :</w:t>
      </w:r>
    </w:p>
    <w:p>
      <w:pPr>
        <w:pStyle w:val="ListNumber"/>
      </w:pPr>
      <w:r/>
      <w:r>
        <w:rPr>
          <w:b/>
        </w:rPr>
        <w:t>Phase gastrique</w:t>
      </w:r>
      <w:r>
        <w:t xml:space="preserve"> : la B12 alimentaire, liée aux protéines alimentaires, est libérée par l'acide gastrique et la pepsine. Elle se lie à l'</w:t>
      </w:r>
      <w:r>
        <w:rPr>
          <w:b/>
        </w:rPr>
        <w:t>haptocorrine (facteur R)</w:t>
      </w:r>
      <w:r>
        <w:t xml:space="preserve"> salivaire et gastrique, qui protège la B12 de la dégradation acide.</w:t>
      </w:r>
    </w:p>
    <w:p>
      <w:pPr>
        <w:pStyle w:val="ListNumber"/>
      </w:pPr>
      <w:r/>
      <w:r>
        <w:rPr>
          <w:b/>
        </w:rPr>
        <w:t>Phase duodénale</w:t>
      </w:r>
      <w:r>
        <w:t xml:space="preserve"> : la trypsine pancréatique dégrade l'haptocorrine dans le duodénum, libérant la B12 qui se lie au </w:t>
      </w:r>
      <w:r>
        <w:rPr>
          <w:b/>
        </w:rPr>
        <w:t>facteur intrinsèque (FI)</w:t>
      </w:r>
      <w:r>
        <w:t xml:space="preserve"> sécrété par les cellules pariétales de l'estomac.</w:t>
      </w:r>
    </w:p>
    <w:p>
      <w:pPr>
        <w:pStyle w:val="ListNumber"/>
      </w:pPr>
      <w:r/>
      <w:r>
        <w:rPr>
          <w:b/>
        </w:rPr>
        <w:t>Phase iléale</w:t>
      </w:r>
      <w:r>
        <w:t xml:space="preserve"> : le complexe B12-FI se fixe sur le récepteur </w:t>
      </w:r>
      <w:r>
        <w:rPr>
          <w:b/>
        </w:rPr>
        <w:t>cubiline-amnionless</w:t>
      </w:r>
      <w:r>
        <w:t xml:space="preserve"> de la bordure en brosse des entérocytes de l'iléon terminal, où il est internalisé. La B12 est alors libérée dans le sang, où elle se lie à la </w:t>
      </w:r>
      <w:r>
        <w:rPr>
          <w:b/>
        </w:rPr>
        <w:t>transcobalamine II</w:t>
      </w:r>
      <w:r>
        <w:t xml:space="preserve"> (transport plasmatique actif) qui la délivre aux cellules cibles. Environ 1 % de la dose orale est absorbée par diffusion passive indépendante du FI (saturation à doses pharmacologiques élevées ≥ 1 mg).</w:t>
      </w:r>
    </w:p>
    <w:p>
      <w:r>
        <w:t>Cette absorption complexe explique les multiples causes de carence en B12 : achlorhydrie (atrophie gastrique, IPP au long cours), déficit en facteur intrinsèque (maladie de Biermer = anémie pernicieuse), gastrectomie totale, lésion iléale terminale (maladie de Crohn, résection iléale, sprue), déficit en transcobalamine II (rare, génétique), insuffisance pancréatique exocrine (dégradation incomplète de l'haptocorrine).</w:t>
      </w:r>
    </w:p>
    <w:p>
      <w:pPr>
        <w:pStyle w:val="Heading3"/>
      </w:pPr>
      <w:r>
        <w:t>Indications thérapeutiques validées</w:t>
      </w:r>
    </w:p>
    <w:p>
      <w:pPr>
        <w:pStyle w:val="ListBullet"/>
      </w:pPr>
      <w:r/>
      <w:r>
        <w:rPr>
          <w:b/>
        </w:rPr>
        <w:t>Carence en vitamine B12</w:t>
      </w:r>
      <w:r>
        <w:t xml:space="preserve"> : anémie de Biermer (anémie pernicieuse auto-immune), anémies mégaloblastiques carentielles (régime végétalien strict, malabsorption, gastrectomie, IPP au long cours), neuropathies périphériques carentielles, sclérose combinée de la moelle (myélose funiculaire).</w:t>
      </w:r>
    </w:p>
    <w:p>
      <w:pPr>
        <w:pStyle w:val="ListBullet"/>
      </w:pPr>
      <w:r/>
      <w:r>
        <w:rPr>
          <w:b/>
        </w:rPr>
        <w:t>Traitement préventif</w:t>
      </w:r>
      <w:r>
        <w:t xml:space="preserve"> : patients après gastrectomie, patients sous IPP au long cours, végétaliens, sujets âgés (carence infra-clinique fréquente), nourrissons allaités par mère végétalienne.</w:t>
      </w:r>
    </w:p>
    <w:p>
      <w:pPr>
        <w:pStyle w:val="ListBullet"/>
      </w:pPr>
      <w:r/>
      <w:r>
        <w:rPr>
          <w:b/>
        </w:rPr>
        <w:t>Syndromes neurologiques carentiels</w:t>
      </w:r>
      <w:r>
        <w:t xml:space="preserve"> : polynévrite, paraparésie spastique, troubles cognitifs et démence carentielle (réversible si diagnostic précoce).</w:t>
      </w:r>
    </w:p>
    <w:p>
      <w:pPr>
        <w:pStyle w:val="ListBullet"/>
      </w:pPr>
      <w:r/>
      <w:r>
        <w:rPr>
          <w:b/>
        </w:rPr>
        <w:t>Intoxications</w:t>
      </w:r>
      <w:r>
        <w:t xml:space="preserve"> : cyanure (hydroxocobalamine = Cyanokit, chélateur du cyanure — non traité ici, voir fascicule toxicologie).</w:t>
      </w:r>
    </w:p>
    <w:p>
      <w:pPr>
        <w:pStyle w:val="ListBullet"/>
      </w:pPr>
      <w:r/>
      <w:r>
        <w:rPr>
          <w:b/>
        </w:rPr>
        <w:t>Neuropathies diabétiques et alcooliques</w:t>
      </w:r>
      <w:r>
        <w:t xml:space="preserve"> (association B1 + B6 + B12 — efficacité contestée mais prescription répandue en Algérie).</w:t>
      </w:r>
    </w:p>
    <w:p>
      <w:pPr>
        <w:pStyle w:val="Heading3"/>
      </w:pPr>
      <w:r>
        <w:t>Populations à risque</w:t>
      </w:r>
    </w:p>
    <w:p>
      <w:pPr>
        <w:pStyle w:val="ListBullet"/>
      </w:pPr>
      <w:r>
        <w:t>Sujets âgés (&gt; 65 ans, atrophie gastrique atrophique).</w:t>
      </w:r>
    </w:p>
    <w:p>
      <w:pPr>
        <w:pStyle w:val="ListBullet"/>
      </w:pPr>
      <w:r>
        <w:t>Patients avec maladie de Biermer (auto-anticorps anti-cellules pariétales et anti-facteur intrinsèque).</w:t>
      </w:r>
    </w:p>
    <w:p>
      <w:pPr>
        <w:pStyle w:val="ListBullet"/>
      </w:pPr>
      <w:r>
        <w:t>Patients après gastrectomie totale ou partielle.</w:t>
      </w:r>
    </w:p>
    <w:p>
      <w:pPr>
        <w:pStyle w:val="ListBullet"/>
      </w:pPr>
      <w:r>
        <w:t>Patients après bypass gastrique en Y.</w:t>
      </w:r>
    </w:p>
    <w:p>
      <w:pPr>
        <w:pStyle w:val="ListBullet"/>
      </w:pPr>
      <w:r>
        <w:t>Patients avec malabsorption iléale (Crohn, résection iléale, sprue).</w:t>
      </w:r>
    </w:p>
    <w:p>
      <w:pPr>
        <w:pStyle w:val="ListBullet"/>
      </w:pPr>
      <w:r>
        <w:t>Patients sous IPP au long cours (omeprazole ≥ 1 an).</w:t>
      </w:r>
    </w:p>
    <w:p>
      <w:pPr>
        <w:pStyle w:val="ListBullet"/>
      </w:pPr>
      <w:r>
        <w:t>Patients sous metformine au long cours (interférence avec l'absorption de B12 — surveillance biologique annuelle recommandée).</w:t>
      </w:r>
    </w:p>
    <w:p>
      <w:pPr>
        <w:pStyle w:val="ListBullet"/>
      </w:pPr>
      <w:r>
        <w:t>Végétaliens stricts et leurs nourrissons allaités.</w:t>
      </w:r>
    </w:p>
    <w:p>
      <w:pPr>
        <w:pStyle w:val="ListBullet"/>
      </w:pPr>
      <w:r>
        <w:t>Patients insuffisants rénaux chroniques (perte dialytique de transcobalamine).</w:t>
      </w:r>
    </w:p>
    <w:p>
      <w:pPr>
        <w:pStyle w:val="Heading3"/>
      </w:pPr>
      <w:r>
        <w:t>Spécificités du marché algérien</w:t>
      </w:r>
    </w:p>
    <w:p>
      <w:r>
        <w:t xml:space="preserve">La nomenclature algérienne (Avril 2026) recense plusieurs spécialités actives de cyanocobalamine injectable : </w:t>
      </w:r>
      <w:r>
        <w:rPr>
          <w:b/>
        </w:rPr>
        <w:t>COBAMINE</w:t>
      </w:r>
      <w:r>
        <w:t xml:space="preserve"> (Saidal), </w:t>
      </w:r>
      <w:r>
        <w:rPr>
          <w:b/>
        </w:rPr>
        <w:t>VIT B12</w:t>
      </w:r>
      <w:r>
        <w:t xml:space="preserve"> (HUPP Pharma), </w:t>
      </w:r>
      <w:r>
        <w:rPr>
          <w:b/>
        </w:rPr>
        <w:t>VITAMINE B12 GEO</w:t>
      </w:r>
      <w:r>
        <w:t xml:space="preserve"> (Geopharm), </w:t>
      </w:r>
      <w:r>
        <w:rPr>
          <w:b/>
        </w:rPr>
        <w:t>COBAVIT</w:t>
      </w:r>
      <w:r>
        <w:t xml:space="preserve"> (Biothera), </w:t>
      </w:r>
      <w:r>
        <w:rPr>
          <w:b/>
        </w:rPr>
        <w:t>RAZICOBAL B12</w:t>
      </w:r>
      <w:r>
        <w:t xml:space="preserve"> (Frater-Razes). Toutes sont en solution injectable (1000 µg/mL ou 1000 µg/2 mL), administrables par voie IM ou IV. Aucune forme orale active n'est disponible en spécialité simple (la B12 est présente dans les complexes multivitaminiques, chapitre 164). Les spécialités historiques (BENERVA, BECILAN, VITAMINE B12 SANDOZ, VITAMINE B12 GERDA, WERAVIT B12, INTRAMED VITAMINE B12, VITAMINE B12 AGUETTANT, DONEURINE) sont retirées du marché algérien. Cette particularité impose aux services d'urgences algériens de disposer des spécialités Saidal ou Frater-Razes pour le traitement des carences sévères en B12.</w:t>
      </w:r>
    </w:p>
    <w:p>
      <w:pPr>
        <w:pStyle w:val="Heading2"/>
      </w:pPr>
      <w:r>
        <w:t>162.6. Sous-classe : Vitamine B3/PP (Niacine, Nicotinamide)</w:t>
      </w:r>
    </w:p>
    <w:p>
      <w:pPr>
        <w:pStyle w:val="Heading3"/>
      </w:pPr>
      <w:r>
        <w:t>Définition et cadre conceptuel</w:t>
      </w:r>
    </w:p>
    <w:p>
      <w:r>
        <w:t xml:space="preserve">La </w:t>
      </w:r>
      <w:r>
        <w:rPr>
          <w:b/>
        </w:rPr>
        <w:t>vitamine B3</w:t>
      </w:r>
      <w:r>
        <w:t xml:space="preserve"> (vitamine PP pour </w:t>
      </w:r>
      <w:r>
        <w:rPr>
          <w:i/>
        </w:rPr>
        <w:t>Pellagra Preventive</w:t>
      </w:r>
      <w:r>
        <w:t xml:space="preserve">, ou niacine) désigne deux composés distincts mais interconvertibles : la </w:t>
      </w:r>
      <w:r>
        <w:rPr>
          <w:b/>
        </w:rPr>
        <w:t>nicotinique</w:t>
      </w:r>
      <w:r>
        <w:t xml:space="preserve"> (acide pyridine-3-carboxylique) et le </w:t>
      </w:r>
      <w:r>
        <w:rPr>
          <w:b/>
        </w:rPr>
        <w:t>nicotinamide</w:t>
      </w:r>
      <w:r>
        <w:t xml:space="preserve"> (amide de l'acide nicotinique). La vitamine B3 est unique parmi les vitamines hydrosolubles car elle peut être synthétisée endogènement (à partir du tryptophane alimentaire, à condition que les besoins en fer, vitamine B6 et riboflavine soient couverts — environ 60 mg de tryptophane produisent 1 mg de niacine). Découverte en 1937 par Conrad Elvehjem comme facteur anti-pellagre, la niacine est le précurseur du </w:t>
      </w:r>
      <w:r>
        <w:rPr>
          <w:b/>
        </w:rPr>
        <w:t>NAD⁺ (nicotinamide adénine dinucléotide)</w:t>
      </w:r>
      <w:r>
        <w:t xml:space="preserve"> et du </w:t>
      </w:r>
      <w:r>
        <w:rPr>
          <w:b/>
        </w:rPr>
        <w:t>NADP⁺ (nicotinamide adénine dinucléotide phosphate)</w:t>
      </w:r>
      <w:r>
        <w:t>, deux cofacteurs universels du métabolisme énergétique.</w:t>
      </w:r>
    </w:p>
    <w:p>
      <w:pPr>
        <w:pStyle w:val="Heading3"/>
      </w:pPr>
      <w:r>
        <w:t>Mécanisme d'action moléculaire</w:t>
      </w:r>
    </w:p>
    <w:p>
      <w:r>
        <w:t>Le NAD⁺ et le NADH participent aux réactions d'oxydoréduction (transfert d'hydride H⁻) dans plus de 400 réactions enzymatiques, principalement :</w:t>
      </w:r>
    </w:p>
    <w:p>
      <w:pPr>
        <w:pStyle w:val="ListBullet"/>
      </w:pPr>
      <w:r/>
      <w:r>
        <w:rPr>
          <w:b/>
        </w:rPr>
        <w:t>Catabolisme oxydatif</w:t>
      </w:r>
      <w:r>
        <w:t xml:space="preserve"> : glycolyse (GAPDH), cycle de Krebs (isocitrate DH, α-cétoglutarate DH, malate DH), β-oxydation des acides gras.</w:t>
      </w:r>
    </w:p>
    <w:p>
      <w:pPr>
        <w:pStyle w:val="ListBullet"/>
      </w:pPr>
      <w:r/>
      <w:r>
        <w:rPr>
          <w:b/>
        </w:rPr>
        <w:t>Chaîne respiratoire mitochondriale</w:t>
      </w:r>
      <w:r>
        <w:t xml:space="preserve"> : le NADH est l'électron-donneur principal du complexe I.</w:t>
      </w:r>
    </w:p>
    <w:p>
      <w:pPr>
        <w:pStyle w:val="ListBullet"/>
      </w:pPr>
      <w:r/>
      <w:r>
        <w:rPr>
          <w:b/>
        </w:rPr>
        <w:t>Détoxification de l'éthanol</w:t>
      </w:r>
      <w:r>
        <w:t xml:space="preserve"> (alcool déshydrogénase et aldéhyde déshydrogénase).</w:t>
      </w:r>
    </w:p>
    <w:p>
      <w:pPr>
        <w:pStyle w:val="ListBullet"/>
      </w:pPr>
      <w:r/>
      <w:r>
        <w:rPr>
          <w:b/>
        </w:rPr>
        <w:t>Réduction de l'acide glutamique en glutamate</w:t>
      </w:r>
      <w:r>
        <w:t>.</w:t>
      </w:r>
    </w:p>
    <w:p>
      <w:pPr>
        <w:pStyle w:val="ListBullet"/>
      </w:pPr>
      <w:r/>
      <w:r>
        <w:rPr>
          <w:b/>
        </w:rPr>
        <w:t>Synthèse et catabolisme des acides gras et du cholestérol</w:t>
      </w:r>
      <w:r>
        <w:t>.</w:t>
      </w:r>
    </w:p>
    <w:p>
      <w:r>
        <w:t>Le NADP⁺/NADPH intervient dans les voies anaboliques (biosynthèse) et de défense antioxydante :</w:t>
      </w:r>
    </w:p>
    <w:p>
      <w:pPr>
        <w:pStyle w:val="ListBullet"/>
      </w:pPr>
      <w:r/>
      <w:r>
        <w:rPr>
          <w:b/>
        </w:rPr>
        <w:t>Voie des pentoses phosphates</w:t>
      </w:r>
      <w:r>
        <w:t xml:space="preserve"> (production de ribose et de NADPH).</w:t>
      </w:r>
    </w:p>
    <w:p>
      <w:pPr>
        <w:pStyle w:val="ListBullet"/>
      </w:pPr>
      <w:r/>
      <w:r>
        <w:rPr>
          <w:b/>
        </w:rPr>
        <w:t>Biosynthèse des acides gras</w:t>
      </w:r>
      <w:r>
        <w:t xml:space="preserve"> et du cholestérol.</w:t>
      </w:r>
    </w:p>
    <w:p>
      <w:pPr>
        <w:pStyle w:val="ListBullet"/>
      </w:pPr>
      <w:r/>
      <w:r>
        <w:rPr>
          <w:b/>
        </w:rPr>
        <w:t>Régénération du glutathion réduit</w:t>
      </w:r>
      <w:r>
        <w:t xml:space="preserve"> via la glutathion réductase.</w:t>
      </w:r>
    </w:p>
    <w:p>
      <w:pPr>
        <w:pStyle w:val="ListBullet"/>
      </w:pPr>
      <w:r/>
      <w:r>
        <w:rPr>
          <w:b/>
        </w:rPr>
        <w:t>Cytochrome P450 réductase</w:t>
      </w:r>
      <w:r>
        <w:t xml:space="preserve"> (métabolisme des médicaments).</w:t>
      </w:r>
    </w:p>
    <w:p>
      <w:pPr>
        <w:pStyle w:val="ListBullet"/>
      </w:pPr>
      <w:r/>
      <w:r>
        <w:rPr>
          <w:b/>
        </w:rPr>
        <w:t>NO synthase</w:t>
      </w:r>
      <w:r>
        <w:t xml:space="preserve"> (production de monoxyde d'azote).</w:t>
      </w:r>
    </w:p>
    <w:p>
      <w:r>
        <w:t xml:space="preserve">Le NAD⁺ est également substrat de la </w:t>
      </w:r>
      <w:r>
        <w:rPr>
          <w:b/>
        </w:rPr>
        <w:t>PARP (poly-ADP-ribose polymérase)</w:t>
      </w:r>
      <w:r>
        <w:t xml:space="preserve">, enzyme de réparation de l'ADN, et des </w:t>
      </w:r>
      <w:r>
        <w:rPr>
          <w:b/>
        </w:rPr>
        <w:t>sirtuines</w:t>
      </w:r>
      <w:r>
        <w:t xml:space="preserve"> (désacétylases NAD⁺-dépendantes impliquées dans la régulation du vieillissement et du métabolisme énergétique).</w:t>
      </w:r>
    </w:p>
    <w:p>
      <w:pPr>
        <w:pStyle w:val="Heading3"/>
      </w:pPr>
      <w:r>
        <w:t>Indications thérapeutiques validées</w:t>
      </w:r>
    </w:p>
    <w:p>
      <w:pPr>
        <w:pStyle w:val="ListBullet"/>
      </w:pPr>
      <w:r/>
      <w:r>
        <w:rPr>
          <w:b/>
        </w:rPr>
        <w:t>Carence en niacine (pellagre)</w:t>
      </w:r>
      <w:r>
        <w:t xml:space="preserve"> : triade dermatite (photosensibilité, dermatite érythémateuse en col Casal, glossite, chéilite), diarrhée (achlorhydrie, atrophie villositaire), démence (encéphalopathie, psychose). Évolution vers le décès si non traité (quatrième D — Death).</w:t>
      </w:r>
    </w:p>
    <w:p>
      <w:pPr>
        <w:pStyle w:val="ListBullet"/>
      </w:pPr>
      <w:r/>
      <w:r>
        <w:rPr>
          <w:b/>
        </w:rPr>
        <w:t>Hypercholestérolémie et hypertriglycéridémie</w:t>
      </w:r>
      <w:r>
        <w:t xml:space="preserve"> (acide nicotinique à doses pharmacologiques 1 à 3 g/jour — effet hypolipidémiant par inhibition de la lipolyse adipocytaire ; aujourd'hui largement supplanté par les statines et les fibrats en raison de la tolérance médiocre : flushing, hépatotoxicité, hyperglycémie, hyperuricémie).</w:t>
      </w:r>
    </w:p>
    <w:p>
      <w:pPr>
        <w:pStyle w:val="ListBullet"/>
      </w:pPr>
      <w:r/>
      <w:r>
        <w:rPr>
          <w:b/>
        </w:rPr>
        <w:t>Prophylaxie de la pellagre</w:t>
      </w:r>
      <w:r>
        <w:t xml:space="preserve"> chez les patients à risque (alcooliques chroniques, malabsorption, régimes pauvres en protéines animales).</w:t>
      </w:r>
    </w:p>
    <w:p>
      <w:pPr>
        <w:pStyle w:val="ListBullet"/>
      </w:pPr>
      <w:r/>
      <w:r>
        <w:rPr>
          <w:b/>
        </w:rPr>
        <w:t>Syndromes mitochondriaux</w:t>
      </w:r>
      <w:r>
        <w:t xml:space="preserve"> et certaines ataxies héréditaires (données limitées).</w:t>
      </w:r>
    </w:p>
    <w:p>
      <w:pPr>
        <w:pStyle w:val="Heading3"/>
      </w:pPr>
      <w:r>
        <w:t>Populations à risque</w:t>
      </w:r>
    </w:p>
    <w:p>
      <w:pPr>
        <w:pStyle w:val="ListBullet"/>
      </w:pPr>
      <w:r>
        <w:t>Alcooliques chroniques (apport réduit, malabsorption, défaut de conversion du tryptophane).</w:t>
      </w:r>
    </w:p>
    <w:p>
      <w:pPr>
        <w:pStyle w:val="ListBullet"/>
      </w:pPr>
      <w:r>
        <w:t>Patients avec malabsorption (Crohn, sprue, gastrectomie).</w:t>
      </w:r>
    </w:p>
    <w:p>
      <w:pPr>
        <w:pStyle w:val="ListBullet"/>
      </w:pPr>
      <w:r>
        <w:t>Patients sous isoniazide (compétition avec le pyridoxal-5'-P, ce qui réduit la conversion tryptophane → niacine).</w:t>
      </w:r>
    </w:p>
    <w:p>
      <w:pPr>
        <w:pStyle w:val="ListBullet"/>
      </w:pPr>
      <w:r>
        <w:t>Patients sous antagonistes du pyridoxal-5'-P (hydralazine, pénicillamine).</w:t>
      </w:r>
    </w:p>
    <w:p>
      <w:pPr>
        <w:pStyle w:val="ListBullet"/>
      </w:pPr>
      <w:r>
        <w:t>Végétaliens stricts mal équilibrés.</w:t>
      </w:r>
    </w:p>
    <w:p>
      <w:pPr>
        <w:pStyle w:val="ListBullet"/>
      </w:pPr>
      <w:r>
        <w:t>Patients avec carcinoid syndrome (dévaluation du tryptophane en sérotonine au lieu de niacine → pellagre).</w:t>
      </w:r>
    </w:p>
    <w:p>
      <w:pPr>
        <w:pStyle w:val="ListBullet"/>
      </w:pPr>
      <w:r>
        <w:t>Patients sous nutrition parentérale prolongée sans supplémentation.</w:t>
      </w:r>
    </w:p>
    <w:p>
      <w:pPr>
        <w:pStyle w:val="ListBullet"/>
      </w:pPr>
      <w:r>
        <w:t>Patients avec syndrome de Hartnup (déficit génétique du transporteur des acides aminés neutres, dont le tryptophane — pellagre-like).</w:t>
      </w:r>
    </w:p>
    <w:p>
      <w:pPr>
        <w:pStyle w:val="Heading3"/>
      </w:pPr>
      <w:r>
        <w:t>Spécificités du marché algérien</w:t>
      </w:r>
    </w:p>
    <w:p>
      <w:r>
        <w:t xml:space="preserve">La nomenclature algérienne (Avril 2026) </w:t>
      </w:r>
      <w:r>
        <w:rPr>
          <w:b/>
        </w:rPr>
        <w:t>ne recense aucune spécialité active de niacine ou de nicotinamide</w:t>
      </w:r>
      <w:r>
        <w:t>. Cette absence peut s'expliquer par : (i) la rareté relative de la pellagre en Algérie (régime méditerranéen riche en céréales et en protéines animales), (ii) la disponibilité de la niacine dans les complexes multivitaminiques (chapitre 164 — MEGADYN), (iii) le retrait du marché des spécialités historiques de nicotinique à doses hypolipidémiantes (hépatotoxicité, flushing). Les patients algériens nécessitant une supplémentation spécifique en B3 doivent recourir à des préparations magistrales ou à l'importation de spécialités étrangères (Nicotinamide Merck, Niacinamide USP). Cette section est traitée de façon synthétique en raison de l'absence de DCI enregistrée dans la nomenclature algérienne.</w:t>
      </w:r>
    </w:p>
    <w:p>
      <w:pPr>
        <w:pStyle w:val="Heading2"/>
      </w:pPr>
      <w:r>
        <w:t>162.7. Sous-classe : Vitamine B5 (Dexpanthénol, Acide pantothénique)</w:t>
      </w:r>
    </w:p>
    <w:p>
      <w:pPr>
        <w:pStyle w:val="Heading3"/>
      </w:pPr>
      <w:r>
        <w:t>Définition et cadre conceptuel</w:t>
      </w:r>
    </w:p>
    <w:p>
      <w:r>
        <w:t xml:space="preserve">La </w:t>
      </w:r>
      <w:r>
        <w:rPr>
          <w:b/>
        </w:rPr>
        <w:t>vitamine B5</w:t>
      </w:r>
      <w:r>
        <w:t xml:space="preserve"> (acide pantothénique, du grec </w:t>
      </w:r>
      <w:r>
        <w:rPr>
          <w:i/>
        </w:rPr>
        <w:t>pantos</w:t>
      </w:r>
      <w:r>
        <w:t xml:space="preserve"> = partout, en raison de sa présence ubiquitaire dans les aliments) est une vitamine hydrosoluble de structure simple : amide de l'acide pantoïque (acide α,γ-dihydroxy-β,β-diméthylbutyrique) et de la β-alanine. Le </w:t>
      </w:r>
      <w:r>
        <w:rPr>
          <w:b/>
        </w:rPr>
        <w:t>dexpanthénol</w:t>
      </w:r>
      <w:r>
        <w:t xml:space="preserve"> (D-pantothenyl alcohol) est l'alcool correspondant, utilisé en thérapeutique en raison de sa meilleure stabilité et de sa conversion rapide in vivo en acide pantothénique. La vitamine B5 est le précurseur du </w:t>
      </w:r>
      <w:r>
        <w:rPr>
          <w:b/>
        </w:rPr>
        <w:t>coenzyme A (CoA)</w:t>
      </w:r>
      <w:r>
        <w:t>, cofacteur central du métabolisme intermédiaire, et de l'</w:t>
      </w:r>
      <w:r>
        <w:rPr>
          <w:b/>
        </w:rPr>
        <w:t>acyl carrier protein (ACP)</w:t>
      </w:r>
      <w:r>
        <w:t xml:space="preserve"> de la fatty acid synthase.</w:t>
      </w:r>
    </w:p>
    <w:p>
      <w:pPr>
        <w:pStyle w:val="Heading3"/>
      </w:pPr>
      <w:r>
        <w:t>Mécanisme d'action moléculaire</w:t>
      </w:r>
    </w:p>
    <w:p>
      <w:r>
        <w:t>Le CoA est indispensable au transfert des groupements acyles (acétyle, propionyle, succinyle, malonyle, etc.) dans plus de 100 réactions enzymatiques :</w:t>
      </w:r>
    </w:p>
    <w:p>
      <w:pPr>
        <w:pStyle w:val="ListNumber"/>
      </w:pPr>
      <w:r/>
      <w:r>
        <w:rPr>
          <w:b/>
        </w:rPr>
        <w:t>β-oxydation des acides gras</w:t>
      </w:r>
      <w:r>
        <w:t xml:space="preserve"> — conversion des acides gras en acétyl-CoA.</w:t>
      </w:r>
    </w:p>
    <w:p>
      <w:pPr>
        <w:pStyle w:val="ListNumber"/>
      </w:pPr>
      <w:r/>
      <w:r>
        <w:rPr>
          <w:b/>
        </w:rPr>
        <w:t>Cycle de Krebs</w:t>
      </w:r>
      <w:r>
        <w:t xml:space="preserve"> — entrée de l'acétyl-CoA, du succinyl-CoA.</w:t>
      </w:r>
    </w:p>
    <w:p>
      <w:pPr>
        <w:pStyle w:val="ListNumber"/>
      </w:pPr>
      <w:r/>
      <w:r>
        <w:rPr>
          <w:b/>
        </w:rPr>
        <w:t>Synthèse des acides gras</w:t>
      </w:r>
      <w:r>
        <w:t xml:space="preserve"> — malonyl-ACP et acyl-ACP (ACP).</w:t>
      </w:r>
    </w:p>
    <w:p>
      <w:pPr>
        <w:pStyle w:val="ListNumber"/>
      </w:pPr>
      <w:r/>
      <w:r>
        <w:rPr>
          <w:b/>
        </w:rPr>
        <w:t>Synthèse du cholestérol</w:t>
      </w:r>
      <w:r>
        <w:t xml:space="preserve"> et des hormones stéroïdes (précurseur de l'isopentényl-PP).</w:t>
      </w:r>
    </w:p>
    <w:p>
      <w:pPr>
        <w:pStyle w:val="ListNumber"/>
      </w:pPr>
      <w:r/>
      <w:r>
        <w:rPr>
          <w:b/>
        </w:rPr>
        <w:t>Synthèse de l'acétylcholine</w:t>
      </w:r>
      <w:r>
        <w:t xml:space="preserve"> (neurotransmetteur).</w:t>
      </w:r>
    </w:p>
    <w:p>
      <w:pPr>
        <w:pStyle w:val="ListNumber"/>
      </w:pPr>
      <w:r/>
      <w:r>
        <w:rPr>
          <w:b/>
        </w:rPr>
        <w:t>Synthèse des porphyrines</w:t>
      </w:r>
      <w:r>
        <w:t xml:space="preserve"> (cycle de l'hème).</w:t>
      </w:r>
    </w:p>
    <w:p>
      <w:pPr>
        <w:pStyle w:val="ListNumber"/>
      </w:pPr>
      <w:r/>
      <w:r>
        <w:rPr>
          <w:b/>
        </w:rPr>
        <w:t>Acétylation des protéines</w:t>
      </w:r>
      <w:r>
        <w:t xml:space="preserve"> (histones, α-tubuline).</w:t>
      </w:r>
    </w:p>
    <w:p>
      <w:pPr>
        <w:pStyle w:val="ListNumber"/>
      </w:pPr>
      <w:r/>
      <w:r>
        <w:rPr>
          <w:b/>
        </w:rPr>
        <w:t>Cycle de l'urée</w:t>
      </w:r>
      <w:r>
        <w:t xml:space="preserve"> (N-acétylglutamate régulateur allostérique).</w:t>
      </w:r>
    </w:p>
    <w:p>
      <w:pPr>
        <w:pStyle w:val="ListNumber"/>
      </w:pPr>
      <w:r/>
      <w:r>
        <w:rPr>
          <w:b/>
        </w:rPr>
        <w:t>Conjugaison hépatique</w:t>
      </w:r>
      <w:r>
        <w:t xml:space="preserve"> des médicaments (acétylation des amines aromatiques, métabolisme phase II).</w:t>
      </w:r>
    </w:p>
    <w:p>
      <w:pPr>
        <w:pStyle w:val="Heading3"/>
      </w:pPr>
      <w:r>
        <w:t>Indications thérapeutiques validées</w:t>
      </w:r>
    </w:p>
    <w:p>
      <w:pPr>
        <w:pStyle w:val="ListBullet"/>
      </w:pPr>
      <w:r/>
      <w:r>
        <w:rPr>
          <w:b/>
        </w:rPr>
        <w:t>Carence en acide pantothénique</w:t>
      </w:r>
      <w:r>
        <w:t xml:space="preserve"> (rare, jamais isolée — toujours associée à d'autres carences vitaminiques) : syndrome du « burning foot » (pièces brûlantes des orteils), fatigue, céphalées, troubles du sommeil, nausées, crampes musculaires, hypoglycémie.</w:t>
      </w:r>
    </w:p>
    <w:p>
      <w:pPr>
        <w:pStyle w:val="ListBullet"/>
      </w:pPr>
      <w:r/>
      <w:r>
        <w:rPr>
          <w:b/>
        </w:rPr>
        <w:t>Prophylaxie et traitement des affections cutanées</w:t>
      </w:r>
      <w:r>
        <w:t xml:space="preserve"> : cicatrisation des plaies, brûlures superficielles, escarres, ulcères de jambe, crevasses, gerçures, irritations cutanées du nourrisson (érythème fessier).</w:t>
      </w:r>
    </w:p>
    <w:p>
      <w:pPr>
        <w:pStyle w:val="ListBullet"/>
      </w:pPr>
      <w:r/>
      <w:r>
        <w:rPr>
          <w:b/>
        </w:rPr>
        <w:t>Sécheresse oculaire</w:t>
      </w:r>
      <w:r>
        <w:t xml:space="preserve"> (larmes artificielles à base de dexpanthénol).</w:t>
      </w:r>
    </w:p>
    <w:p>
      <w:pPr>
        <w:pStyle w:val="ListBullet"/>
      </w:pPr>
      <w:r/>
      <w:r>
        <w:rPr>
          <w:b/>
        </w:rPr>
        <w:t>Prophylaxie des ulcères de stress en réanimation</w:t>
      </w:r>
      <w:r>
        <w:t xml:space="preserve"> (données limitées).</w:t>
      </w:r>
    </w:p>
    <w:p>
      <w:pPr>
        <w:pStyle w:val="ListBullet"/>
      </w:pPr>
      <w:r/>
      <w:r>
        <w:rPr>
          <w:b/>
        </w:rPr>
        <w:t>Alopécie</w:t>
      </w:r>
      <w:r>
        <w:t xml:space="preserve"> (efficacité non documentée, mais utilisation empirique).</w:t>
      </w:r>
    </w:p>
    <w:p>
      <w:pPr>
        <w:pStyle w:val="Heading3"/>
      </w:pPr>
      <w:r>
        <w:t>Populations à risque</w:t>
      </w:r>
    </w:p>
    <w:p>
      <w:pPr>
        <w:pStyle w:val="ListBullet"/>
      </w:pPr>
      <w:r>
        <w:t>Patients sous nutrition parentérale au long cours sans supplémentation vitaminique.</w:t>
      </w:r>
    </w:p>
    <w:p>
      <w:pPr>
        <w:pStyle w:val="ListBullet"/>
      </w:pPr>
      <w:r>
        <w:t>Alcooliques chroniques.</w:t>
      </w:r>
    </w:p>
    <w:p>
      <w:pPr>
        <w:pStyle w:val="ListBullet"/>
      </w:pPr>
      <w:r>
        <w:t>Femmes enceintes et allaitantes (besoins accrus).</w:t>
      </w:r>
    </w:p>
    <w:p>
      <w:pPr>
        <w:pStyle w:val="ListBullet"/>
      </w:pPr>
      <w:r>
        <w:t>Sujets âgés dénutris.</w:t>
      </w:r>
    </w:p>
    <w:p>
      <w:pPr>
        <w:pStyle w:val="ListBullet"/>
      </w:pPr>
      <w:r>
        <w:t>Patients sous antiacides, IPP au long cours (modification du pH gastrique).</w:t>
      </w:r>
    </w:p>
    <w:p>
      <w:pPr>
        <w:pStyle w:val="Heading3"/>
      </w:pPr>
      <w:r>
        <w:t>Spécificités du marché algérien</w:t>
      </w:r>
    </w:p>
    <w:p>
      <w:r>
        <w:t xml:space="preserve">La nomenclature algérienne (Avril 2026) ne recense qu'une seule spécialité active de dexpanthénol : </w:t>
      </w:r>
      <w:r>
        <w:rPr>
          <w:b/>
        </w:rPr>
        <w:t>APAISA BEBE</w:t>
      </w:r>
      <w:r>
        <w:t xml:space="preserve"> (Biopharm, pommade à 0,05 %, tube de 30 g), indiquée pour les irritations cutanées du nourrisson. Les formes systémiques historiques — </w:t>
      </w:r>
      <w:r>
        <w:rPr>
          <w:b/>
        </w:rPr>
        <w:t>BEPANTHENE injectable</w:t>
      </w:r>
      <w:r>
        <w:t xml:space="preserve"> (Bayer, solution injectable IM 500 mg/2 mL) et </w:t>
      </w:r>
      <w:r>
        <w:rPr>
          <w:b/>
        </w:rPr>
        <w:t>BEPANTHENE comprimés</w:t>
      </w:r>
      <w:r>
        <w:t xml:space="preserve"> (Bayer, 100 mg, B/20) — sont </w:t>
      </w:r>
      <w:r>
        <w:rPr>
          <w:b/>
        </w:rPr>
        <w:t>NON_RENOUVELABLES</w:t>
      </w:r>
      <w:r>
        <w:t xml:space="preserve"> dans la nomenclature algérienne. Cette particularité impose aux praticiens algériens d'utiliser essentiellement la voie locale (dermocosmétique) pour la supplémentation en B5, et de recourir aux complexes multivitaminiques (chapitre 164) pour la supplémentation systémique. La B5 est par ailleurs largement présente dans l'alimentation (foie, jaune d'œuf, viande, légumineuses, céréales complètes), ce qui explique la rareté extrême des carences isolées.</w:t>
      </w:r>
    </w:p>
    <w:p>
      <w:pPr>
        <w:pStyle w:val="Heading2"/>
      </w:pPr>
      <w:r>
        <w:t>162.8. Sous-classe : Vitamine B9 ± Fer (Acide folique, Folates)</w:t>
      </w:r>
    </w:p>
    <w:p>
      <w:pPr>
        <w:pStyle w:val="Heading3"/>
      </w:pPr>
      <w:r>
        <w:t>Définition et cadre conceptuel</w:t>
      </w:r>
    </w:p>
    <w:p>
      <w:r>
        <w:t xml:space="preserve">La </w:t>
      </w:r>
      <w:r>
        <w:rPr>
          <w:b/>
        </w:rPr>
        <w:t>vitamine B9</w:t>
      </w:r>
      <w:r>
        <w:t xml:space="preserve"> (acide folique, du latin </w:t>
      </w:r>
      <w:r>
        <w:rPr>
          <w:i/>
        </w:rPr>
        <w:t>folium</w:t>
      </w:r>
      <w:r>
        <w:t xml:space="preserve"> = feuille, en raison de son isolement initial à partir des feuilles d'épinard par Lucy Wills en 1931 puis par Mitchell, Snell et Williams en 1941) désigne un ensemble de composés appelés collectivement </w:t>
      </w:r>
      <w:r>
        <w:rPr>
          <w:b/>
        </w:rPr>
        <w:t>folates</w:t>
      </w:r>
      <w:r>
        <w:t xml:space="preserve"> ou </w:t>
      </w:r>
      <w:r>
        <w:rPr>
          <w:b/>
        </w:rPr>
        <w:t>ptéroylpolyglutamates</w:t>
      </w:r>
      <w:r>
        <w:t xml:space="preserve">. L'acide folique est la forme synthétique (oxydée) utilisée dans les suppléments et l'enrichissement alimentaire ; il doit être réduit en </w:t>
      </w:r>
      <w:r>
        <w:rPr>
          <w:b/>
        </w:rPr>
        <w:t>tétrahydrofolate (THF)</w:t>
      </w:r>
      <w:r>
        <w:t xml:space="preserve"> par la </w:t>
      </w:r>
      <w:r>
        <w:rPr>
          <w:b/>
        </w:rPr>
        <w:t>dihydrofolate réductase (DHFR)</w:t>
      </w:r>
      <w:r>
        <w:t xml:space="preserve"> pour devenir biologiquement actif. La forme circulante majeure est le </w:t>
      </w:r>
      <w:r>
        <w:rPr>
          <w:b/>
        </w:rPr>
        <w:t>5-méthyl-THF</w:t>
      </w:r>
      <w:r>
        <w:t>, qui joue un rôle central dans le cycle de la méthionine et la synthèse de l'ADN.</w:t>
      </w:r>
    </w:p>
    <w:p>
      <w:pPr>
        <w:pStyle w:val="Heading3"/>
      </w:pPr>
      <w:r>
        <w:t>Mécanisme d'action moléculaire</w:t>
      </w:r>
    </w:p>
    <w:p>
      <w:r>
        <w:t xml:space="preserve">Les folates (THF et ses dérivés substitués sur les positions N5 et N10) sont les </w:t>
      </w:r>
      <w:r>
        <w:rPr>
          <w:b/>
        </w:rPr>
        <w:t>transporteurs d'unités monocarbonées</w:t>
      </w:r>
      <w:r>
        <w:t xml:space="preserve"> (C1) indispensables à plusieurs réactions clés :</w:t>
      </w:r>
    </w:p>
    <w:p>
      <w:pPr>
        <w:pStyle w:val="ListNumber"/>
      </w:pPr>
      <w:r/>
      <w:r>
        <w:rPr>
          <w:b/>
        </w:rPr>
        <w:t>Synthèse des purines</w:t>
      </w:r>
      <w:r>
        <w:t xml:space="preserve"> — formation du formyl-THF (10-formyl-THF) utilisé pour la synthèse du formiate du C2 et C8 du noyau purique. Sans folates, pas de synthèse d'ADN/ARN.</w:t>
      </w:r>
    </w:p>
    <w:p>
      <w:pPr>
        <w:pStyle w:val="ListNumber"/>
      </w:pPr>
      <w:r/>
      <w:r>
        <w:rPr>
          <w:b/>
        </w:rPr>
        <w:t>Synthèse de la thymidylate (dTMP)</w:t>
      </w:r>
      <w:r>
        <w:t xml:space="preserve"> — conversion du dUMP en dTMP par la thymidylate synthase, utilisant le 5,10-méthylène-THF comme donneur de méthyle. Cette réaction est essentielle à la synthèse de l'ADN.</w:t>
      </w:r>
    </w:p>
    <w:p>
      <w:pPr>
        <w:pStyle w:val="ListNumber"/>
      </w:pPr>
      <w:r/>
      <w:r>
        <w:rPr>
          <w:b/>
        </w:rPr>
        <w:t>Conversion de l'homocystéine en méthionine</w:t>
      </w:r>
      <w:r>
        <w:t xml:space="preserve"> — par la méthionine synthase, qui utilise le 5-méthyl-THF comme donneur de méthyle et la vitamine B12 comme cofacteur. C'est la </w:t>
      </w:r>
      <w:r>
        <w:rPr>
          <w:b/>
        </w:rPr>
        <w:t>seule voie de régénération du THF</w:t>
      </w:r>
      <w:r>
        <w:t xml:space="preserve"> à partir du 5-méthyl-THF. En cas de carence en B12, le 5-méthyl-THF s'accumule et la synthèse d'ADN est compromise (« trap hypothesis » de Scott).</w:t>
      </w:r>
    </w:p>
    <w:p>
      <w:pPr>
        <w:pStyle w:val="ListNumber"/>
      </w:pPr>
      <w:r/>
      <w:r>
        <w:rPr>
          <w:b/>
        </w:rPr>
        <w:t>Conversion de la sérine en glycine</w:t>
      </w:r>
      <w:r>
        <w:t xml:space="preserve"> (et inversement) par la sérine hydroxyméthyltransférase (SHMT), qui génère le 5,10-méthylène-THF.</w:t>
      </w:r>
    </w:p>
    <w:p>
      <w:pPr>
        <w:pStyle w:val="ListNumber"/>
      </w:pPr>
      <w:r/>
      <w:r>
        <w:rPr>
          <w:b/>
        </w:rPr>
        <w:t>Méthylation de l'histidine</w:t>
      </w:r>
      <w:r>
        <w:t xml:space="preserve"> en acide formiminoglutamique (FIGLU), et du glutamate en GABA.</w:t>
      </w:r>
    </w:p>
    <w:p>
      <w:pPr>
        <w:pStyle w:val="ListNumber"/>
      </w:pPr>
      <w:r/>
      <w:r>
        <w:rPr>
          <w:b/>
        </w:rPr>
        <w:t>Synthèse de la N-formylméthionine</w:t>
      </w:r>
      <w:r>
        <w:t xml:space="preserve"> (initiateur de la traduction des protéines bactériennes et mitochondriales).</w:t>
      </w:r>
    </w:p>
    <w:p>
      <w:pPr>
        <w:pStyle w:val="Heading3"/>
      </w:pPr>
      <w:r>
        <w:t>Indications thérapeutiques validées</w:t>
      </w:r>
    </w:p>
    <w:p>
      <w:pPr>
        <w:pStyle w:val="ListBullet"/>
      </w:pPr>
      <w:r/>
      <w:r>
        <w:rPr>
          <w:b/>
        </w:rPr>
        <w:t>Prévention des anomalies de fermeture du tube neural</w:t>
      </w:r>
      <w:r>
        <w:t xml:space="preserve"> (AFTN) — spina bifida, anencéphalie, méningocèle : supplémentation préconceptionnelle en acide folique </w:t>
      </w:r>
      <w:r>
        <w:rPr>
          <w:b/>
        </w:rPr>
        <w:t>400 µg/jour</w:t>
      </w:r>
      <w:r>
        <w:t xml:space="preserve"> débutée au moins </w:t>
      </w:r>
      <w:r>
        <w:rPr>
          <w:b/>
        </w:rPr>
        <w:t>1 mois avant la conception</w:t>
      </w:r>
      <w:r>
        <w:t xml:space="preserve"> et poursuivie pendant le </w:t>
      </w:r>
      <w:r>
        <w:rPr>
          <w:b/>
        </w:rPr>
        <w:t>1er trimestre</w:t>
      </w:r>
      <w:r>
        <w:t xml:space="preserve"> de grossesse. Recommandation universelle OMS, HAS, ACOG, RCOG.</w:t>
      </w:r>
    </w:p>
    <w:p>
      <w:pPr>
        <w:pStyle w:val="ListBullet"/>
      </w:pPr>
      <w:r/>
      <w:r>
        <w:rPr>
          <w:b/>
        </w:rPr>
        <w:t>Femmes à risque élevé d'AFTN</w:t>
      </w:r>
      <w:r>
        <w:t xml:space="preserve"> (antécédent personnel ou familial, traitement antiépileptique, diabète prégestationnel, IMC ≥ 30) : </w:t>
      </w:r>
      <w:r>
        <w:rPr>
          <w:b/>
        </w:rPr>
        <w:t>5 mg/jour</w:t>
      </w:r>
      <w:r>
        <w:t xml:space="preserve"> préconceptionnel et pendant le 1er trimestre.</w:t>
      </w:r>
    </w:p>
    <w:p>
      <w:pPr>
        <w:pStyle w:val="ListBullet"/>
      </w:pPr>
      <w:r/>
      <w:r>
        <w:rPr>
          <w:b/>
        </w:rPr>
        <w:t>Carence en folates</w:t>
      </w:r>
      <w:r>
        <w:t xml:space="preserve"> : anémie mégaloblastique macrocytaire (MCV &gt; 100 fL), hypersegmentation des polynucléaires, glossite, chéilite, diarrhée, fatigue.</w:t>
      </w:r>
    </w:p>
    <w:p>
      <w:pPr>
        <w:pStyle w:val="ListBullet"/>
      </w:pPr>
      <w:r/>
      <w:r>
        <w:rPr>
          <w:b/>
        </w:rPr>
        <w:t>Anémie macrocytaire de l'alcoolique</w:t>
      </w:r>
      <w:r>
        <w:t xml:space="preserve"> (apport réduit, malabsorption, effet antifolate direct de l'éthanol).</w:t>
      </w:r>
    </w:p>
    <w:p>
      <w:pPr>
        <w:pStyle w:val="ListBullet"/>
      </w:pPr>
      <w:r/>
      <w:r>
        <w:rPr>
          <w:b/>
        </w:rPr>
        <w:t>Anémie hémolytique chronique</w:t>
      </w:r>
      <w:r>
        <w:t xml:space="preserve"> (drépanocytose, thalassémie) — augmentation du turn-over cellulaire et des besoins en folates.</w:t>
      </w:r>
    </w:p>
    <w:p>
      <w:pPr>
        <w:pStyle w:val="ListBullet"/>
      </w:pPr>
      <w:r/>
      <w:r>
        <w:rPr>
          <w:b/>
        </w:rPr>
        <w:t>Malabsorption</w:t>
      </w:r>
      <w:r>
        <w:t xml:space="preserve"> (maladie cœliaque, sprue, maladie de Crohn, bypass gastrique).</w:t>
      </w:r>
    </w:p>
    <w:p>
      <w:pPr>
        <w:pStyle w:val="ListBullet"/>
      </w:pPr>
      <w:r/>
      <w:r>
        <w:rPr>
          <w:b/>
        </w:rPr>
        <w:t>Insuffisance rénale chronique dialysée</w:t>
      </w:r>
      <w:r>
        <w:t xml:space="preserve"> (perte dialytique de folates).</w:t>
      </w:r>
    </w:p>
    <w:p>
      <w:pPr>
        <w:pStyle w:val="ListBullet"/>
      </w:pPr>
      <w:r/>
      <w:r>
        <w:rPr>
          <w:b/>
        </w:rPr>
        <w:t>Traitements antifolates</w:t>
      </w:r>
      <w:r>
        <w:t xml:space="preserve"> (méthotrexate, triméthoprime, phénytoïne) — supplémentation prophylactique.</w:t>
      </w:r>
    </w:p>
    <w:p>
      <w:pPr>
        <w:pStyle w:val="ListBullet"/>
      </w:pPr>
      <w:r/>
      <w:r>
        <w:rPr>
          <w:b/>
        </w:rPr>
        <w:t>Dermatite exfoliatrice généralisée</w:t>
      </w:r>
      <w:r>
        <w:t xml:space="preserve"> (syndrome de Lyell, syndrome de Stevens-Johnson, psoriasis étendu) — augmentation du turn-over épidermique.</w:t>
      </w:r>
    </w:p>
    <w:p>
      <w:pPr>
        <w:pStyle w:val="Heading3"/>
      </w:pPr>
      <w:r>
        <w:t>Populations à risque</w:t>
      </w:r>
    </w:p>
    <w:p>
      <w:pPr>
        <w:pStyle w:val="ListBullet"/>
      </w:pPr>
      <w:r>
        <w:t>Femmes en âge de procréer (en particulier préconception).</w:t>
      </w:r>
    </w:p>
    <w:p>
      <w:pPr>
        <w:pStyle w:val="ListBullet"/>
      </w:pPr>
      <w:r>
        <w:t>Femmes enceintes et allaitantes.</w:t>
      </w:r>
    </w:p>
    <w:p>
      <w:pPr>
        <w:pStyle w:val="ListBullet"/>
      </w:pPr>
      <w:r>
        <w:t>Nourrissons prématurés (besoins accrus, faibles réserves).</w:t>
      </w:r>
    </w:p>
    <w:p>
      <w:pPr>
        <w:pStyle w:val="ListBullet"/>
      </w:pPr>
      <w:r>
        <w:t>Patients avec malabsorption digestive.</w:t>
      </w:r>
    </w:p>
    <w:p>
      <w:pPr>
        <w:pStyle w:val="ListBullet"/>
      </w:pPr>
      <w:r>
        <w:t>Patients sous méthotrexate, triméthoprime, pyriméthamine, phénytoïne, phénobarbital.</w:t>
      </w:r>
    </w:p>
    <w:p>
      <w:pPr>
        <w:pStyle w:val="ListBullet"/>
      </w:pPr>
      <w:r>
        <w:t>Patients insuffisants rénaux dialysés.</w:t>
      </w:r>
    </w:p>
    <w:p>
      <w:pPr>
        <w:pStyle w:val="ListBullet"/>
      </w:pPr>
      <w:r>
        <w:t>Drépanocytaires et thalassémiques.</w:t>
      </w:r>
    </w:p>
    <w:p>
      <w:pPr>
        <w:pStyle w:val="ListBullet"/>
      </w:pPr>
      <w:r>
        <w:t>Sujets âgés dénutris.</w:t>
      </w:r>
    </w:p>
    <w:p>
      <w:pPr>
        <w:pStyle w:val="ListBullet"/>
      </w:pPr>
      <w:r>
        <w:t>Patients avec mutation homozygote MTHFR 677C→T (variant thermolabile, fréquence allélique ≈ 30 % en population méditerranéenne) — besoin accru en folates.</w:t>
      </w:r>
    </w:p>
    <w:p>
      <w:pPr>
        <w:pStyle w:val="Heading3"/>
      </w:pPr>
      <w:r>
        <w:t>Spécificités du marché algérien</w:t>
      </w:r>
    </w:p>
    <w:p>
      <w:r>
        <w:t xml:space="preserve">La nomenclature algérienne (Avril 2026) recense de nombreuses spécialités d'acide folique seul (comprimé 5 mg) et en association avec le fer (comprimé ou gélule à doses variables). Les spécialités actives en monothérapie : ACIDE FOLIQUE-API, ANEFOL, CIFLODINE, FOLACID, FOLACIQ, FOLIDEN, FONITRA, HUPFOLIQ, OPTIFOLATES, PHYSIOFOL, ZANITRA — toutes à 5 mg. Les associations acide folique + fer sont dominées par : </w:t>
      </w:r>
      <w:r>
        <w:rPr>
          <w:b/>
        </w:rPr>
        <w:t>TARDYFERON B9</w:t>
      </w:r>
      <w:r>
        <w:t xml:space="preserve"> (Pierre Fabre, 50 mg fer + 0,35 mg B9), </w:t>
      </w:r>
      <w:r>
        <w:rPr>
          <w:b/>
        </w:rPr>
        <w:t>B-NEUFER</w:t>
      </w:r>
      <w:r>
        <w:t xml:space="preserve">, </w:t>
      </w:r>
      <w:r>
        <w:rPr>
          <w:b/>
        </w:rPr>
        <w:t>FERRO SANOL GYN</w:t>
      </w:r>
      <w:r>
        <w:t xml:space="preserve">, </w:t>
      </w:r>
      <w:r>
        <w:rPr>
          <w:b/>
        </w:rPr>
        <w:t>FERAN B9</w:t>
      </w:r>
      <w:r>
        <w:t xml:space="preserve">, </w:t>
      </w:r>
      <w:r>
        <w:rPr>
          <w:b/>
        </w:rPr>
        <w:t>ZANITRA PLUS</w:t>
      </w:r>
      <w:r>
        <w:t xml:space="preserve">, </w:t>
      </w:r>
      <w:r>
        <w:rPr>
          <w:b/>
        </w:rPr>
        <w:t>NOVO FER PLUS</w:t>
      </w:r>
      <w:r>
        <w:t xml:space="preserve">, </w:t>
      </w:r>
      <w:r>
        <w:rPr>
          <w:b/>
        </w:rPr>
        <w:t>SELOFER FOL</w:t>
      </w:r>
      <w:r>
        <w:t xml:space="preserve">, </w:t>
      </w:r>
      <w:r>
        <w:rPr>
          <w:b/>
        </w:rPr>
        <w:t>TRIFER FOL</w:t>
      </w:r>
      <w:r>
        <w:t>. Cette diversité reflète la prévalence élevée de l'anémie ferriprive chez la femme algérienne en âge de procréer (régimes alimentaires pauvres en fer héminique, menstruations abondantes, multiparité) et la recommandation universelle de supplémentation prénatale en acide folique.</w:t>
      </w:r>
    </w:p>
    <w:p>
      <w:pPr>
        <w:pStyle w:val="Heading2"/>
      </w:pPr>
      <w:r>
        <w:t>162.9. Sous-classe : Acide folinique (Folinate de calcium — rescue)</w:t>
      </w:r>
    </w:p>
    <w:p>
      <w:pPr>
        <w:pStyle w:val="Heading3"/>
      </w:pPr>
      <w:r>
        <w:t>Définition et cadre conceptuel</w:t>
      </w:r>
    </w:p>
    <w:p>
      <w:r>
        <w:t>L'</w:t>
      </w:r>
      <w:r>
        <w:rPr>
          <w:b/>
        </w:rPr>
        <w:t>acide folinique</w:t>
      </w:r>
      <w:r>
        <w:t xml:space="preserve"> (folinate de calcium, 5-formyl-THF, leucovorine) est un dérivé actif de l'acide folique, directement utilisable comme cofacteur sans nécessiter la réduction par la dihydrofolate réductase (DHFR). Sa structure correspond au 5-formyl-tétrahydrofolate de calcium. Découvert en 1948 par Sauberlich, l'acide folinique est utilisé en oncologie comme agent de </w:t>
      </w:r>
      <w:r>
        <w:rPr>
          <w:b/>
        </w:rPr>
        <w:t>rescue (« sauvetage »)</w:t>
      </w:r>
      <w:r>
        <w:t xml:space="preserve"> après chimiothérapie par méthotrexate à haute dose, et comme potentialisateur de la chimiothérapie par 5-fluorouracile (5-FU).</w:t>
      </w:r>
    </w:p>
    <w:p>
      <w:pPr>
        <w:pStyle w:val="Heading3"/>
      </w:pPr>
      <w:r>
        <w:t>Mécanisme d'action moléculaire</w:t>
      </w:r>
    </w:p>
    <w:p>
      <w:r>
        <w:t>L'acide folinique agit selon deux mécanismes principaux :</w:t>
      </w:r>
    </w:p>
    <w:p>
      <w:pPr>
        <w:pStyle w:val="ListNumber"/>
      </w:pPr>
      <w:r/>
      <w:r>
        <w:rPr>
          <w:b/>
        </w:rPr>
        <w:t>Bypass de la DHFR</w:t>
      </w:r>
      <w:r>
        <w:t xml:space="preserve"> — Contrairement à l'acide folique qui doit être réduit en THF par la DHFR, l'acide folinique est déjà sous forme THF substituée (5-formyl-THF). Il court-circuite donc le blocage enzymatique induit par le </w:t>
      </w:r>
      <w:r>
        <w:rPr>
          <w:b/>
        </w:rPr>
        <w:t>méthotrexate</w:t>
      </w:r>
      <w:r>
        <w:t xml:space="preserve"> (inhibiteur de la DHFR), permettant la régénération des pools intracellulaires de THF et de ses dérivés (5,10-méthylène-THF, 10-formyl-THF), et donc la reprise de la synthèse de l'ADN. C'est le principe du </w:t>
      </w:r>
      <w:r>
        <w:rPr>
          <w:b/>
        </w:rPr>
        <w:t>rescue folinique</w:t>
      </w:r>
      <w:r>
        <w:t xml:space="preserve"> après méthotrexate à haute dose.</w:t>
      </w:r>
    </w:p>
    <w:p>
      <w:pPr>
        <w:pStyle w:val="ListNumber"/>
      </w:pPr>
      <w:r/>
      <w:r>
        <w:rPr>
          <w:b/>
        </w:rPr>
        <w:t>Co-factor stabilisateur de la thymidylate synthase</w:t>
      </w:r>
      <w:r>
        <w:t xml:space="preserve"> — En combinaison avec le 5-FU, le 5-formyl-THF (transformé en 5,10-méthylène-THF intracellulaire) stabilise le complexe ternaire </w:t>
      </w:r>
      <w:r>
        <w:rPr>
          <w:b/>
        </w:rPr>
        <w:t>5-FU-dUMP-thymidylate synthase</w:t>
      </w:r>
      <w:r>
        <w:t>, augmentant ainsi l'inhibition de la synthèse de l'ADN tumorale (schéma FOLFIRI, FOLFOX, MAYO Clinic).</w:t>
      </w:r>
    </w:p>
    <w:p>
      <w:pPr>
        <w:pStyle w:val="Heading3"/>
      </w:pPr>
      <w:r>
        <w:t>Indications thérapeutiques validées</w:t>
      </w:r>
    </w:p>
    <w:p>
      <w:pPr>
        <w:pStyle w:val="ListBullet"/>
      </w:pPr>
      <w:r/>
      <w:r>
        <w:rPr>
          <w:b/>
        </w:rPr>
        <w:t>Rescue après méthotrexate à haute dose</w:t>
      </w:r>
      <w:r>
        <w:t xml:space="preserve"> (leucémies aiguës lymphoblastiques de l'enfant, lymphomes, ostéosarcome, tumeurs cérébrales) — administration IV ou IM à partir de la 24e à 36e heure après la fin de la perfusion de méthotrexate, à doses variables (15 mg/m² toutes les 6 heures pendant 48 à 72 heures, adaptées à la méthotrexatémie résiduelle).</w:t>
      </w:r>
    </w:p>
    <w:p>
      <w:pPr>
        <w:pStyle w:val="ListBullet"/>
      </w:pPr>
      <w:r/>
      <w:r>
        <w:rPr>
          <w:b/>
        </w:rPr>
        <w:t>Antidote du méthotrexate en cas de surdosage</w:t>
      </w:r>
      <w:r>
        <w:t xml:space="preserve"> ou d'insuffisance d'élimination (insuffisance rénale aiguë, troisième espace — épanchements pleuraux, ascite).</w:t>
      </w:r>
    </w:p>
    <w:p>
      <w:pPr>
        <w:pStyle w:val="ListBullet"/>
      </w:pPr>
      <w:r/>
      <w:r>
        <w:rPr>
          <w:b/>
        </w:rPr>
        <w:t>Potentialisation du 5-FU</w:t>
      </w:r>
      <w:r>
        <w:t xml:space="preserve"> dans les protocoles FOLFOX (cancer colorectal), FOLFIRI (cancer colorectal), FOLFIRINOX (cancer du pancréas), protocoles de Mayo Clinic (cancer du sein, colorectal, gastrique, ORL).</w:t>
      </w:r>
    </w:p>
    <w:p>
      <w:pPr>
        <w:pStyle w:val="ListBullet"/>
      </w:pPr>
      <w:r/>
      <w:r>
        <w:rPr>
          <w:b/>
        </w:rPr>
        <w:t>Carence en folates</w:t>
      </w:r>
      <w:r>
        <w:t xml:space="preserve"> en cas d'impossibilité d'utilisation de l'acide folique (rare).</w:t>
      </w:r>
    </w:p>
    <w:p>
      <w:pPr>
        <w:pStyle w:val="ListBullet"/>
      </w:pPr>
      <w:r/>
      <w:r>
        <w:rPr>
          <w:b/>
        </w:rPr>
        <w:t>Toxoplasmose cérébrale</w:t>
      </w:r>
      <w:r>
        <w:t xml:space="preserve"> au cours du SIDA — association pyriméthamine + sulfadiazine + acide folinique (ce dernier protège la moelle osseuse de l'effet antifolate de la pyriméthamine sans réduire l'efficacité sur le toxoplasme, qui ne peut pas utiliser le folate exogène).</w:t>
      </w:r>
    </w:p>
    <w:p>
      <w:pPr>
        <w:pStyle w:val="ListBullet"/>
      </w:pPr>
      <w:r/>
      <w:r>
        <w:rPr>
          <w:b/>
        </w:rPr>
        <w:t>Pneumocystose à Pneumocystis jirovecii</w:t>
      </w:r>
      <w:r>
        <w:t xml:space="preserve"> — association triméthoprime + sulfaméthoxazole (cotrimoxazole) ± acide folinique en prophylaxie secondaire.</w:t>
      </w:r>
    </w:p>
    <w:p>
      <w:pPr>
        <w:pStyle w:val="Heading3"/>
      </w:pPr>
      <w:r>
        <w:t>Populations à risque de carence spécifique</w:t>
      </w:r>
    </w:p>
    <w:p>
      <w:r>
        <w:t>L'acide folinique n'est pas une vitamine de supplémentation nutritionnelle mais un médicament oncologique et antidotique. Sa prescription est strictement hospitalière (médecine interne, oncologie, hématologie, infectiologie).</w:t>
      </w:r>
    </w:p>
    <w:p>
      <w:pPr>
        <w:pStyle w:val="Heading3"/>
      </w:pPr>
      <w:r>
        <w:t>Spécificités du marché algérien</w:t>
      </w:r>
    </w:p>
    <w:p>
      <w:r>
        <w:t xml:space="preserve">La nomenclature algérienne (Avril 2026) recense une seule spécialité active d'acide folinique : </w:t>
      </w:r>
      <w:r>
        <w:rPr>
          <w:b/>
        </w:rPr>
        <w:t>RAZIFOLINE</w:t>
      </w:r>
      <w:r>
        <w:t xml:space="preserve"> (Frater-Razes, solution injectable IV/IM/perfusion, 10 mg/mL, boîte de 5 ampoules de 5 mL = 50 mg, et boîte de 5 ampoules de 10 mL = 100 mg). Les spécialités historiques </w:t>
      </w:r>
      <w:r>
        <w:rPr>
          <w:b/>
        </w:rPr>
        <w:t>LEDERFOLINE</w:t>
      </w:r>
      <w:r>
        <w:t xml:space="preserve"> (Wyeth-Lederle, solution injectable 5 mg/2 mL et poudre pour solution injectable 50 mg/5 mL) sont </w:t>
      </w:r>
      <w:r>
        <w:rPr>
          <w:b/>
        </w:rPr>
        <w:t>NON_RENOUVELABLES</w:t>
      </w:r>
      <w:r>
        <w:t xml:space="preserve">, et les spécialités </w:t>
      </w:r>
      <w:r>
        <w:rPr>
          <w:b/>
        </w:rPr>
        <w:t>CALCIUM FOLINAT EBEWE</w:t>
      </w:r>
      <w:r>
        <w:t xml:space="preserve"> (solution injectable et gélules) sont </w:t>
      </w:r>
      <w:r>
        <w:rPr>
          <w:b/>
        </w:rPr>
        <w:t>RETRAITÉES</w:t>
      </w:r>
      <w:r>
        <w:t>. Cette particularité impose aux services d'oncologie et d'hématologie algériens de disposer de RAZIFOLINE pour la réalisation des protocoles de chimiothérapie et pour le rescue après méthotrexate à haute dose. L'approvisionnement régulier en RAZIFOLINE est un enjeu de santé publique en Algérie.</w:t>
      </w:r>
    </w:p>
    <w:p>
      <w:pPr>
        <w:pStyle w:val="Heading2"/>
      </w:pPr>
      <w:r>
        <w:t>162.10. Sous-classe : Vitamine B8/H (Biotine)</w:t>
      </w:r>
    </w:p>
    <w:p>
      <w:pPr>
        <w:pStyle w:val="Heading3"/>
      </w:pPr>
      <w:r>
        <w:t>Définition et cadre conceptuel</w:t>
      </w:r>
    </w:p>
    <w:p>
      <w:r>
        <w:t xml:space="preserve">La </w:t>
      </w:r>
      <w:r>
        <w:rPr>
          <w:b/>
        </w:rPr>
        <w:t>biotine</w:t>
      </w:r>
      <w:r>
        <w:t xml:space="preserve"> (vitamine B8, vitamine H — du allemand </w:t>
      </w:r>
      <w:r>
        <w:rPr>
          <w:i/>
        </w:rPr>
        <w:t>Haut</w:t>
      </w:r>
      <w:r>
        <w:t xml:space="preserve"> = peau, en raison de son rôle dans la dermatite et la chéilite carentielles) est une vitamine hydrosoluble de la famille des vitamines B, également appelée </w:t>
      </w:r>
      <w:r>
        <w:rPr>
          <w:b/>
        </w:rPr>
        <w:t>coenzyme R</w:t>
      </w:r>
      <w:r>
        <w:t>. Sa structure chimique correspond à un noyau imidazolidone bicyclique fusionné à un noyau tétrahydrothiophène, avec un groupement acide valérique en position latérale. Découverte en 1936 par Fritz Kögl comme facteur de croissance de la levure, puis identifiée comme vitamine anti-dermatite en 1940 par Paul György, la biotine est le cofacteur de plusieurs carboxylases.</w:t>
      </w:r>
    </w:p>
    <w:p>
      <w:pPr>
        <w:pStyle w:val="Heading3"/>
      </w:pPr>
      <w:r>
        <w:t>Mécanisme d'action moléculaire</w:t>
      </w:r>
    </w:p>
    <w:p>
      <w:r>
        <w:t>La biotine est le cofacteur (groupe prosthetique covalent lié à la lysine de l'enzyme) de cinq carboxylases humaines :</w:t>
      </w:r>
    </w:p>
    <w:p>
      <w:pPr>
        <w:pStyle w:val="ListNumber"/>
      </w:pPr>
      <w:r/>
      <w:r>
        <w:rPr>
          <w:b/>
        </w:rPr>
        <w:t>Pyruvate carboxylase</w:t>
      </w:r>
      <w:r>
        <w:t xml:space="preserve"> (mitochondries) — conversion du pyruvate en oxaloacétate, étape anaplérotique du cycle de Krebs et première étape de la néoglucogenèse.</w:t>
      </w:r>
    </w:p>
    <w:p>
      <w:pPr>
        <w:pStyle w:val="ListNumber"/>
      </w:pPr>
      <w:r/>
      <w:r>
        <w:rPr>
          <w:b/>
        </w:rPr>
        <w:t>Acétyl-CoA carboxylase</w:t>
      </w:r>
      <w:r>
        <w:t xml:space="preserve"> (cytosol, isoforme ACC1) — conversion de l'acétyl-CoA en malonyl-CoA, première étape de la synthèse des acides gras.</w:t>
      </w:r>
    </w:p>
    <w:p>
      <w:pPr>
        <w:pStyle w:val="ListNumber"/>
      </w:pPr>
      <w:r/>
      <w:r>
        <w:rPr>
          <w:b/>
        </w:rPr>
        <w:t>Propionyl-CoA carboxylase</w:t>
      </w:r>
      <w:r>
        <w:t xml:space="preserve"> (mitochondries) — conversion du propionyl-CoA en D-méthylmalonyl-CoA, étape du catabolisme des acides aminés à chaîne impaire et des acides gras à nombre impair de carbones.</w:t>
      </w:r>
    </w:p>
    <w:p>
      <w:pPr>
        <w:pStyle w:val="ListNumber"/>
      </w:pPr>
      <w:r/>
      <w:r>
        <w:rPr>
          <w:b/>
        </w:rPr>
        <w:t>β-Méthylcrotonyl-CoA carboxylase</w:t>
      </w:r>
      <w:r>
        <w:t xml:space="preserve"> (mitochondries) — catabolisme de la leucine.</w:t>
      </w:r>
    </w:p>
    <w:p>
      <w:pPr>
        <w:pStyle w:val="ListNumber"/>
      </w:pPr>
      <w:r/>
      <w:r>
        <w:rPr>
          <w:b/>
        </w:rPr>
        <w:t>Acétyl-CoA carboxylase 2</w:t>
      </w:r>
      <w:r>
        <w:t xml:space="preserve"> (mitochondries, isoforme ACC2) — régulation de la β-oxydation des acides gras (malonyl-CoA mitochondrial inhibe la carnitine palmitoyltransferase-1).</w:t>
      </w:r>
    </w:p>
    <w:p>
      <w:pPr>
        <w:pStyle w:val="Heading3"/>
      </w:pPr>
      <w:r>
        <w:t>Indications thérapeutiques validées</w:t>
      </w:r>
    </w:p>
    <w:p>
      <w:pPr>
        <w:pStyle w:val="ListBullet"/>
      </w:pPr>
      <w:r/>
      <w:r>
        <w:rPr>
          <w:b/>
        </w:rPr>
        <w:t>Carence en biotine</w:t>
      </w:r>
      <w:r>
        <w:t xml:space="preserve"> : dermatite exfoliatrice, chéilite, glossite, conjonctivite, alopécie, neuropathie périphérique, fatigue, anorexie, nausées, dépression, hallucinations. Carence décrite chez les patients sous nutrition parentérale prolongée sans supplémentation, chez les patients dialysés chroniques, chez les consommateurs importants d'œufs crus (l'avidine, protéine du blanc d'œuf, lie la biotine avec une très haute affinité).</w:t>
      </w:r>
    </w:p>
    <w:p>
      <w:pPr>
        <w:pStyle w:val="ListBullet"/>
      </w:pPr>
      <w:r/>
      <w:r>
        <w:rPr>
          <w:b/>
        </w:rPr>
        <w:t>Déficit en holocarboxylase synthétase</w:t>
      </w:r>
      <w:r>
        <w:t xml:space="preserve"> (maladie héréditaire métabolique, transmission autosomique récessive, prévalence ≈ 1/100 000) — supplémentation à doses pharmacologiques (10 à 40 mg/jour) dès la période néonatale.</w:t>
      </w:r>
    </w:p>
    <w:p>
      <w:pPr>
        <w:pStyle w:val="ListBullet"/>
      </w:pPr>
      <w:r/>
      <w:r>
        <w:rPr>
          <w:b/>
        </w:rPr>
        <w:t>Déficit en biotinidase</w:t>
      </w:r>
      <w:r>
        <w:t xml:space="preserve"> (maladie héréditaire métabolique, prévalence ≈ 1/60 000) — supplémentation à doses pharmacologiques (5 à 20 mg/jour) à vie.</w:t>
      </w:r>
    </w:p>
    <w:p>
      <w:pPr>
        <w:pStyle w:val="ListBullet"/>
      </w:pPr>
      <w:r/>
      <w:r>
        <w:rPr>
          <w:b/>
        </w:rPr>
        <w:t>Alopécie androgénétique féminine</w:t>
      </w:r>
      <w:r>
        <w:t xml:space="preserve"> et certaines formes d'alopécie diffuse (efficacité modeste, données limitées).</w:t>
      </w:r>
    </w:p>
    <w:p>
      <w:pPr>
        <w:pStyle w:val="ListBullet"/>
      </w:pPr>
      <w:r/>
      <w:r>
        <w:rPr>
          <w:b/>
        </w:rPr>
        <w:t>Ongles cassants</w:t>
      </w:r>
      <w:r>
        <w:t xml:space="preserve"> (étude Pilz 2017 suggérant une efficacité à 2,5 mg/jour).</w:t>
      </w:r>
    </w:p>
    <w:p>
      <w:pPr>
        <w:pStyle w:val="ListBullet"/>
      </w:pPr>
      <w:r/>
      <w:r>
        <w:rPr>
          <w:b/>
        </w:rPr>
        <w:t>Diabète de type 1 et type 2</w:t>
      </w:r>
      <w:r>
        <w:t xml:space="preserve"> (réduction de la glycémie à jeun à 5-15 mg/jour — données limitées, non consensuel).</w:t>
      </w:r>
    </w:p>
    <w:p>
      <w:pPr>
        <w:pStyle w:val="ListBullet"/>
      </w:pPr>
      <w:r/>
      <w:r>
        <w:rPr>
          <w:b/>
        </w:rPr>
        <w:t>Sclérose en plaques</w:t>
      </w:r>
      <w:r>
        <w:t xml:space="preserve"> (essais cliniques en cours, doses 100-300 mg/jour — mécanisme hypothétique via l'activation des guanylate cyclases).</w:t>
      </w:r>
    </w:p>
    <w:p>
      <w:pPr>
        <w:pStyle w:val="Heading3"/>
      </w:pPr>
      <w:r>
        <w:t>Populations à risque</w:t>
      </w:r>
    </w:p>
    <w:p>
      <w:pPr>
        <w:pStyle w:val="ListBullet"/>
      </w:pPr>
      <w:r>
        <w:t>Patients sous nutrition parentérale au long cours sans supplémentation.</w:t>
      </w:r>
    </w:p>
    <w:p>
      <w:pPr>
        <w:pStyle w:val="ListBullet"/>
      </w:pPr>
      <w:r>
        <w:t>Patients dialysés chroniques.</w:t>
      </w:r>
    </w:p>
    <w:p>
      <w:pPr>
        <w:pStyle w:val="ListBullet"/>
      </w:pPr>
      <w:r>
        <w:t>Consommateurs importants d'œufs crus (sportifs, bodybuilders).</w:t>
      </w:r>
    </w:p>
    <w:p>
      <w:pPr>
        <w:pStyle w:val="ListBullet"/>
      </w:pPr>
      <w:r>
        <w:t>Patients sous antiépileptiques au long cours (valproate, carbamazépine, phénytoïne — induction de la dégradation de la biotine).</w:t>
      </w:r>
    </w:p>
    <w:p>
      <w:pPr>
        <w:pStyle w:val="ListBullet"/>
      </w:pPr>
      <w:r>
        <w:t>Nourrissons avec déficit en holocarboxylase synthétase ou en biotinidase (dépistage néonatal dans certains pays).</w:t>
      </w:r>
    </w:p>
    <w:p>
      <w:pPr>
        <w:pStyle w:val="Heading3"/>
      </w:pPr>
      <w:r>
        <w:t>Spécificités du marché algérien</w:t>
      </w:r>
    </w:p>
    <w:p>
      <w:r>
        <w:t xml:space="preserve">La nomenclature algérienne (Avril 2026) recense deux spécialités de biotine, toutes deux </w:t>
      </w:r>
      <w:r>
        <w:rPr>
          <w:b/>
        </w:rPr>
        <w:t>NON_RENOUVELABLES</w:t>
      </w:r>
      <w:r>
        <w:t xml:space="preserve"> : </w:t>
      </w:r>
      <w:r>
        <w:rPr>
          <w:b/>
        </w:rPr>
        <w:t>BIOTINE comprimé</w:t>
      </w:r>
      <w:r>
        <w:t xml:space="preserve"> (Roche, 5 mg, B/20) et </w:t>
      </w:r>
      <w:r>
        <w:rPr>
          <w:b/>
        </w:rPr>
        <w:t>BIOTINE ampoule injectable</w:t>
      </w:r>
      <w:r>
        <w:t xml:space="preserve"> (Roche, 5 mg/mL, B/6). L'absence de spécialité active de biotine en Algérie pose un problème pratique majeur pour la prise en charge des carences avérées (patients sous nutrition parentérale au long cours), des déficits enzymatiques héréditaires (holocarboxylase synthétase, biotinidase) et de l'alopécie. Les patients algériens doivent recourir à des préparations magistrales (poudre de biotine USP), à l'importation de spécialités étrangères, ou à des compléments alimentaires non réglementés (efficacité et sécurité non garanties). Cette situation est un enjeu de santé publique pour la prise en charge des maladies métaboliques héréditaires rares.</w:t>
      </w:r>
    </w:p>
    <w:p>
      <w:pPr>
        <w:pStyle w:val="Heading2"/>
      </w:pPr>
      <w:r>
        <w:t>162.11. Sous-classe : Vitamine C (Acide ascorbique)</w:t>
      </w:r>
    </w:p>
    <w:p>
      <w:pPr>
        <w:pStyle w:val="Heading3"/>
      </w:pPr>
      <w:r>
        <w:t>Définition et cadre conceptuel</w:t>
      </w:r>
    </w:p>
    <w:p>
      <w:r>
        <w:t xml:space="preserve">La </w:t>
      </w:r>
      <w:r>
        <w:rPr>
          <w:b/>
        </w:rPr>
        <w:t>vitamine C</w:t>
      </w:r>
      <w:r>
        <w:t xml:space="preserve"> (acide ascorbique, du grec </w:t>
      </w:r>
      <w:r>
        <w:rPr>
          <w:i/>
        </w:rPr>
        <w:t>a-</w:t>
      </w:r>
      <w:r>
        <w:t xml:space="preserve"> privatif + </w:t>
      </w:r>
      <w:r>
        <w:rPr>
          <w:i/>
        </w:rPr>
        <w:t>scorbutus</w:t>
      </w:r>
      <w:r>
        <w:t xml:space="preserve"> = scorbut, en raison de son rôle anti-scorbutique) est une vitamine hydrosoluble de structure simple : acide 2-oxo-L-gulonolactone, dérivé de glucose. Sa structure est apparentée à celle des sucres (osone), et son isomère L-gulono-γ-lactone est un intermédiaire de la synthèse endogène chez la plupart des mammifères (chien, chat, rat, souris, vache, mouton) — mais pas chez l'homme, les primates supérieurs, le cobaye, certaines espèces de passereaux et certains poissons téléostéens. L'homme manque de la </w:t>
      </w:r>
      <w:r>
        <w:rPr>
          <w:b/>
        </w:rPr>
        <w:t>L-gulonolactone oxydase</w:t>
      </w:r>
      <w:r>
        <w:t>, enzyme terminale de la synthèse, en raison d'une mutation inactivatrice du gène (pseudogène GULO). La vitamine C a été isolée en 1928 par Albert Szent-Györgyi (Prix Nobel 1937) à partir du poivron rouge et du citron, et synthétisée en 1933 par Walter Norman Haworth (Prix Nobel 1937). Sa forme active biologiquement est l'</w:t>
      </w:r>
      <w:r>
        <w:rPr>
          <w:b/>
        </w:rPr>
        <w:t>acide ascorbique</w:t>
      </w:r>
      <w:r>
        <w:t xml:space="preserve"> et sa forme oxydée, l'</w:t>
      </w:r>
      <w:r>
        <w:rPr>
          <w:b/>
        </w:rPr>
        <w:t>acide déshydroascorbique</w:t>
      </w:r>
      <w:r>
        <w:t>, est biologiquement active également (interconvertible).</w:t>
      </w:r>
    </w:p>
    <w:p>
      <w:pPr>
        <w:pStyle w:val="Heading3"/>
      </w:pPr>
      <w:r>
        <w:t>Mécanisme d'action moléculaire</w:t>
      </w:r>
    </w:p>
    <w:p>
      <w:r>
        <w:t xml:space="preserve">La vitamine C est le cofacteur de plusieurs </w:t>
      </w:r>
      <w:r>
        <w:rPr>
          <w:b/>
        </w:rPr>
        <w:t>dioxygénases</w:t>
      </w:r>
      <w:r>
        <w:t xml:space="preserve"> dépendantes du Fe²⁺ ou du Cu²⁺, qu'elle maintient dans leur état réduit actif :</w:t>
      </w:r>
    </w:p>
    <w:p>
      <w:pPr>
        <w:pStyle w:val="ListNumber"/>
      </w:pPr>
      <w:r/>
      <w:r>
        <w:rPr>
          <w:b/>
        </w:rPr>
        <w:t>Prolyl-4-hydroxylase, prolyl-3-hydroxylase, lysyl-5-hydroxylase</w:t>
      </w:r>
      <w:r>
        <w:t xml:space="preserve"> — hydroxylation du proline et de la lysine du collagène, indispensable à la stabilité de la triple hélice du collagène (formation de ponts hydrogènes inter-caténaires). Sans vitamine C, le collagène produit est instable et dégradé → scorbut (hémorragies, purpura, déchaussement dentaire, retard de cicatrisation).</w:t>
      </w:r>
    </w:p>
    <w:p>
      <w:pPr>
        <w:pStyle w:val="ListNumber"/>
      </w:pPr>
      <w:r/>
      <w:r>
        <w:rPr>
          <w:b/>
        </w:rPr>
        <w:t>Dopamine β-hydroxylase</w:t>
      </w:r>
      <w:r>
        <w:t xml:space="preserve"> — conversion de la dopamine en noradrénaline dans les vésicules de sécrétion des terminaisons sympathiques et de la médullosurrénale.</w:t>
      </w:r>
    </w:p>
    <w:p>
      <w:pPr>
        <w:pStyle w:val="ListNumber"/>
      </w:pPr>
      <w:r/>
      <w:r>
        <w:rPr>
          <w:b/>
        </w:rPr>
        <w:t>Peptidylglycine α-amidating monooxygenase (PAM)</w:t>
      </w:r>
      <w:r>
        <w:t xml:space="preserve"> — amidation des peptides neuroendocriniens (à partir du glycine terminal) — nombreux neuropeptides et hormones peptidiques nécessitent cette amidation pour leur activité biologique.</w:t>
      </w:r>
    </w:p>
    <w:p>
      <w:pPr>
        <w:pStyle w:val="ListNumber"/>
      </w:pPr>
      <w:r/>
      <w:r>
        <w:rPr>
          <w:b/>
        </w:rPr>
        <w:t>Triméthyllysine hydroxylase, γ-butyrobétaine hydroxylase</w:t>
      </w:r>
      <w:r>
        <w:t xml:space="preserve"> — synthèse de la carnitine.</w:t>
      </w:r>
    </w:p>
    <w:p>
      <w:pPr>
        <w:pStyle w:val="ListNumber"/>
      </w:pPr>
      <w:r/>
      <w:r>
        <w:rPr>
          <w:b/>
        </w:rPr>
        <w:t>HIF-prolyl hydroxylase</w:t>
      </w:r>
      <w:r>
        <w:t xml:space="preserve"> — régulation du HIF-1α (Hypoxia Inducible Factor) en conditions de normoxie (la vitamine C est nécessaire à la dégradation du HIF-1α, donc à l'adaptation à l'hypoxie).</w:t>
      </w:r>
    </w:p>
    <w:p>
      <w:pPr>
        <w:pStyle w:val="ListNumber"/>
      </w:pPr>
      <w:r/>
      <w:r>
        <w:rPr>
          <w:b/>
        </w:rPr>
        <w:t>Aspartate β-hydroxylase</w:t>
      </w:r>
      <w:r>
        <w:t xml:space="preserve"> — modification post-traductionnelle de l'EGF (epidermal growth factor) et de la télomérase.</w:t>
      </w:r>
    </w:p>
    <w:p>
      <w:r>
        <w:t xml:space="preserve">En parallèle, la vitamine C est le </w:t>
      </w:r>
      <w:r>
        <w:rPr>
          <w:b/>
        </w:rPr>
        <w:t>principal antioxydant hydrosoluble</w:t>
      </w:r>
      <w:r>
        <w:t xml:space="preserve"> du plasma et du cytosol. Elle piège les radicaux libres (radicalaire peroxyde, hydroxyle, superoxyde) et régénère la vitamine E (α-tocophérol) à partir de sa forme oxydée (tocophéroxyle radicalaire). Elle régénère également la tétrahydrobioptérine (BH4), cofacteur de la NO synthase endothéliale (rôle dans la fonction endothéliale et la vasomotricité).</w:t>
      </w:r>
    </w:p>
    <w:p>
      <w:pPr>
        <w:pStyle w:val="Heading3"/>
      </w:pPr>
      <w:r>
        <w:t>Indications thérapeutiques validées</w:t>
      </w:r>
    </w:p>
    <w:p>
      <w:pPr>
        <w:pStyle w:val="ListBullet"/>
      </w:pPr>
      <w:r/>
      <w:r>
        <w:rPr>
          <w:b/>
        </w:rPr>
        <w:t>Carence en vitamine C (scorbut)</w:t>
      </w:r>
      <w:r>
        <w:t xml:space="preserve"> : purpura péricapillaire (en « pseudo-pourpre »), folliculose, hyperkératose périfolliculaire, ecchymoses, hémorragies gingivales, déchaussement dentaire, arthralgies, asthénie, anémie normocytaire (carence fonctionnelle en fer par défaut d'absorption).</w:t>
      </w:r>
    </w:p>
    <w:p>
      <w:pPr>
        <w:pStyle w:val="ListBullet"/>
      </w:pPr>
      <w:r/>
      <w:r>
        <w:rPr>
          <w:b/>
        </w:rPr>
        <w:t>Supplémentation prophylactique</w:t>
      </w:r>
      <w:r>
        <w:t xml:space="preserve"> : patients en nutrition parentérale au long cours, patients dialysés chroniques, alcooliques chroniques, fumeurs (besoins accrus de 30 à 50 % en raison du stress oxydatif), sujets âgés dénutris, patients avec malabsorption.</w:t>
      </w:r>
    </w:p>
    <w:p>
      <w:pPr>
        <w:pStyle w:val="ListBullet"/>
      </w:pPr>
      <w:r/>
      <w:r>
        <w:rPr>
          <w:b/>
        </w:rPr>
        <w:t>Augmentation de l'absorption du fer alimentaire</w:t>
      </w:r>
      <w:r>
        <w:t xml:space="preserve"> : co-administration de vitamine C avec le fer oral (réduction du Fe³⁺ alimentaire en Fe²⁺ absorbable).</w:t>
      </w:r>
    </w:p>
    <w:p>
      <w:pPr>
        <w:pStyle w:val="ListBullet"/>
      </w:pPr>
      <w:r/>
      <w:r>
        <w:rPr>
          <w:b/>
        </w:rPr>
        <w:t>Rhume commun</w:t>
      </w:r>
      <w:r>
        <w:t xml:space="preserve"> (données Linus Pauling — controversé ; méta-analyse Cochrane 2013 concluant à un effet modeste sur la durée des symptômes chez les sujets carencés ou soumis à un stress physique intense, mais pas en population générale).</w:t>
      </w:r>
    </w:p>
    <w:p>
      <w:pPr>
        <w:pStyle w:val="ListBullet"/>
      </w:pPr>
      <w:r/>
      <w:r>
        <w:rPr>
          <w:b/>
        </w:rPr>
        <w:t>Cancer</w:t>
      </w:r>
      <w:r>
        <w:t xml:space="preserve"> (essais cliniques en cours à doses pharmacologiques IV — données préliminaires suggérant un effet synergique avec certaines chimiothérapies, mais non consensuel).</w:t>
      </w:r>
    </w:p>
    <w:p>
      <w:pPr>
        <w:pStyle w:val="ListBullet"/>
      </w:pPr>
      <w:r/>
      <w:r>
        <w:rPr>
          <w:b/>
        </w:rPr>
        <w:t>Brûlures étendues</w:t>
      </w:r>
      <w:r>
        <w:t xml:space="preserve"> et cicatrisation des plaies (rôle dans la synthèse du collagène).</w:t>
      </w:r>
    </w:p>
    <w:p>
      <w:pPr>
        <w:pStyle w:val="Heading3"/>
      </w:pPr>
      <w:r>
        <w:t>Populations à risque</w:t>
      </w:r>
    </w:p>
    <w:p>
      <w:pPr>
        <w:pStyle w:val="ListBullet"/>
      </w:pPr>
      <w:r>
        <w:t>Fumeurs (besoins accrus de 35 mg/jour supplémentaires — OMS).</w:t>
      </w:r>
    </w:p>
    <w:p>
      <w:pPr>
        <w:pStyle w:val="ListBullet"/>
      </w:pPr>
      <w:r>
        <w:t>Patients dialysés chroniques (fuite dialytique).</w:t>
      </w:r>
    </w:p>
    <w:p>
      <w:pPr>
        <w:pStyle w:val="ListBullet"/>
      </w:pPr>
      <w:r>
        <w:t>Patients sous nutrition parentérale au long cours.</w:t>
      </w:r>
    </w:p>
    <w:p>
      <w:pPr>
        <w:pStyle w:val="ListBullet"/>
      </w:pPr>
      <w:r>
        <w:t>Alcooliques chroniques.</w:t>
      </w:r>
    </w:p>
    <w:p>
      <w:pPr>
        <w:pStyle w:val="ListBullet"/>
      </w:pPr>
      <w:r>
        <w:t>Sujets âgés dénutris (en particulier en institution).</w:t>
      </w:r>
    </w:p>
    <w:p>
      <w:pPr>
        <w:pStyle w:val="ListBullet"/>
      </w:pPr>
      <w:r>
        <w:t>Patients avec malabsorption (maladie de Crohn, sprue, gastrectomie).</w:t>
      </w:r>
    </w:p>
    <w:p>
      <w:pPr>
        <w:pStyle w:val="ListBullet"/>
      </w:pPr>
      <w:r>
        <w:t>Femmes enceintes et allaitantes (besoins accrus).</w:t>
      </w:r>
    </w:p>
    <w:p>
      <w:pPr>
        <w:pStyle w:val="ListBullet"/>
      </w:pPr>
      <w:r>
        <w:t>Nourrissons alimentés exclusivement au lait de vache non supplémenté (carence relative).</w:t>
      </w:r>
    </w:p>
    <w:p>
      <w:pPr>
        <w:pStyle w:val="ListBullet"/>
      </w:pPr>
      <w:r>
        <w:t>Patients avec anorexie mentale.</w:t>
      </w:r>
    </w:p>
    <w:p>
      <w:pPr>
        <w:pStyle w:val="Heading3"/>
      </w:pPr>
      <w:r>
        <w:t>Spécificités du marché algérien</w:t>
      </w:r>
    </w:p>
    <w:p>
      <w:r>
        <w:t>La nomenclature algérienne (Avril 2026) recense une grande diversité de spécialités de vitamine C, en monothérapie et en association (paracétamol + vitamine C, complexes multivitaminiques). Les spécialités actives en monothérapie : comprimés à croquer ou à sucer 250 mg, 500 mg, 1 g (CITAMINE 250 mg, LADOSCORBINE 500 mg, VITAMINE C MOBEN 500 mg, APISCORBUT 500 mg et 1 g, LAROSCORBINE 1 g, VITAMINE C MOBEN 1 g, VITAMINE C BGL 1 g, VITAMINE C UPSA 1 g, VITA-C 500 mg) ; solution injectable IV (RAZISCORBIC C 500 mg/5 mL, VITAMINE C China Meheco 500 mg/5 mL). Les associations sont principalement des spécialités antalgiques antipyrétiques (DOLIDOL FLASH VITAMINE C, EFFERALGAN VITAMINE C — paracétamol 500 mg + acide ascorbique 200 mg) et des antirhumeux (FERVEX, PARAVEX, RHYNEX, BIOVEX, NOFEB, RESIVEN — associations multiples paracétamol + vitamine C ± antihistaminiques ± vasoconstricteurs).</w:t>
      </w:r>
    </w:p>
    <w:p>
      <w:pPr>
        <w:pStyle w:val="Heading2"/>
      </w:pPr>
      <w:r>
        <w:t>162.12. Fiches DCI détaillées (9 fiches)</w:t>
      </w:r>
    </w:p>
    <w:p>
      <w:pPr>
        <w:pStyle w:val="Heading3"/>
      </w:pPr>
      <w:r>
        <w:t>162.12.1. Thiamine (Vitamine B1)</w:t>
      </w:r>
    </w:p>
    <w:p>
      <w:pPr>
        <w:pStyle w:val="Heading4"/>
      </w:pPr>
      <w:r>
        <w:t>1. Catégories thérapeutiques et indications</w:t>
      </w:r>
    </w:p>
    <w:p>
      <w:r>
        <w:t xml:space="preserve">La thiamine appartient à la catégorie pharmacothérapeutique des </w:t>
      </w:r>
      <w:r>
        <w:rPr>
          <w:b/>
        </w:rPr>
        <w:t>vitamines hydrosolubles du groupe B</w:t>
      </w:r>
      <w:r>
        <w:t xml:space="preserve"> (code ATC : </w:t>
      </w:r>
      <w:r>
        <w:rPr>
          <w:b/>
        </w:rPr>
        <w:t>A11DA01</w:t>
      </w:r>
      <w:r>
        <w:t xml:space="preserve">). Elle est classée parmi les vitamines B1 isolées. Les indications thérapeutiques validées par l'ANSM et reconnues par l'OMS sont les suivantes : (i) traitement curatif de la </w:t>
      </w:r>
      <w:r>
        <w:rPr>
          <w:b/>
        </w:rPr>
        <w:t>carence en thiamine</w:t>
      </w:r>
      <w:r>
        <w:t xml:space="preserve"> avérée ou suspectée (béribéri sec/humide, polynévrite alcoolique, encéphalopathie de Wernicke, syndrome de Korsakoff) ; (ii) </w:t>
      </w:r>
      <w:r>
        <w:rPr>
          <w:b/>
        </w:rPr>
        <w:t>prophylaxie systématique</w:t>
      </w:r>
      <w:r>
        <w:t xml:space="preserve"> de l'encéphalopathie de Wernicke chez le patient alcoolique dénutri ou hospitalisé (administration systématique de thiamine IV ou IM avant toute perfusion de glucose ou de soluté glucosé) ; (iii) traitement des </w:t>
      </w:r>
      <w:r>
        <w:rPr>
          <w:b/>
        </w:rPr>
        <w:t>neuropathies périphériques</w:t>
      </w:r>
      <w:r>
        <w:t xml:space="preserve"> d'origine carentielle (diabète, alcoolisme, malabsorption, dialyse) — en association avec B6 et B12 ; (iv) traitement d'appoint des </w:t>
      </w:r>
      <w:r>
        <w:rPr>
          <w:b/>
        </w:rPr>
        <w:t>névralgies, radiculalgies, sciatiques</w:t>
      </w:r>
      <w:r>
        <w:t xml:space="preserve"> et douleurs neuropathiques périphériques (efficacité contestée mais prescription largement répandue en Algérie et en France) ; (v) supplémentation systématique des patients sous nutrition parentérale au long cours, des patients après gastrectomie ou chirurgie bariatrique, des patients dialysés chroniques et des patients sous diurétiques de l'anse au long cours (furosemide, torasemide). La thiamine est également indiquée en prévention de la carence chez les femmes enceintes présentant des vomissements importants (hyperemesis gravidarum), chez les patients souffrant d'anorexie mentale, et chez les végétariens stricts mal équilibrés.</w:t>
      </w:r>
    </w:p>
    <w:p>
      <w:pPr>
        <w:pStyle w:val="Heading4"/>
      </w:pPr>
      <w:r>
        <w:t>2. Spécialités pharmaceutiques commercialisées en Algérie</w:t>
      </w:r>
    </w:p>
    <w:p>
      <w:r>
        <w:t>Le tableau ci-dessous présente l'ensemble des spécialités de thiamine (B1) recensées dans la nomenclature algérienne (Avril 2026), classées par statut réglementaire (ACTIF, NON_RENOUVELABLE, RETRAIT). Les associations B1+B6 et B1+B6+B12 sont incluses car elles contiennent de la thiamine.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RAZITHIAM B1</w:t>
            </w:r>
          </w:p>
        </w:tc>
        <w:tc>
          <w:tcPr>
            <w:tcW w:type="dxa" w:w="1559"/>
          </w:tcPr>
          <w:p>
            <w:r>
              <w:rPr>
                <w:sz w:val="20"/>
              </w:rPr>
              <w:t>LES LABORATOIRES FRATER RAZES</w:t>
            </w:r>
          </w:p>
        </w:tc>
        <w:tc>
          <w:tcPr>
            <w:tcW w:type="dxa" w:w="1559"/>
          </w:tcPr>
          <w:p>
            <w:r>
              <w:rPr>
                <w:sz w:val="20"/>
              </w:rPr>
              <w:t>Solution injectable IV lente et IM, 100 mg/2 mL</w:t>
            </w:r>
          </w:p>
        </w:tc>
        <w:tc>
          <w:tcPr>
            <w:tcW w:type="dxa" w:w="1559"/>
          </w:tcPr>
          <w:p>
            <w:r>
              <w:rPr>
                <w:sz w:val="20"/>
              </w:rPr>
              <w:t>B/05 et B/50 ampoules</w:t>
            </w:r>
          </w:p>
        </w:tc>
        <w:tc>
          <w:tcPr>
            <w:tcW w:type="dxa" w:w="1559"/>
          </w:tcPr>
          <w:p>
            <w:r>
              <w:rPr>
                <w:sz w:val="20"/>
              </w:rPr>
              <w:t>Hors liste</w:t>
            </w:r>
          </w:p>
        </w:tc>
        <w:tc>
          <w:tcPr>
            <w:tcW w:type="dxa" w:w="1559"/>
          </w:tcPr>
          <w:p>
            <w:r>
              <w:rPr>
                <w:sz w:val="20"/>
              </w:rPr>
              <w:t>ACTIF</w:t>
            </w:r>
          </w:p>
        </w:tc>
      </w:tr>
      <w:tr>
        <w:tc>
          <w:tcPr>
            <w:tcW w:type="dxa" w:w="1559"/>
          </w:tcPr>
          <w:p>
            <w:r>
              <w:rPr>
                <w:sz w:val="20"/>
              </w:rPr>
              <w:t>THIAMINE API</w:t>
            </w:r>
          </w:p>
        </w:tc>
        <w:tc>
          <w:tcPr>
            <w:tcW w:type="dxa" w:w="1559"/>
          </w:tcPr>
          <w:p>
            <w:r>
              <w:rPr>
                <w:sz w:val="20"/>
              </w:rPr>
              <w:t>SARL API</w:t>
            </w:r>
          </w:p>
        </w:tc>
        <w:tc>
          <w:tcPr>
            <w:tcW w:type="dxa" w:w="1559"/>
          </w:tcPr>
          <w:p>
            <w:r>
              <w:rPr>
                <w:sz w:val="20"/>
              </w:rPr>
              <w:t>Comprimé,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NEUROVIT</w:t>
            </w:r>
          </w:p>
        </w:tc>
        <w:tc>
          <w:tcPr>
            <w:tcW w:type="dxa" w:w="1559"/>
          </w:tcPr>
          <w:p>
            <w:r>
              <w:rPr>
                <w:sz w:val="20"/>
              </w:rPr>
              <w:t>GROUPE SAIDAL</w:t>
            </w:r>
          </w:p>
        </w:tc>
        <w:tc>
          <w:tcPr>
            <w:tcW w:type="dxa" w:w="1559"/>
          </w:tcPr>
          <w:p>
            <w:r>
              <w:rPr>
                <w:sz w:val="20"/>
              </w:rPr>
              <w:t>Comprimé,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VITAZYME</w:t>
            </w:r>
          </w:p>
        </w:tc>
        <w:tc>
          <w:tcPr>
            <w:tcW w:type="dxa" w:w="1559"/>
          </w:tcPr>
          <w:p>
            <w:r>
              <w:rPr>
                <w:sz w:val="20"/>
              </w:rPr>
              <w:t>INPHA-MEDIS</w:t>
            </w:r>
          </w:p>
        </w:tc>
        <w:tc>
          <w:tcPr>
            <w:tcW w:type="dxa" w:w="1559"/>
          </w:tcPr>
          <w:p>
            <w:r>
              <w:rPr>
                <w:sz w:val="20"/>
              </w:rPr>
              <w:t>Comprimé pelliculé,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APIROVIT</w:t>
            </w:r>
          </w:p>
        </w:tc>
        <w:tc>
          <w:tcPr>
            <w:tcW w:type="dxa" w:w="1559"/>
          </w:tcPr>
          <w:p>
            <w:r>
              <w:rPr>
                <w:sz w:val="20"/>
              </w:rPr>
              <w:t>SARL API</w:t>
            </w:r>
          </w:p>
        </w:tc>
        <w:tc>
          <w:tcPr>
            <w:tcW w:type="dxa" w:w="1559"/>
          </w:tcPr>
          <w:p>
            <w:r>
              <w:rPr>
                <w:sz w:val="20"/>
              </w:rPr>
              <w:t>Comprimé sécable,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BIROVIT HUP</w:t>
            </w:r>
          </w:p>
        </w:tc>
        <w:tc>
          <w:tcPr>
            <w:tcW w:type="dxa" w:w="1559"/>
          </w:tcPr>
          <w:p>
            <w:r>
              <w:rPr>
                <w:sz w:val="20"/>
              </w:rPr>
              <w:t>HUPP PHARMA</w:t>
            </w:r>
          </w:p>
        </w:tc>
        <w:tc>
          <w:tcPr>
            <w:tcW w:type="dxa" w:w="1559"/>
          </w:tcPr>
          <w:p>
            <w:r>
              <w:rPr>
                <w:sz w:val="20"/>
              </w:rPr>
              <w:t>Comprimé pelliculé,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NOVITAL</w:t>
            </w:r>
          </w:p>
        </w:tc>
        <w:tc>
          <w:tcPr>
            <w:tcW w:type="dxa" w:w="1559"/>
          </w:tcPr>
          <w:p>
            <w:r>
              <w:rPr>
                <w:sz w:val="20"/>
              </w:rPr>
              <w:t>SOPHAL</w:t>
            </w:r>
          </w:p>
        </w:tc>
        <w:tc>
          <w:tcPr>
            <w:tcW w:type="dxa" w:w="1559"/>
          </w:tcPr>
          <w:p>
            <w:r>
              <w:rPr>
                <w:sz w:val="20"/>
              </w:rPr>
              <w:t>Comprimé,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VITAMINE B1 B6 BGL</w:t>
            </w:r>
          </w:p>
        </w:tc>
        <w:tc>
          <w:tcPr>
            <w:tcW w:type="dxa" w:w="1559"/>
          </w:tcPr>
          <w:p>
            <w:r>
              <w:rPr>
                <w:sz w:val="20"/>
              </w:rPr>
              <w:t>BIOGALENIC</w:t>
            </w:r>
          </w:p>
        </w:tc>
        <w:tc>
          <w:tcPr>
            <w:tcW w:type="dxa" w:w="1559"/>
          </w:tcPr>
          <w:p>
            <w:r>
              <w:rPr>
                <w:sz w:val="20"/>
              </w:rPr>
              <w:t>Comprimé,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TROIS B</w:t>
            </w:r>
          </w:p>
        </w:tc>
        <w:tc>
          <w:tcPr>
            <w:tcW w:type="dxa" w:w="1559"/>
          </w:tcPr>
          <w:p>
            <w:r>
              <w:rPr>
                <w:sz w:val="20"/>
              </w:rPr>
              <w:t>BIOCARE</w:t>
            </w:r>
          </w:p>
        </w:tc>
        <w:tc>
          <w:tcPr>
            <w:tcW w:type="dxa" w:w="1559"/>
          </w:tcPr>
          <w:p>
            <w:r>
              <w:rPr>
                <w:sz w:val="20"/>
              </w:rPr>
              <w:t>Comprimé enrobé, B1 125 mg + B6 125 mg + B12 0,55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w:t>
            </w:r>
          </w:p>
        </w:tc>
        <w:tc>
          <w:tcPr>
            <w:tcW w:type="dxa" w:w="1559"/>
          </w:tcPr>
          <w:p>
            <w:r>
              <w:rPr>
                <w:sz w:val="20"/>
              </w:rPr>
              <w:t>INPHA-MEDIS</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TRI-B-VIT HUP</w:t>
            </w:r>
          </w:p>
        </w:tc>
        <w:tc>
          <w:tcPr>
            <w:tcW w:type="dxa" w:w="1559"/>
          </w:tcPr>
          <w:p>
            <w:r>
              <w:rPr>
                <w:sz w:val="20"/>
              </w:rPr>
              <w:t>HUPP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VIT B1 B6 BEKER</w:t>
            </w:r>
          </w:p>
        </w:tc>
        <w:tc>
          <w:tcPr>
            <w:tcW w:type="dxa" w:w="1559"/>
          </w:tcPr>
          <w:p>
            <w:r>
              <w:rPr>
                <w:sz w:val="20"/>
              </w:rPr>
              <w:t>LABORATOIRES BEKER</w:t>
            </w:r>
          </w:p>
        </w:tc>
        <w:tc>
          <w:tcPr>
            <w:tcW w:type="dxa" w:w="1559"/>
          </w:tcPr>
          <w:p>
            <w:r>
              <w:rPr>
                <w:sz w:val="20"/>
              </w:rPr>
              <w:t>Comprimé pelliculé, B1 250 mg + B6 35 mg</w:t>
            </w:r>
          </w:p>
        </w:tc>
        <w:tc>
          <w:tcPr>
            <w:tcW w:type="dxa" w:w="1559"/>
          </w:tcPr>
          <w:p>
            <w:r>
              <w:rPr>
                <w:sz w:val="20"/>
              </w:rPr>
              <w:t>B/40</w:t>
            </w:r>
          </w:p>
        </w:tc>
        <w:tc>
          <w:tcPr>
            <w:tcW w:type="dxa" w:w="1559"/>
          </w:tcPr>
          <w:p>
            <w:r>
              <w:rPr>
                <w:sz w:val="20"/>
              </w:rPr>
              <w:t>Hors liste</w:t>
            </w:r>
          </w:p>
        </w:tc>
        <w:tc>
          <w:tcPr>
            <w:tcW w:type="dxa" w:w="1559"/>
          </w:tcPr>
          <w:p>
            <w:r>
              <w:rPr>
                <w:sz w:val="20"/>
              </w:rPr>
              <w:t>ACTIF</w:t>
            </w:r>
          </w:p>
        </w:tc>
      </w:tr>
      <w:tr>
        <w:tc>
          <w:tcPr>
            <w:tcW w:type="dxa" w:w="1559"/>
          </w:tcPr>
          <w:p>
            <w:r>
              <w:rPr>
                <w:sz w:val="20"/>
              </w:rPr>
              <w:t>THIAMINE CHLORHYDRATE</w:t>
            </w:r>
          </w:p>
        </w:tc>
        <w:tc>
          <w:tcPr>
            <w:tcW w:type="dxa" w:w="1559"/>
          </w:tcPr>
          <w:p>
            <w:r>
              <w:rPr>
                <w:sz w:val="20"/>
              </w:rPr>
              <w:t>BIOLOGICI</w:t>
            </w:r>
          </w:p>
        </w:tc>
        <w:tc>
          <w:tcPr>
            <w:tcW w:type="dxa" w:w="1559"/>
          </w:tcPr>
          <w:p>
            <w:r>
              <w:rPr>
                <w:sz w:val="20"/>
              </w:rPr>
              <w:t>Solution injectable, 100 mg/2 mL</w:t>
            </w:r>
          </w:p>
        </w:tc>
        <w:tc>
          <w:tcPr>
            <w:tcW w:type="dxa" w:w="1559"/>
          </w:tcPr>
          <w:p>
            <w:r>
              <w:rPr>
                <w:sz w:val="20"/>
              </w:rPr>
              <w:t>B/10 amp.</w:t>
            </w:r>
          </w:p>
        </w:tc>
        <w:tc>
          <w:tcPr>
            <w:tcW w:type="dxa" w:w="1559"/>
          </w:tcPr>
          <w:p>
            <w:r>
              <w:rPr>
                <w:sz w:val="20"/>
              </w:rPr>
              <w:t>Hors liste</w:t>
            </w:r>
          </w:p>
        </w:tc>
        <w:tc>
          <w:tcPr>
            <w:tcW w:type="dxa" w:w="1559"/>
          </w:tcPr>
          <w:p>
            <w:r>
              <w:rPr>
                <w:sz w:val="20"/>
              </w:rPr>
              <w:t>NON_RENOUVELABLE</w:t>
            </w:r>
          </w:p>
        </w:tc>
      </w:tr>
      <w:tr>
        <w:tc>
          <w:tcPr>
            <w:tcW w:type="dxa" w:w="1559"/>
          </w:tcPr>
          <w:p>
            <w:r>
              <w:rPr>
                <w:sz w:val="20"/>
              </w:rPr>
              <w:t>THIAMINE</w:t>
            </w:r>
          </w:p>
        </w:tc>
        <w:tc>
          <w:tcPr>
            <w:tcW w:type="dxa" w:w="1559"/>
          </w:tcPr>
          <w:p>
            <w:r>
              <w:rPr>
                <w:sz w:val="20"/>
              </w:rPr>
              <w:t>RENAUDIN</w:t>
            </w:r>
          </w:p>
        </w:tc>
        <w:tc>
          <w:tcPr>
            <w:tcW w:type="dxa" w:w="1559"/>
          </w:tcPr>
          <w:p>
            <w:r>
              <w:rPr>
                <w:sz w:val="20"/>
              </w:rPr>
              <w:t>Solution injectable, 100 mg/2 mL</w:t>
            </w:r>
          </w:p>
        </w:tc>
        <w:tc>
          <w:tcPr>
            <w:tcW w:type="dxa" w:w="1559"/>
          </w:tcPr>
          <w:p>
            <w:r>
              <w:rPr>
                <w:sz w:val="20"/>
              </w:rPr>
              <w:t>B/05</w:t>
            </w:r>
          </w:p>
        </w:tc>
        <w:tc>
          <w:tcPr>
            <w:tcW w:type="dxa" w:w="1559"/>
          </w:tcPr>
          <w:p>
            <w:r>
              <w:rPr>
                <w:sz w:val="20"/>
              </w:rPr>
              <w:t>Hors liste</w:t>
            </w:r>
          </w:p>
        </w:tc>
        <w:tc>
          <w:tcPr>
            <w:tcW w:type="dxa" w:w="1559"/>
          </w:tcPr>
          <w:p>
            <w:r>
              <w:rPr>
                <w:sz w:val="20"/>
              </w:rPr>
              <w:t>NON_RENOUVELABLE</w:t>
            </w:r>
          </w:p>
        </w:tc>
      </w:tr>
      <w:tr>
        <w:tc>
          <w:tcPr>
            <w:tcW w:type="dxa" w:w="1559"/>
          </w:tcPr>
          <w:p>
            <w:r>
              <w:rPr>
                <w:sz w:val="20"/>
              </w:rPr>
              <w:t>NOVAVIT B1</w:t>
            </w:r>
          </w:p>
        </w:tc>
        <w:tc>
          <w:tcPr>
            <w:tcW w:type="dxa" w:w="1559"/>
          </w:tcPr>
          <w:p>
            <w:r>
              <w:rPr>
                <w:sz w:val="20"/>
              </w:rPr>
              <w:t>NOVA ARGENTIA</w:t>
            </w:r>
          </w:p>
        </w:tc>
        <w:tc>
          <w:tcPr>
            <w:tcW w:type="dxa" w:w="1559"/>
          </w:tcPr>
          <w:p>
            <w:r>
              <w:rPr>
                <w:sz w:val="20"/>
              </w:rPr>
              <w:t>Comprimé sécable, 250 mg</w:t>
            </w:r>
          </w:p>
        </w:tc>
        <w:tc>
          <w:tcPr>
            <w:tcW w:type="dxa" w:w="1559"/>
          </w:tcPr>
          <w:p>
            <w:r>
              <w:rPr>
                <w:sz w:val="20"/>
              </w:rPr>
              <w:t>B/40</w:t>
            </w:r>
          </w:p>
        </w:tc>
        <w:tc>
          <w:tcPr>
            <w:tcW w:type="dxa" w:w="1559"/>
          </w:tcPr>
          <w:p>
            <w:r>
              <w:rPr>
                <w:sz w:val="20"/>
              </w:rPr>
              <w:t>Hors liste</w:t>
            </w:r>
          </w:p>
        </w:tc>
        <w:tc>
          <w:tcPr>
            <w:tcW w:type="dxa" w:w="1559"/>
          </w:tcPr>
          <w:p>
            <w:r>
              <w:rPr>
                <w:sz w:val="20"/>
              </w:rPr>
              <w:t>NON_RENOUVELABLE</w:t>
            </w:r>
          </w:p>
        </w:tc>
      </w:tr>
      <w:tr>
        <w:tc>
          <w:tcPr>
            <w:tcW w:type="dxa" w:w="1559"/>
          </w:tcPr>
          <w:p>
            <w:r>
              <w:rPr>
                <w:sz w:val="20"/>
              </w:rPr>
              <w:t>INTRAMED HYDROCHLORURE DE THIAMINE</w:t>
            </w:r>
          </w:p>
        </w:tc>
        <w:tc>
          <w:tcPr>
            <w:tcW w:type="dxa" w:w="1559"/>
          </w:tcPr>
          <w:p>
            <w:r>
              <w:rPr>
                <w:sz w:val="20"/>
              </w:rPr>
              <w:t>PHARMACARE LIMITED</w:t>
            </w:r>
          </w:p>
        </w:tc>
        <w:tc>
          <w:tcPr>
            <w:tcW w:type="dxa" w:w="1559"/>
          </w:tcPr>
          <w:p>
            <w:r>
              <w:rPr>
                <w:sz w:val="20"/>
              </w:rPr>
              <w:t>Solution injectable, 100 mg/mL</w:t>
            </w:r>
          </w:p>
        </w:tc>
        <w:tc>
          <w:tcPr>
            <w:tcW w:type="dxa" w:w="1559"/>
          </w:tcPr>
          <w:p>
            <w:r>
              <w:rPr>
                <w:sz w:val="20"/>
              </w:rPr>
              <w:t>B/10 amp. 10 mL</w:t>
            </w:r>
          </w:p>
        </w:tc>
        <w:tc>
          <w:tcPr>
            <w:tcW w:type="dxa" w:w="1559"/>
          </w:tcPr>
          <w:p>
            <w:r>
              <w:rPr>
                <w:sz w:val="20"/>
              </w:rPr>
              <w:t>Hors liste</w:t>
            </w:r>
          </w:p>
        </w:tc>
        <w:tc>
          <w:tcPr>
            <w:tcW w:type="dxa" w:w="1559"/>
          </w:tcPr>
          <w:p>
            <w:r>
              <w:rPr>
                <w:sz w:val="20"/>
              </w:rPr>
              <w:t>RETRAIT</w:t>
            </w:r>
          </w:p>
        </w:tc>
      </w:tr>
      <w:tr>
        <w:tc>
          <w:tcPr>
            <w:tcW w:type="dxa" w:w="1559"/>
          </w:tcPr>
          <w:p>
            <w:r>
              <w:rPr>
                <w:sz w:val="20"/>
              </w:rPr>
              <w:t>WERAVIT B1</w:t>
            </w:r>
          </w:p>
        </w:tc>
        <w:tc>
          <w:tcPr>
            <w:tcW w:type="dxa" w:w="1559"/>
          </w:tcPr>
          <w:p>
            <w:r>
              <w:rPr>
                <w:sz w:val="20"/>
              </w:rPr>
              <w:t>WEIMER PHARMA</w:t>
            </w:r>
          </w:p>
        </w:tc>
        <w:tc>
          <w:tcPr>
            <w:tcW w:type="dxa" w:w="1559"/>
          </w:tcPr>
          <w:p>
            <w:r>
              <w:rPr>
                <w:sz w:val="20"/>
              </w:rPr>
              <w:t>Solution injectable, 100 mg/mL</w:t>
            </w:r>
          </w:p>
        </w:tc>
        <w:tc>
          <w:tcPr>
            <w:tcW w:type="dxa" w:w="1559"/>
          </w:tcPr>
          <w:p>
            <w:r>
              <w:rPr>
                <w:sz w:val="20"/>
              </w:rPr>
              <w:t>B/5 amp. 1 mL</w:t>
            </w:r>
          </w:p>
        </w:tc>
        <w:tc>
          <w:tcPr>
            <w:tcW w:type="dxa" w:w="1559"/>
          </w:tcPr>
          <w:p>
            <w:r>
              <w:rPr>
                <w:sz w:val="20"/>
              </w:rPr>
              <w:t>Hors liste</w:t>
            </w:r>
          </w:p>
        </w:tc>
        <w:tc>
          <w:tcPr>
            <w:tcW w:type="dxa" w:w="1559"/>
          </w:tcPr>
          <w:p>
            <w:r>
              <w:rPr>
                <w:sz w:val="20"/>
              </w:rPr>
              <w:t>RETRAIT</w:t>
            </w:r>
          </w:p>
        </w:tc>
      </w:tr>
      <w:tr>
        <w:tc>
          <w:tcPr>
            <w:tcW w:type="dxa" w:w="1559"/>
          </w:tcPr>
          <w:p>
            <w:r>
              <w:rPr>
                <w:sz w:val="20"/>
              </w:rPr>
              <w:t>BEVITINE 5%</w:t>
            </w:r>
          </w:p>
        </w:tc>
        <w:tc>
          <w:tcPr>
            <w:tcW w:type="dxa" w:w="1559"/>
          </w:tcPr>
          <w:p>
            <w:r>
              <w:rPr>
                <w:sz w:val="20"/>
              </w:rPr>
              <w:t>RHONE POULENC RORER</w:t>
            </w:r>
          </w:p>
        </w:tc>
        <w:tc>
          <w:tcPr>
            <w:tcW w:type="dxa" w:w="1559"/>
          </w:tcPr>
          <w:p>
            <w:r>
              <w:rPr>
                <w:sz w:val="20"/>
              </w:rPr>
              <w:t>Solution injectable, 100 mg/2 mL</w:t>
            </w:r>
          </w:p>
        </w:tc>
        <w:tc>
          <w:tcPr>
            <w:tcW w:type="dxa" w:w="1559"/>
          </w:tcPr>
          <w:p>
            <w:r>
              <w:rPr>
                <w:sz w:val="20"/>
              </w:rPr>
              <w:t>B/5 amp.</w:t>
            </w:r>
          </w:p>
        </w:tc>
        <w:tc>
          <w:tcPr>
            <w:tcW w:type="dxa" w:w="1559"/>
          </w:tcPr>
          <w:p>
            <w:r>
              <w:rPr>
                <w:sz w:val="20"/>
              </w:rPr>
              <w:t>Hors liste</w:t>
            </w:r>
          </w:p>
        </w:tc>
        <w:tc>
          <w:tcPr>
            <w:tcW w:type="dxa" w:w="1559"/>
          </w:tcPr>
          <w:p>
            <w:r>
              <w:rPr>
                <w:sz w:val="20"/>
              </w:rPr>
              <w:t>RETRAIT</w:t>
            </w:r>
          </w:p>
        </w:tc>
      </w:tr>
      <w:tr>
        <w:tc>
          <w:tcPr>
            <w:tcW w:type="dxa" w:w="1559"/>
          </w:tcPr>
          <w:p>
            <w:r>
              <w:rPr>
                <w:sz w:val="20"/>
              </w:rPr>
              <w:t>VITAMINE B1</w:t>
            </w:r>
          </w:p>
        </w:tc>
        <w:tc>
          <w:tcPr>
            <w:tcW w:type="dxa" w:w="1559"/>
          </w:tcPr>
          <w:p>
            <w:r>
              <w:rPr>
                <w:sz w:val="20"/>
              </w:rPr>
              <w:t>HEMOFARM</w:t>
            </w:r>
          </w:p>
        </w:tc>
        <w:tc>
          <w:tcPr>
            <w:tcW w:type="dxa" w:w="1559"/>
          </w:tcPr>
          <w:p>
            <w:r>
              <w:rPr>
                <w:sz w:val="20"/>
              </w:rPr>
              <w:t>Solution injectable, 100 mg/mL</w:t>
            </w:r>
          </w:p>
        </w:tc>
        <w:tc>
          <w:tcPr>
            <w:tcW w:type="dxa" w:w="1559"/>
          </w:tcPr>
          <w:p>
            <w:r>
              <w:rPr>
                <w:sz w:val="20"/>
              </w:rPr>
              <w:t>B/5</w:t>
            </w:r>
          </w:p>
        </w:tc>
        <w:tc>
          <w:tcPr>
            <w:tcW w:type="dxa" w:w="1559"/>
          </w:tcPr>
          <w:p>
            <w:r>
              <w:rPr>
                <w:sz w:val="20"/>
              </w:rPr>
              <w:t>Hors liste</w:t>
            </w:r>
          </w:p>
        </w:tc>
        <w:tc>
          <w:tcPr>
            <w:tcW w:type="dxa" w:w="1559"/>
          </w:tcPr>
          <w:p>
            <w:r>
              <w:rPr>
                <w:sz w:val="20"/>
              </w:rPr>
              <w:t>RETRAIT</w:t>
            </w:r>
          </w:p>
        </w:tc>
      </w:tr>
      <w:tr>
        <w:tc>
          <w:tcPr>
            <w:tcW w:type="dxa" w:w="1559"/>
          </w:tcPr>
          <w:p>
            <w:r>
              <w:rPr>
                <w:sz w:val="20"/>
              </w:rPr>
              <w:t>BENERVA</w:t>
            </w:r>
          </w:p>
        </w:tc>
        <w:tc>
          <w:tcPr>
            <w:tcW w:type="dxa" w:w="1559"/>
          </w:tcPr>
          <w:p>
            <w:r>
              <w:rPr>
                <w:sz w:val="20"/>
              </w:rPr>
              <w:t>ROCHE</w:t>
            </w:r>
          </w:p>
        </w:tc>
        <w:tc>
          <w:tcPr>
            <w:tcW w:type="dxa" w:w="1559"/>
          </w:tcPr>
          <w:p>
            <w:r>
              <w:rPr>
                <w:sz w:val="20"/>
              </w:rPr>
              <w:t>Solution injectable IM, 100 mg/mL</w:t>
            </w:r>
          </w:p>
        </w:tc>
        <w:tc>
          <w:tcPr>
            <w:tcW w:type="dxa" w:w="1559"/>
          </w:tcPr>
          <w:p>
            <w:r>
              <w:rPr>
                <w:sz w:val="20"/>
              </w:rPr>
              <w:t>B/3</w:t>
            </w:r>
          </w:p>
        </w:tc>
        <w:tc>
          <w:tcPr>
            <w:tcW w:type="dxa" w:w="1559"/>
          </w:tcPr>
          <w:p>
            <w:r>
              <w:rPr>
                <w:sz w:val="20"/>
              </w:rPr>
              <w:t>Hors liste</w:t>
            </w:r>
          </w:p>
        </w:tc>
        <w:tc>
          <w:tcPr>
            <w:tcW w:type="dxa" w:w="1559"/>
          </w:tcPr>
          <w:p>
            <w:r>
              <w:rPr>
                <w:sz w:val="20"/>
              </w:rPr>
              <w:t>RETRAIT</w:t>
            </w:r>
          </w:p>
        </w:tc>
      </w:tr>
      <w:tr>
        <w:tc>
          <w:tcPr>
            <w:tcW w:type="dxa" w:w="1559"/>
          </w:tcPr>
          <w:p>
            <w:r>
              <w:rPr>
                <w:sz w:val="20"/>
              </w:rPr>
              <w:t>VITHIAMINE</w:t>
            </w:r>
          </w:p>
        </w:tc>
        <w:tc>
          <w:tcPr>
            <w:tcW w:type="dxa" w:w="1559"/>
          </w:tcPr>
          <w:p>
            <w:r>
              <w:rPr>
                <w:sz w:val="20"/>
              </w:rPr>
              <w:t>FERROSAN</w:t>
            </w:r>
          </w:p>
        </w:tc>
        <w:tc>
          <w:tcPr>
            <w:tcW w:type="dxa" w:w="1559"/>
          </w:tcPr>
          <w:p>
            <w:r>
              <w:rPr>
                <w:sz w:val="20"/>
              </w:rPr>
              <w:t>Comprimé, 250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BENERVA</w:t>
            </w:r>
          </w:p>
        </w:tc>
        <w:tc>
          <w:tcPr>
            <w:tcW w:type="dxa" w:w="1559"/>
          </w:tcPr>
          <w:p>
            <w:r>
              <w:rPr>
                <w:sz w:val="20"/>
              </w:rPr>
              <w:t>ROCHE</w:t>
            </w:r>
          </w:p>
        </w:tc>
        <w:tc>
          <w:tcPr>
            <w:tcW w:type="dxa" w:w="1559"/>
          </w:tcPr>
          <w:p>
            <w:r>
              <w:rPr>
                <w:sz w:val="20"/>
              </w:rPr>
              <w:t>Comprimé enrobé, 250 mg</w:t>
            </w:r>
          </w:p>
        </w:tc>
        <w:tc>
          <w:tcPr>
            <w:tcW w:type="dxa" w:w="1559"/>
          </w:tcPr>
          <w:p>
            <w:r>
              <w:rPr>
                <w:sz w:val="20"/>
              </w:rPr>
              <w:t>B/40</w:t>
            </w:r>
          </w:p>
        </w:tc>
        <w:tc>
          <w:tcPr>
            <w:tcW w:type="dxa" w:w="1559"/>
          </w:tcPr>
          <w:p>
            <w:r>
              <w:rPr>
                <w:sz w:val="20"/>
              </w:rPr>
              <w:t>Hors liste</w:t>
            </w:r>
          </w:p>
        </w:tc>
        <w:tc>
          <w:tcPr>
            <w:tcW w:type="dxa" w:w="1559"/>
          </w:tcPr>
          <w:p>
            <w:r>
              <w:rPr>
                <w:sz w:val="20"/>
              </w:rPr>
              <w:t>RETRAIT</w:t>
            </w:r>
          </w:p>
        </w:tc>
      </w:tr>
      <w:tr>
        <w:tc>
          <w:tcPr>
            <w:tcW w:type="dxa" w:w="1559"/>
          </w:tcPr>
          <w:p>
            <w:r>
              <w:rPr>
                <w:sz w:val="20"/>
              </w:rPr>
              <w:t>BETAPYR</w:t>
            </w:r>
          </w:p>
        </w:tc>
        <w:tc>
          <w:tcPr>
            <w:tcW w:type="dxa" w:w="1559"/>
          </w:tcPr>
          <w:p>
            <w:r>
              <w:rPr>
                <w:sz w:val="20"/>
              </w:rPr>
              <w:t>DUTCHMEDICIN BV</w:t>
            </w:r>
          </w:p>
        </w:tc>
        <w:tc>
          <w:tcPr>
            <w:tcW w:type="dxa" w:w="1559"/>
          </w:tcPr>
          <w:p>
            <w:r>
              <w:rPr>
                <w:sz w:val="20"/>
              </w:rPr>
              <w:t>Comprimé pelliculé, B1 250 mg + B6 250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DQA TRIVIT</w:t>
            </w:r>
          </w:p>
        </w:tc>
        <w:tc>
          <w:tcPr>
            <w:tcW w:type="dxa" w:w="1559"/>
          </w:tcPr>
          <w:p>
            <w:r>
              <w:rPr>
                <w:sz w:val="20"/>
              </w:rPr>
              <w:t>DQA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(12 spécialités) sont dominées par les producteurs locaux algériens (Saidal, Frater-Razes, API, Hupp Pharma, Biogalenic, Inpha-Medis, Becquer, BIOCARE, SOPHAL), ce qui témoigne d'une autonomie industrielle satisfaisante pour la thiamine simple et les complexes neurotropes. La seule spécialité </w:t>
      </w:r>
      <w:r>
        <w:rPr>
          <w:b/>
        </w:rPr>
        <w:t>injectable active</w:t>
      </w:r>
      <w:r>
        <w:t xml:space="preserve"> est RAZITHIAM B1 (Frater-Razes), qui doit être disponible dans tous les services d'urgences algériens pour le traitement systématique de l'encéphalopathie de Wernicke. Les spécialités historiques (BENERVA, BEVITINE, VITHIAMINE, WERAVIT B1) sont retirées du marché.</w:t>
      </w:r>
    </w:p>
    <w:p>
      <w:pPr>
        <w:pStyle w:val="Heading4"/>
      </w:pPr>
      <w:r>
        <w:t>3. Mécanisme d'action moléculaire détaillé</w:t>
      </w:r>
    </w:p>
    <w:p>
      <w:r>
        <w:t xml:space="preserve">La thiamine est convertie en sa forme biologiquement active, le </w:t>
      </w:r>
      <w:r>
        <w:rPr>
          <w:b/>
        </w:rPr>
        <w:t>thiamine pyrophosphate (TPP)</w:t>
      </w:r>
      <w:r>
        <w:t xml:space="preserve"> ou </w:t>
      </w:r>
      <w:r>
        <w:rPr>
          <w:b/>
        </w:rPr>
        <w:t>cocarboxylase</w:t>
      </w:r>
      <w:r>
        <w:t xml:space="preserve">, par la thiamine pyrophosphokinase (TPK) dans le cytosol, en présence d'ATP. Cette réaction consomme 1 ATP. Le TPP est ensuite transporté dans les mitochondries par le transporteur SLC25A19 (thiamine pyrophosphate carrier). Le TPP agit comme cofacteur de trois enzymes majeures du métabolisme énergétique : (1) la </w:t>
      </w:r>
      <w:r>
        <w:rPr>
          <w:b/>
        </w:rPr>
        <w:t>pyruvate déshydrogénase (PDH)</w:t>
      </w:r>
      <w:r>
        <w:t>, complexe mitochondrial qui convertit le pyruvate en acétyl-CoA, étape clé entre la glycolyse et le cycle de Krebs ; (2) l'</w:t>
      </w:r>
      <w:r>
        <w:rPr>
          <w:b/>
        </w:rPr>
        <w:t>α-cétoglutarate déshydrogénase</w:t>
      </w:r>
      <w:r>
        <w:t xml:space="preserve">, enzyme du cycle de Krebs qui convertit l'α-cétoglutarate en succinyl-CoA ; (3) la </w:t>
      </w:r>
      <w:r>
        <w:rPr>
          <w:b/>
        </w:rPr>
        <w:t>transkétolase</w:t>
      </w:r>
      <w:r>
        <w:t xml:space="preserve">, enzyme de la voie des pentoses phosphates qui catalyse le transfert de groupements à deux carbones (glycolaldéhyde) entre sucres phosphorylés (xylulose-5-P → ribose-5-P + glyceraldéhyde-3-P). Le mécanisme chimique commun à ces trois enzymes repose sur la </w:t>
      </w:r>
      <w:r>
        <w:rPr>
          <w:b/>
        </w:rPr>
        <w:t>forme ylide</w:t>
      </w:r>
      <w:r>
        <w:t xml:space="preserve"> du carbone C2 du noyau thiazolique du TPP, qui agit comme nucléophile pour attaquer le carbonyle du substrat α-cétoacide (pyruvate, α-cétoglutarate) ou sucre-phosphate (xylulose-5-P). Le TPP est également cofacteur de trois enzymes mineures : la </w:t>
      </w:r>
      <w:r>
        <w:rPr>
          <w:b/>
        </w:rPr>
        <w:t>branched-chain α-ketoacid déshydrogénase</w:t>
      </w:r>
      <w:r>
        <w:t xml:space="preserve"> (catabolisme des acides aminés ramifiés — leucine, isoleucine, valine), la </w:t>
      </w:r>
      <w:r>
        <w:rPr>
          <w:b/>
        </w:rPr>
        <w:t>2-hydroxyphytanoyl-CoA lyase</w:t>
      </w:r>
      <w:r>
        <w:t xml:space="preserve"> (peroxysomale, catabolisme de l'acide phytanique), et la </w:t>
      </w:r>
      <w:r>
        <w:rPr>
          <w:b/>
        </w:rPr>
        <w:t>acétolactate synthase</w:t>
      </w:r>
      <w:r>
        <w:t xml:space="preserve"> (chez les plantes et bactéries, cible des herbicides sulfonylurées). En cas de carence en thiamine, le pyruvate ne peut être converti en acétyl-CoA et est réduit en lactate (acidose lactique) et transaminé en alanine. Le cerveau, qui dépend quasi exclusivement du glucose comme substrat énergétique, est particulièrement sensible à cette carence : c'est le mécanisme central de l'encéphalopathie de Wernicke (lésions symétriques des corps mamillaires, du plancher du 4e ventricule et du périaqueduc).</w:t>
      </w:r>
    </w:p>
    <w:p>
      <w:pPr>
        <w:pStyle w:val="Heading4"/>
      </w:pPr>
      <w:r>
        <w:t>4. Pharmacocinétique</w:t>
      </w:r>
    </w:p>
    <w:p>
      <w:r/>
      <w:r>
        <w:rPr>
          <w:b/>
        </w:rPr>
        <w:t>Absorption</w:t>
      </w:r>
      <w:r>
        <w:t xml:space="preserve"> : la thiamine est absorbée au niveau du jéjunum proximal par deux mécanismes : (i) un transporteur actif saturable à doses nutritionnelles (≤ 5 mg/jour), dépendant du THTR-1 (SLC19A2) et THTR-2 (SLC19A3) ; (ii) une diffusion passive à doses pharmacologiques élevées (≥ 50 mg/jour), avec une biodisponibilité de 5 à 30 %. La saturation du transporteur actif explique que les doses orales supérieures à 10 mg/jour n'augmentent pas proportionnellement l'absorption. La prise avec un repas riche en glucides améliore l'absorption (induction de l'expression de THTR-2).</w:t>
      </w:r>
    </w:p>
    <w:p>
      <w:r/>
      <w:r>
        <w:rPr>
          <w:b/>
        </w:rPr>
        <w:t>Distribution</w:t>
      </w:r>
      <w:r>
        <w:t xml:space="preserve"> : la thiamine est distribuée dans tous les tissus, avec une concentration plus élevée dans le cœur, le cerveau, le foie, les reins et les muscles squelettiques. Le pool corporel total est d'environ 30 à 50 mg, principalement sous forme de TPP (80 %) et TTP (thiamine triphosphate, 10 %). La demi-vie plasmatique est courte (environ 1 à 3 heures), ce qui explique la nécessité d'un apport quotidien régulier. La thiamine traverse le placenta par transporteur actif et passe dans le lait maternel.</w:t>
      </w:r>
    </w:p>
    <w:p>
      <w:r/>
      <w:r>
        <w:rPr>
          <w:b/>
        </w:rPr>
        <w:t>Métabolisme</w:t>
      </w:r>
      <w:r>
        <w:t xml:space="preserve"> : la thiamine est phosphorylée en TPP (TPI 1 ATP) puis en TTP (TTPK, ATP), et dégradée par les phosphatases en thiamine monophosphate (TMP) puis en thiamine libre, qui peut être recyclée ou excrétée. Le catabolisme hépatique produit des métabolites pyrimidiques et thiazoliques éliminés dans les urines.</w:t>
      </w:r>
    </w:p>
    <w:p>
      <w:r/>
      <w:r>
        <w:rPr>
          <w:b/>
        </w:rPr>
        <w:t>Élimination</w:t>
      </w:r>
      <w:r>
        <w:t xml:space="preserve"> : principalement urinaire (≥ 90 %), sous forme de thiamine libre et de métabolites. L'élimination est filtrée et sécrétée tubulairement. La clairance rénale augmente avec la dose, ce qui explique la faible toxicité aiguë de la thiamine.</w:t>
      </w:r>
    </w:p>
    <w:p>
      <w:pPr>
        <w:pStyle w:val="Heading4"/>
      </w:pPr>
      <w:r>
        <w:t>5. Effets indésirables et prévention</w:t>
      </w:r>
    </w:p>
    <w:p>
      <w:r/>
      <w:r>
        <w:rPr>
          <w:b/>
        </w:rPr>
        <w:t>Effets indésirables aux doses thérapeutiques orales</w:t>
      </w:r>
      <w:r>
        <w:t xml:space="preserve"> (≤ 100 mg/jour) :</w:t>
      </w:r>
    </w:p>
    <w:p>
      <w:pPr>
        <w:pStyle w:val="ListBullet"/>
      </w:pPr>
      <w:r/>
      <w:r>
        <w:rPr>
          <w:b/>
        </w:rPr>
        <w:t>Digestifs</w:t>
      </w:r>
      <w:r>
        <w:t xml:space="preserve"> : nausées, douleurs épigastriques, diarrhée — rares et bénins. Prévention : prendre au cours du repas.</w:t>
      </w:r>
    </w:p>
    <w:p>
      <w:pPr>
        <w:pStyle w:val="ListBullet"/>
      </w:pPr>
      <w:r/>
      <w:r>
        <w:rPr>
          <w:b/>
        </w:rPr>
        <w:t>Allergiques</w:t>
      </w:r>
      <w:r>
        <w:t xml:space="preserve"> : réactions cutanées (éruption, prurit, urticaire), très rares. Prévention : interrogatoire allergologique préalable.</w:t>
      </w:r>
    </w:p>
    <w:p>
      <w:r/>
      <w:r>
        <w:rPr>
          <w:b/>
        </w:rPr>
        <w:t>Effets indésirables aux doses pharmacologiques orales</w:t>
      </w:r>
      <w:r>
        <w:t xml:space="preserve"> (≥ 200 mg/jour) :</w:t>
      </w:r>
    </w:p>
    <w:p>
      <w:pPr>
        <w:pStyle w:val="ListBullet"/>
      </w:pPr>
      <w:r/>
      <w:r>
        <w:rPr>
          <w:b/>
        </w:rPr>
        <w:t>Hépatiques</w:t>
      </w:r>
      <w:r>
        <w:t xml:space="preserve"> : rares cas d'augmentation des transaminases.</w:t>
      </w:r>
    </w:p>
    <w:p>
      <w:pPr>
        <w:pStyle w:val="ListBullet"/>
      </w:pPr>
      <w:r/>
      <w:r>
        <w:rPr>
          <w:b/>
        </w:rPr>
        <w:t>Neurologiques</w:t>
      </w:r>
      <w:r>
        <w:t xml:space="preserve"> : céphalées, irritabilité (à doses très élevées, ≥ 1 g/jour au long cours — exceptionnel).</w:t>
      </w:r>
    </w:p>
    <w:p>
      <w:r/>
      <w:r>
        <w:rPr>
          <w:b/>
        </w:rPr>
        <w:t>Effets indésirables de la voie injectable</w:t>
      </w:r>
      <w:r>
        <w:t xml:space="preserve"> (RAZITHIAM B1) :</w:t>
      </w:r>
    </w:p>
    <w:p>
      <w:pPr>
        <w:pStyle w:val="ListBullet"/>
      </w:pPr>
      <w:r/>
      <w:r>
        <w:rPr>
          <w:b/>
        </w:rPr>
        <w:t>Réactions allergiques</w:t>
      </w:r>
      <w:r>
        <w:t xml:space="preserve"> : choc anaphylactique rare mais décrit (en particulier avec la voie IV rapide). Prévention : injection IV lente (≥ 5 minutes pour 100 mg),监视ance pendant 30 minutes après injection, disponibilité d'un kit de réanimation.</w:t>
      </w:r>
    </w:p>
    <w:p>
      <w:pPr>
        <w:pStyle w:val="ListBullet"/>
      </w:pPr>
      <w:r/>
      <w:r>
        <w:rPr>
          <w:b/>
        </w:rPr>
        <w:t>Réactions locales</w:t>
      </w:r>
      <w:r>
        <w:t xml:space="preserve"> : douleur au point d'injection, induration (voie IM).</w:t>
      </w:r>
    </w:p>
    <w:p>
      <w:pPr>
        <w:pStyle w:val="ListBullet"/>
      </w:pPr>
      <w:r/>
      <w:r>
        <w:rPr>
          <w:b/>
        </w:rPr>
        <w:t>Hypotension</w:t>
      </w:r>
      <w:r>
        <w:t xml:space="preserve"> : à l'injection IV rapide (histamino-libération). Prévention : injection lente.</w:t>
      </w:r>
    </w:p>
    <w:p>
      <w:r/>
      <w:r>
        <w:rPr>
          <w:b/>
        </w:rPr>
        <w:t>Prévention générale des effets indésirables</w:t>
      </w:r>
      <w:r>
        <w:t xml:space="preserve"> :</w:t>
      </w:r>
    </w:p>
    <w:p>
      <w:pPr>
        <w:pStyle w:val="ListNumber"/>
      </w:pPr>
      <w:r>
        <w:t>Toujours administrer la thiamine par voie IM profonde ou IV lente (≥ 5 min pour 100 mg).</w:t>
      </w:r>
    </w:p>
    <w:p>
      <w:pPr>
        <w:pStyle w:val="ListNumber"/>
      </w:pPr>
      <w:r>
        <w:t>Toujours précéder la perfusion de glucose par une injection de thiamine IV chez le patient alcoolique ou dénutri.</w:t>
      </w:r>
    </w:p>
    <w:p>
      <w:pPr>
        <w:pStyle w:val="ListNumber"/>
      </w:pPr>
      <w:r>
        <w:t>Toujours demander un interrogatoire allergologique avant injection.</w:t>
      </w:r>
    </w:p>
    <w:p>
      <w:pPr>
        <w:pStyle w:val="ListNumber"/>
      </w:pPr>
      <w:r>
        <w:t>Éviter les doses orales supérieures à 100 mg/jour au long cours (inefficacité, gaspillage).</w:t>
      </w:r>
    </w:p>
    <w:p>
      <w:pPr>
        <w:pStyle w:val="ListNumber"/>
      </w:pPr>
      <w:r>
        <w:t>Surveillance ECG et hémodynamique en cas d'administration IV de doses &gt; 500 mg.</w:t>
      </w:r>
    </w:p>
    <w:p>
      <w:pPr>
        <w:pStyle w:val="Heading4"/>
      </w:pPr>
      <w:r>
        <w:t>6. Interactions médicamenteuses</w:t>
      </w:r>
    </w:p>
    <w:p>
      <w:pPr>
        <w:pStyle w:val="ListBullet"/>
      </w:pPr>
      <w:r/>
      <w:r>
        <w:rPr>
          <w:b/>
        </w:rPr>
        <w:t>Glucose IV</w:t>
      </w:r>
      <w:r>
        <w:t xml:space="preserve"> : administration de glucose sans thiamine préalable chez le patient carencé précipite l'encéphalopathie de Wernicke (le métabolisme du pyruvate est bloqué par carence en TPP, et l'apport de glucose augmente la production de pyruvate → acidose lactique et lésions cérébrales). Recommandation : toujours administrer 100 à 500 mg de thiamine IV avant toute perfusion de glucose chez le patient alcoolique ou dénutri.</w:t>
      </w:r>
    </w:p>
    <w:p>
      <w:pPr>
        <w:pStyle w:val="ListBullet"/>
      </w:pPr>
      <w:r/>
      <w:r>
        <w:rPr>
          <w:b/>
        </w:rPr>
        <w:t>Diurétiques de l'anse (furosemide, torasemide, bumetanide)</w:t>
      </w:r>
      <w:r>
        <w:t xml:space="preserve"> : augmentation de l'excrétion urinaire de la thiamine → carence induite (cardiomyopathie de l'insuffisant cardiaque sous furosemide au long cours). Recommandation : supplémentation systématique en thiamine 100 mg/jour chez les patients insuffisants cardiaques sous furosemide ≥ 40 mg/jour.</w:t>
      </w:r>
    </w:p>
    <w:p>
      <w:pPr>
        <w:pStyle w:val="ListBullet"/>
      </w:pPr>
      <w:r/>
      <w:r>
        <w:rPr>
          <w:b/>
        </w:rPr>
        <w:t>Digoxine</w:t>
      </w:r>
      <w:r>
        <w:t xml:space="preserve"> : diminution de l'absorption de la thiamine (données limitées).</w:t>
      </w:r>
    </w:p>
    <w:p>
      <w:pPr>
        <w:pStyle w:val="ListBullet"/>
      </w:pPr>
      <w:r/>
      <w:r>
        <w:rPr>
          <w:b/>
        </w:rPr>
        <w:t>Fluorouracile (5-FU)</w:t>
      </w:r>
      <w:r>
        <w:t xml:space="preserve"> : inhibition de la conversion de la thiamine en TPP (effet antivitaminique B1).</w:t>
      </w:r>
    </w:p>
    <w:p>
      <w:pPr>
        <w:pStyle w:val="ListBullet"/>
      </w:pPr>
      <w:r/>
      <w:r>
        <w:rPr>
          <w:b/>
        </w:rPr>
        <w:t>Alcool</w:t>
      </w:r>
      <w:r>
        <w:t xml:space="preserve"> : diminution de l'absorption, augmentation de l'excrétion, inhibition de la phosphorylation hépatique → carence constante chez l'alcoolique chronique.</w:t>
      </w:r>
    </w:p>
    <w:p>
      <w:pPr>
        <w:pStyle w:val="ListBullet"/>
      </w:pPr>
      <w:r/>
      <w:r>
        <w:rPr>
          <w:b/>
        </w:rPr>
        <w:t>Thé et café (tanins)</w:t>
      </w:r>
      <w:r>
        <w:t xml:space="preserve"> : chélation intestinale de la thiamine → diminution de l'absorption. Espacer les prises de 2 heures.</w:t>
      </w:r>
    </w:p>
    <w:p>
      <w:pPr>
        <w:pStyle w:val="ListBullet"/>
      </w:pPr>
      <w:r/>
      <w:r>
        <w:rPr>
          <w:b/>
        </w:rPr>
        <w:t>Sulfites (additifs alimentaires)</w:t>
      </w:r>
      <w:r>
        <w:t xml:space="preserve"> : dégradation de la thiamine (le sulfite clive le noyau thiazolique).</w:t>
      </w:r>
    </w:p>
    <w:p>
      <w:pPr>
        <w:pStyle w:val="ListBullet"/>
      </w:pPr>
      <w:r/>
      <w:r>
        <w:rPr>
          <w:b/>
        </w:rPr>
        <w:t>Antiacides alcalins</w:t>
      </w:r>
      <w:r>
        <w:t xml:space="preserve"> : augmentation du pH gastrique → dégradation de la thiamine.</w:t>
      </w:r>
    </w:p>
    <w:p>
      <w:pPr>
        <w:pStyle w:val="ListBullet"/>
      </w:pPr>
      <w:r/>
      <w:r>
        <w:rPr>
          <w:b/>
        </w:rPr>
        <w:t>Phénytoïne, phénobarbital</w:t>
      </w:r>
      <w:r>
        <w:t xml:space="preserve"> : induction de la dégradation de la thiamine (et des folates).</w:t>
      </w:r>
    </w:p>
    <w:p>
      <w:pPr>
        <w:pStyle w:val="Heading4"/>
      </w:pPr>
      <w:r>
        <w:t>7. Contre-indications et précautions d'emploi</w:t>
      </w:r>
    </w:p>
    <w:p>
      <w:r/>
      <w:r>
        <w:rPr>
          <w:b/>
        </w:rPr>
        <w:t>Contre-indications</w:t>
      </w:r>
      <w:r>
        <w:t xml:space="preserve"> :</w:t>
      </w:r>
    </w:p>
    <w:p>
      <w:pPr>
        <w:pStyle w:val="ListBullet"/>
      </w:pPr>
      <w:r>
        <w:t>Hypersensibilité à la thiamine ou à l'un des excipients.</w:t>
      </w:r>
    </w:p>
    <w:p>
      <w:pPr>
        <w:pStyle w:val="ListBullet"/>
      </w:pPr>
      <w:r>
        <w:t>Voie IV en bolus direct (risque de choc anaphylactique).</w:t>
      </w:r>
    </w:p>
    <w:p>
      <w:r/>
      <w:r>
        <w:rPr>
          <w:b/>
        </w:rPr>
        <w:t>Précautions d'emploi</w:t>
      </w:r>
      <w:r>
        <w:t xml:space="preserve"> :</w:t>
      </w:r>
    </w:p>
    <w:p>
      <w:pPr>
        <w:pStyle w:val="ListBullet"/>
      </w:pPr>
      <w:r>
        <w:t>Insuffisance rénale : pas d'ajustement nécessaire (la thiamine est dialysable — supplémentation systématique chez le dialysé).</w:t>
      </w:r>
    </w:p>
    <w:p>
      <w:pPr>
        <w:pStyle w:val="ListBullet"/>
      </w:pPr>
      <w:r>
        <w:t>Femme enceinte : sécurité d'emploi confirmée (catégorie CRAT : «A utiliser par voie orale aux doses recommandées» ; voie IV à éviter par précaution).</w:t>
      </w:r>
    </w:p>
    <w:p>
      <w:pPr>
        <w:pStyle w:val="ListBullet"/>
      </w:pPr>
      <w:r>
        <w:t>Femme allaitante : compatible, passage dans le lait maternel (apport quotidien recommandé 1,5 mg/jour chez la mère allaitante).</w:t>
      </w:r>
    </w:p>
    <w:p>
      <w:pPr>
        <w:pStyle w:val="ListBullet"/>
      </w:pPr>
      <w:r>
        <w:t>Sujet âgé : pas de précaution particulière (au contraire, surveillance accrue de la carence infra-clinique).</w:t>
      </w:r>
    </w:p>
    <w:p>
      <w:pPr>
        <w:pStyle w:val="ListBullet"/>
      </w:pPr>
      <w:r>
        <w:t>Enfant : doses adaptées au poids (2 mg/kg/jour en entretien, 50 à 100 mg/jour en cure).</w:t>
      </w:r>
    </w:p>
    <w:p>
      <w:pPr>
        <w:pStyle w:val="Heading4"/>
      </w:pPr>
      <w:r>
        <w:t>8. Grossesse et allaitement (données CRAT)</w:t>
      </w:r>
    </w:p>
    <w:p>
      <w:r/>
      <w:r>
        <w:rPr>
          <w:b/>
        </w:rPr>
        <w:t>Grossesse</w:t>
      </w:r>
      <w:r>
        <w:t xml:space="preserve"> : la thiamine est essentielle au développement fœtal. Les besoins augmentent à 1,4 mg/jour au 2e et 3e trimestre (vs 1,1 mg/jour chez la femme non enceinte). La supplémentation prénatale systématique (1 à 1,5 mg/jour) est recommandée par l'OMS en cas de carence alimentaire ou de vomiting gravidarum. La thiamine traverse le placenta par transporteur actif (THTR-1). Le CRAT conclut : « La thiamine peut être prescrite pendant la grossesse aux doses usuelles recommandées, par voie orale. La voie injectable doit être réservée aux carences sévères (encéphalopathie de Wernicke) et administrée en milieu hospitalier. »</w:t>
      </w:r>
    </w:p>
    <w:p>
      <w:r/>
      <w:r>
        <w:rPr>
          <w:b/>
        </w:rPr>
        <w:t>Allaitement</w:t>
      </w:r>
      <w:r>
        <w:t xml:space="preserve"> : la thiamine passe dans le lait maternel (concentration 0,1 à 0,2 mg/L). Les besoins de la mère allaitante sont de 1,5 mg/jour. Une carence maternelle sévère peut provoquer une encéphalopathie de Wernicke chez le nourrisson allaité (cas rapportés). Le CRAT conclut : « La thiamine est compatible avec l'allaitement aux doses usuelles recommandées. »</w:t>
      </w:r>
    </w:p>
    <w:p>
      <w:pPr>
        <w:pStyle w:val="Heading4"/>
      </w:pPr>
      <w:r>
        <w:t>9. Posologie et mode d'administration</w:t>
      </w:r>
    </w:p>
    <w:p>
      <w:r/>
      <w:r>
        <w:rPr>
          <w:b/>
        </w:rPr>
        <w:t>Posologie usuelle adulte</w:t>
      </w:r>
      <w:r>
        <w:t xml:space="preserve"> :</w:t>
      </w:r>
    </w:p>
    <w:p>
      <w:pPr>
        <w:pStyle w:val="ListBullet"/>
      </w:pPr>
      <w:r/>
      <w:r>
        <w:rPr>
          <w:b/>
        </w:rPr>
        <w:t>Carence avérée</w:t>
      </w:r>
      <w:r>
        <w:t xml:space="preserve"> (béribéri, neuropathie carentielle) : 100 mg/jour IM ou IV pendant 7 à 14 jours, puis 100 mg/jour per os pendant 1 à 3 mois.</w:t>
      </w:r>
    </w:p>
    <w:p>
      <w:pPr>
        <w:pStyle w:val="ListBullet"/>
      </w:pPr>
      <w:r/>
      <w:r>
        <w:rPr>
          <w:b/>
        </w:rPr>
        <w:t>Encéphalopathie de Wernicke</w:t>
      </w:r>
      <w:r>
        <w:t xml:space="preserve"> (urgence) : </w:t>
      </w:r>
      <w:r>
        <w:rPr>
          <w:b/>
        </w:rPr>
        <w:t>500 mg IV lente</w:t>
      </w:r>
      <w:r>
        <w:t xml:space="preserve"> (≥ 5 minutes) ou IM, répétés 3 fois par jour pendant 3 à 5 jours, puis 250 mg/jour IV ou IM pendant 3 à 5 jours, puis 100 mg/jour per os.</w:t>
      </w:r>
    </w:p>
    <w:p>
      <w:pPr>
        <w:pStyle w:val="ListBullet"/>
      </w:pPr>
      <w:r/>
      <w:r>
        <w:rPr>
          <w:b/>
        </w:rPr>
        <w:t>Prophylaxie du patient alcoolique hospitalisé</w:t>
      </w:r>
      <w:r>
        <w:t xml:space="preserve"> : 100 mg/jour IM ou IV pendant 3 à 5 jours, puis 100 mg/jour per os.</w:t>
      </w:r>
    </w:p>
    <w:p>
      <w:pPr>
        <w:pStyle w:val="ListBullet"/>
      </w:pPr>
      <w:r/>
      <w:r>
        <w:rPr>
          <w:b/>
        </w:rPr>
        <w:t>Neuropathie diabétique</w:t>
      </w:r>
      <w:r>
        <w:t xml:space="preserve"> : 100 mg/jour per os (en association B1+B6+B12) pendant 1 à 3 mois.</w:t>
      </w:r>
    </w:p>
    <w:p>
      <w:pPr>
        <w:pStyle w:val="ListBullet"/>
      </w:pPr>
      <w:r/>
      <w:r>
        <w:rPr>
          <w:b/>
        </w:rPr>
        <w:t>Supplémentation prophylactique</w:t>
      </w:r>
      <w:r>
        <w:t xml:space="preserve"> : 1 à 1,5 mg/jour per os (femme enceinte, allaitante, sujet âgé) — couvert par l'alimentation.</w:t>
      </w:r>
    </w:p>
    <w:p>
      <w:pPr>
        <w:pStyle w:val="ListBullet"/>
      </w:pPr>
      <w:r/>
      <w:r>
        <w:rPr>
          <w:b/>
        </w:rPr>
        <w:t>Dialysé chronique</w:t>
      </w:r>
      <w:r>
        <w:t xml:space="preserve"> : 100 mg IV en fin de séance de dialyse, 1 à 3 fois par semaine.</w:t>
      </w:r>
    </w:p>
    <w:p>
      <w:r/>
      <w:r>
        <w:rPr>
          <w:b/>
        </w:rPr>
        <w:t>Posologie pédiatrique</w:t>
      </w:r>
      <w:r>
        <w:t xml:space="preserve"> :</w:t>
      </w:r>
    </w:p>
    <w:p>
      <w:pPr>
        <w:pStyle w:val="ListBullet"/>
      </w:pPr>
      <w:r>
        <w:t>Nourrisson et enfant (entretien) : 0,5 à 1 mg/kg/jour per os.</w:t>
      </w:r>
    </w:p>
    <w:p>
      <w:pPr>
        <w:pStyle w:val="ListBullet"/>
      </w:pPr>
      <w:r>
        <w:t>Encéphalopathie de Wernicke pédiatrique : 10 mg/kg IV, répétés si nécessaire.</w:t>
      </w:r>
    </w:p>
    <w:p>
      <w:r/>
      <w:r>
        <w:rPr>
          <w:b/>
        </w:rPr>
        <w:t>Mode d'administration</w:t>
      </w:r>
      <w:r>
        <w:t xml:space="preserve"> :</w:t>
      </w:r>
    </w:p>
    <w:p>
      <w:pPr>
        <w:pStyle w:val="ListBullet"/>
      </w:pPr>
      <w:r/>
      <w:r>
        <w:rPr>
          <w:b/>
        </w:rPr>
        <w:t>Voie orale</w:t>
      </w:r>
      <w:r>
        <w:t xml:space="preserve"> : comprimés à croquer, à avaler avec un verre d'eau, au cours du repas. Espacer des tanins (thé, café) de 2 heures.</w:t>
      </w:r>
    </w:p>
    <w:p>
      <w:pPr>
        <w:pStyle w:val="ListBullet"/>
      </w:pPr>
      <w:r/>
      <w:r>
        <w:rPr>
          <w:b/>
        </w:rPr>
        <w:t>Voie IM</w:t>
      </w:r>
      <w:r>
        <w:t xml:space="preserve"> : injection profonde dans le muscle glutéal ou deltoïdien.</w:t>
      </w:r>
    </w:p>
    <w:p>
      <w:pPr>
        <w:pStyle w:val="ListBullet"/>
      </w:pPr>
      <w:r/>
      <w:r>
        <w:rPr>
          <w:b/>
        </w:rPr>
        <w:t>Voie IV</w:t>
      </w:r>
      <w:r>
        <w:t xml:space="preserve"> : injection lente (≥ 5 minutes pour 100 mg, ≥ 30 minutes pour 500 mg) dans une veine périphérique de gros calibre, diluée dans 50 à 100 mL de sérum physiologique. Surveillance hémodynamique.</w:t>
      </w:r>
    </w:p>
    <w:p>
      <w:pPr>
        <w:pStyle w:val="Heading4"/>
      </w:pPr>
      <w:r>
        <w:t>10. Formes galéniques disponibles</w:t>
      </w:r>
    </w:p>
    <w:p>
      <w:pPr>
        <w:pStyle w:val="ListBullet"/>
      </w:pPr>
      <w:r/>
      <w:r>
        <w:rPr>
          <w:b/>
        </w:rPr>
        <w:t>Comprimés à 250 mg</w:t>
      </w:r>
      <w:r>
        <w:t xml:space="preserve"> (NEUROVIT, VITAZYME, THIAMINE API, NOVAVIT B1) — forme orale usuelle.</w:t>
      </w:r>
    </w:p>
    <w:p>
      <w:pPr>
        <w:pStyle w:val="ListBullet"/>
      </w:pPr>
      <w:r/>
      <w:r>
        <w:rPr>
          <w:b/>
        </w:rPr>
        <w:t>Comprimés pelliculés à 250 mg</w:t>
      </w:r>
      <w:r>
        <w:t xml:space="preserve"> (BIROVIT HUP, BETAPYR) — masquage du goût, meilleure observance.</w:t>
      </w:r>
    </w:p>
    <w:p>
      <w:pPr>
        <w:pStyle w:val="ListBullet"/>
      </w:pPr>
      <w:r/>
      <w:r>
        <w:rPr>
          <w:b/>
        </w:rPr>
        <w:t>Comprimés sécables à 250 mg</w:t>
      </w:r>
      <w:r>
        <w:t xml:space="preserve"> (APIROVIT, NOVAVIT B1) — adaptation posologique (125 mg, 250 mg).</w:t>
      </w:r>
    </w:p>
    <w:p>
      <w:pPr>
        <w:pStyle w:val="ListBullet"/>
      </w:pPr>
      <w:r/>
      <w:r>
        <w:rPr>
          <w:b/>
        </w:rPr>
        <w:t>Comprimés enrobés à 250 mg</w:t>
      </w:r>
      <w:r>
        <w:t xml:space="preserve"> (BENERVA, TROIS B) — forme historique.</w:t>
      </w:r>
    </w:p>
    <w:p>
      <w:pPr>
        <w:pStyle w:val="ListBullet"/>
      </w:pPr>
      <w:r/>
      <w:r>
        <w:rPr>
          <w:b/>
        </w:rPr>
        <w:t>Solutions injectables à 100 mg/2 mL</w:t>
      </w:r>
      <w:r>
        <w:t xml:space="preserve"> (RAZITHIAM B1, THIAMINE CHLORHYDRATE, BEVITINE 5%) — voie IM ou IV lente.</w:t>
      </w:r>
    </w:p>
    <w:p>
      <w:pPr>
        <w:pStyle w:val="ListBullet"/>
      </w:pPr>
      <w:r/>
      <w:r>
        <w:rPr>
          <w:b/>
        </w:rPr>
        <w:t>Solutions injectables à 100 mg/mL</w:t>
      </w:r>
      <w:r>
        <w:t xml:space="preserve"> (INTRAMED, WERAVIT B1, BENERVA, VITAMINE B1 HEMOFARM) — voie IM.</w:t>
      </w:r>
    </w:p>
    <w:p>
      <w:pPr>
        <w:pStyle w:val="ListBullet"/>
      </w:pPr>
      <w:r/>
      <w:r>
        <w:rPr>
          <w:b/>
        </w:rPr>
        <w:t>Associations fixes</w:t>
      </w:r>
      <w:r>
        <w:t xml:space="preserve"> : B1+B6 (APIROVIT, BIROVIT HUP, NOVITAL, VIT B1 B6 BGL, BETAPYR, VIT B1 B6 BEKER) ; B1+B6+B12 (TROIS B, TRI-B, TRI-B-VIT HUP, DQA TRIVIT).</w:t>
      </w:r>
    </w:p>
    <w:p>
      <w:pPr>
        <w:pStyle w:val="Heading4"/>
      </w:pPr>
      <w:r>
        <w:t>11. Conseils au patient au comptoir</w:t>
      </w:r>
    </w:p>
    <w:p>
      <w:pPr>
        <w:pStyle w:val="ListNumber"/>
      </w:pPr>
      <w:r/>
      <w:r>
        <w:rPr>
          <w:b/>
        </w:rPr>
        <w:t>Respect de la prescription</w:t>
      </w:r>
      <w:r>
        <w:t xml:space="preserve"> : la thiamine doit être prise régulièrement, à heure fixe, pendant toute la durée prescrite (1 à 3 mois pour une cure). Ne pas arrêter prématurément en cas d'amélioration rapide.</w:t>
      </w:r>
    </w:p>
    <w:p>
      <w:pPr>
        <w:pStyle w:val="ListNumber"/>
      </w:pPr>
      <w:r/>
      <w:r>
        <w:rPr>
          <w:b/>
        </w:rPr>
        <w:t>Mode de prise</w:t>
      </w:r>
      <w:r>
        <w:t xml:space="preserve"> : les comprimés doivent être avalés avec un grand verre d'eau, de préférence au cours d'un repas (améliore l'absorption et réduit les troubles digestifs).</w:t>
      </w:r>
    </w:p>
    <w:p>
      <w:pPr>
        <w:pStyle w:val="ListNumber"/>
      </w:pPr>
      <w:r/>
      <w:r>
        <w:rPr>
          <w:b/>
        </w:rPr>
        <w:t>Espacement avec les tanins</w:t>
      </w:r>
      <w:r>
        <w:t xml:space="preserve"> : éviter de consommer du thé ou du café dans l'heure qui entoure la prise (diminution de l'absorption).</w:t>
      </w:r>
    </w:p>
    <w:p>
      <w:pPr>
        <w:pStyle w:val="ListNumber"/>
      </w:pPr>
      <w:r/>
      <w:r>
        <w:rPr>
          <w:b/>
        </w:rPr>
        <w:t>Voie injectable</w:t>
      </w:r>
      <w:r>
        <w:t xml:space="preserve"> : pour les injections IM, privilégier la face externe de la cuisse ou la fesse ; masser légèrement après l'injection. Pour la voie IV, l'injection doit être faite en milieu médicalisé.</w:t>
      </w:r>
    </w:p>
    <w:p>
      <w:pPr>
        <w:pStyle w:val="ListNumber"/>
      </w:pPr>
      <w:r/>
      <w:r>
        <w:rPr>
          <w:b/>
        </w:rPr>
        <w:t>Alcool</w:t>
      </w:r>
      <w:r>
        <w:t xml:space="preserve"> : la consommation d'alcool diminue l'efficacité du traitement. Une prise en charge de la dépendance alcoolique est recommandée.</w:t>
      </w:r>
    </w:p>
    <w:p>
      <w:pPr>
        <w:pStyle w:val="ListNumber"/>
      </w:pPr>
      <w:r/>
      <w:r>
        <w:rPr>
          <w:b/>
        </w:rPr>
        <w:t>Signes d'alerte</w:t>
      </w:r>
      <w:r>
        <w:t xml:space="preserve"> : en cas de réaction allergique (éruption, prurit, urticaire, gêne respiratoire) après injection, consulter immédiatement un service d'urgences.</w:t>
      </w:r>
    </w:p>
    <w:p>
      <w:pPr>
        <w:pStyle w:val="ListNumber"/>
      </w:pPr>
      <w:r/>
      <w:r>
        <w:rPr>
          <w:b/>
        </w:rPr>
        <w:t>Régime alimentaire</w:t>
      </w:r>
      <w:r>
        <w:t xml:space="preserve"> : compléter le traitement par une alimentation riche en thiamine (céréales complètes, viande de porc, foie, légumes secs, levure de bière).</w:t>
      </w:r>
    </w:p>
    <w:p>
      <w:pPr>
        <w:pStyle w:val="ListNumber"/>
      </w:pPr>
      <w:r/>
      <w:r>
        <w:rPr>
          <w:b/>
        </w:rPr>
        <w:t>Grossesse et allaitement</w:t>
      </w:r>
      <w:r>
        <w:t xml:space="preserve"> : la thiamine peut être prise aux doses recommandées. Vérifier la couverture des besoins (1,4 mg/jour pendant la grossesse, 1,5 mg/jour pendant l'allaitement).</w:t>
      </w:r>
    </w:p>
    <w:p>
      <w:pPr>
        <w:pStyle w:val="Heading4"/>
      </w:pPr>
      <w:r>
        <w:t>12. Pièges et règles d'or au comptoir</w:t>
      </w:r>
    </w:p>
    <w:p>
      <w:r/>
      <w:r>
        <w:rPr>
          <w:b/>
        </w:rPr>
        <w:t>Règles d'or</w:t>
      </w:r>
      <w:r>
        <w:t xml:space="preserve"> :</w:t>
      </w:r>
    </w:p>
    <w:p>
      <w:pPr>
        <w:pStyle w:val="ListNumber"/>
      </w:pPr>
      <w:r/>
      <w:r>
        <w:rPr>
          <w:b/>
        </w:rPr>
        <w:t>Toujours précéder la perfusion de glucose par de la thiamine IV</w:t>
      </w:r>
      <w:r>
        <w:t xml:space="preserve"> chez le patient alcoolique, dénutri ou hospitalisé en urgence (encéphalopathie de Wernicke).</w:t>
      </w:r>
    </w:p>
    <w:p>
      <w:pPr>
        <w:pStyle w:val="ListNumber"/>
      </w:pPr>
      <w:r/>
      <w:r>
        <w:rPr>
          <w:b/>
        </w:rPr>
        <w:t>Toujours injecter la thiamine par voie IV lente</w:t>
      </w:r>
      <w:r>
        <w:t xml:space="preserve"> (≥ 5 minutes pour 100 mg) en raison du risque de choc anaphylactique.</w:t>
      </w:r>
    </w:p>
    <w:p>
      <w:pPr>
        <w:pStyle w:val="ListNumber"/>
      </w:pPr>
      <w:r/>
      <w:r>
        <w:rPr>
          <w:b/>
        </w:rPr>
        <w:t>Toujours demander un interrogatoire allergologique</w:t>
      </w:r>
      <w:r>
        <w:t xml:space="preserve"> avant la première injection de thiamine.</w:t>
      </w:r>
    </w:p>
    <w:p>
      <w:pPr>
        <w:pStyle w:val="ListNumber"/>
      </w:pPr>
      <w:r/>
      <w:r>
        <w:rPr>
          <w:b/>
        </w:rPr>
        <w:t>Toujours disposer d'un kit de réanimation</w:t>
      </w:r>
      <w:r>
        <w:t xml:space="preserve"> lors de l'administration IV de thiamine.</w:t>
      </w:r>
    </w:p>
    <w:p>
      <w:pPr>
        <w:pStyle w:val="ListNumber"/>
      </w:pPr>
      <w:r/>
      <w:r>
        <w:rPr>
          <w:b/>
        </w:rPr>
        <w:t>Toujours associer une prise en charge de la cause</w:t>
      </w:r>
      <w:r>
        <w:t xml:space="preserve"> (alcoolisme, malabsorption, dialyse) à la supplémentation.</w:t>
      </w:r>
    </w:p>
    <w:p>
      <w:pPr>
        <w:pStyle w:val="ListNumber"/>
      </w:pPr>
      <w:r/>
      <w:r>
        <w:rPr>
          <w:b/>
        </w:rPr>
        <w:t>Toujours vérifier la présence de RAZITHIAM B1 injectable</w:t>
      </w:r>
      <w:r>
        <w:t xml:space="preserve"> dans les services d'urgences algériens.</w:t>
      </w:r>
    </w:p>
    <w:p>
      <w:pPr>
        <w:pStyle w:val="ListNumber"/>
      </w:pPr>
      <w:r/>
      <w:r>
        <w:rPr>
          <w:b/>
        </w:rPr>
        <w:t>Toujours respecter les doses recommandées</w:t>
      </w:r>
      <w:r>
        <w:t xml:space="preserve"> : 100 mg/jour per os en cure ; 500 mg IV en urgence.</w:t>
      </w:r>
    </w:p>
    <w:p>
      <w:pPr>
        <w:pStyle w:val="ListNumber"/>
      </w:pPr>
      <w:r/>
      <w:r>
        <w:rPr>
          <w:b/>
        </w:rPr>
        <w:t>Toujours espacer les prises des tanins</w:t>
      </w:r>
      <w:r>
        <w:t xml:space="preserve"> (thé, café) de 2 heures.</w:t>
      </w:r>
    </w:p>
    <w:p>
      <w:r/>
      <w:r>
        <w:rPr>
          <w:b/>
        </w:rPr>
        <w:t>Pièges</w:t>
      </w:r>
      <w:r>
        <w:t xml:space="preserve"> :</w:t>
      </w:r>
    </w:p>
    <w:p>
      <w:pPr>
        <w:pStyle w:val="ListNumber"/>
      </w:pPr>
      <w:r/>
      <w:r>
        <w:rPr>
          <w:b/>
        </w:rPr>
        <w:t>Patient alcoolique hospitalisé pour syndrome de sevrage</w:t>
      </w:r>
      <w:r>
        <w:t xml:space="preserve"> : ne jamais donner de glucose IV sans thiamine IV préalable — risque d'encéphalopathie de Wernicke iatrogène.</w:t>
      </w:r>
    </w:p>
    <w:p>
      <w:pPr>
        <w:pStyle w:val="ListNumber"/>
      </w:pPr>
      <w:r/>
      <w:r>
        <w:rPr>
          <w:b/>
        </w:rPr>
        <w:t>Patient insuffisant cardiaque sous furosemide au long cours</w:t>
      </w:r>
      <w:r>
        <w:t xml:space="preserve"> : la carence en thiamine est fréquente (10 à 30 % des patients) et peut aggraver la cardiomyopathie. Supplémentation systématique 100 mg/jour.</w:t>
      </w:r>
    </w:p>
    <w:p>
      <w:pPr>
        <w:pStyle w:val="ListNumber"/>
      </w:pPr>
      <w:r/>
      <w:r>
        <w:rPr>
          <w:b/>
        </w:rPr>
        <w:t>Patient dialysé chronique</w:t>
      </w:r>
      <w:r>
        <w:t xml:space="preserve"> : la thiamine est dialysable. Supplémentation systématique 100 mg IV en fin de séance, 1 à 3 fois par semaine.</w:t>
      </w:r>
    </w:p>
    <w:p>
      <w:pPr>
        <w:pStyle w:val="ListNumber"/>
      </w:pPr>
      <w:r/>
      <w:r>
        <w:rPr>
          <w:b/>
        </w:rPr>
        <w:t>Femme enceinte avec hyperemesis gravidarum</w:t>
      </w:r>
      <w:r>
        <w:t xml:space="preserve"> : risque de carence aiguë en thiamine (encéphalopathie de Wernicke de la grossesse) — supplémenter systématiquement 100 mg/jour IV ou per os.</w:t>
      </w:r>
    </w:p>
    <w:p>
      <w:pPr>
        <w:pStyle w:val="ListNumber"/>
      </w:pPr>
      <w:r/>
      <w:r>
        <w:rPr>
          <w:b/>
        </w:rPr>
        <w:t>Confusion avec la vitamine B12</w:t>
      </w:r>
      <w:r>
        <w:t xml:space="preserve"> : la B1 et la B12 sont toutes deux indiquées dans les neuropathies, mais leurs mécanismes sont différents. Vérifier la prescription.</w:t>
      </w:r>
    </w:p>
    <w:p>
      <w:pPr>
        <w:pStyle w:val="ListNumber"/>
      </w:pPr>
      <w:r/>
      <w:r>
        <w:rPr>
          <w:b/>
        </w:rPr>
        <w:t>Voie IM mal administrée</w:t>
      </w:r>
      <w:r>
        <w:t xml:space="preserve"> : injecter profondément (aiguille 40 mm chez l'adulte) dans la face externe supérieure de la fesse pour éviter la lésion du nerf sciatique.</w:t>
      </w:r>
    </w:p>
    <w:p>
      <w:pPr>
        <w:pStyle w:val="Heading3"/>
      </w:pPr>
      <w:r>
        <w:t>162.12.2. Riboflavine (Vitamine B2)</w:t>
      </w:r>
    </w:p>
    <w:p>
      <w:pPr>
        <w:pStyle w:val="Heading4"/>
      </w:pPr>
      <w:r>
        <w:t>1. Catégories thérapeutiques et indications</w:t>
      </w:r>
    </w:p>
    <w:p>
      <w:r>
        <w:t xml:space="preserve">La riboflavine appartient à la catégorie pharmacothérapeutique des </w:t>
      </w:r>
      <w:r>
        <w:rPr>
          <w:b/>
        </w:rPr>
        <w:t>vitamines hydrosolubles du groupe B</w:t>
      </w:r>
      <w:r>
        <w:t xml:space="preserve"> (code ATC : </w:t>
      </w:r>
      <w:r>
        <w:rPr>
          <w:b/>
        </w:rPr>
        <w:t>A11HA04</w:t>
      </w:r>
      <w:r>
        <w:t xml:space="preserve">). Elle est classée parmi les vitamines B2 isolées. Les indications thérapeutiques validées sont les suivantes : (i) </w:t>
      </w:r>
      <w:r>
        <w:rPr>
          <w:b/>
        </w:rPr>
        <w:t>traitement curatif de la carence en riboflavine (ariboflavinose)</w:t>
      </w:r>
      <w:r>
        <w:t xml:space="preserve"> — chéilite angulaire (fissures des commissures labiales), glossite (langue rouge lisse), stomatite aphteuse, dermatite séborrhéique nasolabiale et auriculaire, photophobie, larmoiement, conjonctivite, vascularisation cornéenne (kératite superficielle), anémie normocytaire hypochrome ; (ii) </w:t>
      </w:r>
      <w:r>
        <w:rPr>
          <w:b/>
        </w:rPr>
        <w:t>prophylaxie de la migraine</w:t>
      </w:r>
      <w:r>
        <w:t xml:space="preserve"> à doses pharmacologiques (400 mg/jour) — méta-analyse Cochrane 2014 suggérant une réduction de la fréquence et de la durée des crises de migraine chez l'adulte, en particulier chez les patients porteurs de mutations mitochondriales MELAS ; (iii) </w:t>
      </w:r>
      <w:r>
        <w:rPr>
          <w:b/>
        </w:rPr>
        <w:t>syndromes mitochondriaux</w:t>
      </w:r>
      <w:r>
        <w:t xml:space="preserve"> (CPEO, MELAS, MERRF, NARP, MIDD) — supplémentation en riboflavine + coenzyme Q10 + L-carnitine en raison du rôle de la riboflavine dans la chaîne respiratoire mitochondriale (complexes I et II) ; (iv) </w:t>
      </w:r>
      <w:r>
        <w:rPr>
          <w:b/>
        </w:rPr>
        <w:t>prévention des cataractes</w:t>
      </w:r>
      <w:r>
        <w:t xml:space="preserve"> (rôle antioxydant sur le cristallin, données épidémiologiques suggérant une réduction du risque chez les patients à apport élevé en riboflavine) ; (v) </w:t>
      </w:r>
      <w:r>
        <w:rPr>
          <w:b/>
        </w:rPr>
        <w:t>carence en MTHFR</w:t>
      </w:r>
      <w:r>
        <w:t xml:space="preserve"> (mutation homozygote 677C→T) — supplémentation en riboflavine + folates pour optimiser l'activité résiduelle de l'enzyme (la MTHFR est une flavoprotéine dépendant du FAD) ; (vi) </w:t>
      </w:r>
      <w:r>
        <w:rPr>
          <w:b/>
        </w:rPr>
        <w:t>hyperhomocystéinémie</w:t>
      </w:r>
      <w:r>
        <w:t xml:space="preserve"> (en association avec folates et vitamine B6).</w:t>
      </w:r>
    </w:p>
    <w:p>
      <w:pPr>
        <w:pStyle w:val="Heading4"/>
      </w:pPr>
      <w:r>
        <w:t>2. Spécialités pharmaceutiques commercialisées en Algérie</w:t>
      </w:r>
    </w:p>
    <w:p>
      <w:r>
        <w:t xml:space="preserve">Le tableau ci-dessous présente l'ensemble des spécialités de riboflavine recensées dans la nomenclature algérienne (Avril 2026). À ce jour, </w:t>
      </w:r>
      <w:r>
        <w:rPr>
          <w:b/>
        </w:rPr>
        <w:t>aucune spécialité n'est active</w:t>
      </w:r>
      <w:r>
        <w:t>.</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BEFLAVINE</w:t>
            </w:r>
          </w:p>
        </w:tc>
        <w:tc>
          <w:tcPr>
            <w:tcW w:type="dxa" w:w="1559"/>
          </w:tcPr>
          <w:p>
            <w:r>
              <w:rPr>
                <w:sz w:val="20"/>
              </w:rPr>
              <w:t>ROCHE</w:t>
            </w:r>
          </w:p>
        </w:tc>
        <w:tc>
          <w:tcPr>
            <w:tcW w:type="dxa" w:w="1559"/>
          </w:tcPr>
          <w:p>
            <w:r>
              <w:rPr>
                <w:sz w:val="20"/>
              </w:rPr>
              <w:t>Comprimé enrobé, 10 mg</w:t>
            </w:r>
          </w:p>
        </w:tc>
        <w:tc>
          <w:tcPr>
            <w:tcW w:type="dxa" w:w="1559"/>
          </w:tcPr>
          <w:p>
            <w:r>
              <w:rPr>
                <w:sz w:val="20"/>
              </w:rPr>
              <w:t>B/20</w:t>
            </w:r>
          </w:p>
        </w:tc>
        <w:tc>
          <w:tcPr>
            <w:tcW w:type="dxa" w:w="1559"/>
          </w:tcPr>
          <w:p>
            <w:r>
              <w:rPr>
                <w:sz w:val="20"/>
              </w:rPr>
              <w:t>Hors liste</w:t>
            </w:r>
          </w:p>
        </w:tc>
        <w:tc>
          <w:tcPr>
            <w:tcW w:type="dxa" w:w="1559"/>
          </w:tcPr>
          <w:p>
            <w:r>
              <w:rPr>
                <w:sz w:val="20"/>
              </w:rPr>
              <w:t>RETRAIT</w:t>
            </w:r>
          </w:p>
        </w:tc>
      </w:tr>
    </w:tbl>
    <w:p/>
    <w:p>
      <w:r>
        <w:t>L'absence de spécialité active de riboflavine en Algérie pose un problème pratique majeur pour la prise en charge des carences avérées et des syndromes mitochondriaux. Les patients algériens nécessitant une supplémentation spécifique en B2 doivent recourir à : (i) des préparations magistrales (poudre de riboflavine USP, dosée à 5 ou 10 mg par gélule) ; (ii) l'importation de spécialités étrangères (Riboflavine Merck, Vitamin B2 Solgar) ; (iii) des compléments alimentaires non réglementés (efficacité et sécurité non garanties). La riboflavine est néanmoins présente comme composant des complexes multivitaminiques (MEGADYN — chapitre 164) et comme colorant alimentaire naturel (E101). Cette situation est un enjeu de santé publique pour la prise en charge des syndromes mitochondriaux et des migraines réfractaires.</w:t>
      </w:r>
    </w:p>
    <w:p>
      <w:pPr>
        <w:pStyle w:val="Heading4"/>
      </w:pPr>
      <w:r>
        <w:t>3. Mécanisme d'action moléculaire détaillé</w:t>
      </w:r>
    </w:p>
    <w:p>
      <w:r>
        <w:t xml:space="preserve">La riboflavine est convertie en </w:t>
      </w:r>
      <w:r>
        <w:rPr>
          <w:b/>
        </w:rPr>
        <w:t>flavine mononucléotide (FMN)</w:t>
      </w:r>
      <w:r>
        <w:t xml:space="preserve"> par la riboflavine kinase (ATP : riboflavine 5'-phosphotransférase), puis en </w:t>
      </w:r>
      <w:r>
        <w:rPr>
          <w:b/>
        </w:rPr>
        <w:t>flavine adénine dinucléotide (FAD)</w:t>
      </w:r>
      <w:r>
        <w:t xml:space="preserve"> par l'FAD pyrophosphorylase (ATP : FMN adénylyltransférase), dans le cytosol. Le FMN et le FAD sont les cofacteurs prosthetiques (liés de façon covalente ou non-covalente) d'environ 150 flavoprotéines humaines, dont les principales sont :</w:t>
      </w:r>
    </w:p>
    <w:p>
      <w:pPr>
        <w:pStyle w:val="ListNumber"/>
      </w:pPr>
      <w:r/>
      <w:r>
        <w:rPr>
          <w:b/>
        </w:rPr>
        <w:t>Glutathion réductase</w:t>
      </w:r>
      <w:r>
        <w:t xml:space="preserve"> — régénération du glutathion réduit (GSH) à partir du glutathion oxydé (GSSG) en utilisant le NADPH comme donneur d'électrons. C'est une enzyme critique de la défense antioxydante, et sa mesure dans les érythrocytes est un marqueur biologique de la carence en riboflavine (activité coefficient d'activation par le FAD).</w:t>
      </w:r>
    </w:p>
    <w:p>
      <w:pPr>
        <w:pStyle w:val="ListNumber"/>
      </w:pPr>
      <w:r/>
      <w:r>
        <w:rPr>
          <w:b/>
        </w:rPr>
        <w:t>Succinate déshydrogénase</w:t>
      </w:r>
      <w:r>
        <w:t xml:space="preserve"> (complexe II de la chaîne respiratoire mitochondriale) — oxydation du succinate en fumarate dans le cycle de Krebs, avec transfert direct des électrons à l'ubiquinone (coenzyme Q10).</w:t>
      </w:r>
    </w:p>
    <w:p>
      <w:pPr>
        <w:pStyle w:val="ListNumber"/>
      </w:pPr>
      <w:r/>
      <w:r>
        <w:rPr>
          <w:b/>
        </w:rPr>
        <w:t>NADH déshydrogénase</w:t>
      </w:r>
      <w:r>
        <w:t xml:space="preserve"> (complexe I de la chaîne respiratoire mitochondriale) — transfert des électrons du NADH à l'ubiquinone.</w:t>
      </w:r>
    </w:p>
    <w:p>
      <w:pPr>
        <w:pStyle w:val="ListNumber"/>
      </w:pPr>
      <w:r/>
      <w:r>
        <w:rPr>
          <w:b/>
        </w:rPr>
        <w:t>Acyl-CoA déshydrogénases</w:t>
      </w:r>
      <w:r>
        <w:t xml:space="preserve"> (ACAD — VLCAD, LCAD, MCAD, SCAD) — β-oxydation des acides gras à chaîne très longue, longue, moyenne et courte.</w:t>
      </w:r>
    </w:p>
    <w:p>
      <w:pPr>
        <w:pStyle w:val="ListNumber"/>
      </w:pPr>
      <w:r/>
      <w:r>
        <w:rPr>
          <w:b/>
        </w:rPr>
        <w:t>Xanthine oxydase</w:t>
      </w:r>
      <w:r>
        <w:t xml:space="preserve"> — catabolisme des purines en acide urique.</w:t>
      </w:r>
    </w:p>
    <w:p>
      <w:pPr>
        <w:pStyle w:val="ListNumber"/>
      </w:pPr>
      <w:r/>
      <w:r>
        <w:rPr>
          <w:b/>
        </w:rPr>
        <w:t>Monoamine oxydase (MAO-A et MAO-B)</w:t>
      </w:r>
      <w:r>
        <w:t xml:space="preserve"> — catabolisme des monoamines neurotransmetteurs (sérotonine, noradrénaline, dopamine) — cible des IMAO.</w:t>
      </w:r>
    </w:p>
    <w:p>
      <w:pPr>
        <w:pStyle w:val="ListNumber"/>
      </w:pPr>
      <w:r/>
      <w:r>
        <w:rPr>
          <w:b/>
        </w:rPr>
        <w:t>Pyridoxine phosphate oxydase</w:t>
      </w:r>
      <w:r>
        <w:t xml:space="preserve"> — conversion du pyridoxine-5'-phosphate (PNP) en pyridoxal-5'-phosphate (PLP), forme active de la vitamine B6. Cette interdépendance explique que la carence en riboflavine induit une carence fonctionnelle en B6.</w:t>
      </w:r>
    </w:p>
    <w:p>
      <w:pPr>
        <w:pStyle w:val="ListNumber"/>
      </w:pPr>
      <w:r/>
      <w:r>
        <w:rPr>
          <w:b/>
        </w:rPr>
        <w:t>Méthionine synthase réductase</w:t>
      </w:r>
      <w:r>
        <w:t xml:space="preserve"> — régénération de la forme active de la méthionine synthase (qui utilise la B12 comme cofacteur) — interdépendance B2-B12-B9.</w:t>
      </w:r>
    </w:p>
    <w:p>
      <w:pPr>
        <w:pStyle w:val="ListNumber"/>
      </w:pPr>
      <w:r/>
      <w:r>
        <w:rPr>
          <w:b/>
        </w:rPr>
        <w:t>MTHFR (méthylènetétrahydrofolate réductase)</w:t>
      </w:r>
      <w:r>
        <w:t xml:space="preserve"> — conversion du 5,10-méthylène-THF en 5-méthyl-THF, qui sera utilisé par la méthionine synthase. La MTHFR est une flavoprotéine, et la mutation 677C→T produit une enzyme thermolabile dont l'activité résiduelle peut être restaurée par la riboflavine à doses pharmacologiques.</w:t>
      </w:r>
    </w:p>
    <w:p>
      <w:pPr>
        <w:pStyle w:val="ListNumber"/>
      </w:pPr>
      <w:r/>
      <w:r>
        <w:rPr>
          <w:b/>
        </w:rPr>
        <w:t>Glutathion peroxydase</w:t>
      </w:r>
      <w:r>
        <w:t xml:space="preserve"> (via le glutathion réduit régénéré par la glutathion réductase).</w:t>
      </w:r>
    </w:p>
    <w:p>
      <w:r>
        <w:t>Le mécanisme chimique commun à ces flavoprotéines repose sur la capacité du noyau isoalloxazine à accepter un ou deux électrons (et un ou deux protons), passant de la forme oxydée (quinone) à la forme semi-réduite (semiquinone radicalaire) puis à la forme réduite (hydroquinone). Ce transfert d'électrons est réversible, ce qui permet aux flavoprotéines de servir d'intermédiaires dans les chaînes de transport d'électrons.</w:t>
      </w:r>
    </w:p>
    <w:p>
      <w:pPr>
        <w:pStyle w:val="Heading4"/>
      </w:pPr>
      <w:r>
        <w:t>4. Pharmacocinétique</w:t>
      </w:r>
    </w:p>
    <w:p>
      <w:r/>
      <w:r>
        <w:rPr>
          <w:b/>
        </w:rPr>
        <w:t>Absorption</w:t>
      </w:r>
      <w:r>
        <w:t xml:space="preserve"> : la riboflavine est absorbée au niveau de la partie proximale de l'intestin grêle (duodénum et jéjunum proximal) par transporteur saturable dépendant du </w:t>
      </w:r>
      <w:r>
        <w:rPr>
          <w:b/>
        </w:rPr>
        <w:t>RFVT-3 (SLC20A3)</w:t>
      </w:r>
      <w:r>
        <w:t xml:space="preserve"> et </w:t>
      </w:r>
      <w:r>
        <w:rPr>
          <w:b/>
        </w:rPr>
        <w:t>RFVT-1 (SLC52A1), RFVT-2 (SLC52A2)</w:t>
      </w:r>
      <w:r>
        <w:t>. La biodisponibilité est de 60 à 95 % aux doses nutritionnelles (≤ 30 mg/jour), et saturable à doses pharmacologiques. La présence d'aliments améliore l'absorption (rôle de la bile sur la solubilisation).</w:t>
      </w:r>
    </w:p>
    <w:p>
      <w:r/>
      <w:r>
        <w:rPr>
          <w:b/>
        </w:rPr>
        <w:t>Distribution</w:t>
      </w:r>
      <w:r>
        <w:t xml:space="preserve"> : la riboflavine est distribuée dans tous les tissus, avec une concentration plus élevée dans le foie, les reins, le cœur et les muscles squelettiques. Le pool corporel total est faible (environ 1 à 3 g), principalement sous forme de FAD (70-90 %) et FMN (10-30 %). La riboflavine libre est minoritaire (&lt; 5 %). La demi-vie plasmatique est d'environ 1 à 2 heures. La riboflavine traverse le placenta par transporteur actif et passe dans le lait maternel.</w:t>
      </w:r>
    </w:p>
    <w:p>
      <w:r/>
      <w:r>
        <w:rPr>
          <w:b/>
        </w:rPr>
        <w:t>Métabolisme</w:t>
      </w:r>
      <w:r>
        <w:t xml:space="preserve"> : la riboflavine est peu métabolisée, principalement dégradée en 7-α-hydroxyriboflavine et 8-α-hydroxyriboflavine (cytochrome P450 hépatique). Une partie est convertie en lumiflavine (photolyse lumineuse).</w:t>
      </w:r>
    </w:p>
    <w:p>
      <w:r/>
      <w:r>
        <w:rPr>
          <w:b/>
        </w:rPr>
        <w:t>Élimination</w:t>
      </w:r>
      <w:r>
        <w:t xml:space="preserve"> : principalement urinaire (≥ 60-90 %), sous forme libre (riboflavine) et de métabolites. L'élimination est filtrée et sécrétée tubulairement. La riboflavine non absorbée est dégradée par la flore colique. La coloration jaune-fluorescente des urines après prise de riboflavine est un signe d'imprégnation (et de bon métabolisme).</w:t>
      </w:r>
    </w:p>
    <w:p>
      <w:pPr>
        <w:pStyle w:val="Heading4"/>
      </w:pPr>
      <w:r>
        <w:t>5. Effets indésirables et prévention</w:t>
      </w:r>
    </w:p>
    <w:p>
      <w:r/>
      <w:r>
        <w:rPr>
          <w:b/>
        </w:rPr>
        <w:t>Effets indésirables aux doses thérapeutiques orales</w:t>
      </w:r>
      <w:r>
        <w:t xml:space="preserve"> (≤ 50 mg/jour) :</w:t>
      </w:r>
    </w:p>
    <w:p>
      <w:pPr>
        <w:pStyle w:val="ListBullet"/>
      </w:pPr>
      <w:r/>
      <w:r>
        <w:rPr>
          <w:b/>
        </w:rPr>
        <w:t>Coloration jaune-fluorescente des urines</w:t>
      </w:r>
      <w:r>
        <w:t xml:space="preserve"> : fréquente, bénigne, sans gravité. Information à donner au patient.</w:t>
      </w:r>
    </w:p>
    <w:p>
      <w:pPr>
        <w:pStyle w:val="ListBullet"/>
      </w:pPr>
      <w:r/>
      <w:r>
        <w:rPr>
          <w:b/>
        </w:rPr>
        <w:t>Digestifs</w:t>
      </w:r>
      <w:r>
        <w:t xml:space="preserve"> : nausées, diarrhée (rares et bénignes). Prévention : prendre au cours du repas.</w:t>
      </w:r>
    </w:p>
    <w:p>
      <w:r/>
      <w:r>
        <w:rPr>
          <w:b/>
        </w:rPr>
        <w:t>Effets indésirables aux doses pharmacologiques orales</w:t>
      </w:r>
      <w:r>
        <w:t xml:space="preserve"> (≥ 100 mg/jour) :</w:t>
      </w:r>
    </w:p>
    <w:p>
      <w:pPr>
        <w:pStyle w:val="ListBullet"/>
      </w:pPr>
      <w:r/>
      <w:r>
        <w:rPr>
          <w:b/>
        </w:rPr>
        <w:t>Phototoxicité</w:t>
      </w:r>
      <w:r>
        <w:t xml:space="preserve"> : la riboflavine est photosensible (absorption à 445 nm) et peut générer des radicaux libres en présence de lumière intense (rayonnement UV/visible). Risque théorique de phototoxicité cutanée à doses élevées — éviter l'exposition solaire intense.</w:t>
      </w:r>
    </w:p>
    <w:p>
      <w:pPr>
        <w:pStyle w:val="ListBullet"/>
      </w:pPr>
      <w:r/>
      <w:r>
        <w:rPr>
          <w:b/>
        </w:rPr>
        <w:t>Allergiques</w:t>
      </w:r>
      <w:r>
        <w:t xml:space="preserve"> : réactions cutanées très rares.</w:t>
      </w:r>
    </w:p>
    <w:p>
      <w:r/>
      <w:r>
        <w:rPr>
          <w:b/>
        </w:rPr>
        <w:t>Effets indésirables de la voie injectable</w:t>
      </w:r>
      <w:r>
        <w:t xml:space="preserve"> (non disponible en Algérie) :</w:t>
      </w:r>
    </w:p>
    <w:p>
      <w:pPr>
        <w:pStyle w:val="ListBullet"/>
      </w:pPr>
      <w:r/>
      <w:r>
        <w:rPr>
          <w:b/>
        </w:rPr>
        <w:t>Réactions allergiques</w:t>
      </w:r>
      <w:r>
        <w:t xml:space="preserve"> : rares.</w:t>
      </w:r>
    </w:p>
    <w:p>
      <w:r/>
      <w:r>
        <w:rPr>
          <w:b/>
        </w:rPr>
        <w:t>Prévention générale des effets indésirables</w:t>
      </w:r>
      <w:r>
        <w:t xml:space="preserve"> :</w:t>
      </w:r>
    </w:p>
    <w:p>
      <w:pPr>
        <w:pStyle w:val="ListNumber"/>
      </w:pPr>
      <w:r>
        <w:t>Informer le patient de la coloration jaune des urines (sans gravité).</w:t>
      </w:r>
    </w:p>
    <w:p>
      <w:pPr>
        <w:pStyle w:val="ListNumber"/>
      </w:pPr>
      <w:r>
        <w:t>Éviter l'exposition solaire intense à doses pharmacologiques (protection solaire).</w:t>
      </w:r>
    </w:p>
    <w:p>
      <w:pPr>
        <w:pStyle w:val="ListNumber"/>
      </w:pPr>
      <w:r>
        <w:t>Prendre au cours du repas pour réduire les troubles digestifs.</w:t>
      </w:r>
    </w:p>
    <w:p>
      <w:pPr>
        <w:pStyle w:val="ListNumber"/>
      </w:pPr>
      <w:r>
        <w:t>Ne pas dépasser 400 mg/jour (dose maximale recommandée dans la migraine).</w:t>
      </w:r>
    </w:p>
    <w:p>
      <w:pPr>
        <w:pStyle w:val="Heading4"/>
      </w:pPr>
      <w:r>
        <w:t>6. Interactions médicamenteuses</w:t>
      </w:r>
    </w:p>
    <w:p>
      <w:pPr>
        <w:pStyle w:val="ListBullet"/>
      </w:pPr>
      <w:r/>
      <w:r>
        <w:rPr>
          <w:b/>
        </w:rPr>
        <w:t>Antipsychotiques phénothiaziniques (chlorpromazine)</w:t>
      </w:r>
      <w:r>
        <w:t xml:space="preserve"> : antagonisme compétitif au niveau de la riboflavine kinase (la chlorpromazine inhibe la conversion de la riboflavine en FMN). Risque de carence en riboflavine chez les patients traités au long cours.</w:t>
      </w:r>
    </w:p>
    <w:p>
      <w:pPr>
        <w:pStyle w:val="ListBullet"/>
      </w:pPr>
      <w:r/>
      <w:r>
        <w:rPr>
          <w:b/>
        </w:rPr>
        <w:t>Antidépresseurs tricycliques (imipramine, amitriptyline)</w:t>
      </w:r>
      <w:r>
        <w:t xml:space="preserve"> : inhibition de la conversion riboflavine → FMN.</w:t>
      </w:r>
    </w:p>
    <w:p>
      <w:pPr>
        <w:pStyle w:val="ListBullet"/>
      </w:pPr>
      <w:r/>
      <w:r>
        <w:rPr>
          <w:b/>
        </w:rPr>
        <w:t>Inhibiteurs de la MAO</w:t>
      </w:r>
      <w:r>
        <w:t xml:space="preserve"> : interférence avec les flavoprotéines.</w:t>
      </w:r>
    </w:p>
    <w:p>
      <w:pPr>
        <w:pStyle w:val="ListBullet"/>
      </w:pPr>
      <w:r/>
      <w:r>
        <w:rPr>
          <w:b/>
        </w:rPr>
        <w:t>Probénécide</w:t>
      </w:r>
      <w:r>
        <w:t xml:space="preserve"> : inhibition de la réabsorption tubulaire de la riboflavine → augmentation de l'excrétion urinaire → carence induite.</w:t>
      </w:r>
    </w:p>
    <w:p>
      <w:pPr>
        <w:pStyle w:val="ListBullet"/>
      </w:pPr>
      <w:r/>
      <w:r>
        <w:rPr>
          <w:b/>
        </w:rPr>
        <w:t>Alcool</w:t>
      </w:r>
      <w:r>
        <w:t xml:space="preserve"> : diminution de l'absorption et augmentation de l'excrétion → carence fréquente chez l'alcoolique.</w:t>
      </w:r>
    </w:p>
    <w:p>
      <w:pPr>
        <w:pStyle w:val="ListBullet"/>
      </w:pPr>
      <w:r/>
      <w:r>
        <w:rPr>
          <w:b/>
        </w:rPr>
        <w:t>Méthotrexate</w:t>
      </w:r>
      <w:r>
        <w:t xml:space="preserve"> (antifolate) : inhibition compétitive de l'absorption de la riboflavine (compétition pour le transporteur).</w:t>
      </w:r>
    </w:p>
    <w:p>
      <w:pPr>
        <w:pStyle w:val="ListBullet"/>
      </w:pPr>
      <w:r/>
      <w:r>
        <w:rPr>
          <w:b/>
        </w:rPr>
        <w:t>Contraceptifs oraux estroprogestatifs</w:t>
      </w:r>
      <w:r>
        <w:t xml:space="preserve"> : diminution de l'absorption de la riboflavine — supplémentation recommandée.</w:t>
      </w:r>
    </w:p>
    <w:p>
      <w:pPr>
        <w:pStyle w:val="ListBullet"/>
      </w:pPr>
      <w:r/>
      <w:r>
        <w:rPr>
          <w:b/>
        </w:rPr>
        <w:t>Zinc</w:t>
      </w:r>
      <w:r>
        <w:t xml:space="preserve"> à doses élevées : diminution de l'absorption de la riboflavine (chélation).</w:t>
      </w:r>
    </w:p>
    <w:p>
      <w:pPr>
        <w:pStyle w:val="ListBullet"/>
      </w:pPr>
      <w:r/>
      <w:r>
        <w:rPr>
          <w:b/>
        </w:rPr>
        <w:t>L-thyroxine</w:t>
      </w:r>
      <w:r>
        <w:t xml:space="preserve"> : augmentation du turnover de la riboflavine.</w:t>
      </w:r>
    </w:p>
    <w:p>
      <w:pPr>
        <w:pStyle w:val="ListBullet"/>
      </w:pPr>
      <w:r/>
      <w:r>
        <w:rPr>
          <w:b/>
        </w:rPr>
        <w:t>Photosensibilisants (tétracyclines, fluoroquinolones, psoralènes)</w:t>
      </w:r>
      <w:r>
        <w:t xml:space="preserve"> : potentialisation de la phototoxicité (à doses pharmacologiques de riboflavine).</w:t>
      </w:r>
    </w:p>
    <w:p>
      <w:pPr>
        <w:pStyle w:val="Heading4"/>
      </w:pPr>
      <w:r>
        <w:t>7. Contre-indications et précautions d'emploi</w:t>
      </w:r>
    </w:p>
    <w:p>
      <w:r/>
      <w:r>
        <w:rPr>
          <w:b/>
        </w:rPr>
        <w:t>Contre-indications</w:t>
      </w:r>
      <w:r>
        <w:t xml:space="preserve"> :</w:t>
      </w:r>
    </w:p>
    <w:p>
      <w:pPr>
        <w:pStyle w:val="ListBullet"/>
      </w:pPr>
      <w:r>
        <w:t>Hypersensibilité à la riboflavine ou à l'un des excipients.</w:t>
      </w:r>
    </w:p>
    <w:p>
      <w:pPr>
        <w:pStyle w:val="ListBullet"/>
      </w:pPr>
      <w:r>
        <w:t>Pathologies avec phototoxicité préexistante (lupus érythémateux, porphyries) — à doses pharmacologiques.</w:t>
      </w:r>
    </w:p>
    <w:p>
      <w:r/>
      <w:r>
        <w:rPr>
          <w:b/>
        </w:rPr>
        <w:t>Précautions d'emploi</w:t>
      </w:r>
      <w:r>
        <w:t xml:space="preserve"> :</w:t>
      </w:r>
    </w:p>
    <w:p>
      <w:pPr>
        <w:pStyle w:val="ListBullet"/>
      </w:pPr>
      <w:r>
        <w:t>Insuffisance rénale : pas d'ajustement nécessaire.</w:t>
      </w:r>
    </w:p>
    <w:p>
      <w:pPr>
        <w:pStyle w:val="ListBullet"/>
      </w:pPr>
      <w:r>
        <w:t>Femme enceinte : sécurité d'emploi confirmée (catégorie CRAT : « Peut être utilisée pendant la grossesse aux doses recommandées »).</w:t>
      </w:r>
    </w:p>
    <w:p>
      <w:pPr>
        <w:pStyle w:val="ListBullet"/>
      </w:pPr>
      <w:r>
        <w:t>Femme allaitante : compatible, passage dans le lait maternel (apport quotidien recommandé 1,6 mg/jour chez la mère allaitante).</w:t>
      </w:r>
    </w:p>
    <w:p>
      <w:pPr>
        <w:pStyle w:val="ListBullet"/>
      </w:pPr>
      <w:r>
        <w:t>Sujet âgé : pas de précaution particulière (au contraire, surveillance de la carence infra-clinique).</w:t>
      </w:r>
    </w:p>
    <w:p>
      <w:pPr>
        <w:pStyle w:val="ListBullet"/>
      </w:pPr>
      <w:r>
        <w:t>Enfant : doses adaptées au poids (0,5 à 1 mg/jour en entretien).</w:t>
      </w:r>
    </w:p>
    <w:p>
      <w:pPr>
        <w:pStyle w:val="Heading4"/>
      </w:pPr>
      <w:r>
        <w:t>8. Grossesse et allaitement (données CRAT)</w:t>
      </w:r>
    </w:p>
    <w:p>
      <w:r/>
      <w:r>
        <w:rPr>
          <w:b/>
        </w:rPr>
        <w:t>Grossesse</w:t>
      </w:r>
      <w:r>
        <w:t xml:space="preserve"> : la riboflavine est essentielle au développement fœtal. Les besoins augmentent à 1,4 mg/jour au 2e et 3e trimestre (vs 1,1 mg/jour chez la femme non enceinte). La supplémentation prénatale systématique (1 à 1,5 mg/jour) est recommandée par l'OMS, en particulier en cas de vomiting gravidarum (les vomissements diminuent l'apport alimentaire et l'absorption). La riboflavine traverse le placenta par transporteur actif (RFVT). Le CRAT conclut : « La riboflavine peut être prescrite pendant la grossesse aux doses usuelles recommandées. Les doses pharmacologiques (400 mg/jour dans la migraine) sont à évaluer au cas par cas en l'absence de données de tolérance spécifiques. »</w:t>
      </w:r>
    </w:p>
    <w:p>
      <w:r/>
      <w:r>
        <w:rPr>
          <w:b/>
        </w:rPr>
        <w:t>Allaitement</w:t>
      </w:r>
      <w:r>
        <w:t xml:space="preserve"> : la riboflavine passe dans le lait maternel (concentration 0,2 à 0,4 mg/L). Les besoins de la mère allaitante sont de 1,6 mg/jour. Le CRAT conclut : « La riboflavine est compatible avec l'allaitement aux doses usuelles recommandées. »</w:t>
      </w:r>
    </w:p>
    <w:p>
      <w:pPr>
        <w:pStyle w:val="Heading4"/>
      </w:pPr>
      <w:r>
        <w:t>9. Posologie et mode d'administration</w:t>
      </w:r>
    </w:p>
    <w:p>
      <w:r/>
      <w:r>
        <w:rPr>
          <w:b/>
        </w:rPr>
        <w:t>Posologie usuelle adulte</w:t>
      </w:r>
      <w:r>
        <w:t xml:space="preserve"> :</w:t>
      </w:r>
    </w:p>
    <w:p>
      <w:pPr>
        <w:pStyle w:val="ListBullet"/>
      </w:pPr>
      <w:r/>
      <w:r>
        <w:rPr>
          <w:b/>
        </w:rPr>
        <w:t>Carence avérée</w:t>
      </w:r>
      <w:r>
        <w:t xml:space="preserve"> (ariboflavinose) : 5 à 10 mg/jour per os pendant 1 à 3 mois.</w:t>
      </w:r>
    </w:p>
    <w:p>
      <w:pPr>
        <w:pStyle w:val="ListBullet"/>
      </w:pPr>
      <w:r/>
      <w:r>
        <w:rPr>
          <w:b/>
        </w:rPr>
        <w:t>Prophylaxie migraine</w:t>
      </w:r>
      <w:r>
        <w:t xml:space="preserve"> : </w:t>
      </w:r>
      <w:r>
        <w:rPr>
          <w:b/>
        </w:rPr>
        <w:t>400 mg/jour</w:t>
      </w:r>
      <w:r>
        <w:t xml:space="preserve"> per os en une prise, pendant 3 mois minimum (effet préventif maximal à 3-6 mois).</w:t>
      </w:r>
    </w:p>
    <w:p>
      <w:pPr>
        <w:pStyle w:val="ListBullet"/>
      </w:pPr>
      <w:r/>
      <w:r>
        <w:rPr>
          <w:b/>
        </w:rPr>
        <w:t>Syndrome mitochondrial</w:t>
      </w:r>
      <w:r>
        <w:t xml:space="preserve"> : 100 à 400 mg/jour per os en association avec coenzyme Q10 (200 à 600 mg/jour) et L-carnitine (1 à 3 g/jour).</w:t>
      </w:r>
    </w:p>
    <w:p>
      <w:pPr>
        <w:pStyle w:val="ListBullet"/>
      </w:pPr>
      <w:r/>
      <w:r>
        <w:rPr>
          <w:b/>
        </w:rPr>
        <w:t>Hyperhomocystéinémie</w:t>
      </w:r>
      <w:r>
        <w:t xml:space="preserve"> : 10 mg/jour en association avec folates (5 mg/jour) et B6 (50 mg/jour) et B12 (1 mg/jour).</w:t>
      </w:r>
    </w:p>
    <w:p>
      <w:pPr>
        <w:pStyle w:val="ListBullet"/>
      </w:pPr>
      <w:r/>
      <w:r>
        <w:rPr>
          <w:b/>
        </w:rPr>
        <w:t>Supplémentation prophylactique</w:t>
      </w:r>
      <w:r>
        <w:t xml:space="preserve"> : 1,1 à 1,3 mg/jour per os (femme enceinte, allaitante, sujet âgé) — couvert par l'alimentation.</w:t>
      </w:r>
    </w:p>
    <w:p>
      <w:r/>
      <w:r>
        <w:rPr>
          <w:b/>
        </w:rPr>
        <w:t>Posologie pédiatrique</w:t>
      </w:r>
      <w:r>
        <w:t xml:space="preserve"> :</w:t>
      </w:r>
    </w:p>
    <w:p>
      <w:pPr>
        <w:pStyle w:val="ListBullet"/>
      </w:pPr>
      <w:r>
        <w:t>Nourrisson et enfant (entretien) : 0,5 à 1 mg/jour per os.</w:t>
      </w:r>
    </w:p>
    <w:p>
      <w:pPr>
        <w:pStyle w:val="ListBullet"/>
      </w:pPr>
      <w:r>
        <w:t>Syndrome mitochondrial pédiatrique : 50 à 200 mg/jour per os.</w:t>
      </w:r>
    </w:p>
    <w:p>
      <w:r/>
      <w:r>
        <w:rPr>
          <w:b/>
        </w:rPr>
        <w:t>Mode d'administration</w:t>
      </w:r>
      <w:r>
        <w:t xml:space="preserve"> :</w:t>
      </w:r>
    </w:p>
    <w:p>
      <w:pPr>
        <w:pStyle w:val="ListBullet"/>
      </w:pPr>
      <w:r/>
      <w:r>
        <w:rPr>
          <w:b/>
        </w:rPr>
        <w:t>Voie orale</w:t>
      </w:r>
      <w:r>
        <w:t xml:space="preserve"> : comprimés à avaler avec un verre d'eau, de préférence au cours du repas. La riboflavine n'est pas disponible en spécialité active en Algérie — préparation magistrale ou importation.</w:t>
      </w:r>
    </w:p>
    <w:p>
      <w:pPr>
        <w:pStyle w:val="Heading4"/>
      </w:pPr>
      <w:r>
        <w:t>10. Formes galéniques disponibles</w:t>
      </w:r>
    </w:p>
    <w:p>
      <w:pPr>
        <w:pStyle w:val="ListBullet"/>
      </w:pPr>
      <w:r/>
      <w:r>
        <w:rPr>
          <w:b/>
        </w:rPr>
        <w:t>Comprimés enrobés à 10 mg</w:t>
      </w:r>
      <w:r>
        <w:t xml:space="preserve"> (BEFLAVINE — RETIRÉE du marché algérien).</w:t>
      </w:r>
    </w:p>
    <w:p>
      <w:pPr>
        <w:pStyle w:val="ListBullet"/>
      </w:pPr>
      <w:r/>
      <w:r>
        <w:rPr>
          <w:b/>
        </w:rPr>
        <w:t>Préparations magistrales</w:t>
      </w:r>
      <w:r>
        <w:t xml:space="preserve"> : poudre de riboflavine USP dosée à 5 ou 10 mg par gélule.</w:t>
      </w:r>
    </w:p>
    <w:p>
      <w:pPr>
        <w:pStyle w:val="ListBullet"/>
      </w:pPr>
      <w:r/>
      <w:r>
        <w:rPr>
          <w:b/>
        </w:rPr>
        <w:t>Compléments alimentaires</w:t>
      </w:r>
      <w:r>
        <w:t xml:space="preserve"> : complexes multivitaminiques (MEGADYN) contenant 1,4 mg de riboflavine par comprimé.</w:t>
      </w:r>
    </w:p>
    <w:p>
      <w:pPr>
        <w:pStyle w:val="Heading4"/>
      </w:pPr>
      <w:r>
        <w:t>11. Conseils au patient au comptoir</w:t>
      </w:r>
    </w:p>
    <w:p>
      <w:pPr>
        <w:pStyle w:val="ListNumber"/>
      </w:pPr>
      <w:r/>
      <w:r>
        <w:rPr>
          <w:b/>
        </w:rPr>
        <w:t>Coloration des urines</w:t>
      </w:r>
      <w:r>
        <w:t xml:space="preserve"> : la riboflavine colore les urines en jaune-fluorescent. Cette coloration est normale et sans gravité — informer le patient pour éviter toute inquiétude.</w:t>
      </w:r>
    </w:p>
    <w:p>
      <w:pPr>
        <w:pStyle w:val="ListNumber"/>
      </w:pPr>
      <w:r/>
      <w:r>
        <w:rPr>
          <w:b/>
        </w:rPr>
        <w:t>Prise avec un repas</w:t>
      </w:r>
      <w:r>
        <w:t xml:space="preserve"> : prendre la riboflavine au cours d'un repas pour améliorer l'absorption et réduire les troubles digestifs.</w:t>
      </w:r>
    </w:p>
    <w:p>
      <w:pPr>
        <w:pStyle w:val="ListNumber"/>
      </w:pPr>
      <w:r/>
      <w:r>
        <w:rPr>
          <w:b/>
        </w:rPr>
        <w:t>Protection solaire</w:t>
      </w:r>
      <w:r>
        <w:t xml:space="preserve"> : à doses pharmacologiques (≥ 100 mg/jour), éviter l'exposition solaire intense et utiliser une protection solaire (écran solaire SPF 50+).</w:t>
      </w:r>
    </w:p>
    <w:p>
      <w:pPr>
        <w:pStyle w:val="ListNumber"/>
      </w:pPr>
      <w:r/>
      <w:r>
        <w:rPr>
          <w:b/>
        </w:rPr>
        <w:t>Patients sous phénothiazines</w:t>
      </w:r>
      <w:r>
        <w:t xml:space="preserve"> : surveiller l'apparition de signes de carence (chéilite, glossite) et supplémenter si besoin.</w:t>
      </w:r>
    </w:p>
    <w:p>
      <w:pPr>
        <w:pStyle w:val="ListNumber"/>
      </w:pPr>
      <w:r/>
      <w:r>
        <w:rPr>
          <w:b/>
        </w:rPr>
        <w:t>Patients migraineux</w:t>
      </w:r>
      <w:r>
        <w:t xml:space="preserve"> : la riboflavine à 400 mg/jour peut réduire la fréquence des crises après 3 mois de traitement. Patience requise.</w:t>
      </w:r>
    </w:p>
    <w:p>
      <w:pPr>
        <w:pStyle w:val="ListNumber"/>
      </w:pPr>
      <w:r/>
      <w:r>
        <w:rPr>
          <w:b/>
        </w:rPr>
        <w:t>Disponibilité</w:t>
      </w:r>
      <w:r>
        <w:t xml:space="preserve"> : la riboflavine n'est pas disponible en spécialité active en Algérie. Orienter le patient vers une préparation magistrale ou un complément alimentaire.</w:t>
      </w:r>
    </w:p>
    <w:p>
      <w:pPr>
        <w:pStyle w:val="ListNumber"/>
      </w:pPr>
      <w:r/>
      <w:r>
        <w:rPr>
          <w:b/>
        </w:rPr>
        <w:t>Régime alimentaire</w:t>
      </w:r>
      <w:r>
        <w:t xml:space="preserve"> : compléter par une alimentation riche en riboflavine (lait, fromage, œufs, foie, viande, légumes verts).</w:t>
      </w:r>
    </w:p>
    <w:p>
      <w:pPr>
        <w:pStyle w:val="ListNumber"/>
      </w:pPr>
      <w:r/>
      <w:r>
        <w:rPr>
          <w:b/>
        </w:rPr>
        <w:t>Grossesse et allaitement</w:t>
      </w:r>
      <w:r>
        <w:t xml:space="preserve"> : la riboflavine peut être prise aux doses recommandées. Vérifier la couverture des besoins.</w:t>
      </w:r>
    </w:p>
    <w:p>
      <w:pPr>
        <w:pStyle w:val="Heading4"/>
      </w:pPr>
      <w:r>
        <w:t>12. Pièges et règles d'or au comptoir</w:t>
      </w:r>
    </w:p>
    <w:p>
      <w:r/>
      <w:r>
        <w:rPr>
          <w:b/>
        </w:rPr>
        <w:t>Règles d'or</w:t>
      </w:r>
      <w:r>
        <w:t xml:space="preserve"> :</w:t>
      </w:r>
    </w:p>
    <w:p>
      <w:pPr>
        <w:pStyle w:val="ListNumber"/>
      </w:pPr>
      <w:r/>
      <w:r>
        <w:rPr>
          <w:b/>
        </w:rPr>
        <w:t>Toujours informer le patient de la coloration des urines</w:t>
      </w:r>
      <w:r>
        <w:t xml:space="preserve"> (jaune-fluorescent, normale et transitoire).</w:t>
      </w:r>
    </w:p>
    <w:p>
      <w:pPr>
        <w:pStyle w:val="ListNumber"/>
      </w:pPr>
      <w:r/>
      <w:r>
        <w:rPr>
          <w:b/>
        </w:rPr>
        <w:t>Toujours prendre la riboflavine au cours du repas</w:t>
      </w:r>
      <w:r>
        <w:t xml:space="preserve"> pour améliorer l'absorption.</w:t>
      </w:r>
    </w:p>
    <w:p>
      <w:pPr>
        <w:pStyle w:val="ListNumber"/>
      </w:pPr>
      <w:r/>
      <w:r>
        <w:rPr>
          <w:b/>
        </w:rPr>
        <w:t>Toujours surveiller l'apparition de signes de carence</w:t>
      </w:r>
      <w:r>
        <w:t xml:space="preserve"> chez les patients sous phénothiazines, tricycliques ou IMAO.</w:t>
      </w:r>
    </w:p>
    <w:p>
      <w:pPr>
        <w:pStyle w:val="ListNumber"/>
      </w:pPr>
      <w:r/>
      <w:r>
        <w:rPr>
          <w:b/>
        </w:rPr>
        <w:t>Toujours supplémenter en riboflavine les patients migraineux</w:t>
      </w:r>
      <w:r>
        <w:t xml:space="preserve"> (effet préventif à 400 mg/jour).</w:t>
      </w:r>
    </w:p>
    <w:p>
      <w:pPr>
        <w:pStyle w:val="ListNumber"/>
      </w:pPr>
      <w:r/>
      <w:r>
        <w:rPr>
          <w:b/>
        </w:rPr>
        <w:t>Toujours supplémenter en riboflavine les patients avec hyperhomocystéinémie</w:t>
      </w:r>
      <w:r>
        <w:t xml:space="preserve"> (en association avec B6, B9, B12).</w:t>
      </w:r>
    </w:p>
    <w:p>
      <w:pPr>
        <w:pStyle w:val="ListNumber"/>
      </w:pPr>
      <w:r/>
      <w:r>
        <w:rPr>
          <w:b/>
        </w:rPr>
        <w:t>Toujours supplémenter en riboflavine les patients avec syndrome mitochondrial</w:t>
      </w:r>
      <w:r>
        <w:t xml:space="preserve"> (en association avec coenzyme Q10 et L-carnitine).</w:t>
      </w:r>
    </w:p>
    <w:p>
      <w:pPr>
        <w:pStyle w:val="ListNumber"/>
      </w:pPr>
      <w:r/>
      <w:r>
        <w:rPr>
          <w:b/>
        </w:rPr>
        <w:t>Toujours respecter les doses recommandées</w:t>
      </w:r>
      <w:r>
        <w:t xml:space="preserve"> : 5 à 10 mg/jour en cure carentielle ; 400 mg/jour en prophylaxie de la migraine.</w:t>
      </w:r>
    </w:p>
    <w:p>
      <w:pPr>
        <w:pStyle w:val="ListNumber"/>
      </w:pPr>
      <w:r/>
      <w:r>
        <w:rPr>
          <w:b/>
        </w:rPr>
        <w:t>Toujours orienter le patient vers une préparation magistrale</w:t>
      </w:r>
      <w:r>
        <w:t xml:space="preserve"> ou un complément alimentaire en l'absence de spécialité active.</w:t>
      </w:r>
    </w:p>
    <w:p>
      <w:r/>
      <w:r>
        <w:rPr>
          <w:b/>
        </w:rPr>
        <w:t>Pièges</w:t>
      </w:r>
      <w:r>
        <w:t xml:space="preserve"> :</w:t>
      </w:r>
    </w:p>
    <w:p>
      <w:pPr>
        <w:pStyle w:val="ListNumber"/>
      </w:pPr>
      <w:r/>
      <w:r>
        <w:rPr>
          <w:b/>
        </w:rPr>
        <w:t>Patient sous chlorpromazine au long cours</w:t>
      </w:r>
      <w:r>
        <w:t xml:space="preserve"> : la carence en riboflavine est fréquente (chéilite, glossite) et méconnue. Supplémentation systématique.</w:t>
      </w:r>
    </w:p>
    <w:p>
      <w:pPr>
        <w:pStyle w:val="ListNumber"/>
      </w:pPr>
      <w:r/>
      <w:r>
        <w:rPr>
          <w:b/>
        </w:rPr>
        <w:t>Patient migraineux</w:t>
      </w:r>
      <w:r>
        <w:t xml:space="preserve"> : la riboflavine est une alternative intéressante aux bétabloquants et anticonvulsivants en prophylaxie de la migraine. Patience requise (effet à 3-6 mois).</w:t>
      </w:r>
    </w:p>
    <w:p>
      <w:pPr>
        <w:pStyle w:val="ListNumber"/>
      </w:pPr>
      <w:r/>
      <w:r>
        <w:rPr>
          <w:b/>
        </w:rPr>
        <w:t>Patient avec hyperhomocystéinémie</w:t>
      </w:r>
      <w:r>
        <w:t xml:space="preserve"> : la supplémentation combinée B2 + B6 + B9 + B12 est plus efficace que la supplémentation isolée en folates.</w:t>
      </w:r>
    </w:p>
    <w:p>
      <w:pPr>
        <w:pStyle w:val="ListNumber"/>
      </w:pPr>
      <w:r/>
      <w:r>
        <w:rPr>
          <w:b/>
        </w:rPr>
        <w:t>Patient avec syndrome de MTHFR (mutation homozygote 677C→T)</w:t>
      </w:r>
      <w:r>
        <w:t xml:space="preserve"> : la riboflavine à doses pharmacologiques peut restaurer partiellement l'activité résiduelle de l'enzyme.</w:t>
      </w:r>
    </w:p>
    <w:p>
      <w:pPr>
        <w:pStyle w:val="ListNumber"/>
      </w:pPr>
      <w:r/>
      <w:r>
        <w:rPr>
          <w:b/>
        </w:rPr>
        <w:t>Patient sous contraceptifs oraux</w:t>
      </w:r>
      <w:r>
        <w:t xml:space="preserve"> : la carence en riboflavine est fréquente (diminution de l'absorption). Supplémentation prophylactique.</w:t>
      </w:r>
    </w:p>
    <w:p>
      <w:pPr>
        <w:pStyle w:val="ListNumber"/>
      </w:pPr>
      <w:r/>
      <w:r>
        <w:rPr>
          <w:b/>
        </w:rPr>
        <w:t>Patient avec antécédent de lithiase uratique</w:t>
      </w:r>
      <w:r>
        <w:t xml:space="preserve"> : la riboflavine ne majore pas l'uricémie (à la différence de la niacine).</w:t>
      </w:r>
    </w:p>
    <w:p>
      <w:pPr>
        <w:pStyle w:val="Heading3"/>
      </w:pPr>
      <w:r>
        <w:t>162.12.3. Pyridoxine (Vitamine B6)</w:t>
      </w:r>
    </w:p>
    <w:p>
      <w:pPr>
        <w:pStyle w:val="Heading4"/>
      </w:pPr>
      <w:r>
        <w:t>1. Catégories thérapeutiques et indications</w:t>
      </w:r>
    </w:p>
    <w:p>
      <w:r>
        <w:t xml:space="preserve">La pyridoxine appartient à la catégorie pharmacothérapeutique des </w:t>
      </w:r>
      <w:r>
        <w:rPr>
          <w:b/>
        </w:rPr>
        <w:t>vitamines hydrosolubles du groupe B</w:t>
      </w:r>
      <w:r>
        <w:t xml:space="preserve"> (code ATC : </w:t>
      </w:r>
      <w:r>
        <w:rPr>
          <w:b/>
        </w:rPr>
        <w:t>A11HA02</w:t>
      </w:r>
      <w:r>
        <w:t xml:space="preserve">). Elle est classée parmi les vitamines B6 isolées. Les indications thérapeutiques validées sont les suivantes : (i) </w:t>
      </w:r>
      <w:r>
        <w:rPr>
          <w:b/>
        </w:rPr>
        <w:t>traitement curatif de la carence en vitamine B6</w:t>
      </w:r>
      <w:r>
        <w:t xml:space="preserve"> — chéilite, glossite, conjonctivite, dermatite séborrhéique, dépression, irritabilité, convulsions (en particulier convulsions néonatales pyridoxine-dépendantes), anémie sidéroblastique ; (ii) </w:t>
      </w:r>
      <w:r>
        <w:rPr>
          <w:b/>
        </w:rPr>
        <w:t>prophylaxie des neuropathies périphériques induites par l'isoniazide</w:t>
      </w:r>
      <w:r>
        <w:t xml:space="preserve"> (tuberculose), la hydralazine, la pénicillamine (maladie de Wilson) — supplémentation systématique 25 à 50 mg/jour ; (iii) </w:t>
      </w:r>
      <w:r>
        <w:rPr>
          <w:b/>
        </w:rPr>
        <w:t>nausées et vomissements de la grossesse (NVP)</w:t>
      </w:r>
      <w:r>
        <w:t xml:space="preserve"> — pyridoxine 10 à 25 mg, 3 à 4 fois par jour, parfois en association avec le doxylamine (Xonvea non disponible en Algérie) — recommandations ACOG (American College of Obstetricians and Gynecologists), OMS et NICE ; (iv) </w:t>
      </w:r>
      <w:r>
        <w:rPr>
          <w:b/>
        </w:rPr>
        <w:t>syndrome prémenstruel</w:t>
      </w:r>
      <w:r>
        <w:t xml:space="preserve"> — pyridoxine 50 à 100 mg/jour en deuxième phase du cycle (méta-analyse Cochrane suggérant un effet modeste sur les symptômes) ; (v) </w:t>
      </w:r>
      <w:r>
        <w:rPr>
          <w:b/>
        </w:rPr>
        <w:t>anémie sidéroblastique</w:t>
      </w:r>
      <w:r>
        <w:t xml:space="preserve"> héréditaire ou acquise (carence en B6 — la pyridoxine est le cofacteur de l'ALAS, première enzyme de la synthèse de l'hème) ; (vi) </w:t>
      </w:r>
      <w:r>
        <w:rPr>
          <w:b/>
        </w:rPr>
        <w:t>neuropathies périphériques</w:t>
      </w:r>
      <w:r>
        <w:t xml:space="preserve"> d'origine diabétique, alcoolique, carentielle, en association avec B1 et B12 (efficacité contestée par la Cochrane mais prescription largement répandue) ; (vii) </w:t>
      </w:r>
      <w:r>
        <w:rPr>
          <w:b/>
        </w:rPr>
        <w:t>convulsions néonatales pyridoxine-dépendantes</w:t>
      </w:r>
      <w:r>
        <w:t xml:space="preserve"> (maladie génétique récessive autosomique avec mutations du gène ALDH7A1, anciennement pnpo) — pyridoxine IV en urgence 50 à 100 mg, puis 15 à 30 mg/kg/jour per os à vie ; (viii) </w:t>
      </w:r>
      <w:r>
        <w:rPr>
          <w:b/>
        </w:rPr>
        <w:t>autisme</w:t>
      </w:r>
      <w:r>
        <w:t xml:space="preserve"> (données limitées — à éviter à doses élevées en raison du risque neuropathique) ; (ix) </w:t>
      </w:r>
      <w:r>
        <w:rPr>
          <w:b/>
        </w:rPr>
        <w:t>maladie de Wilson</w:t>
      </w:r>
      <w:r>
        <w:t xml:space="preserve"> (en association avec la pénicillamine, qui chélate la B6).</w:t>
      </w:r>
    </w:p>
    <w:p>
      <w:pPr>
        <w:pStyle w:val="Heading4"/>
      </w:pPr>
      <w:r>
        <w:t>2. Spécialités pharmaceutiques commercialisées en Algérie</w:t>
      </w:r>
    </w:p>
    <w:p>
      <w:r>
        <w:t>Le tableau ci-dessous présente l'ensemble des spécialités de pyridoxine (B6) recensées dans la nomenclature algérienne (Avril 2026), classées par statut réglementaire (ACTIF, NON_RENOUVELABLE, RETRAIT). Les associations B1+B6 et B1+B6+B12 sont incluses car elles contiennent de la pyridoxine.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PYRIDOXINE API</w:t>
            </w:r>
          </w:p>
        </w:tc>
        <w:tc>
          <w:tcPr>
            <w:tcW w:type="dxa" w:w="1559"/>
          </w:tcPr>
          <w:p>
            <w:r>
              <w:rPr>
                <w:sz w:val="20"/>
              </w:rPr>
              <w:t>SARL API</w:t>
            </w:r>
          </w:p>
        </w:tc>
        <w:tc>
          <w:tcPr>
            <w:tcW w:type="dxa" w:w="1559"/>
          </w:tcPr>
          <w:p>
            <w:r>
              <w:rPr>
                <w:sz w:val="20"/>
              </w:rPr>
              <w:t>Comprimé,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APIROVIT</w:t>
            </w:r>
          </w:p>
        </w:tc>
        <w:tc>
          <w:tcPr>
            <w:tcW w:type="dxa" w:w="1559"/>
          </w:tcPr>
          <w:p>
            <w:r>
              <w:rPr>
                <w:sz w:val="20"/>
              </w:rPr>
              <w:t>SARL API</w:t>
            </w:r>
          </w:p>
        </w:tc>
        <w:tc>
          <w:tcPr>
            <w:tcW w:type="dxa" w:w="1559"/>
          </w:tcPr>
          <w:p>
            <w:r>
              <w:rPr>
                <w:sz w:val="20"/>
              </w:rPr>
              <w:t>Comprimé sécable,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BIROVIT HUP</w:t>
            </w:r>
          </w:p>
        </w:tc>
        <w:tc>
          <w:tcPr>
            <w:tcW w:type="dxa" w:w="1559"/>
          </w:tcPr>
          <w:p>
            <w:r>
              <w:rPr>
                <w:sz w:val="20"/>
              </w:rPr>
              <w:t>HUPP PHARMA</w:t>
            </w:r>
          </w:p>
        </w:tc>
        <w:tc>
          <w:tcPr>
            <w:tcW w:type="dxa" w:w="1559"/>
          </w:tcPr>
          <w:p>
            <w:r>
              <w:rPr>
                <w:sz w:val="20"/>
              </w:rPr>
              <w:t>Comprimé pelliculé,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NOVITAL</w:t>
            </w:r>
          </w:p>
        </w:tc>
        <w:tc>
          <w:tcPr>
            <w:tcW w:type="dxa" w:w="1559"/>
          </w:tcPr>
          <w:p>
            <w:r>
              <w:rPr>
                <w:sz w:val="20"/>
              </w:rPr>
              <w:t>SOPHAL</w:t>
            </w:r>
          </w:p>
        </w:tc>
        <w:tc>
          <w:tcPr>
            <w:tcW w:type="dxa" w:w="1559"/>
          </w:tcPr>
          <w:p>
            <w:r>
              <w:rPr>
                <w:sz w:val="20"/>
              </w:rPr>
              <w:t>Comprimé,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VITAMINE B1 B6 BGL</w:t>
            </w:r>
          </w:p>
        </w:tc>
        <w:tc>
          <w:tcPr>
            <w:tcW w:type="dxa" w:w="1559"/>
          </w:tcPr>
          <w:p>
            <w:r>
              <w:rPr>
                <w:sz w:val="20"/>
              </w:rPr>
              <w:t>BIOGALENIC</w:t>
            </w:r>
          </w:p>
        </w:tc>
        <w:tc>
          <w:tcPr>
            <w:tcW w:type="dxa" w:w="1559"/>
          </w:tcPr>
          <w:p>
            <w:r>
              <w:rPr>
                <w:sz w:val="20"/>
              </w:rPr>
              <w:t>Comprimé, B1 250 mg + B6 250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TROIS B</w:t>
            </w:r>
          </w:p>
        </w:tc>
        <w:tc>
          <w:tcPr>
            <w:tcW w:type="dxa" w:w="1559"/>
          </w:tcPr>
          <w:p>
            <w:r>
              <w:rPr>
                <w:sz w:val="20"/>
              </w:rPr>
              <w:t>BIOCARE</w:t>
            </w:r>
          </w:p>
        </w:tc>
        <w:tc>
          <w:tcPr>
            <w:tcW w:type="dxa" w:w="1559"/>
          </w:tcPr>
          <w:p>
            <w:r>
              <w:rPr>
                <w:sz w:val="20"/>
              </w:rPr>
              <w:t>Comprimé enrobé, B1 125 mg + B6 125 mg + B12 0,55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w:t>
            </w:r>
          </w:p>
        </w:tc>
        <w:tc>
          <w:tcPr>
            <w:tcW w:type="dxa" w:w="1559"/>
          </w:tcPr>
          <w:p>
            <w:r>
              <w:rPr>
                <w:sz w:val="20"/>
              </w:rPr>
              <w:t>INPHA-MEDIS</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TRI-B-VIT HUP</w:t>
            </w:r>
          </w:p>
        </w:tc>
        <w:tc>
          <w:tcPr>
            <w:tcW w:type="dxa" w:w="1559"/>
          </w:tcPr>
          <w:p>
            <w:r>
              <w:rPr>
                <w:sz w:val="20"/>
              </w:rPr>
              <w:t>HUPP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VIT B1 B6 BEKER</w:t>
            </w:r>
          </w:p>
        </w:tc>
        <w:tc>
          <w:tcPr>
            <w:tcW w:type="dxa" w:w="1559"/>
          </w:tcPr>
          <w:p>
            <w:r>
              <w:rPr>
                <w:sz w:val="20"/>
              </w:rPr>
              <w:t>LABORATOIRES BEKER</w:t>
            </w:r>
          </w:p>
        </w:tc>
        <w:tc>
          <w:tcPr>
            <w:tcW w:type="dxa" w:w="1559"/>
          </w:tcPr>
          <w:p>
            <w:r>
              <w:rPr>
                <w:sz w:val="20"/>
              </w:rPr>
              <w:t>Comprimé pelliculé, B1 250 mg + B6 35 mg</w:t>
            </w:r>
          </w:p>
        </w:tc>
        <w:tc>
          <w:tcPr>
            <w:tcW w:type="dxa" w:w="1559"/>
          </w:tcPr>
          <w:p>
            <w:r>
              <w:rPr>
                <w:sz w:val="20"/>
              </w:rPr>
              <w:t>B/40</w:t>
            </w:r>
          </w:p>
        </w:tc>
        <w:tc>
          <w:tcPr>
            <w:tcW w:type="dxa" w:w="1559"/>
          </w:tcPr>
          <w:p>
            <w:r>
              <w:rPr>
                <w:sz w:val="20"/>
              </w:rPr>
              <w:t>Hors liste</w:t>
            </w:r>
          </w:p>
        </w:tc>
        <w:tc>
          <w:tcPr>
            <w:tcW w:type="dxa" w:w="1559"/>
          </w:tcPr>
          <w:p>
            <w:r>
              <w:rPr>
                <w:sz w:val="20"/>
              </w:rPr>
              <w:t>ACTIF</w:t>
            </w:r>
          </w:p>
        </w:tc>
      </w:tr>
      <w:tr>
        <w:tc>
          <w:tcPr>
            <w:tcW w:type="dxa" w:w="1559"/>
          </w:tcPr>
          <w:p>
            <w:r>
              <w:rPr>
                <w:sz w:val="20"/>
              </w:rPr>
              <w:t>PYRIDOXINE CHLORHYDRATE</w:t>
            </w:r>
          </w:p>
        </w:tc>
        <w:tc>
          <w:tcPr>
            <w:tcW w:type="dxa" w:w="1559"/>
          </w:tcPr>
          <w:p>
            <w:r>
              <w:rPr>
                <w:sz w:val="20"/>
              </w:rPr>
              <w:t>RENAUDIN</w:t>
            </w:r>
          </w:p>
        </w:tc>
        <w:tc>
          <w:tcPr>
            <w:tcW w:type="dxa" w:w="1559"/>
          </w:tcPr>
          <w:p>
            <w:r>
              <w:rPr>
                <w:sz w:val="20"/>
              </w:rPr>
              <w:t>Solution injectable, 250 mg/5 mL</w:t>
            </w:r>
          </w:p>
        </w:tc>
        <w:tc>
          <w:tcPr>
            <w:tcW w:type="dxa" w:w="1559"/>
          </w:tcPr>
          <w:p>
            <w:r>
              <w:rPr>
                <w:sz w:val="20"/>
              </w:rPr>
              <w:t>B/10 amp. 5 mL</w:t>
            </w:r>
          </w:p>
        </w:tc>
        <w:tc>
          <w:tcPr>
            <w:tcW w:type="dxa" w:w="1559"/>
          </w:tcPr>
          <w:p>
            <w:r>
              <w:rPr>
                <w:sz w:val="20"/>
              </w:rPr>
              <w:t>Hors liste</w:t>
            </w:r>
          </w:p>
        </w:tc>
        <w:tc>
          <w:tcPr>
            <w:tcW w:type="dxa" w:w="1559"/>
          </w:tcPr>
          <w:p>
            <w:r>
              <w:rPr>
                <w:sz w:val="20"/>
              </w:rPr>
              <w:t>NON_RENOUVELABLE</w:t>
            </w:r>
          </w:p>
        </w:tc>
      </w:tr>
      <w:tr>
        <w:tc>
          <w:tcPr>
            <w:tcW w:type="dxa" w:w="1559"/>
          </w:tcPr>
          <w:p>
            <w:r>
              <w:rPr>
                <w:sz w:val="20"/>
              </w:rPr>
              <w:t>B.SIX</w:t>
            </w:r>
          </w:p>
        </w:tc>
        <w:tc>
          <w:tcPr>
            <w:tcW w:type="dxa" w:w="1559"/>
          </w:tcPr>
          <w:p>
            <w:r>
              <w:rPr>
                <w:sz w:val="20"/>
              </w:rPr>
              <w:t>GROUPE SAIDAL</w:t>
            </w:r>
          </w:p>
        </w:tc>
        <w:tc>
          <w:tcPr>
            <w:tcW w:type="dxa" w:w="1559"/>
          </w:tcPr>
          <w:p>
            <w:r>
              <w:rPr>
                <w:sz w:val="20"/>
              </w:rPr>
              <w:t>Comprimé, 250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MAGNE-B6</w:t>
            </w:r>
          </w:p>
        </w:tc>
        <w:tc>
          <w:tcPr>
            <w:tcW w:type="dxa" w:w="1559"/>
          </w:tcPr>
          <w:p>
            <w:r>
              <w:rPr>
                <w:sz w:val="20"/>
              </w:rPr>
              <w:t>LPA</w:t>
            </w:r>
          </w:p>
        </w:tc>
        <w:tc>
          <w:tcPr>
            <w:tcW w:type="dxa" w:w="1559"/>
          </w:tcPr>
          <w:p>
            <w:r>
              <w:rPr>
                <w:sz w:val="20"/>
              </w:rPr>
              <w:t>Ampoule buvable, Mg 186 mg + B6 936 mg + B1 10 mg</w:t>
            </w:r>
          </w:p>
        </w:tc>
        <w:tc>
          <w:tcPr>
            <w:tcW w:type="dxa" w:w="1559"/>
          </w:tcPr>
          <w:p>
            <w:r>
              <w:rPr>
                <w:sz w:val="20"/>
              </w:rPr>
              <w:t>B/10 amp.</w:t>
            </w:r>
          </w:p>
        </w:tc>
        <w:tc>
          <w:tcPr>
            <w:tcW w:type="dxa" w:w="1559"/>
          </w:tcPr>
          <w:p>
            <w:r>
              <w:rPr>
                <w:sz w:val="20"/>
              </w:rPr>
              <w:t>Hors liste</w:t>
            </w:r>
          </w:p>
        </w:tc>
        <w:tc>
          <w:tcPr>
            <w:tcW w:type="dxa" w:w="1559"/>
          </w:tcPr>
          <w:p>
            <w:r>
              <w:rPr>
                <w:sz w:val="20"/>
              </w:rPr>
              <w:t>RETRAIT</w:t>
            </w:r>
          </w:p>
        </w:tc>
      </w:tr>
      <w:tr>
        <w:tc>
          <w:tcPr>
            <w:tcW w:type="dxa" w:w="1559"/>
          </w:tcPr>
          <w:p>
            <w:r>
              <w:rPr>
                <w:sz w:val="20"/>
              </w:rPr>
              <w:t>VITAMINE B6</w:t>
            </w:r>
          </w:p>
        </w:tc>
        <w:tc>
          <w:tcPr>
            <w:tcW w:type="dxa" w:w="1559"/>
          </w:tcPr>
          <w:p>
            <w:r>
              <w:rPr>
                <w:sz w:val="20"/>
              </w:rPr>
              <w:t>HEMOFARM</w:t>
            </w:r>
          </w:p>
        </w:tc>
        <w:tc>
          <w:tcPr>
            <w:tcW w:type="dxa" w:w="1559"/>
          </w:tcPr>
          <w:p>
            <w:r>
              <w:rPr>
                <w:sz w:val="20"/>
              </w:rPr>
              <w:t>Solution injectable, 250 mg/5 mL</w:t>
            </w:r>
          </w:p>
        </w:tc>
        <w:tc>
          <w:tcPr>
            <w:tcW w:type="dxa" w:w="1559"/>
          </w:tcPr>
          <w:p>
            <w:r>
              <w:rPr>
                <w:sz w:val="20"/>
              </w:rPr>
              <w:t>B/5</w:t>
            </w:r>
          </w:p>
        </w:tc>
        <w:tc>
          <w:tcPr>
            <w:tcW w:type="dxa" w:w="1559"/>
          </w:tcPr>
          <w:p>
            <w:r>
              <w:rPr>
                <w:sz w:val="20"/>
              </w:rPr>
              <w:t>Hors liste</w:t>
            </w:r>
          </w:p>
        </w:tc>
        <w:tc>
          <w:tcPr>
            <w:tcW w:type="dxa" w:w="1559"/>
          </w:tcPr>
          <w:p>
            <w:r>
              <w:rPr>
                <w:sz w:val="20"/>
              </w:rPr>
              <w:t>RETRAIT</w:t>
            </w:r>
          </w:p>
        </w:tc>
      </w:tr>
      <w:tr>
        <w:tc>
          <w:tcPr>
            <w:tcW w:type="dxa" w:w="1559"/>
          </w:tcPr>
          <w:p>
            <w:r>
              <w:rPr>
                <w:sz w:val="20"/>
              </w:rPr>
              <w:t>BECILAN</w:t>
            </w:r>
          </w:p>
        </w:tc>
        <w:tc>
          <w:tcPr>
            <w:tcW w:type="dxa" w:w="1559"/>
          </w:tcPr>
          <w:p>
            <w:r>
              <w:rPr>
                <w:sz w:val="20"/>
              </w:rPr>
              <w:t>RHONE POULENC RORER</w:t>
            </w:r>
          </w:p>
        </w:tc>
        <w:tc>
          <w:tcPr>
            <w:tcW w:type="dxa" w:w="1559"/>
          </w:tcPr>
          <w:p>
            <w:r>
              <w:rPr>
                <w:sz w:val="20"/>
              </w:rPr>
              <w:t>Comprimé, 250 mg</w:t>
            </w:r>
          </w:p>
        </w:tc>
        <w:tc>
          <w:tcPr>
            <w:tcW w:type="dxa" w:w="1559"/>
          </w:tcPr>
          <w:p>
            <w:r>
              <w:rPr>
                <w:sz w:val="20"/>
              </w:rPr>
              <w:t>B/40</w:t>
            </w:r>
          </w:p>
        </w:tc>
        <w:tc>
          <w:tcPr>
            <w:tcW w:type="dxa" w:w="1559"/>
          </w:tcPr>
          <w:p>
            <w:r>
              <w:rPr>
                <w:sz w:val="20"/>
              </w:rPr>
              <w:t>Hors liste</w:t>
            </w:r>
          </w:p>
        </w:tc>
        <w:tc>
          <w:tcPr>
            <w:tcW w:type="dxa" w:w="1559"/>
          </w:tcPr>
          <w:p>
            <w:r>
              <w:rPr>
                <w:sz w:val="20"/>
              </w:rPr>
              <w:t>RETRAIT</w:t>
            </w:r>
          </w:p>
        </w:tc>
      </w:tr>
      <w:tr>
        <w:tc>
          <w:tcPr>
            <w:tcW w:type="dxa" w:w="1559"/>
          </w:tcPr>
          <w:p>
            <w:r>
              <w:rPr>
                <w:sz w:val="20"/>
              </w:rPr>
              <w:t>BETAPYR</w:t>
            </w:r>
          </w:p>
        </w:tc>
        <w:tc>
          <w:tcPr>
            <w:tcW w:type="dxa" w:w="1559"/>
          </w:tcPr>
          <w:p>
            <w:r>
              <w:rPr>
                <w:sz w:val="20"/>
              </w:rPr>
              <w:t>DUTCHMEDICIN BV</w:t>
            </w:r>
          </w:p>
        </w:tc>
        <w:tc>
          <w:tcPr>
            <w:tcW w:type="dxa" w:w="1559"/>
          </w:tcPr>
          <w:p>
            <w:r>
              <w:rPr>
                <w:sz w:val="20"/>
              </w:rPr>
              <w:t>Comprimé pelliculé, B1 250 mg + B6 250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DQA TRIVIT</w:t>
            </w:r>
          </w:p>
        </w:tc>
        <w:tc>
          <w:tcPr>
            <w:tcW w:type="dxa" w:w="1559"/>
          </w:tcPr>
          <w:p>
            <w:r>
              <w:rPr>
                <w:sz w:val="20"/>
              </w:rPr>
              <w:t>DQA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(9 spécialités) sont dominées par les producteurs locaux algériens (SARL API, Hupp Pharma, SOPHAL, Biogalenic, Inpha-Medis, Becquer, BIOCARE). La spécialité </w:t>
      </w:r>
      <w:r>
        <w:rPr>
          <w:b/>
        </w:rPr>
        <w:t>PYRIDOXINE API 250 mg</w:t>
      </w:r>
      <w:r>
        <w:t xml:space="preserve"> est la seule spécialité active de pyridoxine simple disponible en Algérie, à un dosage notablement supérieur aux doses recommandées au long cours (≤ 50 mg/jour). Les associations B1+B6 et B1+B6+B12 sont les formes les plus prescrites pour les neuropathies périphériques. La pyridoxine injectable (PYRIDOXINE CHLORHYDRATE, VITAMINE B6 HEMOFARM) est </w:t>
      </w:r>
      <w:r>
        <w:rPr>
          <w:b/>
        </w:rPr>
        <w:t>NON_RENOUVELABLE</w:t>
      </w:r>
      <w:r>
        <w:t xml:space="preserve"> ou </w:t>
      </w:r>
      <w:r>
        <w:rPr>
          <w:b/>
        </w:rPr>
        <w:t>RETRAITÉE</w:t>
      </w:r>
      <w:r>
        <w:t xml:space="preserve"> du marché algérien, ce qui impose aux praticiens algériens d'utiliser essentiellement la voie orale. La spécialité historique </w:t>
      </w:r>
      <w:r>
        <w:rPr>
          <w:b/>
        </w:rPr>
        <w:t>BECILAN</w:t>
      </w:r>
      <w:r>
        <w:t xml:space="preserve"> (Rhone Poulenc Rorer, comprimé 250 mg) est retirée du marché.</w:t>
      </w:r>
    </w:p>
    <w:p>
      <w:pPr>
        <w:pStyle w:val="Heading4"/>
      </w:pPr>
      <w:r>
        <w:t>3. Mécanisme d'action moléculaire détaillé</w:t>
      </w:r>
    </w:p>
    <w:p>
      <w:r>
        <w:t xml:space="preserve">La pyridoxine est convertie en sa forme biologiquement active, le </w:t>
      </w:r>
      <w:r>
        <w:rPr>
          <w:b/>
        </w:rPr>
        <w:t>pyridoxal-5'-phosphate (PLP)</w:t>
      </w:r>
      <w:r>
        <w:t xml:space="preserve">, par une cascade enzymatique impliquant la </w:t>
      </w:r>
      <w:r>
        <w:rPr>
          <w:b/>
        </w:rPr>
        <w:t>pyridoxine kinase</w:t>
      </w:r>
      <w:r>
        <w:t xml:space="preserve"> (conversion de la pyridoxine, pyridoxamine et pyridoxal en leurs esters phosphatés respectifs PNP, PMP et PLP), puis la </w:t>
      </w:r>
      <w:r>
        <w:rPr>
          <w:b/>
        </w:rPr>
        <w:t>pyridoxine phosphate oxidase</w:t>
      </w:r>
      <w:r>
        <w:t xml:space="preserve"> (conversion du PNP et PMP en PLP, dépendante de la riboflavine — d'où l'interdépendance B2-B6). Le PLP est le cofacteur de plus de 140 enzymes, principalement impliquées dans le métabolisme des acides aminés. Les principales réactions PLP-dépendantes sont :</w:t>
      </w:r>
    </w:p>
    <w:p>
      <w:pPr>
        <w:pStyle w:val="ListNumber"/>
      </w:pPr>
      <w:r/>
      <w:r>
        <w:rPr>
          <w:b/>
        </w:rPr>
        <w:t>Transamination</w:t>
      </w:r>
      <w:r>
        <w:t xml:space="preserve"> (transfert du groupement α-aminé d'un acide aminé à un α-cétoacide) : AST (aspartate aminotransférase), ALT (alanine aminotransférase). Le mécanisme repose sur la formation d'une base de Schiff entre le groupement aldéhyde du PLP et le groupement α-aminé du substrat, suivie d'une isomérisation (quinonoïde intermédiaire) et d'une hydrolyse.</w:t>
      </w:r>
    </w:p>
    <w:p>
      <w:pPr>
        <w:pStyle w:val="ListNumber"/>
      </w:pPr>
      <w:r/>
      <w:r>
        <w:rPr>
          <w:b/>
        </w:rPr>
        <w:t>Décarboxylation</w:t>
      </w:r>
      <w:r>
        <w:t xml:space="preserve"> (retrait du groupement carboxyle pour produire une amine biogène) : glutamate décarboxylase (GAD) → GABA ; 5-hydroxytryptophane décarboxylase → sérotonine ; DOPA décarboxylase → dopamine ; histidine décarboxylase → histamine ; ornithine décarboxylase → putrescine.</w:t>
      </w:r>
    </w:p>
    <w:p>
      <w:pPr>
        <w:pStyle w:val="ListNumber"/>
      </w:pPr>
      <w:r/>
      <w:r>
        <w:rPr>
          <w:b/>
        </w:rPr>
        <w:t>Voie de la transsulfuration</w:t>
      </w:r>
      <w:r>
        <w:t xml:space="preserve"> : cystathionine β-synthase (CBS, conversion homocystéine + sérine → cystathionine) et cystathionine γ-lyase (CGL, conversion cystathionine → cystéine + α-cétobutyrate). C'est la voie de catabolisme de l'homocystéine — d'où l'intérêt de la B6 dans l'hyperhomocystéinémie.</w:t>
      </w:r>
    </w:p>
    <w:p>
      <w:pPr>
        <w:pStyle w:val="ListNumber"/>
      </w:pPr>
      <w:r/>
      <w:r>
        <w:rPr>
          <w:b/>
        </w:rPr>
        <w:t>Glycogène phosphorylase</w:t>
      </w:r>
      <w:r>
        <w:t xml:space="preserve"> (libération du glucose-1-P à partir du glycogène musculaire et hépatique) — la B6 est un cofacteur structural de cette enzyme, indépendamment de son activité catalytique.</w:t>
      </w:r>
    </w:p>
    <w:p>
      <w:pPr>
        <w:pStyle w:val="ListNumber"/>
      </w:pPr>
      <w:r/>
      <w:r>
        <w:rPr>
          <w:b/>
        </w:rPr>
        <w:t>Synthèse de l'hème</w:t>
      </w:r>
      <w:r>
        <w:t xml:space="preserve"> : δ-aminolévulinate synthase (ALAS), première enzyme de la voie de biosynthèse des porphyrines, est PLP-dépendante — d'où l'anémie sidéroblastique par carence en B6 (défaut de synthèse de l'hème, accumulation du fer dans les mitochondries des précurseurs érythroïdes).</w:t>
      </w:r>
    </w:p>
    <w:p>
      <w:pPr>
        <w:pStyle w:val="ListNumber"/>
      </w:pPr>
      <w:r/>
      <w:r>
        <w:rPr>
          <w:b/>
        </w:rPr>
        <w:t>Racémases</w:t>
      </w:r>
      <w:r>
        <w:t xml:space="preserve"> (conversion d'acides aminés L en D) — synthèse des D-acides aminés des parois bactériennes.</w:t>
      </w:r>
    </w:p>
    <w:p>
      <w:pPr>
        <w:pStyle w:val="ListNumber"/>
      </w:pPr>
      <w:r/>
      <w:r>
        <w:rPr>
          <w:b/>
        </w:rPr>
        <w:t>Linéoloyl-CoA désaturase</w:t>
      </w:r>
      <w:r>
        <w:t xml:space="preserve"> — synthèse des acides gras polyinsaturés essentiels (acide linoléique → acide γ-linolénique → acide dihomo-γ-linolénique → acide arachidonique).</w:t>
      </w:r>
    </w:p>
    <w:p>
      <w:pPr>
        <w:pStyle w:val="ListNumber"/>
      </w:pPr>
      <w:r/>
      <w:r>
        <w:rPr>
          <w:b/>
        </w:rPr>
        <w:t>Phosphorylase kinase b</w:t>
      </w:r>
      <w:r>
        <w:t xml:space="preserve"> — régulation du métabolisme du glycogène.</w:t>
      </w:r>
    </w:p>
    <w:p>
      <w:pPr>
        <w:pStyle w:val="ListNumber"/>
      </w:pPr>
      <w:r/>
      <w:r>
        <w:rPr>
          <w:b/>
        </w:rPr>
        <w:t>Phosphatidylsérine synthase</w:t>
      </w:r>
      <w:r>
        <w:t xml:space="preserve"> — synthèse des phospholipides membranaires.</w:t>
      </w:r>
    </w:p>
    <w:p>
      <w:r>
        <w:t>Le PLP agit comme un coenzyme « portable » : il se lie de façon covalente (base de Schiff) au groupement ε-aminé d'une lysine de l'apoenzyme, formant l'holoenzyme active. Cette dépendance stricte explique la diversité des manifestations cliniques de la carence en B6 (neurologiques, hématologiques, dermatologiques, immunologiques, métaboliques).</w:t>
      </w:r>
    </w:p>
    <w:p>
      <w:pPr>
        <w:pStyle w:val="Heading4"/>
      </w:pPr>
      <w:r>
        <w:t>4. Pharmacocinétique</w:t>
      </w:r>
    </w:p>
    <w:p>
      <w:r/>
      <w:r>
        <w:rPr>
          <w:b/>
        </w:rPr>
        <w:t>Absorption</w:t>
      </w:r>
      <w:r>
        <w:t xml:space="preserve"> : la pyridoxine, pyridoxamine et pyridoxal sont absorbées au niveau du jéjunum proximal par diffusion passive et par transporteur saturable. La biodisponibilité est élevée (70 à 90 %) aux doses nutritionnelles (≤ 10 mg/jour), et saturable à doses pharmacologiques (la fraction absorbée diminue avec la dose). La prise avec un repas améliore l'absorption.</w:t>
      </w:r>
    </w:p>
    <w:p>
      <w:r/>
      <w:r>
        <w:rPr>
          <w:b/>
        </w:rPr>
        <w:t>Distribution</w:t>
      </w:r>
      <w:r>
        <w:t xml:space="preserve"> : la pyridoxine est distribuée dans tous les tissus, principalement sous forme de PLP (60-90 %), liée à l'albumine plasmatique. Le pool corporel total est d'environ 200 à 400 mg, principalement dans le muscle (70-80 %, lié à la glycogène phosphorylase), le foie, le cerveau, les reins et les érythrocytes. La demi-vie plasmatique est d'environ 15 à 30 jours. La B6 traverse le placenta par transporteur actif et passe dans le lait maternel.</w:t>
      </w:r>
    </w:p>
    <w:p>
      <w:r/>
      <w:r>
        <w:rPr>
          <w:b/>
        </w:rPr>
        <w:t>Métabolisme</w:t>
      </w:r>
      <w:r>
        <w:t xml:space="preserve"> : la pyridoxine est phosphorylée en PNP, PMP, PLP, puis dégradée par les phosphatases en pyridoxal libre, qui est oxydé en </w:t>
      </w:r>
      <w:r>
        <w:rPr>
          <w:b/>
        </w:rPr>
        <w:t>acide 4-pyridoxique</w:t>
      </w:r>
      <w:r>
        <w:t xml:space="preserve"> (métabolite urinaire principal, 80 à 90 % de l'élimination). Le catabolisme hépatique produit également des dérivés lactiques.</w:t>
      </w:r>
    </w:p>
    <w:p>
      <w:r/>
      <w:r>
        <w:rPr>
          <w:b/>
        </w:rPr>
        <w:t>Élimination</w:t>
      </w:r>
      <w:r>
        <w:t xml:space="preserve"> : principalement urinaire (≥ 80 %), sous forme d'acide 4-pyridoxique. L'élimination est filtrée et sécrétée tubulairement. La clairance rénale augmente avec la dose, ce qui explique la faible toxicité aiguë mais la toxicité chronique (à doses ≥ 200 mg/jour pendant plusieurs mois, le PLP s'accumule dans les ganglions rachidiens postérieurs et provoque une neuropathie sensorielle axonale).</w:t>
      </w:r>
    </w:p>
    <w:p>
      <w:pPr>
        <w:pStyle w:val="Heading4"/>
      </w:pPr>
      <w:r>
        <w:t>5. Effets indésirables et prévention</w:t>
      </w:r>
    </w:p>
    <w:p>
      <w:r/>
      <w:r>
        <w:rPr>
          <w:b/>
        </w:rPr>
        <w:t>Effets indésirables aux doses thérapeutiques orales</w:t>
      </w:r>
      <w:r>
        <w:t xml:space="preserve"> (≤ 50 mg/jour) :</w:t>
      </w:r>
    </w:p>
    <w:p>
      <w:pPr>
        <w:pStyle w:val="ListBullet"/>
      </w:pPr>
      <w:r/>
      <w:r>
        <w:rPr>
          <w:b/>
        </w:rPr>
        <w:t>Digestifs</w:t>
      </w:r>
      <w:r>
        <w:t xml:space="preserve"> : nausées, douleurs épigastriques (rares). Prévention : prendre au cours du repas.</w:t>
      </w:r>
    </w:p>
    <w:p>
      <w:pPr>
        <w:pStyle w:val="ListBullet"/>
      </w:pPr>
      <w:r/>
      <w:r>
        <w:rPr>
          <w:b/>
        </w:rPr>
        <w:t>Neurologiques</w:t>
      </w:r>
      <w:r>
        <w:t xml:space="preserve"> : somnolence, céphalées (rares).</w:t>
      </w:r>
    </w:p>
    <w:p>
      <w:pPr>
        <w:pStyle w:val="ListBullet"/>
      </w:pPr>
      <w:r/>
      <w:r>
        <w:rPr>
          <w:b/>
        </w:rPr>
        <w:t>Allergiques</w:t>
      </w:r>
      <w:r>
        <w:t xml:space="preserve"> : réactions cutanées très rares.</w:t>
      </w:r>
    </w:p>
    <w:p>
      <w:r/>
      <w:r>
        <w:rPr>
          <w:b/>
        </w:rPr>
        <w:t>Effets indésirables aux doses pharmacologiques orales</w:t>
      </w:r>
      <w:r>
        <w:t xml:space="preserve"> (≥ 50 mg/jour) — </w:t>
      </w:r>
      <w:r>
        <w:rPr>
          <w:b/>
        </w:rPr>
        <w:t>RISQUE NEUROPATHIQUE</w:t>
      </w:r>
      <w:r>
        <w:t xml:space="preserve"> :</w:t>
      </w:r>
    </w:p>
    <w:p>
      <w:pPr>
        <w:pStyle w:val="ListBullet"/>
      </w:pPr>
      <w:r/>
      <w:r>
        <w:rPr>
          <w:b/>
        </w:rPr>
        <w:t>Neuropathie sensorielle périphérique</w:t>
      </w:r>
      <w:r>
        <w:t xml:space="preserve"> : paresthésies des extrémités (en « chaussettes-gants »), ataxie sensitive, déséquilibre, engourdissement, parfois neuropathie motrice associée. Ce risque, bien documenté depuis les années 1980 (Schaumburg et al., 1983), est lié à un effet axonal direct du PLP sur les neurones sensoriels des ganglions rachidiens postérieurs. Le seuil de toxicité chronique est :</w:t>
      </w:r>
    </w:p>
    <w:p>
      <w:pPr>
        <w:pStyle w:val="ListBullet"/>
      </w:pPr>
      <w:r/>
      <w:r>
        <w:rPr>
          <w:b/>
        </w:rPr>
        <w:t>≥ 50 mg/jour pendant plusieurs mois</w:t>
      </w:r>
      <w:r>
        <w:t xml:space="preserve"> : risque faible mais non négligeable (incidence &lt; 1 %).</w:t>
      </w:r>
    </w:p>
    <w:p>
      <w:pPr>
        <w:pStyle w:val="ListBullet"/>
      </w:pPr>
      <w:r/>
      <w:r>
        <w:rPr>
          <w:b/>
        </w:rPr>
        <w:t>≥ 200 mg/jour</w:t>
      </w:r>
      <w:r>
        <w:t xml:space="preserve"> : risque constant et rapide (incidence &gt; 50 % à 6 mois).</w:t>
      </w:r>
    </w:p>
    <w:p>
      <w:pPr>
        <w:pStyle w:val="ListBullet"/>
      </w:pPr>
      <w:r/>
      <w:r>
        <w:rPr>
          <w:b/>
        </w:rPr>
        <w:t>≥ 1 g/jour</w:t>
      </w:r>
      <w:r>
        <w:t xml:space="preserve"> : neuropathie constante en quelques semaines à mois.</w:t>
      </w:r>
    </w:p>
    <w:p>
      <w:pPr>
        <w:pStyle w:val="ListBullet"/>
      </w:pPr>
      <w:r>
        <w:t>La récupération est lente (plusieurs mois à années) et peut être incomplète.</w:t>
      </w:r>
    </w:p>
    <w:p>
      <w:pPr>
        <w:pStyle w:val="ListBullet"/>
      </w:pPr>
      <w:r/>
      <w:r>
        <w:rPr>
          <w:b/>
        </w:rPr>
        <w:t>Neuropathie sensitive réversible</w:t>
      </w:r>
      <w:r>
        <w:t xml:space="preserve"> à doses modérées (100-200 mg/jour pendant 1 à 3 mois) — régression à l'arrêt.</w:t>
      </w:r>
    </w:p>
    <w:p>
      <w:r/>
      <w:r>
        <w:rPr>
          <w:b/>
        </w:rPr>
        <w:t>Effets indésirables de la voie injectable</w:t>
      </w:r>
      <w:r>
        <w:t xml:space="preserve"> (non disponible en spécialité active en Algérie) :</w:t>
      </w:r>
    </w:p>
    <w:p>
      <w:pPr>
        <w:pStyle w:val="ListBullet"/>
      </w:pPr>
      <w:r/>
      <w:r>
        <w:rPr>
          <w:b/>
        </w:rPr>
        <w:t>Réactions allergiques</w:t>
      </w:r>
      <w:r>
        <w:t xml:space="preserve"> : rares.</w:t>
      </w:r>
    </w:p>
    <w:p>
      <w:pPr>
        <w:pStyle w:val="ListBullet"/>
      </w:pPr>
      <w:r/>
      <w:r>
        <w:rPr>
          <w:b/>
        </w:rPr>
        <w:t>Réactions locales</w:t>
      </w:r>
      <w:r>
        <w:t xml:space="preserve"> : douleur au point d'injection.</w:t>
      </w:r>
    </w:p>
    <w:p>
      <w:r/>
      <w:r>
        <w:rPr>
          <w:b/>
        </w:rPr>
        <w:t>Prévention générale des effets indésirables</w:t>
      </w:r>
      <w:r>
        <w:t xml:space="preserve"> :</w:t>
      </w:r>
    </w:p>
    <w:p>
      <w:pPr>
        <w:pStyle w:val="ListNumber"/>
      </w:pPr>
      <w:r/>
      <w:r>
        <w:rPr>
          <w:b/>
        </w:rPr>
        <w:t>Ne pas dépasser 50 mg/jour au long cours</w:t>
      </w:r>
      <w:r>
        <w:t xml:space="preserve"> (recommandation ANSM et OMS).</w:t>
      </w:r>
    </w:p>
    <w:p>
      <w:pPr>
        <w:pStyle w:val="ListNumber"/>
      </w:pPr>
      <w:r/>
      <w:r>
        <w:rPr>
          <w:b/>
        </w:rPr>
        <w:t>Surveiller l'apparition de paresthésies</w:t>
      </w:r>
      <w:r>
        <w:t xml:space="preserve"> chez les patients sous B6 à doses pharmacologiques, et arrêter immédiatement en cas de survenue.</w:t>
      </w:r>
    </w:p>
    <w:p>
      <w:pPr>
        <w:pStyle w:val="ListNumber"/>
      </w:pPr>
      <w:r/>
      <w:r>
        <w:rPr>
          <w:b/>
        </w:rPr>
        <w:t>Éviter les cures prolongées</w:t>
      </w:r>
      <w:r>
        <w:t xml:space="preserve"> (&gt; 3 mois) à doses ≥ 100 mg/jour sans surveillance neurologique.</w:t>
      </w:r>
    </w:p>
    <w:p>
      <w:pPr>
        <w:pStyle w:val="ListNumber"/>
      </w:pPr>
      <w:r/>
      <w:r>
        <w:rPr>
          <w:b/>
        </w:rPr>
        <w:t>Éviter les doses ≥ 200 mg/jour</w:t>
      </w:r>
      <w:r>
        <w:t xml:space="preserve"> sauf indication spécifique (convulsions néonatales pyridoxine-dépendantes) en milieu hospitalier.</w:t>
      </w:r>
    </w:p>
    <w:p>
      <w:pPr>
        <w:pStyle w:val="ListNumber"/>
      </w:pPr>
      <w:r/>
      <w:r>
        <w:rPr>
          <w:b/>
        </w:rPr>
        <w:t>Demander un interrogatoire neurologique</w:t>
      </w:r>
      <w:r>
        <w:t xml:space="preserve"> avant initiation (recherche de neuropathie préexistante).</w:t>
      </w:r>
    </w:p>
    <w:p>
      <w:pPr>
        <w:pStyle w:val="Heading4"/>
      </w:pPr>
      <w:r>
        <w:t>6. Interactions médicamenteuses</w:t>
      </w:r>
    </w:p>
    <w:p>
      <w:pPr>
        <w:pStyle w:val="ListBullet"/>
      </w:pPr>
      <w:r/>
      <w:r>
        <w:rPr>
          <w:b/>
        </w:rPr>
        <w:t>Isoniazide</w:t>
      </w:r>
      <w:r>
        <w:t xml:space="preserve"> (antituberculeux) : l'isoniazide forme un hydrazone avec le pyridoxal, inactivant la B6 → carence en B6 et neuropathie périphérique. Supplémentation systématique 25 à 50 mg/jour pendant toute la durée du traitement antituberculeux.</w:t>
      </w:r>
    </w:p>
    <w:p>
      <w:pPr>
        <w:pStyle w:val="ListBullet"/>
      </w:pPr>
      <w:r/>
      <w:r>
        <w:rPr>
          <w:b/>
        </w:rPr>
        <w:t>Hydralazine</w:t>
      </w:r>
      <w:r>
        <w:t xml:space="preserve"> (antihypertenseur) : forme un hydrazone avec le pyridoxal → carence en B6. Supplémentation 25 à 50 mg/jour.</w:t>
      </w:r>
    </w:p>
    <w:p>
      <w:pPr>
        <w:pStyle w:val="ListBullet"/>
      </w:pPr>
      <w:r/>
      <w:r>
        <w:rPr>
          <w:b/>
        </w:rPr>
        <w:t>Pénicillamine</w:t>
      </w:r>
      <w:r>
        <w:t xml:space="preserve"> (chélateur du cuivre, maladie de Wilson) : chélation du PLP → carence en B6. Supplémentation 25 à 50 mg/jour.</w:t>
      </w:r>
    </w:p>
    <w:p>
      <w:pPr>
        <w:pStyle w:val="ListBullet"/>
      </w:pPr>
      <w:r/>
      <w:r>
        <w:rPr>
          <w:b/>
        </w:rPr>
        <w:t>Théophylline</w:t>
      </w:r>
      <w:r>
        <w:t xml:space="preserve"> (bronchodilatateur) : theophylline-PNP complex → inhibition de la pyridoxine kinase → carence en B6 (convulsions possibles chez l'enfant).</w:t>
      </w:r>
    </w:p>
    <w:p>
      <w:pPr>
        <w:pStyle w:val="ListBullet"/>
      </w:pPr>
      <w:r/>
      <w:r>
        <w:rPr>
          <w:b/>
        </w:rPr>
        <w:t>Contraceptifs oraux estroprogestatifs</w:t>
      </w:r>
      <w:r>
        <w:t xml:space="preserve"> : diminution du PLP plasmatique (induction enzymatique) — supplémentation prophylactique 2 à 5 mg/jour.</w:t>
      </w:r>
    </w:p>
    <w:p>
      <w:pPr>
        <w:pStyle w:val="ListBullet"/>
      </w:pPr>
      <w:r/>
      <w:r>
        <w:rPr>
          <w:b/>
        </w:rPr>
        <w:t>Phénytoïne, phénobarbital</w:t>
      </w:r>
      <w:r>
        <w:t xml:space="preserve"> (antiépileptiques) : diminution de l'efficacité des antiépileptiques par compétition (la B6 à doses pharmacologiques ≥ 200 mg/jour peut réduire l'activité anticonvulsivante — à éviter à doses élevées).</w:t>
      </w:r>
    </w:p>
    <w:p>
      <w:pPr>
        <w:pStyle w:val="ListBullet"/>
      </w:pPr>
      <w:r/>
      <w:r>
        <w:rPr>
          <w:b/>
        </w:rPr>
        <w:t>Lévodopa</w:t>
      </w:r>
      <w:r>
        <w:t xml:space="preserve"> (Parkinson) : la B6 à doses ≥ 5 mg/jour (en l'absence d'inhibiteur de la dopa-décarboxylase) accélère la conversion périphérique de la lévodopa en dopamine, réduisant son efficacité centrale. En pratique, en association avec un inhibiteur de la dopa-décarboxylase (carbidopa, benserazide), cette interaction est négligeable.</w:t>
      </w:r>
    </w:p>
    <w:p>
      <w:pPr>
        <w:pStyle w:val="ListBullet"/>
      </w:pPr>
      <w:r/>
      <w:r>
        <w:rPr>
          <w:b/>
        </w:rPr>
        <w:t>Tamoxifène</w:t>
      </w:r>
      <w:r>
        <w:t xml:space="preserve"> (cancer du sein) : la B6 à doses pharmacologiques (≥ 100 mg/jour) pourrait réduire l'efficacité du tamoxifène en accélérant son métabolisme en endoxifène (données limitées — prudence).</w:t>
      </w:r>
    </w:p>
    <w:p>
      <w:pPr>
        <w:pStyle w:val="ListBullet"/>
      </w:pPr>
      <w:r/>
      <w:r>
        <w:rPr>
          <w:b/>
        </w:rPr>
        <w:t>Cyclosérine</w:t>
      </w:r>
      <w:r>
        <w:t xml:space="preserve"> (antituberculeux) : antagoniste de la B6 (convulsions possibles).</w:t>
      </w:r>
    </w:p>
    <w:p>
      <w:pPr>
        <w:pStyle w:val="ListBullet"/>
      </w:pPr>
      <w:r/>
      <w:r>
        <w:rPr>
          <w:b/>
        </w:rPr>
        <w:t>Alcool</w:t>
      </w:r>
      <w:r>
        <w:t xml:space="preserve"> : diminution de l'absorption, augmentation de l'excrétion, induction enzymatique → carence fréquente chez l'alcoolique.</w:t>
      </w:r>
    </w:p>
    <w:p>
      <w:pPr>
        <w:pStyle w:val="ListBullet"/>
      </w:pPr>
      <w:r/>
      <w:r>
        <w:rPr>
          <w:b/>
        </w:rPr>
        <w:t>Antiacides alcalins</w:t>
      </w:r>
      <w:r>
        <w:t xml:space="preserve"> : augmentation du pH gastrique → diminution de l'absorption.</w:t>
      </w:r>
    </w:p>
    <w:p>
      <w:pPr>
        <w:pStyle w:val="Heading4"/>
      </w:pPr>
      <w:r>
        <w:t>7. Contre-indications et précautions d'emploi</w:t>
      </w:r>
    </w:p>
    <w:p>
      <w:r/>
      <w:r>
        <w:rPr>
          <w:b/>
        </w:rPr>
        <w:t>Contre-indications</w:t>
      </w:r>
      <w:r>
        <w:t xml:space="preserve"> :</w:t>
      </w:r>
    </w:p>
    <w:p>
      <w:pPr>
        <w:pStyle w:val="ListBullet"/>
      </w:pPr>
      <w:r>
        <w:t>Hypersensibilité à la pyridoxine ou à l'un des excipients.</w:t>
      </w:r>
    </w:p>
    <w:p>
      <w:pPr>
        <w:pStyle w:val="ListBullet"/>
      </w:pPr>
      <w:r>
        <w:t>Doses ≥ 200 mg/jour au long cours (risque de neuropathie sensorielle).</w:t>
      </w:r>
    </w:p>
    <w:p>
      <w:pPr>
        <w:pStyle w:val="ListBullet"/>
      </w:pPr>
      <w:r>
        <w:t>Parkinson traité par lévodopa sans inhibiteur de la dopa-décarboxylase.</w:t>
      </w:r>
    </w:p>
    <w:p>
      <w:pPr>
        <w:pStyle w:val="ListBullet"/>
      </w:pPr>
      <w:r>
        <w:t>Épilepsie traitée par phénytoïne ou phénobarbital (à doses ≥ 200 mg/jour — risque de diminution de l'effet anticonvulsivant).</w:t>
      </w:r>
    </w:p>
    <w:p>
      <w:r/>
      <w:r>
        <w:rPr>
          <w:b/>
        </w:rPr>
        <w:t>Précautions d'emploi</w:t>
      </w:r>
      <w:r>
        <w:t xml:space="preserve"> :</w:t>
      </w:r>
    </w:p>
    <w:p>
      <w:pPr>
        <w:pStyle w:val="ListBullet"/>
      </w:pPr>
      <w:r>
        <w:t>Insuffisance rénale : pas d'ajustement nécessaire, mais surveillance accrue (risque d'accumulation du PLP).</w:t>
      </w:r>
    </w:p>
    <w:p>
      <w:pPr>
        <w:pStyle w:val="ListBullet"/>
      </w:pPr>
      <w:r>
        <w:t>Femme enceinte : sécurité d'emploi confirmée aux doses ≤ 50 mg/jour (NVP). À doses ≥ 100 mg/jour au long cours : risque théorique de convulsions néonatales par sevrage (rare).</w:t>
      </w:r>
    </w:p>
    <w:p>
      <w:pPr>
        <w:pStyle w:val="ListBullet"/>
      </w:pPr>
      <w:r>
        <w:t>Femme allaitante : compatible, passage dans le lait maternel (apport quotidien recommandé 2 mg/jour chez la mère allaitante). À doses ≥ 100 mg/jour : risque de diminution de la lactation (inhibition de la prolactine).</w:t>
      </w:r>
    </w:p>
    <w:p>
      <w:pPr>
        <w:pStyle w:val="ListBullet"/>
      </w:pPr>
      <w:r>
        <w:t>Sujet âgé : pas de précaution particulière.</w:t>
      </w:r>
    </w:p>
    <w:p>
      <w:pPr>
        <w:pStyle w:val="ListBullet"/>
      </w:pPr>
      <w:r>
        <w:t>Enfant : doses adaptées au poids (0,5 à 1 mg/kg/jour en entretien ; 5 à 10 mg/kg/jour en cure). Surveiller la neuropathie à doses pharmacologiques.</w:t>
      </w:r>
    </w:p>
    <w:p>
      <w:pPr>
        <w:pStyle w:val="Heading4"/>
      </w:pPr>
      <w:r>
        <w:t>8. Grossesse et allaitement (données CRAT)</w:t>
      </w:r>
    </w:p>
    <w:p>
      <w:r/>
      <w:r>
        <w:rPr>
          <w:b/>
        </w:rPr>
        <w:t>Grossesse</w:t>
      </w:r>
      <w:r>
        <w:t xml:space="preserve"> : la pyridoxine est essentielle au développement fœtal. Les besoins augmentent à 1,9 mg/jour pendant la grossesse (vs 1,3 mg/jour chez la femme non enceinte). La supplémentation en B6 (10 à 25 mg, 3 à 4 fois par jour) est recommandée en première intention pour les nausées et vomissements de la grossesse (NVP) par l'ACOG, l'OMS et NICE. La B6 traverse le placenta par transporteur actif. À doses pharmacologiques ≥ 100 mg/jour au long cours, des cas isolés de convulsions néonatales par sevrage ont été rapportés. Le CRAT conclut : « La pyridoxine peut être prescrite pendant la grossesse aux doses usuelles recommandées (≤ 50 mg/jour). Pour les NVP, des doses jusqu'à 30-40 mg/jour sont considérées comme sûres. Les doses pharmacologiques (≥ 100 mg/jour au long cours) sont à éviter par précaution. »</w:t>
      </w:r>
    </w:p>
    <w:p>
      <w:r/>
      <w:r>
        <w:rPr>
          <w:b/>
        </w:rPr>
        <w:t>Allaitement</w:t>
      </w:r>
      <w:r>
        <w:t xml:space="preserve"> : la pyridoxine passe dans le lait maternel (concentration 0,1 à 0,2 mg/L). Les besoins de la mère allaitante sont de 2 mg/jour. À doses ≥ 100 mg/jour, la B6 peut inhiber la prolactine et réduire la lactation (effet paradoxal utilisé autrefois pour l'inhibition de la lactation, aujourd'hui abandonné). Le CRAT conclut : « La pyridoxine est compatible avec l'allaitement aux doses usuelles recommandées (≤ 25 mg/jour). À doses ≥ 100 mg/jour, risque de diminution de la lactation. »</w:t>
      </w:r>
    </w:p>
    <w:p>
      <w:pPr>
        <w:pStyle w:val="Heading4"/>
      </w:pPr>
      <w:r>
        <w:t>9. Posologie et mode d'administration</w:t>
      </w:r>
    </w:p>
    <w:p>
      <w:r/>
      <w:r>
        <w:rPr>
          <w:b/>
        </w:rPr>
        <w:t>Posologie usuelle adulte</w:t>
      </w:r>
      <w:r>
        <w:t xml:space="preserve"> :</w:t>
      </w:r>
    </w:p>
    <w:p>
      <w:pPr>
        <w:pStyle w:val="ListBullet"/>
      </w:pPr>
      <w:r/>
      <w:r>
        <w:rPr>
          <w:b/>
        </w:rPr>
        <w:t>Carence avérée</w:t>
      </w:r>
      <w:r>
        <w:t xml:space="preserve"> (chéilite, glossite, dermatite) : 25 à 50 mg/jour per os pendant 1 à 3 mois.</w:t>
      </w:r>
    </w:p>
    <w:p>
      <w:pPr>
        <w:pStyle w:val="ListBullet"/>
      </w:pPr>
      <w:r/>
      <w:r>
        <w:rPr>
          <w:b/>
        </w:rPr>
        <w:t>Prophylaxie de la neuropathie à l'isoniazide</w:t>
      </w:r>
      <w:r>
        <w:t xml:space="preserve"> : 25 à 50 mg/jour per os pendant toute la durée du traitement.</w:t>
      </w:r>
    </w:p>
    <w:p>
      <w:pPr>
        <w:pStyle w:val="ListBullet"/>
      </w:pPr>
      <w:r/>
      <w:r>
        <w:rPr>
          <w:b/>
        </w:rPr>
        <w:t>Nausées et vomissements de la grossesse (NVP)</w:t>
      </w:r>
      <w:r>
        <w:t xml:space="preserve"> : 10 à 25 mg, 3 à 4 fois par jour (30 à 100 mg/jour total), à débuter dès le 1er trimestre. Si inefficace, association avec doxylamine (Xonvea, non disponible en Algérie) ou anti-H1 (prométhazine).</w:t>
      </w:r>
    </w:p>
    <w:p>
      <w:pPr>
        <w:pStyle w:val="ListBullet"/>
      </w:pPr>
      <w:r/>
      <w:r>
        <w:rPr>
          <w:b/>
        </w:rPr>
        <w:t>Syndrome prémenstruel</w:t>
      </w:r>
      <w:r>
        <w:t xml:space="preserve"> : 50 à 100 mg/jour en deuxième phase du cycle (J15 à J28).</w:t>
      </w:r>
    </w:p>
    <w:p>
      <w:pPr>
        <w:pStyle w:val="ListBullet"/>
      </w:pPr>
      <w:r/>
      <w:r>
        <w:rPr>
          <w:b/>
        </w:rPr>
        <w:t>Neuropathie périphérique carentielle</w:t>
      </w:r>
      <w:r>
        <w:t xml:space="preserve"> : 50 à 100 mg/jour per os (en association B1+B6+B12) pendant 1 à 3 mois — surveillance neurologique.</w:t>
      </w:r>
    </w:p>
    <w:p>
      <w:pPr>
        <w:pStyle w:val="ListBullet"/>
      </w:pPr>
      <w:r/>
      <w:r>
        <w:rPr>
          <w:b/>
        </w:rPr>
        <w:t>Anémie sidéroblastique</w:t>
      </w:r>
      <w:r>
        <w:t xml:space="preserve"> : 50 à 200 mg/jour per os.</w:t>
      </w:r>
    </w:p>
    <w:p>
      <w:pPr>
        <w:pStyle w:val="ListBullet"/>
      </w:pPr>
      <w:r/>
      <w:r>
        <w:rPr>
          <w:b/>
        </w:rPr>
        <w:t>Convulsions néonatales pyridoxine-dépendantes</w:t>
      </w:r>
      <w:r>
        <w:t xml:space="preserve"> : 50 à 100 mg IV en urgence, puis 15 à 30 mg/kg/jour per os à vie.</w:t>
      </w:r>
    </w:p>
    <w:p>
      <w:pPr>
        <w:pStyle w:val="ListBullet"/>
      </w:pPr>
      <w:r/>
      <w:r>
        <w:rPr>
          <w:b/>
        </w:rPr>
        <w:t>Supplémentation prophylactique</w:t>
      </w:r>
      <w:r>
        <w:t xml:space="preserve"> : 1,3 à 1,7 mg/jour per os (femme enceinte, allaitante, sujet âgé) — couvert par l'alimentation.</w:t>
      </w:r>
    </w:p>
    <w:p>
      <w:r/>
      <w:r>
        <w:rPr>
          <w:b/>
        </w:rPr>
        <w:t>Posologie pédiatrique</w:t>
      </w:r>
      <w:r>
        <w:t xml:space="preserve"> :</w:t>
      </w:r>
    </w:p>
    <w:p>
      <w:pPr>
        <w:pStyle w:val="ListBullet"/>
      </w:pPr>
      <w:r>
        <w:t>Nourrisson et enfant (entretien) : 0,5 à 1 mg/kg/jour per os.</w:t>
      </w:r>
    </w:p>
    <w:p>
      <w:pPr>
        <w:pStyle w:val="ListBullet"/>
      </w:pPr>
      <w:r>
        <w:t>Carence avérée : 5 à 25 mg/jour per os.</w:t>
      </w:r>
    </w:p>
    <w:p>
      <w:pPr>
        <w:pStyle w:val="ListBullet"/>
      </w:pPr>
      <w:r>
        <w:t>Convulsions pyridoxine-dépendantes : 50 à 100 mg IV en urgence, puis 15 mg/kg/jour per os à vie.</w:t>
      </w:r>
    </w:p>
    <w:p>
      <w:r/>
      <w:r>
        <w:rPr>
          <w:b/>
        </w:rPr>
        <w:t>Mode d'administration</w:t>
      </w:r>
      <w:r>
        <w:t xml:space="preserve"> :</w:t>
      </w:r>
    </w:p>
    <w:p>
      <w:pPr>
        <w:pStyle w:val="ListBullet"/>
      </w:pPr>
      <w:r/>
      <w:r>
        <w:rPr>
          <w:b/>
        </w:rPr>
        <w:t>Voie orale</w:t>
      </w:r>
      <w:r>
        <w:t xml:space="preserve"> : comprimés à avaler avec un verre d'eau, de préférence au cours d'un repas.</w:t>
      </w:r>
    </w:p>
    <w:p>
      <w:pPr>
        <w:pStyle w:val="ListBullet"/>
      </w:pPr>
      <w:r/>
      <w:r>
        <w:rPr>
          <w:b/>
        </w:rPr>
        <w:t>Voie injectable</w:t>
      </w:r>
      <w:r>
        <w:t xml:space="preserve"> (non disponible en spécialité active en Algérie) : IM profonde ou IV lente.</w:t>
      </w:r>
    </w:p>
    <w:p>
      <w:r/>
      <w:r>
        <w:rPr>
          <w:b/>
        </w:rPr>
        <w:t>Dose maximale recommandée</w:t>
      </w:r>
      <w:r>
        <w:t xml:space="preserve"> : 50 mg/jour au long cours (recommandation ANSM, OMS). Au-delà, surveillance neurologique.</w:t>
      </w:r>
    </w:p>
    <w:p>
      <w:pPr>
        <w:pStyle w:val="Heading4"/>
      </w:pPr>
      <w:r>
        <w:t>10. Formes galéniques disponibles</w:t>
      </w:r>
    </w:p>
    <w:p>
      <w:pPr>
        <w:pStyle w:val="ListBullet"/>
      </w:pPr>
      <w:r/>
      <w:r>
        <w:rPr>
          <w:b/>
        </w:rPr>
        <w:t>Comprimés à 250 mg</w:t>
      </w:r>
      <w:r>
        <w:t xml:space="preserve"> (PYRIDOXINE API, B.SIX — non renouvelable) — dose très supérieure aux doses recommandées au long cours. Précautions nécessaires (sécabilité et fractionnement pour obtenir 50-100 mg).</w:t>
      </w:r>
    </w:p>
    <w:p>
      <w:pPr>
        <w:pStyle w:val="ListBullet"/>
      </w:pPr>
      <w:r/>
      <w:r>
        <w:rPr>
          <w:b/>
        </w:rPr>
        <w:t>Comprimés en association B1+B6</w:t>
      </w:r>
      <w:r>
        <w:t xml:space="preserve"> (APIROVIT, BIROVIT HUP, NOVITAL, VITAMINE B1 B6 BGL, BETAPYR, VIT B1 B6 BEKER).</w:t>
      </w:r>
    </w:p>
    <w:p>
      <w:pPr>
        <w:pStyle w:val="ListBullet"/>
      </w:pPr>
      <w:r/>
      <w:r>
        <w:rPr>
          <w:b/>
        </w:rPr>
        <w:t>Comprimés en association B1+B6+B12</w:t>
      </w:r>
      <w:r>
        <w:t xml:space="preserve"> (TROIS B, TRI-B, TRI-B-VIT HUP, DQA TRIVIT) — formes neurotropes.</w:t>
      </w:r>
    </w:p>
    <w:p>
      <w:pPr>
        <w:pStyle w:val="ListBullet"/>
      </w:pPr>
      <w:r/>
      <w:r>
        <w:rPr>
          <w:b/>
        </w:rPr>
        <w:t>Ampoules buvables</w:t>
      </w:r>
      <w:r>
        <w:t xml:space="preserve"> (MAGNE-B6 — retiré du marché).</w:t>
      </w:r>
    </w:p>
    <w:p>
      <w:pPr>
        <w:pStyle w:val="ListBullet"/>
      </w:pPr>
      <w:r/>
      <w:r>
        <w:rPr>
          <w:b/>
        </w:rPr>
        <w:t>Solutions injectables</w:t>
      </w:r>
      <w:r>
        <w:t xml:space="preserve"> (PYRIDOXINE CHLORHYDRATE, VITAMINE B6 HEMOFARM — non renouvelable/retiré).</w:t>
      </w:r>
    </w:p>
    <w:p>
      <w:pPr>
        <w:pStyle w:val="Heading4"/>
      </w:pPr>
      <w:r>
        <w:t>11. Conseils au patient au comptoir</w:t>
      </w:r>
    </w:p>
    <w:p>
      <w:pPr>
        <w:pStyle w:val="ListNumber"/>
      </w:pPr>
      <w:r/>
      <w:r>
        <w:rPr>
          <w:b/>
        </w:rPr>
        <w:t>Respect strict de la posologie</w:t>
      </w:r>
      <w:r>
        <w:t xml:space="preserve"> : ne jamais dépasser 50 mg/jour au long cours sans avis médical. Les comprimés à 250 mg doivent être divisés en 5 (50 mg par fraction).</w:t>
      </w:r>
    </w:p>
    <w:p>
      <w:pPr>
        <w:pStyle w:val="ListNumber"/>
      </w:pPr>
      <w:r/>
      <w:r>
        <w:rPr>
          <w:b/>
        </w:rPr>
        <w:t>Surveillance des paresthésies</w:t>
      </w:r>
      <w:r>
        <w:t xml:space="preserve"> : informer le patient de consulter immédiatement en cas d'apparition d'engourdissements, picotements, ou troubles de l'équilibre. Arrêter la B6 et consulter un neurologue.</w:t>
      </w:r>
    </w:p>
    <w:p>
      <w:pPr>
        <w:pStyle w:val="ListNumber"/>
      </w:pPr>
      <w:r/>
      <w:r>
        <w:rPr>
          <w:b/>
        </w:rPr>
        <w:t>Patients sous isoniazide</w:t>
      </w:r>
      <w:r>
        <w:t xml:space="preserve"> : la supplémentation systématique en B6 (25 à 50 mg/jour) prévient la neuropathie. Vérifier la prescription.</w:t>
      </w:r>
    </w:p>
    <w:p>
      <w:pPr>
        <w:pStyle w:val="ListNumber"/>
      </w:pPr>
      <w:r/>
      <w:r>
        <w:rPr>
          <w:b/>
        </w:rPr>
        <w:t>Femmes enceintes avec NVP</w:t>
      </w:r>
      <w:r>
        <w:t xml:space="preserve"> : la B6 (10 à 25 mg, 3 à 4 fois par jour) est recommandée en première intention. Effet modéré mais significatif. Patience requise (effet à 3-7 jours).</w:t>
      </w:r>
    </w:p>
    <w:p>
      <w:pPr>
        <w:pStyle w:val="ListNumber"/>
      </w:pPr>
      <w:r/>
      <w:r>
        <w:rPr>
          <w:b/>
        </w:rPr>
        <w:t>Patients sous contraceptifs oraux</w:t>
      </w:r>
      <w:r>
        <w:t xml:space="preserve"> : supplémentation prophylactique 2 à 5 mg/jour.</w:t>
      </w:r>
    </w:p>
    <w:p>
      <w:pPr>
        <w:pStyle w:val="ListNumber"/>
      </w:pPr>
      <w:r/>
      <w:r>
        <w:rPr>
          <w:b/>
        </w:rPr>
        <w:t>Prise avec un repas</w:t>
      </w:r>
      <w:r>
        <w:t xml:space="preserve"> : réduire les troubles digestifs.</w:t>
      </w:r>
    </w:p>
    <w:p>
      <w:pPr>
        <w:pStyle w:val="ListNumber"/>
      </w:pPr>
      <w:r/>
      <w:r>
        <w:rPr>
          <w:b/>
        </w:rPr>
        <w:t>Patients parkinsoniens sous lévodopa</w:t>
      </w:r>
      <w:r>
        <w:t xml:space="preserve"> : éviter la B6 à doses élevées en l'absence d'inhibiteur de la dopa-décarboxylase. Vérifier l'ordonnance.</w:t>
      </w:r>
    </w:p>
    <w:p>
      <w:pPr>
        <w:pStyle w:val="ListNumber"/>
      </w:pPr>
      <w:r/>
      <w:r>
        <w:rPr>
          <w:b/>
        </w:rPr>
        <w:t>Patients épileptiques sous phénytoïne</w:t>
      </w:r>
      <w:r>
        <w:t xml:space="preserve"> : éviter la B6 à doses ≥ 200 mg/jour (risque de diminution de l'effet anticonvulsivant).</w:t>
      </w:r>
    </w:p>
    <w:p>
      <w:pPr>
        <w:pStyle w:val="ListNumber"/>
      </w:pPr>
      <w:r/>
      <w:r>
        <w:rPr>
          <w:b/>
        </w:rPr>
        <w:t>Arrêt progressif</w:t>
      </w:r>
      <w:r>
        <w:t xml:space="preserve"> : ne pas arrêter brutalement en cas de traitement prolongé à doses élevées (risque de rebond carentiel).</w:t>
      </w:r>
    </w:p>
    <w:p>
      <w:pPr>
        <w:pStyle w:val="ListNumber"/>
      </w:pPr>
      <w:r/>
      <w:r>
        <w:rPr>
          <w:b/>
        </w:rPr>
        <w:t>Régime alimentaire</w:t>
      </w:r>
      <w:r>
        <w:t xml:space="preserve"> : compléter par une alimentation riche en B6 (viande, poisson, foie, œufs, céréales complètes, bananes, noix, lentilles).</w:t>
      </w:r>
    </w:p>
    <w:p>
      <w:pPr>
        <w:pStyle w:val="Heading4"/>
      </w:pPr>
      <w:r>
        <w:t>12. Pièges et règles d'or au comptoir</w:t>
      </w:r>
    </w:p>
    <w:p>
      <w:r/>
      <w:r>
        <w:rPr>
          <w:b/>
        </w:rPr>
        <w:t>Règles d'or</w:t>
      </w:r>
      <w:r>
        <w:t xml:space="preserve"> :</w:t>
      </w:r>
    </w:p>
    <w:p>
      <w:pPr>
        <w:pStyle w:val="ListNumber"/>
      </w:pPr>
      <w:r/>
      <w:r>
        <w:rPr>
          <w:b/>
        </w:rPr>
        <w:t>Toujours respecter la dose maximale de 50 mg/jour au long cours</w:t>
      </w:r>
      <w:r>
        <w:t xml:space="preserve"> (recommandation ANSM, OMS).</w:t>
      </w:r>
    </w:p>
    <w:p>
      <w:pPr>
        <w:pStyle w:val="ListNumber"/>
      </w:pPr>
      <w:r/>
      <w:r>
        <w:rPr>
          <w:b/>
        </w:rPr>
        <w:t>Toujours surveiller l'apparition de paresthésies</w:t>
      </w:r>
      <w:r>
        <w:t xml:space="preserve"> et arrêter immédiatement en cas de survenue.</w:t>
      </w:r>
    </w:p>
    <w:p>
      <w:pPr>
        <w:pStyle w:val="ListNumber"/>
      </w:pPr>
      <w:r/>
      <w:r>
        <w:rPr>
          <w:b/>
        </w:rPr>
        <w:t>Toujours supplémenter en B6 les patients sous isoniazide</w:t>
      </w:r>
      <w:r>
        <w:t xml:space="preserve"> (25 à 50 mg/jour) pendant toute la durée du traitement.</w:t>
      </w:r>
    </w:p>
    <w:p>
      <w:pPr>
        <w:pStyle w:val="ListNumber"/>
      </w:pPr>
      <w:r/>
      <w:r>
        <w:rPr>
          <w:b/>
        </w:rPr>
        <w:t>Toujours supplémenter en B6 les patients sous hydralazine et pénicillamine</w:t>
      </w:r>
      <w:r>
        <w:t xml:space="preserve"> (25 à 50 mg/jour).</w:t>
      </w:r>
    </w:p>
    <w:p>
      <w:pPr>
        <w:pStyle w:val="ListNumber"/>
      </w:pPr>
      <w:r/>
      <w:r>
        <w:rPr>
          <w:b/>
        </w:rPr>
        <w:t>Toujours éviter la B6 à doses ≥ 200 mg/jour</w:t>
      </w:r>
      <w:r>
        <w:t xml:space="preserve"> sauf indication spécifique (convulsions pyridoxine-dépendantes) en milieu hospitalier.</w:t>
      </w:r>
    </w:p>
    <w:p>
      <w:pPr>
        <w:pStyle w:val="ListNumber"/>
      </w:pPr>
      <w:r/>
      <w:r>
        <w:rPr>
          <w:b/>
        </w:rPr>
        <w:t>Toujours vérifier l'ordonnance chez le patient parkinsonien sous lévodopa</w:t>
      </w:r>
      <w:r>
        <w:t xml:space="preserve"> sans inhibiteur de la dopa-décarboxylase.</w:t>
      </w:r>
    </w:p>
    <w:p>
      <w:pPr>
        <w:pStyle w:val="ListNumber"/>
      </w:pPr>
      <w:r/>
      <w:r>
        <w:rPr>
          <w:b/>
        </w:rPr>
        <w:t>Toujours vérifier l'ordonnance chez le patient épileptique</w:t>
      </w:r>
      <w:r>
        <w:t xml:space="preserve"> sous phénytoïne ou phénobarbital.</w:t>
      </w:r>
    </w:p>
    <w:p>
      <w:pPr>
        <w:pStyle w:val="ListNumber"/>
      </w:pPr>
      <w:r/>
      <w:r>
        <w:rPr>
          <w:b/>
        </w:rPr>
        <w:t>Toujours informer la patiente enceinte avec NVP</w:t>
      </w:r>
      <w:r>
        <w:t xml:space="preserve"> que la B6 est le traitement de première intention (10 à 25 mg, 3 à 4 fois par jour).</w:t>
      </w:r>
    </w:p>
    <w:p>
      <w:r/>
      <w:r>
        <w:rPr>
          <w:b/>
        </w:rPr>
        <w:t>Pièges</w:t>
      </w:r>
      <w:r>
        <w:t xml:space="preserve"> :</w:t>
      </w:r>
    </w:p>
    <w:p>
      <w:pPr>
        <w:pStyle w:val="ListNumber"/>
      </w:pPr>
      <w:r/>
      <w:r>
        <w:rPr>
          <w:b/>
        </w:rPr>
        <w:t>Patient prenant de la B6 à doses ≥ 200 mg/jour pour syndrome prémenstruel ou dépression</w:t>
      </w:r>
      <w:r>
        <w:t xml:space="preserve"> : risque élevé de neuropathie sensorielle. Réévaluation médicale nécessaire.</w:t>
      </w:r>
    </w:p>
    <w:p>
      <w:pPr>
        <w:pStyle w:val="ListNumber"/>
      </w:pPr>
      <w:r/>
      <w:r>
        <w:rPr>
          <w:b/>
        </w:rPr>
        <w:t>Patient sous isoniazide non supplémenté en B6</w:t>
      </w:r>
      <w:r>
        <w:t xml:space="preserve"> : risque de neuropathie périphérique iatrogène. Vérifier la prescription.</w:t>
      </w:r>
    </w:p>
    <w:p>
      <w:pPr>
        <w:pStyle w:val="ListNumber"/>
      </w:pPr>
      <w:r/>
      <w:r>
        <w:rPr>
          <w:b/>
        </w:rPr>
        <w:t>Femme enceinte avec NVP non traitée</w:t>
      </w:r>
      <w:r>
        <w:t xml:space="preserve"> : la B6 est le traitement de première intention. Ne pas réserver aux anti-H1 en première intention.</w:t>
      </w:r>
    </w:p>
    <w:p>
      <w:pPr>
        <w:pStyle w:val="ListNumber"/>
      </w:pPr>
      <w:r/>
      <w:r>
        <w:rPr>
          <w:b/>
        </w:rPr>
        <w:t>Patient prenant de la B6 pour « booster » l'énergie ou « anti-stress »</w:t>
      </w:r>
      <w:r>
        <w:t xml:space="preserve"> : la B6 n'a pas d'effet démontré sur l'énergie en l'absence de carence. Risque neuropathique à doses élevées.</w:t>
      </w:r>
    </w:p>
    <w:p>
      <w:pPr>
        <w:pStyle w:val="ListNumber"/>
      </w:pPr>
      <w:r/>
      <w:r>
        <w:rPr>
          <w:b/>
        </w:rPr>
        <w:t>Patient sous contraceptifs oraux non supplémenté en B6</w:t>
      </w:r>
      <w:r>
        <w:t xml:space="preserve"> : carence infra-clinique fréquente (dépression, irritabilité). Supplémentation prophylactique 2 à 5 mg/jour.</w:t>
      </w:r>
    </w:p>
    <w:p>
      <w:pPr>
        <w:pStyle w:val="ListNumber"/>
      </w:pPr>
      <w:r/>
      <w:r>
        <w:rPr>
          <w:b/>
        </w:rPr>
        <w:t>Patient âgé avec polynévrite inexpliquée</w:t>
      </w:r>
      <w:r>
        <w:t xml:space="preserve"> : vérifier l'automédication par la B6 à doses pharmacologiques (comprimés de 250 mg en automédication).</w:t>
      </w:r>
    </w:p>
    <w:p>
      <w:pPr>
        <w:pStyle w:val="ListNumber"/>
      </w:pPr>
      <w:r/>
      <w:r>
        <w:rPr>
          <w:b/>
        </w:rPr>
        <w:t>Patient avec convulsions néonatales réfractaires</w:t>
      </w:r>
      <w:r>
        <w:t xml:space="preserve"> : essai diagnostique de pyridoxine IV 50-100 mg en urgence — maladie génétique pyridoxine-dépendante (ALDH7A1).</w:t>
      </w:r>
    </w:p>
    <w:p>
      <w:pPr>
        <w:pStyle w:val="Heading3"/>
      </w:pPr>
      <w:r>
        <w:t>162.12.4. Cyanocobalamine (Vitamine B12)</w:t>
      </w:r>
    </w:p>
    <w:p>
      <w:pPr>
        <w:pStyle w:val="Heading4"/>
      </w:pPr>
      <w:r>
        <w:t>1. Catégories thérapeutiques et indications</w:t>
      </w:r>
    </w:p>
    <w:p>
      <w:r>
        <w:t xml:space="preserve">La cyanocobalamine appartient à la catégorie pharmacothérapeutique des </w:t>
      </w:r>
      <w:r>
        <w:rPr>
          <w:b/>
        </w:rPr>
        <w:t>vitamines hydrosolubles du groupe B</w:t>
      </w:r>
      <w:r>
        <w:t xml:space="preserve"> (code ATC : </w:t>
      </w:r>
      <w:r>
        <w:rPr>
          <w:b/>
        </w:rPr>
        <w:t>A11DB01</w:t>
      </w:r>
      <w:r>
        <w:t xml:space="preserve"> — cyanocobalamine ; </w:t>
      </w:r>
      <w:r>
        <w:rPr>
          <w:b/>
        </w:rPr>
        <w:t>A11DB51</w:t>
      </w:r>
      <w:r>
        <w:t xml:space="preserve"> — associations avec l'acide folique). Elle est classée parmi les vitamines B12 isolées. Les indications thérapeutiques validées sont les suivantes : (i) </w:t>
      </w:r>
      <w:r>
        <w:rPr>
          <w:b/>
        </w:rPr>
        <w:t>traitement curatif de la carence en vitamine B12</w:t>
      </w:r>
      <w:r>
        <w:t xml:space="preserve"> avérée ou suspectée — anémie de Biermer (anémie pernicieuse auto-immune, auto-anticorps anti-cellules pariétales et anti-facteur intrinsèque), anémie mégaloblastique macrocytaire (MCV &gt; 100 fL, hypersegmentation des polynucléaires, macro-ovocytes, leucopénie, thrombopénie), neuropathie périphérique carentielle, sclérose combinée de la moelle (myélose funiculaire), troubles cognitifs carentiels (démence réversible si diagnostic précoce), troubles psychiatriques carentiels (psychose de Birchall) ; (ii) </w:t>
      </w:r>
      <w:r>
        <w:rPr>
          <w:b/>
        </w:rPr>
        <w:t>prophylaxie de la carence en B12</w:t>
      </w:r>
      <w:r>
        <w:t xml:space="preserve"> chez les patients après gastrectomie totale ou partielle, après bypass gastrique en Y, sous IPP au long cours (omeprazole ≥ 1 an), sous metformine au long cours, végétaliens stricts, sujets âgés avec atrophie gastrique ; (iii) </w:t>
      </w:r>
      <w:r>
        <w:rPr>
          <w:b/>
        </w:rPr>
        <w:t>traitement des neuropathies périphériques</w:t>
      </w:r>
      <w:r>
        <w:t xml:space="preserve"> d'origine diabétique, alcoolique, carentielle — en association avec B1 et B6 (efficacité contestée par la Cochrane mais prescription largement répandue en Algérie et en France) ; (iv) </w:t>
      </w:r>
      <w:r>
        <w:rPr>
          <w:b/>
        </w:rPr>
        <w:t>intoxication par le cyanure</w:t>
      </w:r>
      <w:r>
        <w:t xml:space="preserve"> (hydroxocobalamine — Cyanokit, forme non traitée ici) ; (v) </w:t>
      </w:r>
      <w:r>
        <w:rPr>
          <w:b/>
        </w:rPr>
        <w:t>supplémentation systématique des patients dialysés chroniques</w:t>
      </w:r>
      <w:r>
        <w:t xml:space="preserve"> (fuite dialytique de transcobalamine).</w:t>
      </w:r>
    </w:p>
    <w:p>
      <w:pPr>
        <w:pStyle w:val="Heading4"/>
      </w:pPr>
      <w:r>
        <w:t>2. Spécialités pharmaceutiques commercialisées en Algérie</w:t>
      </w:r>
    </w:p>
    <w:p>
      <w:r>
        <w:t>Le tableau ci-dessous présente l'ensemble des spécialités de cyanocobalamine (B12) recensées dans la nomenclature algérienne (Avril 2026), classées par statut réglementaire. Les associations B1+B6+B12 sont incluses car elles contiennent de la cyanocobalamine.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COBAMINE</w:t>
            </w:r>
          </w:p>
        </w:tc>
        <w:tc>
          <w:tcPr>
            <w:tcW w:type="dxa" w:w="1559"/>
          </w:tcPr>
          <w:p>
            <w:r>
              <w:rPr>
                <w:sz w:val="20"/>
              </w:rPr>
              <w:t>GROUPE SAIDAL</w:t>
            </w:r>
          </w:p>
        </w:tc>
        <w:tc>
          <w:tcPr>
            <w:tcW w:type="dxa" w:w="1559"/>
          </w:tcPr>
          <w:p>
            <w:r>
              <w:rPr>
                <w:sz w:val="20"/>
              </w:rPr>
              <w:t>Solution injectable IM, 1000 µg/mL</w:t>
            </w:r>
          </w:p>
        </w:tc>
        <w:tc>
          <w:tcPr>
            <w:tcW w:type="dxa" w:w="1559"/>
          </w:tcPr>
          <w:p>
            <w:r>
              <w:rPr>
                <w:sz w:val="20"/>
              </w:rPr>
              <w:t>B/5 amp. 1 mL</w:t>
            </w:r>
          </w:p>
        </w:tc>
        <w:tc>
          <w:tcPr>
            <w:tcW w:type="dxa" w:w="1559"/>
          </w:tcPr>
          <w:p>
            <w:r>
              <w:rPr>
                <w:sz w:val="20"/>
              </w:rPr>
              <w:t>Hors liste</w:t>
            </w:r>
          </w:p>
        </w:tc>
        <w:tc>
          <w:tcPr>
            <w:tcW w:type="dxa" w:w="1559"/>
          </w:tcPr>
          <w:p>
            <w:r>
              <w:rPr>
                <w:sz w:val="20"/>
              </w:rPr>
              <w:t>ACTIF</w:t>
            </w:r>
          </w:p>
        </w:tc>
      </w:tr>
      <w:tr>
        <w:tc>
          <w:tcPr>
            <w:tcW w:type="dxa" w:w="1559"/>
          </w:tcPr>
          <w:p>
            <w:r>
              <w:rPr>
                <w:sz w:val="20"/>
              </w:rPr>
              <w:t>VIT B12</w:t>
            </w:r>
          </w:p>
        </w:tc>
        <w:tc>
          <w:tcPr>
            <w:tcW w:type="dxa" w:w="1559"/>
          </w:tcPr>
          <w:p>
            <w:r>
              <w:rPr>
                <w:sz w:val="20"/>
              </w:rPr>
              <w:t>HUPP PHARMA</w:t>
            </w:r>
          </w:p>
        </w:tc>
        <w:tc>
          <w:tcPr>
            <w:tcW w:type="dxa" w:w="1559"/>
          </w:tcPr>
          <w:p>
            <w:r>
              <w:rPr>
                <w:sz w:val="20"/>
              </w:rPr>
              <w:t>Solution injectable, 1000 µg/mL</w:t>
            </w:r>
          </w:p>
        </w:tc>
        <w:tc>
          <w:tcPr>
            <w:tcW w:type="dxa" w:w="1559"/>
          </w:tcPr>
          <w:p>
            <w:r>
              <w:rPr>
                <w:sz w:val="20"/>
              </w:rPr>
              <w:t>B/5 amp. 1 mL</w:t>
            </w:r>
          </w:p>
        </w:tc>
        <w:tc>
          <w:tcPr>
            <w:tcW w:type="dxa" w:w="1559"/>
          </w:tcPr>
          <w:p>
            <w:r>
              <w:rPr>
                <w:sz w:val="20"/>
              </w:rPr>
              <w:t>Hors liste</w:t>
            </w:r>
          </w:p>
        </w:tc>
        <w:tc>
          <w:tcPr>
            <w:tcW w:type="dxa" w:w="1559"/>
          </w:tcPr>
          <w:p>
            <w:r>
              <w:rPr>
                <w:sz w:val="20"/>
              </w:rPr>
              <w:t>ACTIF</w:t>
            </w:r>
          </w:p>
        </w:tc>
      </w:tr>
      <w:tr>
        <w:tc>
          <w:tcPr>
            <w:tcW w:type="dxa" w:w="1559"/>
          </w:tcPr>
          <w:p>
            <w:r>
              <w:rPr>
                <w:sz w:val="20"/>
              </w:rPr>
              <w:t>VITAMINE B12 GEO</w:t>
            </w:r>
          </w:p>
        </w:tc>
        <w:tc>
          <w:tcPr>
            <w:tcW w:type="dxa" w:w="1559"/>
          </w:tcPr>
          <w:p>
            <w:r>
              <w:rPr>
                <w:sz w:val="20"/>
              </w:rPr>
              <w:t>GEOPHARM</w:t>
            </w:r>
          </w:p>
        </w:tc>
        <w:tc>
          <w:tcPr>
            <w:tcW w:type="dxa" w:w="1559"/>
          </w:tcPr>
          <w:p>
            <w:r>
              <w:rPr>
                <w:sz w:val="20"/>
              </w:rPr>
              <w:t>Solution injectable et buvable, 1000 µg/mL</w:t>
            </w:r>
          </w:p>
        </w:tc>
        <w:tc>
          <w:tcPr>
            <w:tcW w:type="dxa" w:w="1559"/>
          </w:tcPr>
          <w:p>
            <w:r>
              <w:rPr>
                <w:sz w:val="20"/>
              </w:rPr>
              <w:t>B/5 amp. 1 mL</w:t>
            </w:r>
          </w:p>
        </w:tc>
        <w:tc>
          <w:tcPr>
            <w:tcW w:type="dxa" w:w="1559"/>
          </w:tcPr>
          <w:p>
            <w:r>
              <w:rPr>
                <w:sz w:val="20"/>
              </w:rPr>
              <w:t>Hors liste</w:t>
            </w:r>
          </w:p>
        </w:tc>
        <w:tc>
          <w:tcPr>
            <w:tcW w:type="dxa" w:w="1559"/>
          </w:tcPr>
          <w:p>
            <w:r>
              <w:rPr>
                <w:sz w:val="20"/>
              </w:rPr>
              <w:t>ACTIF</w:t>
            </w:r>
          </w:p>
        </w:tc>
      </w:tr>
      <w:tr>
        <w:tc>
          <w:tcPr>
            <w:tcW w:type="dxa" w:w="1559"/>
          </w:tcPr>
          <w:p>
            <w:r>
              <w:rPr>
                <w:sz w:val="20"/>
              </w:rPr>
              <w:t>COBAVIT</w:t>
            </w:r>
          </w:p>
        </w:tc>
        <w:tc>
          <w:tcPr>
            <w:tcW w:type="dxa" w:w="1559"/>
          </w:tcPr>
          <w:p>
            <w:r>
              <w:rPr>
                <w:sz w:val="20"/>
              </w:rPr>
              <w:t>BIOTHERA</w:t>
            </w:r>
          </w:p>
        </w:tc>
        <w:tc>
          <w:tcPr>
            <w:tcW w:type="dxa" w:w="1559"/>
          </w:tcPr>
          <w:p>
            <w:r>
              <w:rPr>
                <w:sz w:val="20"/>
              </w:rPr>
              <w:t>Solution injectable et buvable, 1000 µg/2 mL</w:t>
            </w:r>
          </w:p>
        </w:tc>
        <w:tc>
          <w:tcPr>
            <w:tcW w:type="dxa" w:w="1559"/>
          </w:tcPr>
          <w:p>
            <w:r>
              <w:rPr>
                <w:sz w:val="20"/>
              </w:rPr>
              <w:t>B/5 amp. 2 mL</w:t>
            </w:r>
          </w:p>
        </w:tc>
        <w:tc>
          <w:tcPr>
            <w:tcW w:type="dxa" w:w="1559"/>
          </w:tcPr>
          <w:p>
            <w:r>
              <w:rPr>
                <w:sz w:val="20"/>
              </w:rPr>
              <w:t>Hors liste</w:t>
            </w:r>
          </w:p>
        </w:tc>
        <w:tc>
          <w:tcPr>
            <w:tcW w:type="dxa" w:w="1559"/>
          </w:tcPr>
          <w:p>
            <w:r>
              <w:rPr>
                <w:sz w:val="20"/>
              </w:rPr>
              <w:t>ACTIF</w:t>
            </w:r>
          </w:p>
        </w:tc>
      </w:tr>
      <w:tr>
        <w:tc>
          <w:tcPr>
            <w:tcW w:type="dxa" w:w="1559"/>
          </w:tcPr>
          <w:p>
            <w:r>
              <w:rPr>
                <w:sz w:val="20"/>
              </w:rPr>
              <w:t>RAZICOBAL B12</w:t>
            </w:r>
          </w:p>
        </w:tc>
        <w:tc>
          <w:tcPr>
            <w:tcW w:type="dxa" w:w="1559"/>
          </w:tcPr>
          <w:p>
            <w:r>
              <w:rPr>
                <w:sz w:val="20"/>
              </w:rPr>
              <w:t>LES LABORATOIRES FRATER RAZES</w:t>
            </w:r>
          </w:p>
        </w:tc>
        <w:tc>
          <w:tcPr>
            <w:tcW w:type="dxa" w:w="1559"/>
          </w:tcPr>
          <w:p>
            <w:r>
              <w:rPr>
                <w:sz w:val="20"/>
              </w:rPr>
              <w:t>Solution injectable et buvable, 1000 µg/2 mL</w:t>
            </w:r>
          </w:p>
        </w:tc>
        <w:tc>
          <w:tcPr>
            <w:tcW w:type="dxa" w:w="1559"/>
          </w:tcPr>
          <w:p>
            <w:r>
              <w:rPr>
                <w:sz w:val="20"/>
              </w:rPr>
              <w:t>B/5 amp. 2 mL</w:t>
            </w:r>
          </w:p>
        </w:tc>
        <w:tc>
          <w:tcPr>
            <w:tcW w:type="dxa" w:w="1559"/>
          </w:tcPr>
          <w:p>
            <w:r>
              <w:rPr>
                <w:sz w:val="20"/>
              </w:rPr>
              <w:t>Hors liste</w:t>
            </w:r>
          </w:p>
        </w:tc>
        <w:tc>
          <w:tcPr>
            <w:tcW w:type="dxa" w:w="1559"/>
          </w:tcPr>
          <w:p>
            <w:r>
              <w:rPr>
                <w:sz w:val="20"/>
              </w:rPr>
              <w:t>ACTIF</w:t>
            </w:r>
          </w:p>
        </w:tc>
      </w:tr>
      <w:tr>
        <w:tc>
          <w:tcPr>
            <w:tcW w:type="dxa" w:w="1559"/>
          </w:tcPr>
          <w:p>
            <w:r>
              <w:rPr>
                <w:sz w:val="20"/>
              </w:rPr>
              <w:t>VIT B 12</w:t>
            </w:r>
          </w:p>
        </w:tc>
        <w:tc>
          <w:tcPr>
            <w:tcW w:type="dxa" w:w="1559"/>
          </w:tcPr>
          <w:p>
            <w:r>
              <w:rPr>
                <w:sz w:val="20"/>
              </w:rPr>
              <w:t>HUPP PHARMA</w:t>
            </w:r>
          </w:p>
        </w:tc>
        <w:tc>
          <w:tcPr>
            <w:tcW w:type="dxa" w:w="1559"/>
          </w:tcPr>
          <w:p>
            <w:r>
              <w:rPr>
                <w:sz w:val="20"/>
              </w:rPr>
              <w:t>Solution injectable IM et buvable, 1000 µg/2 mL</w:t>
            </w:r>
          </w:p>
        </w:tc>
        <w:tc>
          <w:tcPr>
            <w:tcW w:type="dxa" w:w="1559"/>
          </w:tcPr>
          <w:p>
            <w:r>
              <w:rPr>
                <w:sz w:val="20"/>
              </w:rPr>
              <w:t>B/5 amp. 2 mL</w:t>
            </w:r>
          </w:p>
        </w:tc>
        <w:tc>
          <w:tcPr>
            <w:tcW w:type="dxa" w:w="1559"/>
          </w:tcPr>
          <w:p>
            <w:r>
              <w:rPr>
                <w:sz w:val="20"/>
              </w:rPr>
              <w:t>Hors liste</w:t>
            </w:r>
          </w:p>
        </w:tc>
        <w:tc>
          <w:tcPr>
            <w:tcW w:type="dxa" w:w="1559"/>
          </w:tcPr>
          <w:p>
            <w:r>
              <w:rPr>
                <w:sz w:val="20"/>
              </w:rPr>
              <w:t>ACTIF</w:t>
            </w:r>
          </w:p>
        </w:tc>
      </w:tr>
      <w:tr>
        <w:tc>
          <w:tcPr>
            <w:tcW w:type="dxa" w:w="1559"/>
          </w:tcPr>
          <w:p>
            <w:r>
              <w:rPr>
                <w:sz w:val="20"/>
              </w:rPr>
              <w:t>TROIS B</w:t>
            </w:r>
          </w:p>
        </w:tc>
        <w:tc>
          <w:tcPr>
            <w:tcW w:type="dxa" w:w="1559"/>
          </w:tcPr>
          <w:p>
            <w:r>
              <w:rPr>
                <w:sz w:val="20"/>
              </w:rPr>
              <w:t>BIOCARE</w:t>
            </w:r>
          </w:p>
        </w:tc>
        <w:tc>
          <w:tcPr>
            <w:tcW w:type="dxa" w:w="1559"/>
          </w:tcPr>
          <w:p>
            <w:r>
              <w:rPr>
                <w:sz w:val="20"/>
              </w:rPr>
              <w:t>Comprimé enrobé, B1 125 mg + B6 125 mg + B12 0,55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w:t>
            </w:r>
          </w:p>
        </w:tc>
        <w:tc>
          <w:tcPr>
            <w:tcW w:type="dxa" w:w="1559"/>
          </w:tcPr>
          <w:p>
            <w:r>
              <w:rPr>
                <w:sz w:val="20"/>
              </w:rPr>
              <w:t>INPHA-MEDIS</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TRI-B-VIT HUP</w:t>
            </w:r>
          </w:p>
        </w:tc>
        <w:tc>
          <w:tcPr>
            <w:tcW w:type="dxa" w:w="1559"/>
          </w:tcPr>
          <w:p>
            <w:r>
              <w:rPr>
                <w:sz w:val="20"/>
              </w:rPr>
              <w:t>HUPP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DQA TRIVIT</w:t>
            </w:r>
          </w:p>
        </w:tc>
        <w:tc>
          <w:tcPr>
            <w:tcW w:type="dxa" w:w="1559"/>
          </w:tcPr>
          <w:p>
            <w:r>
              <w:rPr>
                <w:sz w:val="20"/>
              </w:rPr>
              <w:t>DQA PHARMA</w:t>
            </w:r>
          </w:p>
        </w:tc>
        <w:tc>
          <w:tcPr>
            <w:tcW w:type="dxa" w:w="1559"/>
          </w:tcPr>
          <w:p>
            <w:r>
              <w:rPr>
                <w:sz w:val="20"/>
              </w:rPr>
              <w:t>Comprimé pelliculé, B1 200 mg + B6 100 mg + B12 1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VITAMINE B12</w:t>
            </w:r>
          </w:p>
        </w:tc>
        <w:tc>
          <w:tcPr>
            <w:tcW w:type="dxa" w:w="1559"/>
          </w:tcPr>
          <w:p>
            <w:r>
              <w:rPr>
                <w:sz w:val="20"/>
              </w:rPr>
              <w:t>SANDOZ SPA</w:t>
            </w:r>
          </w:p>
        </w:tc>
        <w:tc>
          <w:tcPr>
            <w:tcW w:type="dxa" w:w="1559"/>
          </w:tcPr>
          <w:p>
            <w:r>
              <w:rPr>
                <w:sz w:val="20"/>
              </w:rPr>
              <w:t>Solution injectable, 1000 µg/4 mL</w:t>
            </w:r>
          </w:p>
        </w:tc>
        <w:tc>
          <w:tcPr>
            <w:tcW w:type="dxa" w:w="1559"/>
          </w:tcPr>
          <w:p>
            <w:r>
              <w:rPr>
                <w:sz w:val="20"/>
              </w:rPr>
              <w:t>B/6 amp. 4 mL</w:t>
            </w:r>
          </w:p>
        </w:tc>
        <w:tc>
          <w:tcPr>
            <w:tcW w:type="dxa" w:w="1559"/>
          </w:tcPr>
          <w:p>
            <w:r>
              <w:rPr>
                <w:sz w:val="20"/>
              </w:rPr>
              <w:t>Hors liste</w:t>
            </w:r>
          </w:p>
        </w:tc>
        <w:tc>
          <w:tcPr>
            <w:tcW w:type="dxa" w:w="1559"/>
          </w:tcPr>
          <w:p>
            <w:r>
              <w:rPr>
                <w:sz w:val="20"/>
              </w:rPr>
              <w:t>RETRAIT</w:t>
            </w:r>
          </w:p>
        </w:tc>
      </w:tr>
      <w:tr>
        <w:tc>
          <w:tcPr>
            <w:tcW w:type="dxa" w:w="1559"/>
          </w:tcPr>
          <w:p>
            <w:r>
              <w:rPr>
                <w:sz w:val="20"/>
              </w:rPr>
              <w:t>CYANOCOBALAMINE</w:t>
            </w:r>
          </w:p>
        </w:tc>
        <w:tc>
          <w:tcPr>
            <w:tcW w:type="dxa" w:w="1559"/>
          </w:tcPr>
          <w:p>
            <w:r>
              <w:rPr>
                <w:sz w:val="20"/>
              </w:rPr>
              <w:t>RENAUDIN</w:t>
            </w:r>
          </w:p>
        </w:tc>
        <w:tc>
          <w:tcPr>
            <w:tcW w:type="dxa" w:w="1559"/>
          </w:tcPr>
          <w:p>
            <w:r>
              <w:rPr>
                <w:sz w:val="20"/>
              </w:rPr>
              <w:t>Solution injectable, 1000 µg/mL</w:t>
            </w:r>
          </w:p>
        </w:tc>
        <w:tc>
          <w:tcPr>
            <w:tcW w:type="dxa" w:w="1559"/>
          </w:tcPr>
          <w:p>
            <w:r>
              <w:rPr>
                <w:sz w:val="20"/>
              </w:rPr>
              <w:t>B/5</w:t>
            </w:r>
          </w:p>
        </w:tc>
        <w:tc>
          <w:tcPr>
            <w:tcW w:type="dxa" w:w="1559"/>
          </w:tcPr>
          <w:p>
            <w:r>
              <w:rPr>
                <w:sz w:val="20"/>
              </w:rPr>
              <w:t>Hors liste</w:t>
            </w:r>
          </w:p>
        </w:tc>
        <w:tc>
          <w:tcPr>
            <w:tcW w:type="dxa" w:w="1559"/>
          </w:tcPr>
          <w:p>
            <w:r>
              <w:rPr>
                <w:sz w:val="20"/>
              </w:rPr>
              <w:t>RETRAIT</w:t>
            </w:r>
          </w:p>
        </w:tc>
      </w:tr>
      <w:tr>
        <w:tc>
          <w:tcPr>
            <w:tcW w:type="dxa" w:w="1559"/>
          </w:tcPr>
          <w:p>
            <w:r>
              <w:rPr>
                <w:sz w:val="20"/>
              </w:rPr>
              <w:t>INTRAMED VITAMINE B12</w:t>
            </w:r>
          </w:p>
        </w:tc>
        <w:tc>
          <w:tcPr>
            <w:tcW w:type="dxa" w:w="1559"/>
          </w:tcPr>
          <w:p>
            <w:r>
              <w:rPr>
                <w:sz w:val="20"/>
              </w:rPr>
              <w:t>PHARMACARE LIMITED</w:t>
            </w:r>
          </w:p>
        </w:tc>
        <w:tc>
          <w:tcPr>
            <w:tcW w:type="dxa" w:w="1559"/>
          </w:tcPr>
          <w:p>
            <w:r>
              <w:rPr>
                <w:sz w:val="20"/>
              </w:rPr>
              <w:t>Solution injectable, 1000 µg</w:t>
            </w:r>
          </w:p>
        </w:tc>
        <w:tc>
          <w:tcPr>
            <w:tcW w:type="dxa" w:w="1559"/>
          </w:tcPr>
          <w:p>
            <w:r>
              <w:rPr>
                <w:sz w:val="20"/>
              </w:rPr>
              <w:t>B/10</w:t>
            </w:r>
          </w:p>
        </w:tc>
        <w:tc>
          <w:tcPr>
            <w:tcW w:type="dxa" w:w="1559"/>
          </w:tcPr>
          <w:p>
            <w:r>
              <w:rPr>
                <w:sz w:val="20"/>
              </w:rPr>
              <w:t>Hors liste</w:t>
            </w:r>
          </w:p>
        </w:tc>
        <w:tc>
          <w:tcPr>
            <w:tcW w:type="dxa" w:w="1559"/>
          </w:tcPr>
          <w:p>
            <w:r>
              <w:rPr>
                <w:sz w:val="20"/>
              </w:rPr>
              <w:t>RETRAIT</w:t>
            </w:r>
          </w:p>
        </w:tc>
      </w:tr>
      <w:tr>
        <w:tc>
          <w:tcPr>
            <w:tcW w:type="dxa" w:w="1559"/>
          </w:tcPr>
          <w:p>
            <w:r>
              <w:rPr>
                <w:sz w:val="20"/>
              </w:rPr>
              <w:t>VITAMINE B12 GERDA</w:t>
            </w:r>
          </w:p>
        </w:tc>
        <w:tc>
          <w:tcPr>
            <w:tcW w:type="dxa" w:w="1559"/>
          </w:tcPr>
          <w:p>
            <w:r>
              <w:rPr>
                <w:sz w:val="20"/>
              </w:rPr>
              <w:t>VECOPHARM</w:t>
            </w:r>
          </w:p>
        </w:tc>
        <w:tc>
          <w:tcPr>
            <w:tcW w:type="dxa" w:w="1559"/>
          </w:tcPr>
          <w:p>
            <w:r>
              <w:rPr>
                <w:sz w:val="20"/>
              </w:rPr>
              <w:t>Solution injectable, 1000 µg/mL</w:t>
            </w:r>
          </w:p>
        </w:tc>
        <w:tc>
          <w:tcPr>
            <w:tcW w:type="dxa" w:w="1559"/>
          </w:tcPr>
          <w:p>
            <w:r>
              <w:rPr>
                <w:sz w:val="20"/>
              </w:rPr>
              <w:t>B/6 amp. 4 mL</w:t>
            </w:r>
          </w:p>
        </w:tc>
        <w:tc>
          <w:tcPr>
            <w:tcW w:type="dxa" w:w="1559"/>
          </w:tcPr>
          <w:p>
            <w:r>
              <w:rPr>
                <w:sz w:val="20"/>
              </w:rPr>
              <w:t>Hors liste</w:t>
            </w:r>
          </w:p>
        </w:tc>
        <w:tc>
          <w:tcPr>
            <w:tcW w:type="dxa" w:w="1559"/>
          </w:tcPr>
          <w:p>
            <w:r>
              <w:rPr>
                <w:sz w:val="20"/>
              </w:rPr>
              <w:t>RETRAIT</w:t>
            </w:r>
          </w:p>
        </w:tc>
      </w:tr>
      <w:tr>
        <w:tc>
          <w:tcPr>
            <w:tcW w:type="dxa" w:w="1559"/>
          </w:tcPr>
          <w:p>
            <w:r>
              <w:rPr>
                <w:sz w:val="20"/>
              </w:rPr>
              <w:t>VITAMINE B12 AGUETTANT</w:t>
            </w:r>
          </w:p>
        </w:tc>
        <w:tc>
          <w:tcPr>
            <w:tcW w:type="dxa" w:w="1559"/>
          </w:tcPr>
          <w:p>
            <w:r>
              <w:rPr>
                <w:sz w:val="20"/>
              </w:rPr>
              <w:t>AGUETTANT</w:t>
            </w:r>
          </w:p>
        </w:tc>
        <w:tc>
          <w:tcPr>
            <w:tcW w:type="dxa" w:w="1559"/>
          </w:tcPr>
          <w:p>
            <w:r>
              <w:rPr>
                <w:sz w:val="20"/>
              </w:rPr>
              <w:t>Solution injectable, 1000 µg</w:t>
            </w:r>
          </w:p>
        </w:tc>
        <w:tc>
          <w:tcPr>
            <w:tcW w:type="dxa" w:w="1559"/>
          </w:tcPr>
          <w:p>
            <w:r>
              <w:rPr>
                <w:sz w:val="20"/>
              </w:rPr>
              <w:t>B/10</w:t>
            </w:r>
          </w:p>
        </w:tc>
        <w:tc>
          <w:tcPr>
            <w:tcW w:type="dxa" w:w="1559"/>
          </w:tcPr>
          <w:p>
            <w:r>
              <w:rPr>
                <w:sz w:val="20"/>
              </w:rPr>
              <w:t>Hors liste</w:t>
            </w:r>
          </w:p>
        </w:tc>
        <w:tc>
          <w:tcPr>
            <w:tcW w:type="dxa" w:w="1559"/>
          </w:tcPr>
          <w:p>
            <w:r>
              <w:rPr>
                <w:sz w:val="20"/>
              </w:rPr>
              <w:t>RETRAIT</w:t>
            </w:r>
          </w:p>
        </w:tc>
      </w:tr>
      <w:tr>
        <w:tc>
          <w:tcPr>
            <w:tcW w:type="dxa" w:w="1559"/>
          </w:tcPr>
          <w:p>
            <w:r>
              <w:rPr>
                <w:sz w:val="20"/>
              </w:rPr>
              <w:t>WERAVIT B12</w:t>
            </w:r>
          </w:p>
        </w:tc>
        <w:tc>
          <w:tcPr>
            <w:tcW w:type="dxa" w:w="1559"/>
          </w:tcPr>
          <w:p>
            <w:r>
              <w:rPr>
                <w:sz w:val="20"/>
              </w:rPr>
              <w:t>WEIMER PHARMA</w:t>
            </w:r>
          </w:p>
        </w:tc>
        <w:tc>
          <w:tcPr>
            <w:tcW w:type="dxa" w:w="1559"/>
          </w:tcPr>
          <w:p>
            <w:r>
              <w:rPr>
                <w:sz w:val="20"/>
              </w:rPr>
              <w:t>Solution injectable, 1000 µg/mL</w:t>
            </w:r>
          </w:p>
        </w:tc>
        <w:tc>
          <w:tcPr>
            <w:tcW w:type="dxa" w:w="1559"/>
          </w:tcPr>
          <w:p>
            <w:r>
              <w:rPr>
                <w:sz w:val="20"/>
              </w:rPr>
              <w:t>B/5</w:t>
            </w:r>
          </w:p>
        </w:tc>
        <w:tc>
          <w:tcPr>
            <w:tcW w:type="dxa" w:w="1559"/>
          </w:tcPr>
          <w:p>
            <w:r>
              <w:rPr>
                <w:sz w:val="20"/>
              </w:rPr>
              <w:t>Hors liste</w:t>
            </w:r>
          </w:p>
        </w:tc>
        <w:tc>
          <w:tcPr>
            <w:tcW w:type="dxa" w:w="1559"/>
          </w:tcPr>
          <w:p>
            <w:r>
              <w:rPr>
                <w:sz w:val="20"/>
              </w:rPr>
              <w:t>RETRAIT</w:t>
            </w:r>
          </w:p>
        </w:tc>
      </w:tr>
      <w:tr>
        <w:tc>
          <w:tcPr>
            <w:tcW w:type="dxa" w:w="1559"/>
          </w:tcPr>
          <w:p>
            <w:r>
              <w:rPr>
                <w:sz w:val="20"/>
              </w:rPr>
              <w:t>DONEURINE</w:t>
            </w:r>
          </w:p>
        </w:tc>
        <w:tc>
          <w:tcPr>
            <w:tcW w:type="dxa" w:w="1559"/>
          </w:tcPr>
          <w:p>
            <w:r>
              <w:rPr>
                <w:sz w:val="20"/>
              </w:rPr>
              <w:t>LPM</w:t>
            </w:r>
          </w:p>
        </w:tc>
        <w:tc>
          <w:tcPr>
            <w:tcW w:type="dxa" w:w="1559"/>
          </w:tcPr>
          <w:p>
            <w:r>
              <w:rPr>
                <w:sz w:val="20"/>
              </w:rPr>
              <w:t>Solution injectable, 1000 µg/mL</w:t>
            </w:r>
          </w:p>
        </w:tc>
        <w:tc>
          <w:tcPr>
            <w:tcW w:type="dxa" w:w="1559"/>
          </w:tcPr>
          <w:p>
            <w:r>
              <w:rPr>
                <w:sz w:val="20"/>
              </w:rPr>
              <w:t>B/10</w:t>
            </w:r>
          </w:p>
        </w:tc>
        <w:tc>
          <w:tcPr>
            <w:tcW w:type="dxa" w:w="1559"/>
          </w:tcPr>
          <w:p>
            <w:r>
              <w:rPr>
                <w:sz w:val="20"/>
              </w:rPr>
              <w:t>Hors liste</w:t>
            </w:r>
          </w:p>
        </w:tc>
        <w:tc>
          <w:tcPr>
            <w:tcW w:type="dxa" w:w="1559"/>
          </w:tcPr>
          <w:p>
            <w:r>
              <w:rPr>
                <w:sz w:val="20"/>
              </w:rPr>
              <w:t>RETRAIT</w:t>
            </w:r>
          </w:p>
        </w:tc>
      </w:tr>
      <w:tr>
        <w:tc>
          <w:tcPr>
            <w:tcW w:type="dxa" w:w="1559"/>
          </w:tcPr>
          <w:p>
            <w:r>
              <w:rPr>
                <w:sz w:val="20"/>
              </w:rPr>
              <w:t>WERAVIT B12</w:t>
            </w:r>
          </w:p>
        </w:tc>
        <w:tc>
          <w:tcPr>
            <w:tcW w:type="dxa" w:w="1559"/>
          </w:tcPr>
          <w:p>
            <w:r>
              <w:rPr>
                <w:sz w:val="20"/>
              </w:rPr>
              <w:t>WEIMER PHARMA</w:t>
            </w:r>
          </w:p>
        </w:tc>
        <w:tc>
          <w:tcPr>
            <w:tcW w:type="dxa" w:w="1559"/>
          </w:tcPr>
          <w:p>
            <w:r>
              <w:rPr>
                <w:sz w:val="20"/>
              </w:rPr>
              <w:t>Solution injectable, 100 µg/mL</w:t>
            </w:r>
          </w:p>
        </w:tc>
        <w:tc>
          <w:tcPr>
            <w:tcW w:type="dxa" w:w="1559"/>
          </w:tcPr>
          <w:p>
            <w:r>
              <w:rPr>
                <w:sz w:val="20"/>
              </w:rPr>
              <w:t>B/5 amp. 1 mL</w:t>
            </w:r>
          </w:p>
        </w:tc>
        <w:tc>
          <w:tcPr>
            <w:tcW w:type="dxa" w:w="1559"/>
          </w:tcPr>
          <w:p>
            <w:r>
              <w:rPr>
                <w:sz w:val="20"/>
              </w:rPr>
              <w:t>Hors liste</w:t>
            </w:r>
          </w:p>
        </w:tc>
        <w:tc>
          <w:tcPr>
            <w:tcW w:type="dxa" w:w="1559"/>
          </w:tcPr>
          <w:p>
            <w:r>
              <w:rPr>
                <w:sz w:val="20"/>
              </w:rPr>
              <w:t>RETRAIT</w:t>
            </w:r>
          </w:p>
        </w:tc>
      </w:tr>
      <w:tr>
        <w:tc>
          <w:tcPr>
            <w:tcW w:type="dxa" w:w="1559"/>
          </w:tcPr>
          <w:p>
            <w:r>
              <w:rPr>
                <w:sz w:val="20"/>
              </w:rPr>
              <w:t>CYANOCOBAL</w:t>
            </w:r>
          </w:p>
        </w:tc>
        <w:tc>
          <w:tcPr>
            <w:tcW w:type="dxa" w:w="1559"/>
          </w:tcPr>
          <w:p>
            <w:r>
              <w:rPr>
                <w:sz w:val="20"/>
              </w:rPr>
              <w:t>SOPHAL</w:t>
            </w:r>
          </w:p>
        </w:tc>
        <w:tc>
          <w:tcPr>
            <w:tcW w:type="dxa" w:w="1559"/>
          </w:tcPr>
          <w:p>
            <w:r>
              <w:rPr>
                <w:sz w:val="20"/>
              </w:rPr>
              <w:t>Solution injectable, 500 µg/mL ou 1000 µg/2 mL</w:t>
            </w:r>
          </w:p>
        </w:tc>
        <w:tc>
          <w:tcPr>
            <w:tcW w:type="dxa" w:w="1559"/>
          </w:tcPr>
          <w:p>
            <w:r>
              <w:rPr>
                <w:sz w:val="20"/>
              </w:rPr>
              <w:t>B/5 amp. 2 mL</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(9 spécialités, dont 6 sont des formes injectables et buvables à 1000 µg/mL ou 1000 µg/2 mL) sont dominées par les producteurs locaux algériens (Saidal, Frater-Razes, Geopharm, Hupp Pharma, Biothera, BIOCARE, Inpha-Medis). La concentration à 1000 µg/mL (1 mg/mL) est la forme standard pour le traitement d'attaque des carences avérées. Les spécialités historiques (CYANOCOBAL, VITAMINE B12 SANDOZ, VITAMINE B12 GERDA, VITAMINE B12 AGUETTANT, WERAVIT B12, INTRAMED VITAMINE B12, DONEURINE) sont retirées du marché algérien. L'absence de spécialité orale simple de B12 (en dehors des associations B1+B6+B12 et des multivitamines) impose aux praticiens algériens d'utiliser la voie injectable IM ou IV pour les carences avérées, et les solutions buvables (COBAVIT, RAZICOBAL B12, VIT B12 HUPP) pour l'entretien oral à doses pharmacologiques (1 mg/jour) — en particulier en cas de malabsorption (1000 µg/jour per os suffit en raison de l'absorption passive saturable à 1 %).</w:t>
      </w:r>
    </w:p>
    <w:p>
      <w:pPr>
        <w:pStyle w:val="Heading4"/>
      </w:pPr>
      <w:r>
        <w:t>3. Mécanisme d'action moléculaire détaillé</w:t>
      </w:r>
    </w:p>
    <w:p>
      <w:r>
        <w:t xml:space="preserve">La cyanocobalamine est convertie in vivo en deux formes actives : (1) la </w:t>
      </w:r>
      <w:r>
        <w:rPr>
          <w:b/>
        </w:rPr>
        <w:t>méthylcobalamine</w:t>
      </w:r>
      <w:r>
        <w:t xml:space="preserve"> (cytosolique), coenzyme de la </w:t>
      </w:r>
      <w:r>
        <w:rPr>
          <w:b/>
        </w:rPr>
        <w:t>méthionine synthase</w:t>
      </w:r>
      <w:r>
        <w:t xml:space="preserve"> ; (2) l'</w:t>
      </w:r>
      <w:r>
        <w:rPr>
          <w:b/>
        </w:rPr>
        <w:t>adénosylcobalamine</w:t>
      </w:r>
      <w:r>
        <w:t xml:space="preserve"> (mitochondriale), coenzyme de la </w:t>
      </w:r>
      <w:r>
        <w:rPr>
          <w:b/>
        </w:rPr>
        <w:t>méthylmalonyl-CoA mutase</w:t>
      </w:r>
      <w:r>
        <w:t>.</w:t>
      </w:r>
    </w:p>
    <w:p>
      <w:pPr>
        <w:pStyle w:val="ListNumber"/>
      </w:pPr>
      <w:r/>
      <w:r>
        <w:rPr>
          <w:b/>
        </w:rPr>
        <w:t>Méthionine synthase</w:t>
      </w:r>
      <w:r>
        <w:t xml:space="preserve"> (cytosol) — catalyse la reméthylation de l'homocystéine en méthionine en utilisant le </w:t>
      </w:r>
      <w:r>
        <w:rPr>
          <w:b/>
        </w:rPr>
        <w:t>5-méthyl-THF</w:t>
      </w:r>
      <w:r>
        <w:t xml:space="preserve"> comme donneur de méthyle. La méthionine est ensuite convertie en </w:t>
      </w:r>
      <w:r>
        <w:rPr>
          <w:b/>
        </w:rPr>
        <w:t>S-adénosylméthionine (SAM)</w:t>
      </w:r>
      <w:r>
        <w:t xml:space="preserve"> par la méthionine adénosyltransférase (MAT). La SAM est le donneur de méthyle universel pour : (i) la méthylation de l'ADN (ADN méthyltransférases — régulation épigénétique de l'expression génique) ; (ii) la méthylation des protéines (histones, α-tubuline) ; (iii) la méthylation des neurotransmetteurs (catécholamines, indolamines) ; (iv) la méthylation des phospholipides (phosphatidylcholine) ; (v) la synthèse de la créatine (par guanidinoacétate méthyltransférase) ; (vi) la méthylation de l'acide nucléique (ARNt). Cette réaction est la </w:t>
      </w:r>
      <w:r>
        <w:rPr>
          <w:b/>
        </w:rPr>
        <w:t>seule voie de régénération du THF à partir du 5-méthyl-THF</w:t>
      </w:r>
      <w:r>
        <w:t xml:space="preserve"> : en cas de carence en B12, le 5-méthyl-THF s'accumule (« trap hypothesis » de Scott) et la synthèse des purines/pyrimidines est compromise → anémie mégaloblastique par carence fonctionnelle en folates.</w:t>
      </w:r>
    </w:p>
    <w:p>
      <w:pPr>
        <w:pStyle w:val="ListNumber"/>
      </w:pPr>
      <w:r/>
      <w:r>
        <w:rPr>
          <w:b/>
        </w:rPr>
        <w:t>Méthylmalonyl-CoA mutase</w:t>
      </w:r>
      <w:r>
        <w:t xml:space="preserve"> (mitochondries) — catalyse la conversion du </w:t>
      </w:r>
      <w:r>
        <w:rPr>
          <w:b/>
        </w:rPr>
        <w:t>méthylmalonyl-CoA en succinyl-CoA</w:t>
      </w:r>
      <w:r>
        <w:t xml:space="preserve">, qui entre dans le cycle de Krebs. Le méthylmalonyl-CoA provient du catabolisme des acides aminés à chaîne impaire (valine, isoleucine, méthionine, thréonine), des acides gras à nombre impair de carbones et de certains acides biliaires. En cas de carence en B12, le méthylmalonyl-CoA s'accumule et est hydrolysé en </w:t>
      </w:r>
      <w:r>
        <w:rPr>
          <w:b/>
        </w:rPr>
        <w:t>acide méthylmalonique</w:t>
      </w:r>
      <w:r>
        <w:t>, qui est neurotoxique (demyélinisation des cordons postérieurs et latéraux de la moelle épinière — sclérose combinée).</w:t>
      </w:r>
    </w:p>
    <w:p>
      <w:r>
        <w:t>Le mécanisme chimique de la méthionine synthase repose sur le cobalt (Co) du noyau corrine, qui cycle entre les états d'oxydation Co(I) (forme ultra-réduite), Co(II) et Co(III) (forme oxydée). Le 5-méthyl-THF transfère son groupement méthyle au cobalt (Co(I) → CH3-Co(III)), qui le transfère ensuite à l'homocystéine. En cas de carence en B12, ce cycle est bloqué → accumulation d'homocystéine (hyperhomocystéinémie, facteur de risque cardiovasculaire et tératogène) et du 5-méthyl-THF.</w:t>
      </w:r>
    </w:p>
    <w:p>
      <w:pPr>
        <w:pStyle w:val="Heading4"/>
      </w:pPr>
      <w:r>
        <w:t>4. Pharmacocinétique</w:t>
      </w:r>
    </w:p>
    <w:p>
      <w:r/>
      <w:r>
        <w:rPr>
          <w:b/>
        </w:rPr>
        <w:t>Absorption</w:t>
      </w:r>
      <w:r>
        <w:t xml:space="preserve"> : la vitamine B12 alimentaire (liée aux protéines alimentaires) est libérée par l'acide gastrique et la pepsine. Elle se lie à l'</w:t>
      </w:r>
      <w:r>
        <w:rPr>
          <w:b/>
        </w:rPr>
        <w:t>haptocorrine (facteur R)</w:t>
      </w:r>
      <w:r>
        <w:t xml:space="preserve"> salivaire et gastrique, qui la protège de la dégradation acide. Dans le duodénum, la trypsine pancréatique dégrade l'haptocorrine et libère la B12, qui se lie au </w:t>
      </w:r>
      <w:r>
        <w:rPr>
          <w:b/>
        </w:rPr>
        <w:t>facteur intrinsèque (FI)</w:t>
      </w:r>
      <w:r>
        <w:t xml:space="preserve"> sécrété par les cellules pariétales de l'estomac. Le complexe B12-FI se fixe sur le récepteur </w:t>
      </w:r>
      <w:r>
        <w:rPr>
          <w:b/>
        </w:rPr>
        <w:t>cubiline-amnionless</w:t>
      </w:r>
      <w:r>
        <w:t xml:space="preserve"> de la bordure en brosse des entérocytes de l'iléon terminal, où il est internalisé. La B12 est alors libérée dans le sang, où elle se lie à la </w:t>
      </w:r>
      <w:r>
        <w:rPr>
          <w:b/>
        </w:rPr>
        <w:t>transcobalamine II</w:t>
      </w:r>
      <w:r>
        <w:t xml:space="preserve"> (transport plasmatique actif, 20 % de la B12 circulante) et à l'haptocorrine (80 %, forme de stockage inerte). Seule la B12 liée à la transcobalamine II (holo-TC II) est disponible pour les cellules cibles. Environ </w:t>
      </w:r>
      <w:r>
        <w:rPr>
          <w:b/>
        </w:rPr>
        <w:t>1 % de la dose orale est absorbée par diffusion passive</w:t>
      </w:r>
      <w:r>
        <w:t xml:space="preserve"> indépendante du FI (saturation à doses pharmacologiques élevées ≥ 1 mg). Cette propriété permet le traitement oral de la carence en B12 à doses de 1000 à 2000 µg/jour, même en cas de maladie de Biermer.</w:t>
      </w:r>
    </w:p>
    <w:p>
      <w:r/>
      <w:r>
        <w:rPr>
          <w:b/>
        </w:rPr>
        <w:t>Distribution</w:t>
      </w:r>
      <w:r>
        <w:t xml:space="preserve"> : la vitamine B12 est distribuée dans tous les tissus, avec une concentration plus élevée dans le foie (30 à 60 % du pool corporel, soit 1 à 5 mg), le cœur, le cerveau, les reins et les muscles squelettiques. Le pool corporel total est de 2 à 5 mg (suffisant pour 3 à 5 ans de besoins en cas d'arrêt total d'apport). La demi-vie plasmatique est longue (environ 6 à 12 jours pour la B12 liée à la transcobalamine II). La B12 traverse le placenta par transporteur actif (Récepteur cubiline foetal) et s'accumule dans le foie fœtal (réserves néonatales). La B12 passe dans le lait maternel (concentration 0,1 à 0,3 µg/L).</w:t>
      </w:r>
    </w:p>
    <w:p>
      <w:r/>
      <w:r>
        <w:rPr>
          <w:b/>
        </w:rPr>
        <w:t>Métabolisme</w:t>
      </w:r>
      <w:r>
        <w:t xml:space="preserve"> : la cyanocobalamine est convertie en méthylcobalamine (cytosol) et adénosylcobalamine (mitochondries) par les enzymes correspondantes. La B12 est peu métabolisée et excrétée principalement sous forme inchangée.</w:t>
      </w:r>
    </w:p>
    <w:p>
      <w:r/>
      <w:r>
        <w:rPr>
          <w:b/>
        </w:rPr>
        <w:t>Élimination</w:t>
      </w:r>
      <w:r>
        <w:t xml:space="preserve"> : principalement biliaire (≥ 70 %), avec un cycle entéro-hépatique significatif (réabsorption iléale de la B12 biliare). L'élimination urinaire est faible (&lt; 5 % en cas de fonction rénale normale), mais augmente en cas d'administration IV de doses massives (utilisation de la B12 comme marqueur de la fonction rénale — test de Schilling, abandonné). En cas d'insuffisance rénale, la B12 s'accumule (peu de toxicité, mais surveillance). La clairance rénale de la transcobalamine II augmente en dialyse.</w:t>
      </w:r>
    </w:p>
    <w:p>
      <w:pPr>
        <w:pStyle w:val="Heading4"/>
      </w:pPr>
      <w:r>
        <w:t>5. Effets indésirables et prévention</w:t>
      </w:r>
    </w:p>
    <w:p>
      <w:r/>
      <w:r>
        <w:rPr>
          <w:b/>
        </w:rPr>
        <w:t>Effets indésirables aux doses thérapeutiques</w:t>
      </w:r>
      <w:r>
        <w:t xml:space="preserve"> (1000 µg IM ou IV) :</w:t>
      </w:r>
    </w:p>
    <w:p>
      <w:pPr>
        <w:pStyle w:val="ListBullet"/>
      </w:pPr>
      <w:r/>
      <w:r>
        <w:rPr>
          <w:b/>
        </w:rPr>
        <w:t>Hypokaliémie sévère</w:t>
      </w:r>
      <w:r>
        <w:t xml:space="preserve"> (critique) — à l'initiation du traitement des carences sévères (anémie de Biermer avec érythroblastémie massive), la reprise brutale de l'érythropoïèse consomme le potassium plasmatique (le potassium intracellulaire érythrocytaire est élevé). Risque d'hypokaliémie sévère (&lt; 2,5 mmol/L) pouvant provoquer des arythmies ventriculaires voire un arrêt cardiaque. </w:t>
      </w:r>
      <w:r>
        <w:rPr>
          <w:b/>
        </w:rPr>
        <w:t>Surveillance systématique de la kaliémie</w:t>
      </w:r>
      <w:r>
        <w:t xml:space="preserve"> à J1, J3, J7 et J14 du traitement d'attaque, et supplémentation potassique (1 à 3 g/jour de KCl) si nécessaire.</w:t>
      </w:r>
    </w:p>
    <w:p>
      <w:pPr>
        <w:pStyle w:val="ListBullet"/>
      </w:pPr>
      <w:r/>
      <w:r>
        <w:rPr>
          <w:b/>
        </w:rPr>
        <w:t>Hyperuricémie</w:t>
      </w:r>
      <w:r>
        <w:t xml:space="preserve"> — la reprise de l'érythropoïèse augmente le catabolisme des acides nucléiques (turnover cellulaire accru) → augmentation de l'acide urique. Surveillance de l'uricémie, notamment chez les patients goutteux.</w:t>
      </w:r>
    </w:p>
    <w:p>
      <w:pPr>
        <w:pStyle w:val="ListBullet"/>
      </w:pPr>
      <w:r/>
      <w:r>
        <w:rPr>
          <w:b/>
        </w:rPr>
        <w:t>Hypophosphorémie</w:t>
      </w:r>
      <w:r>
        <w:t xml:space="preserve"> — même mécanisme (consommation par l'érythropoïèse).</w:t>
      </w:r>
    </w:p>
    <w:p>
      <w:pPr>
        <w:pStyle w:val="ListBullet"/>
      </w:pPr>
      <w:r/>
      <w:r>
        <w:rPr>
          <w:b/>
        </w:rPr>
        <w:t>Thrombose veineuse</w:t>
      </w:r>
      <w:r>
        <w:t xml:space="preserve"> — à l'initiation du traitement (augmentation de la viscosité sanguine et du nombre de plaquettes). Risque majoré chez les patients avec antécédent thromboembolique.</w:t>
      </w:r>
    </w:p>
    <w:p>
      <w:pPr>
        <w:pStyle w:val="ListBullet"/>
      </w:pPr>
      <w:r/>
      <w:r>
        <w:rPr>
          <w:b/>
        </w:rPr>
        <w:t>Insuffisance cardiaque</w:t>
      </w:r>
      <w:r>
        <w:t xml:space="preserve"> — à l'initiation du traitement (augmentation de la volémie par érythropoïèse).</w:t>
      </w:r>
    </w:p>
    <w:p>
      <w:pPr>
        <w:pStyle w:val="ListBullet"/>
      </w:pPr>
      <w:r/>
      <w:r>
        <w:rPr>
          <w:b/>
        </w:rPr>
        <w:t>Réactions allergiques</w:t>
      </w:r>
      <w:r>
        <w:t xml:space="preserve"> : rares (choc anaphylactique exceptionnel). Prévention : interrogatoire allergologique préalable.</w:t>
      </w:r>
    </w:p>
    <w:p>
      <w:pPr>
        <w:pStyle w:val="ListBullet"/>
      </w:pPr>
      <w:r/>
      <w:r>
        <w:rPr>
          <w:b/>
        </w:rPr>
        <w:t>Réactions locales</w:t>
      </w:r>
      <w:r>
        <w:t xml:space="preserve"> : douleur au point d'injection IM.</w:t>
      </w:r>
    </w:p>
    <w:p>
      <w:r/>
      <w:r>
        <w:rPr>
          <w:b/>
        </w:rPr>
        <w:t>Effets indésirables spécifiques de la forme injectable</w:t>
      </w:r>
      <w:r>
        <w:t xml:space="preserve"> :</w:t>
      </w:r>
    </w:p>
    <w:p>
      <w:pPr>
        <w:pStyle w:val="ListBullet"/>
      </w:pPr>
      <w:r/>
      <w:r>
        <w:rPr>
          <w:b/>
        </w:rPr>
        <w:t>Choc anaphylactique</w:t>
      </w:r>
      <w:r>
        <w:t xml:space="preserve"> : très rare, mais le risque existe (en particulier avec la voie IV). Prévention : injection IM préférentielle, disponibilité d'un kit de réanimation.</w:t>
      </w:r>
    </w:p>
    <w:p>
      <w:pPr>
        <w:pStyle w:val="ListBullet"/>
      </w:pPr>
      <w:r/>
      <w:r>
        <w:rPr>
          <w:b/>
        </w:rPr>
        <w:t>Coloration rouge des urines</w:t>
      </w:r>
      <w:r>
        <w:t xml:space="preserve"> : transitoire et sans gravité.</w:t>
      </w:r>
    </w:p>
    <w:p>
      <w:r/>
      <w:r>
        <w:rPr>
          <w:b/>
        </w:rPr>
        <w:t>Prévention générale des effets indésirables</w:t>
      </w:r>
      <w:r>
        <w:t xml:space="preserve"> :</w:t>
      </w:r>
    </w:p>
    <w:p>
      <w:pPr>
        <w:pStyle w:val="ListNumber"/>
      </w:pPr>
      <w:r/>
      <w:r>
        <w:rPr>
          <w:b/>
        </w:rPr>
        <w:t>Surveillance kaliémique systématique</w:t>
      </w:r>
      <w:r>
        <w:t xml:space="preserve"> à l'initiation du traitement des carences sévères (J1, J3, J7, J14).</w:t>
      </w:r>
    </w:p>
    <w:p>
      <w:pPr>
        <w:pStyle w:val="ListNumber"/>
      </w:pPr>
      <w:r/>
      <w:r>
        <w:rPr>
          <w:b/>
        </w:rPr>
        <w:t>Supplémentation potassique</w:t>
      </w:r>
      <w:r>
        <w:t xml:space="preserve"> (KCl 1 à 3 g/jour) si kaliémie &lt; 3,5 mmol/L.</w:t>
      </w:r>
    </w:p>
    <w:p>
      <w:pPr>
        <w:pStyle w:val="ListNumber"/>
      </w:pPr>
      <w:r/>
      <w:r>
        <w:rPr>
          <w:b/>
        </w:rPr>
        <w:t>Surveillance ECG</w:t>
      </w:r>
      <w:r>
        <w:t xml:space="preserve"> chez les patients cardiaques ou âgés pendant les 14 premiers jours.</w:t>
      </w:r>
    </w:p>
    <w:p>
      <w:pPr>
        <w:pStyle w:val="ListNumber"/>
      </w:pPr>
      <w:r/>
      <w:r>
        <w:rPr>
          <w:b/>
        </w:rPr>
        <w:t>Surveillance de l'uricémie</w:t>
      </w:r>
      <w:r>
        <w:t xml:space="preserve"> et prévention de la crise de goutte chez les patients goutteux.</w:t>
      </w:r>
    </w:p>
    <w:p>
      <w:pPr>
        <w:pStyle w:val="ListNumber"/>
      </w:pPr>
      <w:r/>
      <w:r>
        <w:rPr>
          <w:b/>
        </w:rPr>
        <w:t>Prévention de la thrombose veineuse</w:t>
      </w:r>
      <w:r>
        <w:t xml:space="preserve"> : mobilisation précoce, hydratation, anticoagulation prophylactique si risque élevé.</w:t>
      </w:r>
    </w:p>
    <w:p>
      <w:pPr>
        <w:pStyle w:val="ListNumber"/>
      </w:pPr>
      <w:r/>
      <w:r>
        <w:rPr>
          <w:b/>
        </w:rPr>
        <w:t>Préférer la voie IM</w:t>
      </w:r>
      <w:r>
        <w:t xml:space="preserve"> à la voie IV (sauf urgence neurologique).</w:t>
      </w:r>
    </w:p>
    <w:p>
      <w:pPr>
        <w:pStyle w:val="Heading4"/>
      </w:pPr>
      <w:r>
        <w:t>6. Interactions médicamenteuses</w:t>
      </w:r>
    </w:p>
    <w:p>
      <w:pPr>
        <w:pStyle w:val="ListBullet"/>
      </w:pPr>
      <w:r/>
      <w:r>
        <w:rPr>
          <w:b/>
        </w:rPr>
        <w:t>Acide folique (B9)</w:t>
      </w:r>
      <w:r>
        <w:t xml:space="preserve"> : la supplémentation en folates masque l'anémie mégaloblastique de la carence en B12 (les folates corrigent le défaut de synthèse d'ADN des précurseurs érythroïdes) mais n'empêche pas la progression de la neuropathie carentielle. Règle d'or : ne jamais donner de folates sans vérifier la B12 sérique (risque de neuropathie irréversible). La carence en B12 est une cause de carence fonctionnelle en folates (le 5-méthyl-THF ne peut être converti en THF sans B12).</w:t>
      </w:r>
    </w:p>
    <w:p>
      <w:pPr>
        <w:pStyle w:val="ListBullet"/>
      </w:pPr>
      <w:r/>
      <w:r>
        <w:rPr>
          <w:b/>
        </w:rPr>
        <w:t>Metformine</w:t>
      </w:r>
      <w:r>
        <w:t xml:space="preserve"> : diminution de l'absorption de la B12 (interférence avec l'absorption iléale dépendante du FI et du calcium). Surveillance annuelle de la B12 sérique chez les patients sous metformine ≥ 1 an. Supplémentation si carence documentée.</w:t>
      </w:r>
    </w:p>
    <w:p>
      <w:pPr>
        <w:pStyle w:val="ListBullet"/>
      </w:pPr>
      <w:r/>
      <w:r>
        <w:rPr>
          <w:b/>
        </w:rPr>
        <w:t>Inhibiteurs de la pompe à protons (IPP)</w:t>
      </w:r>
      <w:r>
        <w:t xml:space="preserve"> : omeprazole, esomeprazole, lansoprazole, pantoprazole, rabéprazole — diminution de l'absorption de la B12 par hypochlorhydrie (la B12 n'est pas libérée des protéines alimentaires sans acide gastrique). Surveillance biennale de la B12 sérique chez les patients sous IPP ≥ 2 ans.</w:t>
      </w:r>
    </w:p>
    <w:p>
      <w:pPr>
        <w:pStyle w:val="ListBullet"/>
      </w:pPr>
      <w:r/>
      <w:r>
        <w:rPr>
          <w:b/>
        </w:rPr>
        <w:t>Antiacides H2 (ranitidine, famotidine, cimétidine)</w:t>
      </w:r>
      <w:r>
        <w:t xml:space="preserve"> : même mécanisme que les IPP.</w:t>
      </w:r>
    </w:p>
    <w:p>
      <w:pPr>
        <w:pStyle w:val="ListBullet"/>
      </w:pPr>
      <w:r/>
      <w:r>
        <w:rPr>
          <w:b/>
        </w:rPr>
        <w:t>Colchicine</w:t>
      </w:r>
      <w:r>
        <w:t xml:space="preserve"> : diminution de l'absorption de la B12 (atteinte de la muqueuse iléale).</w:t>
      </w:r>
    </w:p>
    <w:p>
      <w:pPr>
        <w:pStyle w:val="ListBullet"/>
      </w:pPr>
      <w:r/>
      <w:r>
        <w:rPr>
          <w:b/>
        </w:rPr>
        <w:t>Néomycine</w:t>
      </w:r>
      <w:r>
        <w:t xml:space="preserve"> (antibiotique) : diminution de l'absorption de la B12.</w:t>
      </w:r>
    </w:p>
    <w:p>
      <w:pPr>
        <w:pStyle w:val="ListBullet"/>
      </w:pPr>
      <w:r/>
      <w:r>
        <w:rPr>
          <w:b/>
        </w:rPr>
        <w:t>Chloramphénicol</w:t>
      </w:r>
      <w:r>
        <w:t xml:space="preserve"> : antagonisme de l'effet hématopoïétique de la B12 (données limitées).</w:t>
      </w:r>
    </w:p>
    <w:p>
      <w:pPr>
        <w:pStyle w:val="ListBullet"/>
      </w:pPr>
      <w:r/>
      <w:r>
        <w:rPr>
          <w:b/>
        </w:rPr>
        <w:t>Méthotrexate, triméthoprime, pyriméthamine</w:t>
      </w:r>
      <w:r>
        <w:t xml:space="preserve"> (antifolates) : antagonisme fonctionnel de la B12 (le folate étant fonctionnellement déficient, la B12 ne peut exercer son effet).</w:t>
      </w:r>
    </w:p>
    <w:p>
      <w:pPr>
        <w:pStyle w:val="ListBullet"/>
      </w:pPr>
      <w:r/>
      <w:r>
        <w:rPr>
          <w:b/>
        </w:rPr>
        <w:t>Ascorbique (vitamine C)</w:t>
      </w:r>
      <w:r>
        <w:t xml:space="preserve"> à doses ≥ 500 mg : destruction de la B12 dans l'estomac (données contradictoires). Espacer les prises.</w:t>
      </w:r>
    </w:p>
    <w:p>
      <w:pPr>
        <w:pStyle w:val="ListBullet"/>
      </w:pPr>
      <w:r/>
      <w:r>
        <w:rPr>
          <w:b/>
        </w:rPr>
        <w:t>Potassium (KCl)</w:t>
      </w:r>
      <w:r>
        <w:t xml:space="preserve"> : la supplémentation potassique peut diminuer l'absorption de la B12 (données limitées).</w:t>
      </w:r>
    </w:p>
    <w:p>
      <w:pPr>
        <w:pStyle w:val="ListBullet"/>
      </w:pPr>
      <w:r/>
      <w:r>
        <w:rPr>
          <w:b/>
        </w:rPr>
        <w:t>Contraceptifs oraux estroprogestatifs</w:t>
      </w:r>
      <w:r>
        <w:t xml:space="preserve"> : diminution modeste de la B12 sérique.</w:t>
      </w:r>
    </w:p>
    <w:p>
      <w:pPr>
        <w:pStyle w:val="ListBullet"/>
      </w:pPr>
      <w:r/>
      <w:r>
        <w:rPr>
          <w:b/>
        </w:rPr>
        <w:t>Alcool</w:t>
      </w:r>
      <w:r>
        <w:t xml:space="preserve"> : diminution de l'absorption et augmentation de l'excrétion → carence fréquente chez l'alcoolique.</w:t>
      </w:r>
    </w:p>
    <w:p>
      <w:pPr>
        <w:pStyle w:val="Heading4"/>
      </w:pPr>
      <w:r>
        <w:t>7. Contre-indications et précautions d'emploi</w:t>
      </w:r>
    </w:p>
    <w:p>
      <w:r/>
      <w:r>
        <w:rPr>
          <w:b/>
        </w:rPr>
        <w:t>Contre-indications</w:t>
      </w:r>
      <w:r>
        <w:t xml:space="preserve"> :</w:t>
      </w:r>
    </w:p>
    <w:p>
      <w:pPr>
        <w:pStyle w:val="ListBullet"/>
      </w:pPr>
      <w:r>
        <w:t>Hypersensibilité à la cyanocobalamine, à la cobalamine ou à l'un des excipients (en particulier le cobalt).</w:t>
      </w:r>
    </w:p>
    <w:p>
      <w:pPr>
        <w:pStyle w:val="ListBullet"/>
      </w:pPr>
      <w:r>
        <w:t>Maladie de Leber (névrite optique héréditaire) — la B12 peut aggraver l'atteinte optique (toxicité du cyanure libéré).</w:t>
      </w:r>
    </w:p>
    <w:p>
      <w:pPr>
        <w:pStyle w:val="ListBullet"/>
      </w:pPr>
      <w:r>
        <w:t>Tumeurs malignes avec erythrocytose (la B12 stimule l'érythropoïèse).</w:t>
      </w:r>
    </w:p>
    <w:p>
      <w:r/>
      <w:r>
        <w:rPr>
          <w:b/>
        </w:rPr>
        <w:t>Précautions d'emploi</w:t>
      </w:r>
      <w:r>
        <w:t xml:space="preserve"> :</w:t>
      </w:r>
    </w:p>
    <w:p>
      <w:pPr>
        <w:pStyle w:val="ListBullet"/>
      </w:pPr>
      <w:r>
        <w:t>Insuffisance rénale : pas d'ajustement nécessaire, mais surveillance accrue (risque d'accumulation et de surcharge en cobalt).</w:t>
      </w:r>
    </w:p>
    <w:p>
      <w:pPr>
        <w:pStyle w:val="ListBullet"/>
      </w:pPr>
      <w:r>
        <w:t>Femme enceinte : sécurité d'emploi confirmée (catégorie CRAT : « Peut être utilisée pendant la grossesse »). Indispensable pour le développement neurologique fœtal. Apport quotidien recommandé 2,6 µg/jour (vs 2,4 µg/jour chez la femme non enceinte).</w:t>
      </w:r>
    </w:p>
    <w:p>
      <w:pPr>
        <w:pStyle w:val="ListBullet"/>
      </w:pPr>
      <w:r>
        <w:t>Femme allaitante : compatible, passage dans le lait maternel. Apport quotidien recommandé 2,8 µg/jour. Végétaliennes strictes : supplémentation systématique.</w:t>
      </w:r>
    </w:p>
    <w:p>
      <w:pPr>
        <w:pStyle w:val="ListBullet"/>
      </w:pPr>
      <w:r>
        <w:t>Sujet âgé : pas de précaution particulière (au contraire, surveillance accrue de la carence infra-clinique — atrophie gastrique).</w:t>
      </w:r>
    </w:p>
    <w:p>
      <w:pPr>
        <w:pStyle w:val="ListBullet"/>
      </w:pPr>
      <w:r>
        <w:t>Enfant : doses adaptées au poids.</w:t>
      </w:r>
    </w:p>
    <w:p>
      <w:pPr>
        <w:pStyle w:val="Heading4"/>
      </w:pPr>
      <w:r>
        <w:t>8. Grossesse et allaitement (données CRAT)</w:t>
      </w:r>
    </w:p>
    <w:p>
      <w:r/>
      <w:r>
        <w:rPr>
          <w:b/>
        </w:rPr>
        <w:t>Grossesse</w:t>
      </w:r>
      <w:r>
        <w:t xml:space="preserve"> : la vitamine B12 est essentielle au développement neurologique fœtal. Les besoins augmentent à 2,6 µg/jour pendant la grossesse (vs 2,4 µg/jour chez la femme non enceinte). La carence maternelle en B12 pendant la grossesse est associée à un risque accru de retard de croissance intra-utérin, d'anomalies de fermeture du tube neural, de prématurité et de troubles du développement neurologique du nourrisson. La supplémentation systématique des femmes végétaliennes strictes est indispensable (1 à 10 µg/jour per os). La B12 traverse le placenta par transporteur actif (récepteur cubiline). Le CRAT conclut : « La cyanocobalamine peut être prescrite pendant la grossesse aux doses usuelles recommandées (2,6 µg/jour en entretien, 1000 µg IM en cure). La carence en B12 doit être dépistée systématiquement chez la femme végétalienne et supplémentée. »</w:t>
      </w:r>
    </w:p>
    <w:p>
      <w:r/>
      <w:r>
        <w:rPr>
          <w:b/>
        </w:rPr>
        <w:t>Allaitement</w:t>
      </w:r>
      <w:r>
        <w:t xml:space="preserve"> : la B12 passe dans le lait maternel (concentration 0,1 à 0,3 µg/L). Les besoins de la mère allaitante sont de 2,8 µg/jour. La carence maternelle sévère (végétalisme strict) peut provoquer une carence du nourrisson allaité (anémie mégaloblastique, retard de développement neurologique, hypotonie, convulsions). Le CRAT conclut : « La cyanocobalamine est compatible avec l'allaitement aux doses usuelles recommandées. Les femmes végétaliennes doivent être supplémentées en B12 pendant l'allaitement. »</w:t>
      </w:r>
    </w:p>
    <w:p>
      <w:pPr>
        <w:pStyle w:val="Heading4"/>
      </w:pPr>
      <w:r>
        <w:t>9. Posologie et mode d'administration</w:t>
      </w:r>
    </w:p>
    <w:p>
      <w:r/>
      <w:r>
        <w:rPr>
          <w:b/>
        </w:rPr>
        <w:t>Posologie usuelle adulte</w:t>
      </w:r>
      <w:r>
        <w:t xml:space="preserve"> :</w:t>
      </w:r>
    </w:p>
    <w:p>
      <w:pPr>
        <w:pStyle w:val="ListBullet"/>
      </w:pPr>
      <w:r/>
      <w:r>
        <w:rPr>
          <w:b/>
        </w:rPr>
        <w:t>Maladie de Biermer (anémie pernicieuse)</w:t>
      </w:r>
      <w:r>
        <w:t xml:space="preserve"> — protocole d'attaque : 1000 µg IM ou IV, 1 à 3 fois par semaine pendant 2 semaines, puis 1000 µg IM toutes les 2 à 4 semaines à vie (entretien).</w:t>
      </w:r>
    </w:p>
    <w:p>
      <w:pPr>
        <w:pStyle w:val="ListBullet"/>
      </w:pPr>
      <w:r/>
      <w:r>
        <w:rPr>
          <w:b/>
        </w:rPr>
        <w:t>Carence en B12 (sans atteinte neurologique)</w:t>
      </w:r>
      <w:r>
        <w:t xml:space="preserve"> — protocole d'attaque : 1000 µg IM, 1 à 3 fois par semaine pendant 2 semaines, puis 1000 µg IM toutes les 2 à 4 semaines pendant 3 mois (entretien).</w:t>
      </w:r>
    </w:p>
    <w:p>
      <w:pPr>
        <w:pStyle w:val="ListBullet"/>
      </w:pPr>
      <w:r/>
      <w:r>
        <w:rPr>
          <w:b/>
        </w:rPr>
        <w:t>Carence en B12 (avec atteinte neurologique)</w:t>
      </w:r>
      <w:r>
        <w:t xml:space="preserve"> — protocole renforcé : 1000 µg IM ou IV, 1 fois par jour pendant 2 semaines, puis 1000 µg IM 1 à 2 fois par semaine pendant 2 mois, puis 1000 µg IM toutes les 2 à 4 semaines à vie (entretien).</w:t>
      </w:r>
    </w:p>
    <w:p>
      <w:pPr>
        <w:pStyle w:val="ListBullet"/>
      </w:pPr>
      <w:r/>
      <w:r>
        <w:rPr>
          <w:b/>
        </w:rPr>
        <w:t>Voie orale</w:t>
      </w:r>
      <w:r>
        <w:t xml:space="preserve"> (alternative à la voie IM en cas de refus ou de malabsorption) : 1000 à 2000 µg/jour per os à vie (efficace par absorption passive à 1 %). Utiliser COBAVIT, RAZICOBAL B12, VIT B12 HUPP (forme buvable).</w:t>
      </w:r>
    </w:p>
    <w:p>
      <w:pPr>
        <w:pStyle w:val="ListBullet"/>
      </w:pPr>
      <w:r/>
      <w:r>
        <w:rPr>
          <w:b/>
        </w:rPr>
        <w:t>Supplémentation prophylactique</w:t>
      </w:r>
      <w:r>
        <w:t xml:space="preserve"> (végétalien, sujet âgé, post-gastrectomie) : 2,4 µg/jour per os — couvert par l'alimentation (omnivore) ou par les complexes multivitaminiques.</w:t>
      </w:r>
    </w:p>
    <w:p>
      <w:pPr>
        <w:pStyle w:val="ListBullet"/>
      </w:pPr>
      <w:r/>
      <w:r>
        <w:rPr>
          <w:b/>
        </w:rPr>
        <w:t>Dialysé chronique</w:t>
      </w:r>
      <w:r>
        <w:t xml:space="preserve"> : 1000 µg IV en fin de séance de dialyse, 1 fois par mois.</w:t>
      </w:r>
    </w:p>
    <w:p>
      <w:r/>
      <w:r>
        <w:rPr>
          <w:b/>
        </w:rPr>
        <w:t>Posologie pédiatrique</w:t>
      </w:r>
      <w:r>
        <w:t xml:space="preserve"> :</w:t>
      </w:r>
    </w:p>
    <w:p>
      <w:pPr>
        <w:pStyle w:val="ListBullet"/>
      </w:pPr>
      <w:r>
        <w:t>Nourrisson (entretien) : 0,4 µg/jour per os.</w:t>
      </w:r>
    </w:p>
    <w:p>
      <w:pPr>
        <w:pStyle w:val="ListBullet"/>
      </w:pPr>
      <w:r>
        <w:t>Enfant (entretien) : 0,9 à 1,8 µg/jour per os.</w:t>
      </w:r>
    </w:p>
    <w:p>
      <w:pPr>
        <w:pStyle w:val="ListBullet"/>
      </w:pPr>
      <w:r>
        <w:t>Carence avérée : 1000 µg IM, 1 à 3 fois par semaine pendant 2 semaines, puis 1000 µg IM toutes les 2 à 4 semaines pendant 3 mois (entretien).</w:t>
      </w:r>
    </w:p>
    <w:p>
      <w:r/>
      <w:r>
        <w:rPr>
          <w:b/>
        </w:rPr>
        <w:t>Mode d'administration</w:t>
      </w:r>
      <w:r>
        <w:t xml:space="preserve"> :</w:t>
      </w:r>
    </w:p>
    <w:p>
      <w:pPr>
        <w:pStyle w:val="ListBullet"/>
      </w:pPr>
      <w:r/>
      <w:r>
        <w:rPr>
          <w:b/>
        </w:rPr>
        <w:t>Voie IM profonde</w:t>
      </w:r>
      <w:r>
        <w:t xml:space="preserve"> : dans le muscle glutéal ou deltoïdien. Injection lente (1 mL en 30 secondes à 1 minute).</w:t>
      </w:r>
    </w:p>
    <w:p>
      <w:pPr>
        <w:pStyle w:val="ListBullet"/>
      </w:pPr>
      <w:r/>
      <w:r>
        <w:rPr>
          <w:b/>
        </w:rPr>
        <w:t>Voie IV lente</w:t>
      </w:r>
      <w:r>
        <w:t xml:space="preserve"> : en urgence neurologique (sclérose combinée de la moelle), diluée dans 50 mL de sérum physiologique, perfusion de 15 à 30 minutes.</w:t>
      </w:r>
    </w:p>
    <w:p>
      <w:pPr>
        <w:pStyle w:val="ListBullet"/>
      </w:pPr>
      <w:r/>
      <w:r>
        <w:rPr>
          <w:b/>
        </w:rPr>
        <w:t>Voie orale</w:t>
      </w:r>
      <w:r>
        <w:t xml:space="preserve"> : 1000 à 2000 µg/jour per os (solution buvable ou comprimés), à jeun ou au cours du repas.</w:t>
      </w:r>
    </w:p>
    <w:p>
      <w:pPr>
        <w:pStyle w:val="ListBullet"/>
      </w:pPr>
      <w:r/>
      <w:r>
        <w:rPr>
          <w:b/>
        </w:rPr>
        <w:t>Voie sous-cutanée</w:t>
      </w:r>
      <w:r>
        <w:t xml:space="preserve"> : alternative à la voie IM, en particulier chez les patients sous anticoagulants.</w:t>
      </w:r>
    </w:p>
    <w:p>
      <w:pPr>
        <w:pStyle w:val="Heading4"/>
      </w:pPr>
      <w:r>
        <w:t>10. Formes galéniques disponibles</w:t>
      </w:r>
    </w:p>
    <w:p>
      <w:pPr>
        <w:pStyle w:val="ListBullet"/>
      </w:pPr>
      <w:r/>
      <w:r>
        <w:rPr>
          <w:b/>
        </w:rPr>
        <w:t>Solutions injectables IM/IV à 1000 µg/mL</w:t>
      </w:r>
      <w:r>
        <w:t xml:space="preserve"> (COBAMINE, VIT B12, VITAMINE B12 GEO) — 1 mL par ampoule, 5 ampoules par boîte.</w:t>
      </w:r>
    </w:p>
    <w:p>
      <w:pPr>
        <w:pStyle w:val="ListBullet"/>
      </w:pPr>
      <w:r/>
      <w:r>
        <w:rPr>
          <w:b/>
        </w:rPr>
        <w:t>Solutions injectables/buvables à 1000 µg/2 mL</w:t>
      </w:r>
      <w:r>
        <w:t xml:space="preserve"> (COBAVIT, RAZICOBAL B12, VIT B 12) — 2 mL par ampoule, 5 ampoules par boîte. Forme polyvalente injectable IM ou buvable.</w:t>
      </w:r>
    </w:p>
    <w:p>
      <w:pPr>
        <w:pStyle w:val="ListBullet"/>
      </w:pPr>
      <w:r/>
      <w:r>
        <w:rPr>
          <w:b/>
        </w:rPr>
        <w:t>Solutions injectables à 1000 µg/4 mL</w:t>
      </w:r>
      <w:r>
        <w:t xml:space="preserve"> (VITAMINE B12 SANDOZ — retirée) — 4 mL par ampoule.</w:t>
      </w:r>
    </w:p>
    <w:p>
      <w:pPr>
        <w:pStyle w:val="ListBullet"/>
      </w:pPr>
      <w:r/>
      <w:r>
        <w:rPr>
          <w:b/>
        </w:rPr>
        <w:t>Solutions injectables à 500 µg/mL ou 1000 µg/2 mL</w:t>
      </w:r>
      <w:r>
        <w:t xml:space="preserve"> (CYANOCOBAL — retirée).</w:t>
      </w:r>
    </w:p>
    <w:p>
      <w:pPr>
        <w:pStyle w:val="ListBullet"/>
      </w:pPr>
      <w:r/>
      <w:r>
        <w:rPr>
          <w:b/>
        </w:rPr>
        <w:t>Comprimés en association B1+B6+B12</w:t>
      </w:r>
      <w:r>
        <w:t xml:space="preserve"> (TROIS B, TRI-B, TRI-B-VIT HUP, DQA TRIVIT) — formes neurotropes pour les neuropathies périphériques.</w:t>
      </w:r>
    </w:p>
    <w:p>
      <w:pPr>
        <w:pStyle w:val="Heading4"/>
      </w:pPr>
      <w:r>
        <w:t>11. Conseils au patient au comptoir</w:t>
      </w:r>
    </w:p>
    <w:p>
      <w:pPr>
        <w:pStyle w:val="ListNumber"/>
      </w:pPr>
      <w:r/>
      <w:r>
        <w:rPr>
          <w:b/>
        </w:rPr>
        <w:t>Respect de la prescription</w:t>
      </w:r>
      <w:r>
        <w:t xml:space="preserve"> : la B12 injectable doit être administrée régulièrement selon le protocole (1 à 3 fois/semaine en attaque, puis mensuel en entretien à vie pour la maladie de Biermer).</w:t>
      </w:r>
    </w:p>
    <w:p>
      <w:pPr>
        <w:pStyle w:val="ListNumber"/>
      </w:pPr>
      <w:r/>
      <w:r>
        <w:rPr>
          <w:b/>
        </w:rPr>
        <w:t>Surveillance kaliémique</w:t>
      </w:r>
      <w:r>
        <w:t xml:space="preserve"> : à l'initiation du traitement des carences sévères, surveillance de la kaliémie à J1, J3, J7 et J14. Information sur les signes d'hypokaliémie (crampes, faiblesse musculaire, palpitations).</w:t>
      </w:r>
    </w:p>
    <w:p>
      <w:pPr>
        <w:pStyle w:val="ListNumber"/>
      </w:pPr>
      <w:r/>
      <w:r>
        <w:rPr>
          <w:b/>
        </w:rPr>
        <w:t>Mode d'administration IM</w:t>
      </w:r>
      <w:r>
        <w:t xml:space="preserve"> : injecter profondément dans la fesse (face externe supérieure) pour éviter la lésion du nerf sciatique. Masser légèrement après l'injection.</w:t>
      </w:r>
    </w:p>
    <w:p>
      <w:pPr>
        <w:pStyle w:val="ListNumber"/>
      </w:pPr>
      <w:r/>
      <w:r>
        <w:rPr>
          <w:b/>
        </w:rPr>
        <w:t>Voie orale</w:t>
      </w:r>
      <w:r>
        <w:t xml:space="preserve"> : alternative à la voie IM en cas de refus ou de malabsorption. Efficace à doses de 1000 à 2000 µg/jour per os (absorption passive à 1 %).</w:t>
      </w:r>
    </w:p>
    <w:p>
      <w:pPr>
        <w:pStyle w:val="ListNumber"/>
      </w:pPr>
      <w:r/>
      <w:r>
        <w:rPr>
          <w:b/>
        </w:rPr>
        <w:t>Régime alimentaire</w:t>
      </w:r>
      <w:r>
        <w:t xml:space="preserve"> : compléter par une alimentation riche en B12 (foie, viande rouge, poisson, œufs, produits laitiers). Les végétaliens doivent être supplémentés systématiquement.</w:t>
      </w:r>
    </w:p>
    <w:p>
      <w:pPr>
        <w:pStyle w:val="ListNumber"/>
      </w:pPr>
      <w:r/>
      <w:r>
        <w:rPr>
          <w:b/>
        </w:rPr>
        <w:t>Patients sous metformine</w:t>
      </w:r>
      <w:r>
        <w:t xml:space="preserve"> : surveillance annuelle de la B12 sérique. Supplémentation si carence documentée.</w:t>
      </w:r>
    </w:p>
    <w:p>
      <w:pPr>
        <w:pStyle w:val="ListNumber"/>
      </w:pPr>
      <w:r/>
      <w:r>
        <w:rPr>
          <w:b/>
        </w:rPr>
        <w:t>Patients sous IPP au long cours</w:t>
      </w:r>
      <w:r>
        <w:t xml:space="preserve"> : surveillance biennale de la B12 sérique.</w:t>
      </w:r>
    </w:p>
    <w:p>
      <w:pPr>
        <w:pStyle w:val="ListNumber"/>
      </w:pPr>
      <w:r/>
      <w:r>
        <w:rPr>
          <w:b/>
        </w:rPr>
        <w:t>Patients âgés</w:t>
      </w:r>
      <w:r>
        <w:t xml:space="preserve"> : la carence infra-clinique est fréquente (atrophie gastrique). Dépistage systématique chez les patients avec troubles cognitifs, anémie macrocytaire, neuropathie périphérique inexpliquée.</w:t>
      </w:r>
    </w:p>
    <w:p>
      <w:pPr>
        <w:pStyle w:val="ListNumber"/>
      </w:pPr>
      <w:r/>
      <w:r>
        <w:rPr>
          <w:b/>
        </w:rPr>
        <w:t>Femmes végétaliennes enceintes ou allaitantes</w:t>
      </w:r>
      <w:r>
        <w:t xml:space="preserve"> : supplémentation systématique indispensable pour prévenir la carence maternelle et du nourrisson.</w:t>
      </w:r>
    </w:p>
    <w:p>
      <w:pPr>
        <w:pStyle w:val="ListNumber"/>
      </w:pPr>
      <w:r/>
      <w:r>
        <w:rPr>
          <w:b/>
        </w:rPr>
        <w:t>Signes d'alerte</w:t>
      </w:r>
      <w:r>
        <w:t xml:space="preserve"> : en cas d'apparition de crampes, faiblesse musculaire, palpitations, ou troubles du rythme à l'initiation du traitement, consulter immédiatement (hypokaliémie).</w:t>
      </w:r>
    </w:p>
    <w:p>
      <w:pPr>
        <w:pStyle w:val="Heading4"/>
      </w:pPr>
      <w:r>
        <w:t>12. Pièges et règles d'or au comptoir</w:t>
      </w:r>
    </w:p>
    <w:p>
      <w:r/>
      <w:r>
        <w:rPr>
          <w:b/>
        </w:rPr>
        <w:t>Règles d'or</w:t>
      </w:r>
      <w:r>
        <w:t xml:space="preserve"> :</w:t>
      </w:r>
    </w:p>
    <w:p>
      <w:pPr>
        <w:pStyle w:val="ListNumber"/>
      </w:pPr>
      <w:r/>
      <w:r>
        <w:rPr>
          <w:b/>
        </w:rPr>
        <w:t>Toujours vérifier la B12 sérique avant de donner des folates</w:t>
      </w:r>
      <w:r>
        <w:t xml:space="preserve"> (B9) — la supplémentation en folates masque l'anémie de la carence en B12 mais n'empêche pas la progression de la neuropathie carentielle (risque de neuropathie irréversible).</w:t>
      </w:r>
    </w:p>
    <w:p>
      <w:pPr>
        <w:pStyle w:val="ListNumber"/>
      </w:pPr>
      <w:r/>
      <w:r>
        <w:rPr>
          <w:b/>
        </w:rPr>
        <w:t>Toujours surveiller la kaliémie à l'initiation du traitement des carences sévères</w:t>
      </w:r>
      <w:r>
        <w:t xml:space="preserve"> (J1, J3, J7, J14) et supplémenter en KCl si nécessaire (risque d'hypokaliémie sévère et d'arythmies).</w:t>
      </w:r>
    </w:p>
    <w:p>
      <w:pPr>
        <w:pStyle w:val="ListNumber"/>
      </w:pPr>
      <w:r/>
      <w:r>
        <w:rPr>
          <w:b/>
        </w:rPr>
        <w:t>Toujours préférer la voie IM à la voie IV</w:t>
      </w:r>
      <w:r>
        <w:t xml:space="preserve"> (sauf urgence neurologique) pour réduire le risque d'anaphylaxie.</w:t>
      </w:r>
    </w:p>
    <w:p>
      <w:pPr>
        <w:pStyle w:val="ListNumber"/>
      </w:pPr>
      <w:r/>
      <w:r>
        <w:rPr>
          <w:b/>
        </w:rPr>
        <w:t>Toujours disposer d'un kit de réanimation</w:t>
      </w:r>
      <w:r>
        <w:t xml:space="preserve"> lors de l'administration IV de B12.</w:t>
      </w:r>
    </w:p>
    <w:p>
      <w:pPr>
        <w:pStyle w:val="ListNumber"/>
      </w:pPr>
      <w:r/>
      <w:r>
        <w:rPr>
          <w:b/>
        </w:rPr>
        <w:t>Toujours respecter le protocole d'attaque puis d'entretien</w:t>
      </w:r>
      <w:r>
        <w:t xml:space="preserve"> (1 à 3 fois/semaine pendant 2 semaines, puis mensuel à vie pour la maladie de Biermer).</w:t>
      </w:r>
    </w:p>
    <w:p>
      <w:pPr>
        <w:pStyle w:val="ListNumber"/>
      </w:pPr>
      <w:r/>
      <w:r>
        <w:rPr>
          <w:b/>
        </w:rPr>
        <w:t>Toujours supplémenter en B12 les patients après gastrectomie totale</w:t>
      </w:r>
      <w:r>
        <w:t xml:space="preserve"> (réserves hépatiques de 3-5 ans, puis carence).</w:t>
      </w:r>
    </w:p>
    <w:p>
      <w:pPr>
        <w:pStyle w:val="ListNumber"/>
      </w:pPr>
      <w:r/>
      <w:r>
        <w:rPr>
          <w:b/>
        </w:rPr>
        <w:t>Toujours surveiller la B12 sérique chez les patients sous metformine</w:t>
      </w:r>
      <w:r>
        <w:t xml:space="preserve"> (≥ 1 an) et sous IPP (≥ 2 ans).</w:t>
      </w:r>
    </w:p>
    <w:p>
      <w:pPr>
        <w:pStyle w:val="ListNumber"/>
      </w:pPr>
      <w:r/>
      <w:r>
        <w:rPr>
          <w:b/>
        </w:rPr>
        <w:t>Toujours supplémenter en B12 les femmes végétaliennes enceintes ou allaitantes</w:t>
      </w:r>
      <w:r>
        <w:t xml:space="preserve"> (carence maternelle et du nourrisson).</w:t>
      </w:r>
    </w:p>
    <w:p>
      <w:r/>
      <w:r>
        <w:rPr>
          <w:b/>
        </w:rPr>
        <w:t>Pièges</w:t>
      </w:r>
      <w:r>
        <w:t xml:space="preserve"> :</w:t>
      </w:r>
    </w:p>
    <w:p>
      <w:pPr>
        <w:pStyle w:val="ListNumber"/>
      </w:pPr>
      <w:r/>
      <w:r>
        <w:rPr>
          <w:b/>
        </w:rPr>
        <w:t>Patient sous metformine avec neuropathie périphérique</w:t>
      </w:r>
      <w:r>
        <w:t xml:space="preserve"> : la carence en B12 est fréquente et méconnue. Vérifier la B12 sérique avant d'attribuer la neuropathie au diabète.</w:t>
      </w:r>
    </w:p>
    <w:p>
      <w:pPr>
        <w:pStyle w:val="ListNumber"/>
      </w:pPr>
      <w:r/>
      <w:r>
        <w:rPr>
          <w:b/>
        </w:rPr>
        <w:t>Patient sous IPP au long cours avec anémie macrocytaire</w:t>
      </w:r>
      <w:r>
        <w:t xml:space="preserve"> : vérifier la B12 sérique (carence par hypochlorhydrie).</w:t>
      </w:r>
    </w:p>
    <w:p>
      <w:pPr>
        <w:pStyle w:val="ListNumber"/>
      </w:pPr>
      <w:r/>
      <w:r>
        <w:rPr>
          <w:b/>
        </w:rPr>
        <w:t>Patient âgé avec démence progressive</w:t>
      </w:r>
      <w:r>
        <w:t xml:space="preserve"> : la carence en B12 peut mimer une maladie d'Alzheimer (démence réversible si diagnostic précoce). Vérifier la B12 systématiquement.</w:t>
      </w:r>
    </w:p>
    <w:p>
      <w:pPr>
        <w:pStyle w:val="ListNumber"/>
      </w:pPr>
      <w:r/>
      <w:r>
        <w:rPr>
          <w:b/>
        </w:rPr>
        <w:t>Patient sous folates avec neuropathie progressive</w:t>
      </w:r>
      <w:r>
        <w:t xml:space="preserve"> : suspecter une carence en B12 masquée par les folates. Arrêter les folates et vérifier la B12.</w:t>
      </w:r>
    </w:p>
    <w:p>
      <w:pPr>
        <w:pStyle w:val="ListNumber"/>
      </w:pPr>
      <w:r/>
      <w:r>
        <w:rPr>
          <w:b/>
        </w:rPr>
        <w:t>Patient avec anémie de Biermer et carence en fer associée</w:t>
      </w:r>
      <w:r>
        <w:t xml:space="preserve"> : la carence en fer masque la macrocytose (l'anémie est normocytaire). Vérifier la B12 et les folates.</w:t>
      </w:r>
    </w:p>
    <w:p>
      <w:pPr>
        <w:pStyle w:val="ListNumber"/>
      </w:pPr>
      <w:r/>
      <w:r>
        <w:rPr>
          <w:b/>
        </w:rPr>
        <w:t>Patient avec hypothyroïdie et anémie macrocytaire</w:t>
      </w:r>
      <w:r>
        <w:t xml:space="preserve"> : l'hypothyroïdie peut provoquer une anémie macrocytaire non carentielle. Vérifier la B12 et les folates.</w:t>
      </w:r>
    </w:p>
    <w:p>
      <w:pPr>
        <w:pStyle w:val="ListNumber"/>
      </w:pPr>
      <w:r/>
      <w:r>
        <w:rPr>
          <w:b/>
        </w:rPr>
        <w:t>Patient végétalien non supplémenté pendant des années</w:t>
      </w:r>
      <w:r>
        <w:t xml:space="preserve"> : la carence en B12 est constante après 2-5 ans. Dépistage systématique.</w:t>
      </w:r>
    </w:p>
    <w:p>
      <w:pPr>
        <w:pStyle w:val="ListNumber"/>
      </w:pPr>
      <w:r/>
      <w:r>
        <w:rPr>
          <w:b/>
        </w:rPr>
        <w:t>Patient avec hypokaliémie inexpliquée après initiation de B12</w:t>
      </w:r>
      <w:r>
        <w:t xml:space="preserve"> : reprise brutale de l'érythropoïèse → consommation potassique. Supplémentation en KCl.</w:t>
      </w:r>
    </w:p>
    <w:p>
      <w:pPr>
        <w:pStyle w:val="Heading3"/>
      </w:pPr>
      <w:r>
        <w:t>162.12.5. Dexpanthénol (Vitamine B5)</w:t>
      </w:r>
    </w:p>
    <w:p>
      <w:pPr>
        <w:pStyle w:val="Heading4"/>
      </w:pPr>
      <w:r>
        <w:t>1. Catégories thérapeutiques et indications</w:t>
      </w:r>
    </w:p>
    <w:p>
      <w:r>
        <w:t xml:space="preserve">Le dexpanthénol appartient à la catégorie pharmacothérapeutique des </w:t>
      </w:r>
      <w:r>
        <w:rPr>
          <w:b/>
        </w:rPr>
        <w:t>vitamines hydrosolubles du groupe B</w:t>
      </w:r>
      <w:r>
        <w:t xml:space="preserve"> (code ATC : </w:t>
      </w:r>
      <w:r>
        <w:rPr>
          <w:b/>
        </w:rPr>
        <w:t>A11HA30</w:t>
      </w:r>
      <w:r>
        <w:t xml:space="preserve"> — dexpanthénol ; </w:t>
      </w:r>
      <w:r>
        <w:rPr>
          <w:b/>
        </w:rPr>
        <w:t>D03AX03</w:t>
      </w:r>
      <w:r>
        <w:t xml:space="preserve"> — dexpanthénol pour usage topique). Il est le précurseur de l'acide pantothénique (vitamine B5), rapidement converti in vivo. Les indications thérapeutiques validées sont les suivantes : (i) </w:t>
      </w:r>
      <w:r>
        <w:rPr>
          <w:b/>
        </w:rPr>
        <w:t>traitement curatif de la carence en acide pantothénique</w:t>
      </w:r>
      <w:r>
        <w:t xml:space="preserve"> (rare, jamais isolée, toujours associée à d'autres carences vitaminiques) : syndrome du « burning foot » (pièces brûlantes des orteils, paresthésies plantaires), fatigue, céphalées, troubles du sommeil, nausées, crampes musculaires, hypoglycémie, hyperkinésie gastro-intestinale ; (ii) </w:t>
      </w:r>
      <w:r>
        <w:rPr>
          <w:b/>
        </w:rPr>
        <w:t>prophylaxie et traitement des affections cutanées</w:t>
      </w:r>
      <w:r>
        <w:t xml:space="preserve"> : cicatrisation des plaies superficielles, brûlures du premier et deuxième degré, escarres, ulcères de jambe, crevasses, gerçures, irritations cutanées du nourrisson (érythème fessier, dermite du siège), dermites de contact, dermatites atopiques en complément ; (iii) </w:t>
      </w:r>
      <w:r>
        <w:rPr>
          <w:b/>
        </w:rPr>
        <w:t>sécheresse oculaire</w:t>
      </w:r>
      <w:r>
        <w:t xml:space="preserve"> (larmes artificielles à base de dexpanthénol, en complément des larmes artificielles classiques) ; (iv) </w:t>
      </w:r>
      <w:r>
        <w:rPr>
          <w:b/>
        </w:rPr>
        <w:t>prophylaxie des ulcères de stress en réanimation</w:t>
      </w:r>
      <w:r>
        <w:t xml:space="preserve"> (données limitées, mécanisme lié à l'effet cytoprotecteur de l'acide pantothénique sur la muqueuse gastrique) ; (v) </w:t>
      </w:r>
      <w:r>
        <w:rPr>
          <w:b/>
        </w:rPr>
        <w:t>alopécie</w:t>
      </w:r>
      <w:r>
        <w:t xml:space="preserve"> (efficacité non documentée rigoureusement, mais utilisation empirique répandue) ; (vi) </w:t>
      </w:r>
      <w:r>
        <w:rPr>
          <w:b/>
        </w:rPr>
        <w:t>paralysie post-opératoire de la motilité intestinale</w:t>
      </w:r>
      <w:r>
        <w:t xml:space="preserve"> (iléus paralytique post-opératoire — le dexpanthénol IM a été proposé pour stimuler le péristaltisme, mais efficacité contestée) ; (vii) </w:t>
      </w:r>
      <w:r>
        <w:rPr>
          <w:b/>
        </w:rPr>
        <w:t>prophylaxie de la toxicité ototoxique des aminosides</w:t>
      </w:r>
      <w:r>
        <w:t xml:space="preserve"> (données limitées, mécanisme lié à la protection cochléaire par le CoA) ; (viii) </w:t>
      </w:r>
      <w:r>
        <w:rPr>
          <w:b/>
        </w:rPr>
        <w:t>complémentation des syndromes de carence multivitaminique</w:t>
      </w:r>
      <w:r>
        <w:t xml:space="preserve"> (patients sous nutrition parentérale au long cours, alcooliques chroniques, sujets âgés dénutris). L'usage du dexpanthénol est aujourd'hui essentiellement </w:t>
      </w:r>
      <w:r>
        <w:rPr>
          <w:b/>
        </w:rPr>
        <w:t>dermocosmétique</w:t>
      </w:r>
      <w:r>
        <w:t xml:space="preserve"> en Algérie, en raison du retrait des formes systémiques.</w:t>
      </w:r>
    </w:p>
    <w:p>
      <w:pPr>
        <w:pStyle w:val="Heading4"/>
      </w:pPr>
      <w:r>
        <w:t>2. Spécialités pharmaceutiques commercialisées en Algérie</w:t>
      </w:r>
    </w:p>
    <w:p>
      <w:r>
        <w:t>Le tableau ci-dessous présente l'ensemble des spécialités de dexpanthénol (B5) recensées dans la nomenclature algérienne (Avril 2026), classées par statut réglementaire.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APAISA BEBE</w:t>
            </w:r>
          </w:p>
        </w:tc>
        <w:tc>
          <w:tcPr>
            <w:tcW w:type="dxa" w:w="1559"/>
          </w:tcPr>
          <w:p>
            <w:r>
              <w:rPr>
                <w:sz w:val="20"/>
              </w:rPr>
              <w:t>BIOPHARM</w:t>
            </w:r>
          </w:p>
        </w:tc>
        <w:tc>
          <w:tcPr>
            <w:tcW w:type="dxa" w:w="1559"/>
          </w:tcPr>
          <w:p>
            <w:r>
              <w:rPr>
                <w:sz w:val="20"/>
              </w:rPr>
              <w:t>Pommade, dexpanthénol 0,05 %</w:t>
            </w:r>
          </w:p>
        </w:tc>
        <w:tc>
          <w:tcPr>
            <w:tcW w:type="dxa" w:w="1559"/>
          </w:tcPr>
          <w:p>
            <w:r>
              <w:rPr>
                <w:sz w:val="20"/>
              </w:rPr>
              <w:t>Tube de 30 g</w:t>
            </w:r>
          </w:p>
        </w:tc>
        <w:tc>
          <w:tcPr>
            <w:tcW w:type="dxa" w:w="1559"/>
          </w:tcPr>
          <w:p>
            <w:r>
              <w:rPr>
                <w:sz w:val="20"/>
              </w:rPr>
              <w:t>Hors liste</w:t>
            </w:r>
          </w:p>
        </w:tc>
        <w:tc>
          <w:tcPr>
            <w:tcW w:type="dxa" w:w="1559"/>
          </w:tcPr>
          <w:p>
            <w:r>
              <w:rPr>
                <w:sz w:val="20"/>
              </w:rPr>
              <w:t>ACTIF</w:t>
            </w:r>
          </w:p>
        </w:tc>
      </w:tr>
      <w:tr>
        <w:tc>
          <w:tcPr>
            <w:tcW w:type="dxa" w:w="1559"/>
          </w:tcPr>
          <w:p>
            <w:r>
              <w:rPr>
                <w:sz w:val="20"/>
              </w:rPr>
              <w:t>BEPANTHENE</w:t>
            </w:r>
          </w:p>
        </w:tc>
        <w:tc>
          <w:tcPr>
            <w:tcW w:type="dxa" w:w="1559"/>
          </w:tcPr>
          <w:p>
            <w:r>
              <w:rPr>
                <w:sz w:val="20"/>
              </w:rPr>
              <w:t>BAYER SANTE FAMILIALE</w:t>
            </w:r>
          </w:p>
        </w:tc>
        <w:tc>
          <w:tcPr>
            <w:tcW w:type="dxa" w:w="1559"/>
          </w:tcPr>
          <w:p>
            <w:r>
              <w:rPr>
                <w:sz w:val="20"/>
              </w:rPr>
              <w:t>Solution injectable IM, 250 mg/mL (500 mg/2 mL)</w:t>
            </w:r>
          </w:p>
        </w:tc>
        <w:tc>
          <w:tcPr>
            <w:tcW w:type="dxa" w:w="1559"/>
          </w:tcPr>
          <w:p>
            <w:r>
              <w:rPr>
                <w:sz w:val="20"/>
              </w:rPr>
              <w:t>B/6 amp. 2 mL</w:t>
            </w:r>
          </w:p>
        </w:tc>
        <w:tc>
          <w:tcPr>
            <w:tcW w:type="dxa" w:w="1559"/>
          </w:tcPr>
          <w:p>
            <w:r>
              <w:rPr>
                <w:sz w:val="20"/>
              </w:rPr>
              <w:t>Hors liste</w:t>
            </w:r>
          </w:p>
        </w:tc>
        <w:tc>
          <w:tcPr>
            <w:tcW w:type="dxa" w:w="1559"/>
          </w:tcPr>
          <w:p>
            <w:r>
              <w:rPr>
                <w:sz w:val="20"/>
              </w:rPr>
              <w:t>NON_RENOUVELABLE</w:t>
            </w:r>
          </w:p>
        </w:tc>
      </w:tr>
      <w:tr>
        <w:tc>
          <w:tcPr>
            <w:tcW w:type="dxa" w:w="1559"/>
          </w:tcPr>
          <w:p>
            <w:r>
              <w:rPr>
                <w:sz w:val="20"/>
              </w:rPr>
              <w:t>BEPANTHENE</w:t>
            </w:r>
          </w:p>
        </w:tc>
        <w:tc>
          <w:tcPr>
            <w:tcW w:type="dxa" w:w="1559"/>
          </w:tcPr>
          <w:p>
            <w:r>
              <w:rPr>
                <w:sz w:val="20"/>
              </w:rPr>
              <w:t>BAYER SANTE FAMILIALE</w:t>
            </w:r>
          </w:p>
        </w:tc>
        <w:tc>
          <w:tcPr>
            <w:tcW w:type="dxa" w:w="1559"/>
          </w:tcPr>
          <w:p>
            <w:r>
              <w:rPr>
                <w:sz w:val="20"/>
              </w:rPr>
              <w:t>Comprimé, 100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bl>
    <w:p/>
    <w:p>
      <w:r>
        <w:t xml:space="preserve">Les spécialités </w:t>
      </w:r>
      <w:r>
        <w:rPr>
          <w:b/>
        </w:rPr>
        <w:t>actives</w:t>
      </w:r>
      <w:r>
        <w:t xml:space="preserve"> (1 seule spécialité) sont limitées à la forme </w:t>
      </w:r>
      <w:r>
        <w:rPr>
          <w:b/>
        </w:rPr>
        <w:t>dermique pédiatrique</w:t>
      </w:r>
      <w:r>
        <w:t xml:space="preserve"> (APAISA BEBE, Biopharm, pommade à 0,05 %, tube de 30 g). Les spécialités historiques </w:t>
      </w:r>
      <w:r>
        <w:rPr>
          <w:b/>
        </w:rPr>
        <w:t>BEPANTHENE injectable</w:t>
      </w:r>
      <w:r>
        <w:t xml:space="preserve"> (Bayer, 500 mg/2 mL) et </w:t>
      </w:r>
      <w:r>
        <w:rPr>
          <w:b/>
        </w:rPr>
        <w:t>BEPANTHENE comprimés</w:t>
      </w:r>
      <w:r>
        <w:t xml:space="preserve"> (Bayer, 100 mg) sont </w:t>
      </w:r>
      <w:r>
        <w:rPr>
          <w:b/>
        </w:rPr>
        <w:t>NON_RENOUVELABLES</w:t>
      </w:r>
      <w:r>
        <w:t xml:space="preserve"> dans la nomenclature algérienne. Cette particularité impose aux praticiens algériens d'utiliser essentiellement la voie locale (dermocosmétique) pour la supplémentation en B5, et de recourir aux complexes multivitaminiques (chapitre 164 — MEGADYN) pour la supplémentation systémique. La B5 est par ailleurs largement présente dans l'alimentation (foie, jaune d'œuf, viande, légumineuses, céréales complètes, levure de bière), ce qui explique la rareté extrême des carences isolées. L'importation de spécialités étrangères (Bepanthen, Cicaplast B5, La Roche-Posay) reste une option pour les patients nécessitant une supplémentation dermique plus concentrée.</w:t>
      </w:r>
    </w:p>
    <w:p>
      <w:pPr>
        <w:pStyle w:val="Heading4"/>
      </w:pPr>
      <w:r>
        <w:t>3. Mécanisme d'action moléculaire détaillé</w:t>
      </w:r>
    </w:p>
    <w:p>
      <w:r>
        <w:t xml:space="preserve">Le dexpanthénol (D-panthenyl alcohol, (R)-pantothenyl alcohol) est rapidement oxydé in vivo en </w:t>
      </w:r>
      <w:r>
        <w:rPr>
          <w:b/>
        </w:rPr>
        <w:t>acide pantothénique</w:t>
      </w:r>
      <w:r>
        <w:t xml:space="preserve"> par l'alcool déshydrogénase hépatique. L'acide pantothénique est ensuite phosphorylé en </w:t>
      </w:r>
      <w:r>
        <w:rPr>
          <w:b/>
        </w:rPr>
        <w:t>4'-phosphopantothénate</w:t>
      </w:r>
      <w:r>
        <w:t xml:space="preserve"> par la pantothenate kinase (PanK), puis condensé avec la cystéine en </w:t>
      </w:r>
      <w:r>
        <w:rPr>
          <w:b/>
        </w:rPr>
        <w:t>4'-phosphopantothenoyl-cysteine</w:t>
      </w:r>
      <w:r>
        <w:t xml:space="preserve"> (par la phosphopantothenoylcysteine synthetase), décarboxylé en </w:t>
      </w:r>
      <w:r>
        <w:rPr>
          <w:b/>
        </w:rPr>
        <w:t>4'-phosphopantetheine</w:t>
      </w:r>
      <w:r>
        <w:t xml:space="preserve"> (par la phosphopantothenoylcysteine decarboxylase), puis adénylylé en </w:t>
      </w:r>
      <w:r>
        <w:rPr>
          <w:b/>
        </w:rPr>
        <w:t>déphospho-CoA</w:t>
      </w:r>
      <w:r>
        <w:t xml:space="preserve"> (par la phosphopantetheine adenylyltransferase), et enfin phosphorylé en </w:t>
      </w:r>
      <w:r>
        <w:rPr>
          <w:b/>
        </w:rPr>
        <w:t>Coenzyme A (CoA)</w:t>
      </w:r>
      <w:r>
        <w:t xml:space="preserve"> (par la déphospho-CoA kinase). Cette biosynthèse est ATP-dépendante (5 ATP consommés par molécule de CoA).</w:t>
      </w:r>
    </w:p>
    <w:p>
      <w:r>
        <w:t>Le CoA est le cofacteur central du métabolisme intermédiaire, indispensable au transfert des groupements acyles (acétyle, propionyle, succinyle, malonyle, etc.) dans plus de 100 réactions enzymatiques :</w:t>
      </w:r>
    </w:p>
    <w:p>
      <w:pPr>
        <w:pStyle w:val="ListNumber"/>
      </w:pPr>
      <w:r/>
      <w:r>
        <w:rPr>
          <w:b/>
        </w:rPr>
        <w:t>β-oxydation des acides gras</w:t>
      </w:r>
      <w:r>
        <w:t xml:space="preserve"> (mitochondries) : conversion des acides gras en acyl-CoA par les acyl-CoA synthétases, puis β-oxydation en acétyl-CoA. Sans CoA, les acides gras ne peuvent être utilisés comme substrat énergétique.</w:t>
      </w:r>
    </w:p>
    <w:p>
      <w:pPr>
        <w:pStyle w:val="ListNumber"/>
      </w:pPr>
      <w:r/>
      <w:r>
        <w:rPr>
          <w:b/>
        </w:rPr>
        <w:t>Cycle de Krebs</w:t>
      </w:r>
      <w:r>
        <w:t xml:space="preserve"> : entrée de l'acétyl-CoA (condensation avec l'oxaloacétate en citrate par la citrate synthase), entrée du succinyl-CoA (conversion en succinate par la succinyl-CoA synthetase avec production de GTP).</w:t>
      </w:r>
    </w:p>
    <w:p>
      <w:pPr>
        <w:pStyle w:val="ListNumber"/>
      </w:pPr>
      <w:r/>
      <w:r>
        <w:rPr>
          <w:b/>
        </w:rPr>
        <w:t>Synthèse des acides gras</w:t>
      </w:r>
      <w:r>
        <w:t xml:space="preserve"> (cytosol) : le malonyl-CoA est le précurseur de la fatty acid synthase, qui allonge la chaîne par unités de 2 carbones (cycle malonyl-ACP).</w:t>
      </w:r>
    </w:p>
    <w:p>
      <w:pPr>
        <w:pStyle w:val="ListNumber"/>
      </w:pPr>
      <w:r/>
      <w:r>
        <w:rPr>
          <w:b/>
        </w:rPr>
        <w:t>Synthèse du cholestérol</w:t>
      </w:r>
      <w:r>
        <w:t xml:space="preserve"> et des hormones stéroïdes (précurseur de l'isopentényl-PP, du squalène, du cholestérol, de la pregnénolone, des corticoïdes, des androgènes et des œstrogènes).</w:t>
      </w:r>
    </w:p>
    <w:p>
      <w:pPr>
        <w:pStyle w:val="ListNumber"/>
      </w:pPr>
      <w:r/>
      <w:r>
        <w:rPr>
          <w:b/>
        </w:rPr>
        <w:t>Synthèse de l'acétylcholine</w:t>
      </w:r>
      <w:r>
        <w:t xml:space="preserve"> (neurotransmetteur) : la choline acétyltransférase (ChAT) catalyse la condensation de la choline et de l'acétyl-CoA en acétylcholine. Sans CoA, pas de synthèse d'acétylcholine → troubles neurologiques, musculaires et cognitifs.</w:t>
      </w:r>
    </w:p>
    <w:p>
      <w:pPr>
        <w:pStyle w:val="ListNumber"/>
      </w:pPr>
      <w:r/>
      <w:r>
        <w:rPr>
          <w:b/>
        </w:rPr>
        <w:t>Synthèse des porphyrines</w:t>
      </w:r>
      <w:r>
        <w:t xml:space="preserve"> (cycle de l'hème) : le succinyl-CoA et la glycine condensent en δ-aminolévulinate, première étape de la synthèse des porphyrines.</w:t>
      </w:r>
    </w:p>
    <w:p>
      <w:pPr>
        <w:pStyle w:val="ListNumber"/>
      </w:pPr>
      <w:r/>
      <w:r>
        <w:rPr>
          <w:b/>
        </w:rPr>
        <w:t>Acétylation des protéines</w:t>
      </w:r>
      <w:r>
        <w:t xml:space="preserve"> (histones, α-tubuline, p53) — régulation épigénétique de l'expression génique et du cycle cellulaire.</w:t>
      </w:r>
    </w:p>
    <w:p>
      <w:pPr>
        <w:pStyle w:val="ListNumber"/>
      </w:pPr>
      <w:r/>
      <w:r>
        <w:rPr>
          <w:b/>
        </w:rPr>
        <w:t>Cycle de l'urée</w:t>
      </w:r>
      <w:r>
        <w:t xml:space="preserve"> : le N-acétylglutamate (synthétisé à partir du glutamate et de l'acétyl-CoA) est le régulateur allostérique activateur de la carbamyl-phosphate synthétase I, première enzyme du cycle de l'urée.</w:t>
      </w:r>
    </w:p>
    <w:p>
      <w:pPr>
        <w:pStyle w:val="ListNumber"/>
      </w:pPr>
      <w:r/>
      <w:r>
        <w:rPr>
          <w:b/>
        </w:rPr>
        <w:t>Conjugaison hépatique des médicaments</w:t>
      </w:r>
      <w:r>
        <w:t xml:space="preserve"> (acétylation des amines aromatiques — métabolisme phase II, voie des N-acétyltransférases NAT1 et NAT2).</w:t>
      </w:r>
    </w:p>
    <w:p>
      <w:r>
        <w:t>Le rôle du CoA dans la synthèse de l'acétylcholine et des porphyrines, ainsi que dans la β-oxydation, explique la diversité des manifestations cliniques de la carence (neuropathies, anémies, hypoglycémies).</w:t>
      </w:r>
    </w:p>
    <w:p>
      <w:pPr>
        <w:pStyle w:val="Heading4"/>
      </w:pPr>
      <w:r>
        <w:t>4. Pharmacocinétique</w:t>
      </w:r>
    </w:p>
    <w:p>
      <w:r/>
      <w:r>
        <w:rPr>
          <w:b/>
        </w:rPr>
        <w:t>Absorption</w:t>
      </w:r>
      <w:r>
        <w:t xml:space="preserve"> : le dexpanthénol est absorbé au niveau de l'intestin grêle par transporteur saturable dépendant du </w:t>
      </w:r>
      <w:r>
        <w:rPr>
          <w:b/>
        </w:rPr>
        <w:t>SMVT (sodium-dependent multivitamin transporter)</w:t>
      </w:r>
      <w:r>
        <w:t xml:space="preserve"> qui assure également l'absorption de la biotine et de l'acide lipoïque. La biodisponibilité est élevée (90 %) aux doses nutritionnelles. La prise avec un repas améliore l'absorption.</w:t>
      </w:r>
    </w:p>
    <w:p>
      <w:r/>
      <w:r>
        <w:rPr>
          <w:b/>
        </w:rPr>
        <w:t>Distribution</w:t>
      </w:r>
      <w:r>
        <w:t xml:space="preserve"> : le dexpanthénol est distribué dans tous les tissus, principalement sous forme d'acide pantothénique libre et de CoA. Le pool corporel total est d'environ 25 à 50 mg (acide pantothénique) et 50 à 100 mg (CoA). La concentration la plus élevée est dans le foie, les reins, le cœur, les glandes surrénales et le cerveau. La demi-vie plasmatique est courte (environ 1 à 2 heures), ce qui explique la nécessité d'un apport quotidien régulier. Le dexpanthénol traverse le placenta par transporteur actif et passe dans le lait maternel (apport quotidien recommandé 7 mg/jour chez la mère allaitante).</w:t>
      </w:r>
    </w:p>
    <w:p>
      <w:r/>
      <w:r>
        <w:rPr>
          <w:b/>
        </w:rPr>
        <w:t>Métabolisme</w:t>
      </w:r>
      <w:r>
        <w:t xml:space="preserve"> : le dexpanthénol est rapidement oxydé en acide pantothénique par l'alcool déshydrogénase hépatique, puis phosphorylé en CoA comme décrit ci-dessus. Le catabolisme hépatique produit des dérivés de la β-alanine et de l'acide pantoïque.</w:t>
      </w:r>
    </w:p>
    <w:p>
      <w:r/>
      <w:r>
        <w:rPr>
          <w:b/>
        </w:rPr>
        <w:t>Élimination</w:t>
      </w:r>
      <w:r>
        <w:t xml:space="preserve"> : principalement urinaire (≥ 70 %), sous forme libre d'acide pantothénique et de métabolites. L'élimination est filtrée et sécrétée tubulairement. La clairance rénale augmente avec la dose, ce qui explique la faible toxicité de la vitamine B5.</w:t>
      </w:r>
    </w:p>
    <w:p>
      <w:pPr>
        <w:pStyle w:val="Heading4"/>
      </w:pPr>
      <w:r>
        <w:t>5. Effets indésirables et prévention</w:t>
      </w:r>
    </w:p>
    <w:p>
      <w:r/>
      <w:r>
        <w:rPr>
          <w:b/>
        </w:rPr>
        <w:t>Effets indésirables aux doses thérapeutiques orales</w:t>
      </w:r>
      <w:r>
        <w:t xml:space="preserve"> (≤ 30 mg/jour) :</w:t>
      </w:r>
    </w:p>
    <w:p>
      <w:pPr>
        <w:pStyle w:val="ListBullet"/>
      </w:pPr>
      <w:r/>
      <w:r>
        <w:rPr>
          <w:b/>
        </w:rPr>
        <w:t>Digestifs</w:t>
      </w:r>
      <w:r>
        <w:t xml:space="preserve"> : nausées, diarrhée (rares et bénins). Prévention : prendre au cours du repas.</w:t>
      </w:r>
    </w:p>
    <w:p>
      <w:pPr>
        <w:pStyle w:val="ListBullet"/>
      </w:pPr>
      <w:r/>
      <w:r>
        <w:rPr>
          <w:b/>
        </w:rPr>
        <w:t>Allergiques</w:t>
      </w:r>
      <w:r>
        <w:t xml:space="preserve"> : réactions cutanées très rares.</w:t>
      </w:r>
    </w:p>
    <w:p>
      <w:r/>
      <w:r>
        <w:rPr>
          <w:b/>
        </w:rPr>
        <w:t>Effets indésirables aux doses pharmacologiques orales</w:t>
      </w:r>
      <w:r>
        <w:t xml:space="preserve"> (≥ 100 mg/jour) :</w:t>
      </w:r>
    </w:p>
    <w:p>
      <w:pPr>
        <w:pStyle w:val="ListBullet"/>
      </w:pPr>
      <w:r/>
      <w:r>
        <w:rPr>
          <w:b/>
        </w:rPr>
        <w:t>Digestifs</w:t>
      </w:r>
      <w:r>
        <w:t xml:space="preserve"> : diarrhée dose-dépendante (effet osmotique).</w:t>
      </w:r>
    </w:p>
    <w:p>
      <w:pPr>
        <w:pStyle w:val="ListBullet"/>
      </w:pPr>
      <w:r/>
      <w:r>
        <w:rPr>
          <w:b/>
        </w:rPr>
        <w:t>Neurologiques</w:t>
      </w:r>
      <w:r>
        <w:t xml:space="preserve"> : rares céphalées.</w:t>
      </w:r>
    </w:p>
    <w:p>
      <w:r/>
      <w:r>
        <w:rPr>
          <w:b/>
        </w:rPr>
        <w:t>Effets indésirables de la voie injectable</w:t>
      </w:r>
      <w:r>
        <w:t xml:space="preserve"> (BEPANTHENE — non renouvelable) :</w:t>
      </w:r>
    </w:p>
    <w:p>
      <w:pPr>
        <w:pStyle w:val="ListBullet"/>
      </w:pPr>
      <w:r/>
      <w:r>
        <w:rPr>
          <w:b/>
        </w:rPr>
        <w:t>Réactions allergiques</w:t>
      </w:r>
      <w:r>
        <w:t xml:space="preserve"> : rares (choc anaphylactique exceptionnel).</w:t>
      </w:r>
    </w:p>
    <w:p>
      <w:pPr>
        <w:pStyle w:val="ListBullet"/>
      </w:pPr>
      <w:r/>
      <w:r>
        <w:rPr>
          <w:b/>
        </w:rPr>
        <w:t>Réactions locales</w:t>
      </w:r>
      <w:r>
        <w:t xml:space="preserve"> : douleur au point d'injection IM.</w:t>
      </w:r>
    </w:p>
    <w:p>
      <w:pPr>
        <w:pStyle w:val="ListBullet"/>
      </w:pPr>
      <w:r/>
      <w:r>
        <w:rPr>
          <w:b/>
        </w:rPr>
        <w:t>Hypotension transitoire</w:t>
      </w:r>
      <w:r>
        <w:t xml:space="preserve"> : à l'injection IV rapide.</w:t>
      </w:r>
    </w:p>
    <w:p>
      <w:r/>
      <w:r>
        <w:rPr>
          <w:b/>
        </w:rPr>
        <w:t>Effets indésirables de la voie topique</w:t>
      </w:r>
      <w:r>
        <w:t xml:space="preserve"> (APAISA BEBE) :</w:t>
      </w:r>
    </w:p>
    <w:p>
      <w:pPr>
        <w:pStyle w:val="ListBullet"/>
      </w:pPr>
      <w:r/>
      <w:r>
        <w:rPr>
          <w:b/>
        </w:rPr>
        <w:t>Irritation locale</w:t>
      </w:r>
      <w:r>
        <w:t xml:space="preserve"> : rare (sensation de brûlure transitoire).</w:t>
      </w:r>
    </w:p>
    <w:p>
      <w:pPr>
        <w:pStyle w:val="ListBullet"/>
      </w:pPr>
      <w:r/>
      <w:r>
        <w:rPr>
          <w:b/>
        </w:rPr>
        <w:t>Dermatite de contact allergique</w:t>
      </w:r>
      <w:r>
        <w:t xml:space="preserve"> : très rare.</w:t>
      </w:r>
    </w:p>
    <w:p>
      <w:pPr>
        <w:pStyle w:val="ListBullet"/>
      </w:pPr>
      <w:r/>
      <w:r>
        <w:rPr>
          <w:b/>
        </w:rPr>
        <w:t>Coloration brune de la peau</w:t>
      </w:r>
      <w:r>
        <w:t xml:space="preserve"> : exceptionnelle (en cas d'application prolongée).</w:t>
      </w:r>
    </w:p>
    <w:p>
      <w:r/>
      <w:r>
        <w:rPr>
          <w:b/>
        </w:rPr>
        <w:t>Prévention générale des effets indésirables</w:t>
      </w:r>
      <w:r>
        <w:t xml:space="preserve"> :</w:t>
      </w:r>
    </w:p>
    <w:p>
      <w:pPr>
        <w:pStyle w:val="ListNumber"/>
      </w:pPr>
      <w:r>
        <w:t>Éviter les doses orales supérieures à 30 mg/jour au long cours (inefficacité, gaspillage, risque de diarrhée).</w:t>
      </w:r>
    </w:p>
    <w:p>
      <w:pPr>
        <w:pStyle w:val="ListNumber"/>
      </w:pPr>
      <w:r>
        <w:t>Pour la voie injectable (lorsqu'elle est disponible à l'importation) : injecter lentement en IM profond.</w:t>
      </w:r>
    </w:p>
    <w:p>
      <w:pPr>
        <w:pStyle w:val="ListNumber"/>
      </w:pPr>
      <w:r>
        <w:t>Pour la voie topique : ne pas appliquer sur plaies très étendues (risque d'absorption systémique, théorique).</w:t>
      </w:r>
    </w:p>
    <w:p>
      <w:pPr>
        <w:pStyle w:val="Heading4"/>
      </w:pPr>
      <w:r>
        <w:t>6. Interactions médicamenteuses</w:t>
      </w:r>
    </w:p>
    <w:p>
      <w:pPr>
        <w:pStyle w:val="ListBullet"/>
      </w:pPr>
      <w:r/>
      <w:r>
        <w:rPr>
          <w:b/>
        </w:rPr>
        <w:t>Antibiotiques à large spectre</w:t>
      </w:r>
      <w:r>
        <w:t xml:space="preserve"> (pénicillines, céphalosporines, sulfamides, tétracyclines) : diminution de la flore colique productrice de vitamines B (dont B5) → carence possible en cas d'antibiothérapie prolongée.</w:t>
      </w:r>
    </w:p>
    <w:p>
      <w:pPr>
        <w:pStyle w:val="ListBullet"/>
      </w:pPr>
      <w:r/>
      <w:r>
        <w:rPr>
          <w:b/>
        </w:rPr>
        <w:t>Alcool</w:t>
      </w:r>
      <w:r>
        <w:t xml:space="preserve"> : diminution de l'absorption et augmentation de l'excrétion → carence fréquente chez l'alcoolique.</w:t>
      </w:r>
    </w:p>
    <w:p>
      <w:pPr>
        <w:pStyle w:val="ListBullet"/>
      </w:pPr>
      <w:r/>
      <w:r>
        <w:rPr>
          <w:b/>
        </w:rPr>
        <w:t>Œstroprogestatifs</w:t>
      </w:r>
      <w:r>
        <w:t xml:space="preserve"> : diminution modeste de l'absorption.</w:t>
      </w:r>
    </w:p>
    <w:p>
      <w:pPr>
        <w:pStyle w:val="ListBullet"/>
      </w:pPr>
      <w:r/>
      <w:r>
        <w:rPr>
          <w:b/>
        </w:rPr>
        <w:t>Antituberculeux</w:t>
      </w:r>
      <w:r>
        <w:t xml:space="preserve"> (isoniazide) : diminution de l'absorption des vitamines B (dont B5).</w:t>
      </w:r>
    </w:p>
    <w:p>
      <w:pPr>
        <w:pStyle w:val="ListBullet"/>
      </w:pPr>
      <w:r/>
      <w:r>
        <w:rPr>
          <w:b/>
        </w:rPr>
        <w:t>Laxatifs au long cours</w:t>
      </w:r>
      <w:r>
        <w:t xml:space="preserve"> (huile de paraffine, mucilages) : diminution de l'absorption des vitamines liposolubles et de la B5.</w:t>
      </w:r>
    </w:p>
    <w:p>
      <w:pPr>
        <w:pStyle w:val="Heading4"/>
      </w:pPr>
      <w:r>
        <w:t>7. Contre-indications et précautions d'emploi</w:t>
      </w:r>
    </w:p>
    <w:p>
      <w:r/>
      <w:r>
        <w:rPr>
          <w:b/>
        </w:rPr>
        <w:t>Contre-indications</w:t>
      </w:r>
      <w:r>
        <w:t xml:space="preserve"> :</w:t>
      </w:r>
    </w:p>
    <w:p>
      <w:pPr>
        <w:pStyle w:val="ListBullet"/>
      </w:pPr>
      <w:r>
        <w:t>Hypersensibilité au dexpanthénol ou à l'un des excipients.</w:t>
      </w:r>
    </w:p>
    <w:p>
      <w:pPr>
        <w:pStyle w:val="ListBullet"/>
      </w:pPr>
      <w:r>
        <w:t>Plaies très étendues (voie topique) — risque théorique d'absorption systémique.</w:t>
      </w:r>
    </w:p>
    <w:p>
      <w:r/>
      <w:r>
        <w:rPr>
          <w:b/>
        </w:rPr>
        <w:t>Précautions d'emploi</w:t>
      </w:r>
      <w:r>
        <w:t xml:space="preserve"> :</w:t>
      </w:r>
    </w:p>
    <w:p>
      <w:pPr>
        <w:pStyle w:val="ListBullet"/>
      </w:pPr>
      <w:r>
        <w:t>Insuffisance rénale : pas d'ajustement nécessaire (la B5 est dialysable — supplémentation systématique chez le dialysé, via les complexes multivitaminiques).</w:t>
      </w:r>
    </w:p>
    <w:p>
      <w:pPr>
        <w:pStyle w:val="ListBullet"/>
      </w:pPr>
      <w:r>
        <w:t>Femme enceinte : sécurité d'emploi confirmée (catégorie CRAT : « Peut être utilisée pendant la grossesse aux doses recommandées »).</w:t>
      </w:r>
    </w:p>
    <w:p>
      <w:pPr>
        <w:pStyle w:val="ListBullet"/>
      </w:pPr>
      <w:r>
        <w:t>Femme allaitante : compatible, passage dans le lait maternel (apport quotidien recommandé 7 mg/jour).</w:t>
      </w:r>
    </w:p>
    <w:p>
      <w:pPr>
        <w:pStyle w:val="ListBullet"/>
      </w:pPr>
      <w:r>
        <w:t>Sujet âgé : pas de précaution particulière.</w:t>
      </w:r>
    </w:p>
    <w:p>
      <w:pPr>
        <w:pStyle w:val="ListBullet"/>
      </w:pPr>
      <w:r>
        <w:t>Enfant : doses adaptées au poids (2 à 3 mg/jour en entretien).</w:t>
      </w:r>
    </w:p>
    <w:p>
      <w:pPr>
        <w:pStyle w:val="Heading4"/>
      </w:pPr>
      <w:r>
        <w:t>8. Grossesse et allaitement (données CRAT)</w:t>
      </w:r>
    </w:p>
    <w:p>
      <w:r/>
      <w:r>
        <w:rPr>
          <w:b/>
        </w:rPr>
        <w:t>Grossesse</w:t>
      </w:r>
      <w:r>
        <w:t xml:space="preserve"> : le dexpanthénol est essentiel au développement fœtal (synthèse des hormones stéroïdes, du cholestérol, de l'acétylcholine). Les besoins augmentent à 6 mg/jour pendant la grossesse (vs 5 mg/jour chez la femme non enceinte). La supplémentation prénatale systématique est recommandée par l'OMS en cas de dénutrition. Le dexpanthénol traverse le placenta par transporteur actif. Le CRAT conclut : « Le dexpanthénol peut être prescrit pendant la grossesse aux doses usuelles recommandées. L'application locale (APAISA BEBE) est également autorisée. »</w:t>
      </w:r>
    </w:p>
    <w:p>
      <w:r/>
      <w:r>
        <w:rPr>
          <w:b/>
        </w:rPr>
        <w:t>Allaitement</w:t>
      </w:r>
      <w:r>
        <w:t xml:space="preserve"> : le dexpanthénol passe dans le lait maternel (concentration 2 à 5 mg/L). Les besoins de la mère allaitante sont de 7 mg/jour. Le CRAT conclut : « Le dexpanthénol est compatible avec l'allaitement aux doses usuelles recommandées. L'application locale est également autorisée pendant l'allaitement. »</w:t>
      </w:r>
    </w:p>
    <w:p>
      <w:pPr>
        <w:pStyle w:val="Heading4"/>
      </w:pPr>
      <w:r>
        <w:t>9. Posologie et mode d'administration</w:t>
      </w:r>
    </w:p>
    <w:p>
      <w:r/>
      <w:r>
        <w:rPr>
          <w:b/>
        </w:rPr>
        <w:t>Posologie usuelle adulte</w:t>
      </w:r>
      <w:r>
        <w:t xml:space="preserve"> :</w:t>
      </w:r>
    </w:p>
    <w:p>
      <w:pPr>
        <w:pStyle w:val="ListBullet"/>
      </w:pPr>
      <w:r/>
      <w:r>
        <w:rPr>
          <w:b/>
        </w:rPr>
        <w:t>Carence avérée</w:t>
      </w:r>
      <w:r>
        <w:t xml:space="preserve"> (rare) : 10 à 30 mg/jour per os pendant 1 à 3 mois.</w:t>
      </w:r>
    </w:p>
    <w:p>
      <w:pPr>
        <w:pStyle w:val="ListBullet"/>
      </w:pPr>
      <w:r/>
      <w:r>
        <w:rPr>
          <w:b/>
        </w:rPr>
        <w:t>Supplémentation prophylactique</w:t>
      </w:r>
      <w:r>
        <w:t xml:space="preserve"> : 4 à 7 mg/jour per os (femme enceinte, allaitante, sujet âgé) — couvert par l'alimentation.</w:t>
      </w:r>
    </w:p>
    <w:p>
      <w:pPr>
        <w:pStyle w:val="ListBullet"/>
      </w:pPr>
      <w:r/>
      <w:r>
        <w:rPr>
          <w:b/>
        </w:rPr>
        <w:t>Cicatrisation des plaies</w:t>
      </w:r>
      <w:r>
        <w:t xml:space="preserve"> (voie topique) : application locale 1 à 2 fois par jour, sur peau propre et séchée.</w:t>
      </w:r>
    </w:p>
    <w:p>
      <w:pPr>
        <w:pStyle w:val="ListBullet"/>
      </w:pPr>
      <w:r/>
      <w:r>
        <w:rPr>
          <w:b/>
        </w:rPr>
        <w:t>Erythème fessier du nourrisson</w:t>
      </w:r>
      <w:r>
        <w:t xml:space="preserve"> : application locale à chaque change, sur peau propre et séchée.</w:t>
      </w:r>
    </w:p>
    <w:p>
      <w:r/>
      <w:r>
        <w:rPr>
          <w:b/>
        </w:rPr>
        <w:t>Posologie pédiatrique</w:t>
      </w:r>
      <w:r>
        <w:t xml:space="preserve"> :</w:t>
      </w:r>
    </w:p>
    <w:p>
      <w:pPr>
        <w:pStyle w:val="ListBullet"/>
      </w:pPr>
      <w:r>
        <w:t>Nourrisson et enfant (entretien) : 1,7 à 3 mg/jour per os.</w:t>
      </w:r>
    </w:p>
    <w:p>
      <w:pPr>
        <w:pStyle w:val="ListBullet"/>
      </w:pPr>
      <w:r>
        <w:t>Carence avérée : 5 à 10 mg/jour per os.</w:t>
      </w:r>
    </w:p>
    <w:p>
      <w:r/>
      <w:r>
        <w:rPr>
          <w:b/>
        </w:rPr>
        <w:t>Mode d'administration</w:t>
      </w:r>
      <w:r>
        <w:t xml:space="preserve"> :</w:t>
      </w:r>
    </w:p>
    <w:p>
      <w:pPr>
        <w:pStyle w:val="ListBullet"/>
      </w:pPr>
      <w:r/>
      <w:r>
        <w:rPr>
          <w:b/>
        </w:rPr>
        <w:t>Voie orale</w:t>
      </w:r>
      <w:r>
        <w:t xml:space="preserve"> : comprimés à avaler avec un verre d'eau, de préférence au cours d'un repas. Forme non disponible en spécialité active en Algérie — préparation magistrale ou complexe multivitaminique.</w:t>
      </w:r>
    </w:p>
    <w:p>
      <w:pPr>
        <w:pStyle w:val="ListBullet"/>
      </w:pPr>
      <w:r/>
      <w:r>
        <w:rPr>
          <w:b/>
        </w:rPr>
        <w:t>Voie injectable</w:t>
      </w:r>
      <w:r>
        <w:t xml:space="preserve"> (BEPANTHENE — non renouvelable) : IM profonde, 500 mg/jour en cure, 1 ampoule tous les 2 à 3 jours en entretien.</w:t>
      </w:r>
    </w:p>
    <w:p>
      <w:pPr>
        <w:pStyle w:val="ListBullet"/>
      </w:pPr>
      <w:r/>
      <w:r>
        <w:rPr>
          <w:b/>
        </w:rPr>
        <w:t>Voie topique</w:t>
      </w:r>
      <w:r>
        <w:t xml:space="preserve"> (APAISA BEBE) : application locale en couche fine, 1 à 2 fois par jour, sur peau lésée après nettoyage soigneux.</w:t>
      </w:r>
    </w:p>
    <w:p>
      <w:pPr>
        <w:pStyle w:val="Heading4"/>
      </w:pPr>
      <w:r>
        <w:t>10. Formes galéniques disponibles</w:t>
      </w:r>
    </w:p>
    <w:p>
      <w:pPr>
        <w:pStyle w:val="ListBullet"/>
      </w:pPr>
      <w:r/>
      <w:r>
        <w:rPr>
          <w:b/>
        </w:rPr>
        <w:t>Pommade dermique à 0,05 %</w:t>
      </w:r>
      <w:r>
        <w:t xml:space="preserve"> (APAISA BEBE) — forme topique pédiatrique active.</w:t>
      </w:r>
    </w:p>
    <w:p>
      <w:pPr>
        <w:pStyle w:val="ListBullet"/>
      </w:pPr>
      <w:r/>
      <w:r>
        <w:rPr>
          <w:b/>
        </w:rPr>
        <w:t>Solutions injectables IM à 250 mg/mL</w:t>
      </w:r>
      <w:r>
        <w:t xml:space="preserve"> (BEPANTHENE — non renouvelable) — 500 mg/2 mL par ampoule, 6 ampoules par boîte.</w:t>
      </w:r>
    </w:p>
    <w:p>
      <w:pPr>
        <w:pStyle w:val="ListBullet"/>
      </w:pPr>
      <w:r/>
      <w:r>
        <w:rPr>
          <w:b/>
        </w:rPr>
        <w:t>Comprimés à 100 mg</w:t>
      </w:r>
      <w:r>
        <w:t xml:space="preserve"> (BEPANTHENE — non renouvelable) — 20 comprimés par boîte.</w:t>
      </w:r>
    </w:p>
    <w:p>
      <w:pPr>
        <w:pStyle w:val="ListBullet"/>
      </w:pPr>
      <w:r/>
      <w:r>
        <w:rPr>
          <w:b/>
        </w:rPr>
        <w:t>Préparations magistrales</w:t>
      </w:r>
      <w:r>
        <w:t xml:space="preserve"> : poudre de dexpanthénol USP dosée à 10 ou 50 mg par gélule.</w:t>
      </w:r>
    </w:p>
    <w:p>
      <w:pPr>
        <w:pStyle w:val="ListBullet"/>
      </w:pPr>
      <w:r/>
      <w:r>
        <w:rPr>
          <w:b/>
        </w:rPr>
        <w:t>Compléments alimentaires</w:t>
      </w:r>
      <w:r>
        <w:t xml:space="preserve"> : complexes multivitaminiques (MEGADYN) contenant 5 à 10 mg de dexpanthénol par comprimé.</w:t>
      </w:r>
    </w:p>
    <w:p>
      <w:pPr>
        <w:pStyle w:val="Heading4"/>
      </w:pPr>
      <w:r>
        <w:t>11. Conseils au patient au comptoir</w:t>
      </w:r>
    </w:p>
    <w:p>
      <w:pPr>
        <w:pStyle w:val="ListNumber"/>
      </w:pPr>
      <w:r/>
      <w:r>
        <w:rPr>
          <w:b/>
        </w:rPr>
        <w:t>Voie locale</w:t>
      </w:r>
      <w:r>
        <w:t xml:space="preserve"> : appliquer APAISA BEBE en couche fine sur la peau lésée, après nettoyage soigneux et séchage. Masser légèrement jusqu'à pénétration complète.</w:t>
      </w:r>
    </w:p>
    <w:p>
      <w:pPr>
        <w:pStyle w:val="ListNumber"/>
      </w:pPr>
      <w:r/>
      <w:r>
        <w:rPr>
          <w:b/>
        </w:rPr>
        <w:t>Érythème fessier du nourrisson</w:t>
      </w:r>
      <w:r>
        <w:t xml:space="preserve"> : appliquer à chaque change, en prévention et en traitement. Changer fréquemment les couches, laisser la peau « respirer ».</w:t>
      </w:r>
    </w:p>
    <w:p>
      <w:pPr>
        <w:pStyle w:val="ListNumber"/>
      </w:pPr>
      <w:r/>
      <w:r>
        <w:rPr>
          <w:b/>
        </w:rPr>
        <w:t>Cicatrisation des plaies</w:t>
      </w:r>
      <w:r>
        <w:t xml:space="preserve"> : nettoyer la plaie au sérum physiologique, appliquer le dexpanthénol, couvrir d'un pansement si nécessaire. Renouveler 1 à 2 fois par jour.</w:t>
      </w:r>
    </w:p>
    <w:p>
      <w:pPr>
        <w:pStyle w:val="ListNumber"/>
      </w:pPr>
      <w:r/>
      <w:r>
        <w:rPr>
          <w:b/>
        </w:rPr>
        <w:t>Brûlures superficielles</w:t>
      </w:r>
      <w:r>
        <w:t xml:space="preserve"> : appliquer en couche épaisse, renouveler toutes les 4 à 6 heures. Consulter en cas de brûlure étendue ou profonde.</w:t>
      </w:r>
    </w:p>
    <w:p>
      <w:pPr>
        <w:pStyle w:val="ListNumber"/>
      </w:pPr>
      <w:r/>
      <w:r>
        <w:rPr>
          <w:b/>
        </w:rPr>
        <w:t>Voie orale (si disponible à l'importation)</w:t>
      </w:r>
      <w:r>
        <w:t xml:space="preserve"> : prendre au cours d'un repas, avec un grand verre d'eau.</w:t>
      </w:r>
    </w:p>
    <w:p>
      <w:pPr>
        <w:pStyle w:val="ListNumber"/>
      </w:pPr>
      <w:r/>
      <w:r>
        <w:rPr>
          <w:b/>
        </w:rPr>
        <w:t>Patients sous antibiothérapie prolongée</w:t>
      </w:r>
      <w:r>
        <w:t xml:space="preserve"> : supplémenter en B5 (et en vitamines B en général) pour compenser la dépletion de la flore colique.</w:t>
      </w:r>
    </w:p>
    <w:p>
      <w:pPr>
        <w:pStyle w:val="ListNumber"/>
      </w:pPr>
      <w:r/>
      <w:r>
        <w:rPr>
          <w:b/>
        </w:rPr>
        <w:t>Femmes enceintes et allaitantes</w:t>
      </w:r>
      <w:r>
        <w:t xml:space="preserve"> : la supplémentation systématique en B5 est recommandée (5 à 7 mg/jour), en général via les complexes multivitaminiques prénataux.</w:t>
      </w:r>
    </w:p>
    <w:p>
      <w:pPr>
        <w:pStyle w:val="ListNumber"/>
      </w:pPr>
      <w:r/>
      <w:r>
        <w:rPr>
          <w:b/>
        </w:rPr>
        <w:t>Régime alimentaire</w:t>
      </w:r>
      <w:r>
        <w:t xml:space="preserve"> : compléter par une alimentation riche en B5 (foie, viande, œufs, céréales complètes, légumineuses, levure de bière).</w:t>
      </w:r>
    </w:p>
    <w:p>
      <w:pPr>
        <w:pStyle w:val="ListNumber"/>
      </w:pPr>
      <w:r/>
      <w:r>
        <w:rPr>
          <w:b/>
        </w:rPr>
        <w:t>Stockage</w:t>
      </w:r>
      <w:r>
        <w:t xml:space="preserve"> : conserver à température ≤ 25 °C, à l'abri de l'humidité et de la lumière. Tenir hors de portée des enfants.</w:t>
      </w:r>
    </w:p>
    <w:p>
      <w:pPr>
        <w:pStyle w:val="Heading4"/>
      </w:pPr>
      <w:r>
        <w:t>12. Pièges et règles d'or au comptoir</w:t>
      </w:r>
    </w:p>
    <w:p>
      <w:r/>
      <w:r>
        <w:rPr>
          <w:b/>
        </w:rPr>
        <w:t>Règles d'or</w:t>
      </w:r>
      <w:r>
        <w:t xml:space="preserve"> :</w:t>
      </w:r>
    </w:p>
    <w:p>
      <w:pPr>
        <w:pStyle w:val="ListNumber"/>
      </w:pPr>
      <w:r/>
      <w:r>
        <w:rPr>
          <w:b/>
        </w:rPr>
        <w:t>Toujours privilégier la voie locale</w:t>
      </w:r>
      <w:r>
        <w:t xml:space="preserve"> (APAISA BEBE) pour les affections cutanées, en raison de l'indisponibilité des formes systémiques en Algérie.</w:t>
      </w:r>
    </w:p>
    <w:p>
      <w:pPr>
        <w:pStyle w:val="ListNumber"/>
      </w:pPr>
      <w:r/>
      <w:r>
        <w:rPr>
          <w:b/>
        </w:rPr>
        <w:t>Toujours nettoyer et sécher la plaie</w:t>
      </w:r>
      <w:r>
        <w:t xml:space="preserve"> avant application du dexpanthénol topique.</w:t>
      </w:r>
    </w:p>
    <w:p>
      <w:pPr>
        <w:pStyle w:val="ListNumber"/>
      </w:pPr>
      <w:r/>
      <w:r>
        <w:rPr>
          <w:b/>
        </w:rPr>
        <w:t>Toujours supplémenter en B5 les patients sous nutrition parentérale au long cours</w:t>
      </w:r>
      <w:r>
        <w:t xml:space="preserve"> (via les complexes multivitaminiques).</w:t>
      </w:r>
    </w:p>
    <w:p>
      <w:pPr>
        <w:pStyle w:val="ListNumber"/>
      </w:pPr>
      <w:r/>
      <w:r>
        <w:rPr>
          <w:b/>
        </w:rPr>
        <w:t>Toujours supplémenter en B5 les patients sous antibiothérapie prolongée</w:t>
      </w:r>
      <w:r>
        <w:t xml:space="preserve"> (&gt; 2 semaines).</w:t>
      </w:r>
    </w:p>
    <w:p>
      <w:pPr>
        <w:pStyle w:val="ListNumber"/>
      </w:pPr>
      <w:r/>
      <w:r>
        <w:rPr>
          <w:b/>
        </w:rPr>
        <w:t>Toujours supplémenter en B5 les femmes enceintes et allaitantes</w:t>
      </w:r>
      <w:r>
        <w:t xml:space="preserve"> (via les complexes prénataux).</w:t>
      </w:r>
    </w:p>
    <w:p>
      <w:pPr>
        <w:pStyle w:val="ListNumber"/>
      </w:pPr>
      <w:r/>
      <w:r>
        <w:rPr>
          <w:b/>
        </w:rPr>
        <w:t>Toujours respecter les doses recommandées</w:t>
      </w:r>
      <w:r>
        <w:t xml:space="preserve"> : 5 à 7 mg/jour en entretien ; 10 à 30 mg/jour en cure.</w:t>
      </w:r>
    </w:p>
    <w:p>
      <w:pPr>
        <w:pStyle w:val="ListNumber"/>
      </w:pPr>
      <w:r/>
      <w:r>
        <w:rPr>
          <w:b/>
        </w:rPr>
        <w:t>Toujours orienter le patient vers une préparation magistrale</w:t>
      </w:r>
      <w:r>
        <w:t xml:space="preserve"> ou un complément alimentaire en l'absence de spécialité active systémique.</w:t>
      </w:r>
    </w:p>
    <w:p>
      <w:r/>
      <w:r>
        <w:rPr>
          <w:b/>
        </w:rPr>
        <w:t>Pièges</w:t>
      </w:r>
      <w:r>
        <w:t xml:space="preserve"> :</w:t>
      </w:r>
    </w:p>
    <w:p>
      <w:pPr>
        <w:pStyle w:val="ListNumber"/>
      </w:pPr>
      <w:r/>
      <w:r>
        <w:rPr>
          <w:b/>
        </w:rPr>
        <w:t>Patient prenant du dexpanthénol en automédication pour « fatigue »</w:t>
      </w:r>
      <w:r>
        <w:t xml:space="preserve"> : la B5 n'a pas d'effet démontré sur la fatigue en l'absence de carence. Réserver aux carences avérées.</w:t>
      </w:r>
    </w:p>
    <w:p>
      <w:pPr>
        <w:pStyle w:val="ListNumber"/>
      </w:pPr>
      <w:r/>
      <w:r>
        <w:rPr>
          <w:b/>
        </w:rPr>
        <w:t>Patient avec plaie non cicatrisante malgré dexpanthénol topique</w:t>
      </w:r>
      <w:r>
        <w:t xml:space="preserve"> : rechercher une cause sous-jacente (diabète, artériopathie, infection, déficit en zinc, carence en vitamine C).</w:t>
      </w:r>
    </w:p>
    <w:p>
      <w:pPr>
        <w:pStyle w:val="ListNumber"/>
      </w:pPr>
      <w:r/>
      <w:r>
        <w:rPr>
          <w:b/>
        </w:rPr>
        <w:t>Patient avec dermite du siège du nourrisson résistante au dexpanthénol</w:t>
      </w:r>
      <w:r>
        <w:t xml:space="preserve"> : suspecter une mycose (Candida albicans) et ajouter un antifongique local.</w:t>
      </w:r>
    </w:p>
    <w:p>
      <w:pPr>
        <w:pStyle w:val="ListNumber"/>
      </w:pPr>
      <w:r/>
      <w:r>
        <w:rPr>
          <w:b/>
        </w:rPr>
        <w:t>Patient prenant de la B5 à doses pharmacologiques (≥ 100 mg/jour) pour alopécie</w:t>
      </w:r>
      <w:r>
        <w:t xml:space="preserve"> : efficacité non documentée. Risque de diarrhée.</w:t>
      </w:r>
    </w:p>
    <w:p>
      <w:pPr>
        <w:pStyle w:val="ListNumber"/>
      </w:pPr>
      <w:r/>
      <w:r>
        <w:rPr>
          <w:b/>
        </w:rPr>
        <w:t>Patient avec antécédent de chirurgie bariatrique</w:t>
      </w:r>
      <w:r>
        <w:t xml:space="preserve"> : risque de carence en B5 (et en vitamines B en général). Supplémentation systématique via les complexes multivitaminiques.</w:t>
      </w:r>
    </w:p>
    <w:p>
      <w:pPr>
        <w:pStyle w:val="Heading3"/>
      </w:pPr>
      <w:r>
        <w:t>162.12.6. Acide folique (Vitamine B9) ± Fer</w:t>
      </w:r>
    </w:p>
    <w:p>
      <w:pPr>
        <w:pStyle w:val="Heading4"/>
      </w:pPr>
      <w:r>
        <w:t>1. Catégories thérapeutiques et indications</w:t>
      </w:r>
    </w:p>
    <w:p>
      <w:r>
        <w:t xml:space="preserve">L'acide folique (vitamine B9) appartient à la catégorie pharmacothérapeutique des </w:t>
      </w:r>
      <w:r>
        <w:rPr>
          <w:b/>
        </w:rPr>
        <w:t>vitamines hydrosolubles du groupe B</w:t>
      </w:r>
      <w:r>
        <w:t xml:space="preserve"> (code ATC : </w:t>
      </w:r>
      <w:r>
        <w:rPr>
          <w:b/>
        </w:rPr>
        <w:t>A11HA01</w:t>
      </w:r>
      <w:r>
        <w:t xml:space="preserve"> — acide folique ; </w:t>
      </w:r>
      <w:r>
        <w:rPr>
          <w:b/>
        </w:rPr>
        <w:t>B03AE</w:t>
      </w:r>
      <w:r>
        <w:t xml:space="preserve"> et </w:t>
      </w:r>
      <w:r>
        <w:rPr>
          <w:b/>
        </w:rPr>
        <w:t>B03AD</w:t>
      </w:r>
      <w:r>
        <w:t xml:space="preserve"> — associations avec le fer). Les indications thérapeutiques validées sont les suivantes : (i) </w:t>
      </w:r>
      <w:r>
        <w:rPr>
          <w:b/>
        </w:rPr>
        <w:t>prévention des anomalies de fermeture du tube neural (AFTN)</w:t>
      </w:r>
      <w:r>
        <w:t xml:space="preserve"> — spina bifida, anencéphalie, méningocèle, myéloméningocèle — par supplémentation préconceptionnelle en acide folique </w:t>
      </w:r>
      <w:r>
        <w:rPr>
          <w:b/>
        </w:rPr>
        <w:t>400 µg/jour</w:t>
      </w:r>
      <w:r>
        <w:t xml:space="preserve"> débutée au moins </w:t>
      </w:r>
      <w:r>
        <w:rPr>
          <w:b/>
        </w:rPr>
        <w:t>1 mois avant la conception</w:t>
      </w:r>
      <w:r>
        <w:t xml:space="preserve"> et poursuivie pendant le </w:t>
      </w:r>
      <w:r>
        <w:rPr>
          <w:b/>
        </w:rPr>
        <w:t>1er trimestre</w:t>
      </w:r>
      <w:r>
        <w:t xml:space="preserve"> de grossesse (recommandation universelle OMS, HAS, ACOG, RCOG) ; (ii) </w:t>
      </w:r>
      <w:r>
        <w:rPr>
          <w:b/>
        </w:rPr>
        <w:t>femmes à risque élevé d'AFTN</w:t>
      </w:r>
      <w:r>
        <w:t xml:space="preserve"> (antécédent personnel ou familial d'AFTN, traitement antiépileptique, diabète prégestationnel, IMC ≥ 30) : </w:t>
      </w:r>
      <w:r>
        <w:rPr>
          <w:b/>
        </w:rPr>
        <w:t>5 mg/jour</w:t>
      </w:r>
      <w:r>
        <w:t xml:space="preserve"> préconceptionnel et pendant le 1er trimestre ; (iii) </w:t>
      </w:r>
      <w:r>
        <w:rPr>
          <w:b/>
        </w:rPr>
        <w:t>carence en folates</w:t>
      </w:r>
      <w:r>
        <w:t xml:space="preserve"> — anémie mégaloblastique macrocytaire (MCV &gt; 100 fL, hypersegmentation des polynucléaires, macro-ovocytes), glossite, chéilite, diarrhée, fatigue ; (iv) </w:t>
      </w:r>
      <w:r>
        <w:rPr>
          <w:b/>
        </w:rPr>
        <w:t>anémie macrocytaire de l'alcoolique</w:t>
      </w:r>
      <w:r>
        <w:t xml:space="preserve"> (apport réduit, malabsorption, effet antifolate direct de l'éthanol) ; (v) </w:t>
      </w:r>
      <w:r>
        <w:rPr>
          <w:b/>
        </w:rPr>
        <w:t>anémie hémolytique chronique</w:t>
      </w:r>
      <w:r>
        <w:t xml:space="preserve"> (drépanocytose, thalassémie, anémie hémolytique auto-immune) — augmentation du turn-over cellulaire et des besoins en folates ; (vi) </w:t>
      </w:r>
      <w:r>
        <w:rPr>
          <w:b/>
        </w:rPr>
        <w:t>malabsorption</w:t>
      </w:r>
      <w:r>
        <w:t xml:space="preserve"> (maladie cœliaque, sprue, maladie de Crohn, bypass gastrique) ; (vii) </w:t>
      </w:r>
      <w:r>
        <w:rPr>
          <w:b/>
        </w:rPr>
        <w:t>insuffisance rénale chronique dialysée</w:t>
      </w:r>
      <w:r>
        <w:t xml:space="preserve"> (perte dialytique de folates) ; (viii) </w:t>
      </w:r>
      <w:r>
        <w:rPr>
          <w:b/>
        </w:rPr>
        <w:t>traitements antifolates</w:t>
      </w:r>
      <w:r>
        <w:t xml:space="preserve"> (méthotrexate à faibles doses — psoriasis, polyarthrite rhumatoïde ; triméthoprime ; pyriméthamine ; phénytoïne ; phénobarbital) — supplémentation prophylactique ; (ix) </w:t>
      </w:r>
      <w:r>
        <w:rPr>
          <w:b/>
        </w:rPr>
        <w:t>dermatite exfoliatrice généralisée</w:t>
      </w:r>
      <w:r>
        <w:t xml:space="preserve"> (syndrome de Lyell, syndrome de Stevens-Johnson, psoriasis étendu) — augmentation du turn-over épidermique ; (x) </w:t>
      </w:r>
      <w:r>
        <w:rPr>
          <w:b/>
        </w:rPr>
        <w:t>anémie ferriprive de la femme enceinte</w:t>
      </w:r>
      <w:r>
        <w:t xml:space="preserve"> (associations acide folique + fer : TARDYFERON B9, B-NEUFER, FERRO SANOL GYN, FERAN B9, ZANITRA PLUS, NOVO FER PLUS, SELOFER FOL, TRIFER FOL) ; (xi) </w:t>
      </w:r>
      <w:r>
        <w:rPr>
          <w:b/>
        </w:rPr>
        <w:t>prévention des malformations cardiovasculaires congénitales</w:t>
      </w:r>
      <w:r>
        <w:t xml:space="preserve"> (données récentes suggérant un effet protecteur) ; (xii) </w:t>
      </w:r>
      <w:r>
        <w:rPr>
          <w:b/>
        </w:rPr>
        <w:t>hyperhomocystéinémie</w:t>
      </w:r>
      <w:r>
        <w:t xml:space="preserve"> (en association avec B6 et B12 — prévention cardiovasculaire).</w:t>
      </w:r>
    </w:p>
    <w:p>
      <w:pPr>
        <w:pStyle w:val="Heading4"/>
      </w:pPr>
      <w:r>
        <w:t>2. Spécialités pharmaceutiques commercialisées en Algérie</w:t>
      </w:r>
    </w:p>
    <w:p>
      <w:r>
        <w:t>Le tableau ci-dessous présente l'ensemble des spécialités d'acide folique (B9) seul ou en association avec le fer, recensées dans la nomenclature algérienne (Avril 2026), classées par statut réglementaire.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ACIDE FOLIQUE - API</w:t>
            </w:r>
          </w:p>
        </w:tc>
        <w:tc>
          <w:tcPr>
            <w:tcW w:type="dxa" w:w="1559"/>
          </w:tcPr>
          <w:p>
            <w:r>
              <w:rPr>
                <w:sz w:val="20"/>
              </w:rPr>
              <w:t>SARL API</w:t>
            </w:r>
          </w:p>
        </w:tc>
        <w:tc>
          <w:tcPr>
            <w:tcW w:type="dxa" w:w="1559"/>
          </w:tcPr>
          <w:p>
            <w:r>
              <w:rPr>
                <w:sz w:val="20"/>
              </w:rPr>
              <w:t>Comprimé, 5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ANEFOL</w:t>
            </w:r>
          </w:p>
        </w:tc>
        <w:tc>
          <w:tcPr>
            <w:tcW w:type="dxa" w:w="1559"/>
          </w:tcPr>
          <w:p>
            <w:r>
              <w:rPr>
                <w:sz w:val="20"/>
              </w:rPr>
              <w:t>BIOGALENIC</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CIFLODINE</w:t>
            </w:r>
          </w:p>
        </w:tc>
        <w:tc>
          <w:tcPr>
            <w:tcW w:type="dxa" w:w="1559"/>
          </w:tcPr>
          <w:p>
            <w:r>
              <w:rPr>
                <w:sz w:val="20"/>
              </w:rPr>
              <w:t>LABORATOIRE ALGERIEN DU MEDICAMENT</w:t>
            </w:r>
          </w:p>
        </w:tc>
        <w:tc>
          <w:tcPr>
            <w:tcW w:type="dxa" w:w="1559"/>
          </w:tcPr>
          <w:p>
            <w:r>
              <w:rPr>
                <w:sz w:val="20"/>
              </w:rPr>
              <w:t>Gélule,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FOLACID</w:t>
            </w:r>
          </w:p>
        </w:tc>
        <w:tc>
          <w:tcPr>
            <w:tcW w:type="dxa" w:w="1559"/>
          </w:tcPr>
          <w:p>
            <w:r>
              <w:rPr>
                <w:sz w:val="20"/>
              </w:rPr>
              <w:t>NEOMEDIC</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FOLACIQ</w:t>
            </w:r>
          </w:p>
        </w:tc>
        <w:tc>
          <w:tcPr>
            <w:tcW w:type="dxa" w:w="1559"/>
          </w:tcPr>
          <w:p>
            <w:r>
              <w:rPr>
                <w:sz w:val="20"/>
              </w:rPr>
              <w:t>AGD PHARMA</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FOLIDEN</w:t>
            </w:r>
          </w:p>
        </w:tc>
        <w:tc>
          <w:tcPr>
            <w:tcW w:type="dxa" w:w="1559"/>
          </w:tcPr>
          <w:p>
            <w:r>
              <w:rPr>
                <w:sz w:val="20"/>
              </w:rPr>
              <w:t>SARL GROUPE SANTE</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FONITRA</w:t>
            </w:r>
          </w:p>
        </w:tc>
        <w:tc>
          <w:tcPr>
            <w:tcW w:type="dxa" w:w="1559"/>
          </w:tcPr>
          <w:p>
            <w:r>
              <w:rPr>
                <w:sz w:val="20"/>
              </w:rPr>
              <w:t>LABORATOIRES MM</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HUPFOLIQ</w:t>
            </w:r>
          </w:p>
        </w:tc>
        <w:tc>
          <w:tcPr>
            <w:tcW w:type="dxa" w:w="1559"/>
          </w:tcPr>
          <w:p>
            <w:r>
              <w:rPr>
                <w:sz w:val="20"/>
              </w:rPr>
              <w:t>HUPP PHARMA</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OPTIFOLATES</w:t>
            </w:r>
          </w:p>
        </w:tc>
        <w:tc>
          <w:tcPr>
            <w:tcW w:type="dxa" w:w="1559"/>
          </w:tcPr>
          <w:p>
            <w:r>
              <w:rPr>
                <w:sz w:val="20"/>
              </w:rPr>
              <w:t>SARL OPTIPHARM</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PHYSIOFOL</w:t>
            </w:r>
          </w:p>
        </w:tc>
        <w:tc>
          <w:tcPr>
            <w:tcW w:type="dxa" w:w="1559"/>
          </w:tcPr>
          <w:p>
            <w:r>
              <w:rPr>
                <w:sz w:val="20"/>
              </w:rPr>
              <w:t>PHYSIOPHARM LABORATOIRES</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ZANITRA</w:t>
            </w:r>
          </w:p>
        </w:tc>
        <w:tc>
          <w:tcPr>
            <w:tcW w:type="dxa" w:w="1559"/>
          </w:tcPr>
          <w:p>
            <w:r>
              <w:rPr>
                <w:sz w:val="20"/>
              </w:rPr>
              <w:t>GROUPE SAIDAL</w:t>
            </w:r>
          </w:p>
        </w:tc>
        <w:tc>
          <w:tcPr>
            <w:tcW w:type="dxa" w:w="1559"/>
          </w:tcPr>
          <w:p>
            <w:r>
              <w:rPr>
                <w:sz w:val="20"/>
              </w:rPr>
              <w:t>Comprimé, 5 mg</w:t>
            </w:r>
          </w:p>
        </w:tc>
        <w:tc>
          <w:tcPr>
            <w:tcW w:type="dxa" w:w="1559"/>
          </w:tcPr>
          <w:p>
            <w:r>
              <w:rPr>
                <w:sz w:val="20"/>
              </w:rPr>
              <w:t>B/60</w:t>
            </w:r>
          </w:p>
        </w:tc>
        <w:tc>
          <w:tcPr>
            <w:tcW w:type="dxa" w:w="1559"/>
          </w:tcPr>
          <w:p>
            <w:r>
              <w:rPr>
                <w:sz w:val="20"/>
              </w:rPr>
              <w:t>Hors liste</w:t>
            </w:r>
          </w:p>
        </w:tc>
        <w:tc>
          <w:tcPr>
            <w:tcW w:type="dxa" w:w="1559"/>
          </w:tcPr>
          <w:p>
            <w:r>
              <w:rPr>
                <w:sz w:val="20"/>
              </w:rPr>
              <w:t>ACTIF</w:t>
            </w:r>
          </w:p>
        </w:tc>
      </w:tr>
      <w:tr>
        <w:tc>
          <w:tcPr>
            <w:tcW w:type="dxa" w:w="1559"/>
          </w:tcPr>
          <w:p>
            <w:r>
              <w:rPr>
                <w:sz w:val="20"/>
              </w:rPr>
              <w:t>B-NEUFER</w:t>
            </w:r>
          </w:p>
        </w:tc>
        <w:tc>
          <w:tcPr>
            <w:tcW w:type="dxa" w:w="1559"/>
          </w:tcPr>
          <w:p>
            <w:r>
              <w:rPr>
                <w:sz w:val="20"/>
              </w:rPr>
              <w:t>LABORATOIRE ALGERIEN DU MEDICAMENT</w:t>
            </w:r>
          </w:p>
        </w:tc>
        <w:tc>
          <w:tcPr>
            <w:tcW w:type="dxa" w:w="1559"/>
          </w:tcPr>
          <w:p>
            <w:r>
              <w:rPr>
                <w:sz w:val="20"/>
              </w:rPr>
              <w:t>Gélule, fer 50 mg + B9 0,35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TARDYFERON B9</w:t>
            </w:r>
          </w:p>
        </w:tc>
        <w:tc>
          <w:tcPr>
            <w:tcW w:type="dxa" w:w="1559"/>
          </w:tcPr>
          <w:p>
            <w:r>
              <w:rPr>
                <w:sz w:val="20"/>
              </w:rPr>
              <w:t>PIERRE FABRE MEDICAMENT</w:t>
            </w:r>
          </w:p>
        </w:tc>
        <w:tc>
          <w:tcPr>
            <w:tcW w:type="dxa" w:w="1559"/>
          </w:tcPr>
          <w:p>
            <w:r>
              <w:rPr>
                <w:sz w:val="20"/>
              </w:rPr>
              <w:t>Comprimé pelliculé, fer 50 mg + B9 0,35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FERRO SANOL GYN</w:t>
            </w:r>
          </w:p>
        </w:tc>
        <w:tc>
          <w:tcPr>
            <w:tcW w:type="dxa" w:w="1559"/>
          </w:tcPr>
          <w:p>
            <w:r>
              <w:rPr>
                <w:sz w:val="20"/>
              </w:rPr>
              <w:t>LABORATOIRES MERINAL</w:t>
            </w:r>
          </w:p>
        </w:tc>
        <w:tc>
          <w:tcPr>
            <w:tcW w:type="dxa" w:w="1559"/>
          </w:tcPr>
          <w:p>
            <w:r>
              <w:rPr>
                <w:sz w:val="20"/>
              </w:rPr>
              <w:t>Gélule LP, fer 454,13 mg + B9 80 mg + B12 1 mg</w:t>
            </w:r>
          </w:p>
        </w:tc>
        <w:tc>
          <w:tcPr>
            <w:tcW w:type="dxa" w:w="1559"/>
          </w:tcPr>
          <w:p>
            <w:r>
              <w:rPr>
                <w:sz w:val="20"/>
              </w:rPr>
              <w:t>B/50</w:t>
            </w:r>
          </w:p>
        </w:tc>
        <w:tc>
          <w:tcPr>
            <w:tcW w:type="dxa" w:w="1559"/>
          </w:tcPr>
          <w:p>
            <w:r>
              <w:rPr>
                <w:sz w:val="20"/>
              </w:rPr>
              <w:t>Hors liste</w:t>
            </w:r>
          </w:p>
        </w:tc>
        <w:tc>
          <w:tcPr>
            <w:tcW w:type="dxa" w:w="1559"/>
          </w:tcPr>
          <w:p>
            <w:r>
              <w:rPr>
                <w:sz w:val="20"/>
              </w:rPr>
              <w:t>ACTIF</w:t>
            </w:r>
          </w:p>
        </w:tc>
      </w:tr>
      <w:tr>
        <w:tc>
          <w:tcPr>
            <w:tcW w:type="dxa" w:w="1559"/>
          </w:tcPr>
          <w:p>
            <w:r>
              <w:rPr>
                <w:sz w:val="20"/>
              </w:rPr>
              <w:t>FERAN B9</w:t>
            </w:r>
          </w:p>
        </w:tc>
        <w:tc>
          <w:tcPr>
            <w:tcW w:type="dxa" w:w="1559"/>
          </w:tcPr>
          <w:p>
            <w:r>
              <w:rPr>
                <w:sz w:val="20"/>
              </w:rPr>
              <w:t>TASSILI ARAB PHARMACEUTICAL CO</w:t>
            </w:r>
          </w:p>
        </w:tc>
        <w:tc>
          <w:tcPr>
            <w:tcW w:type="dxa" w:w="1559"/>
          </w:tcPr>
          <w:p>
            <w:r>
              <w:rPr>
                <w:sz w:val="20"/>
              </w:rPr>
              <w:t>Gélule, fer 49,297 mg + B9 0,5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ZANITRA PLUS</w:t>
            </w:r>
          </w:p>
        </w:tc>
        <w:tc>
          <w:tcPr>
            <w:tcW w:type="dxa" w:w="1559"/>
          </w:tcPr>
          <w:p>
            <w:r>
              <w:rPr>
                <w:sz w:val="20"/>
              </w:rPr>
              <w:t>GROUPE SAIDAL</w:t>
            </w:r>
          </w:p>
        </w:tc>
        <w:tc>
          <w:tcPr>
            <w:tcW w:type="dxa" w:w="1559"/>
          </w:tcPr>
          <w:p>
            <w:r>
              <w:rPr>
                <w:sz w:val="20"/>
              </w:rPr>
              <w:t>Gélule LP, fer 150 mg + B9 0,5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NOVO FER PLUS</w:t>
            </w:r>
          </w:p>
        </w:tc>
        <w:tc>
          <w:tcPr>
            <w:tcW w:type="dxa" w:w="1559"/>
          </w:tcPr>
          <w:p>
            <w:r>
              <w:rPr>
                <w:sz w:val="20"/>
              </w:rPr>
              <w:t>SARL NOVO MEDIS</w:t>
            </w:r>
          </w:p>
        </w:tc>
        <w:tc>
          <w:tcPr>
            <w:tcW w:type="dxa" w:w="1559"/>
          </w:tcPr>
          <w:p>
            <w:r>
              <w:rPr>
                <w:sz w:val="20"/>
              </w:rPr>
              <w:t>Comprimé à sucer, fer 100 mg + B9 0,35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SELOFER FOL</w:t>
            </w:r>
          </w:p>
        </w:tc>
        <w:tc>
          <w:tcPr>
            <w:tcW w:type="dxa" w:w="1559"/>
          </w:tcPr>
          <w:p>
            <w:r>
              <w:rPr>
                <w:sz w:val="20"/>
              </w:rPr>
              <w:t>ABDI IBRAHIM REMEDE PHARMA</w:t>
            </w:r>
          </w:p>
        </w:tc>
        <w:tc>
          <w:tcPr>
            <w:tcW w:type="dxa" w:w="1559"/>
          </w:tcPr>
          <w:p>
            <w:r>
              <w:rPr>
                <w:sz w:val="20"/>
              </w:rPr>
              <w:t>Comprimé à sucer, fer 100 mg + B9 0,35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TRIFER FOL</w:t>
            </w:r>
          </w:p>
        </w:tc>
        <w:tc>
          <w:tcPr>
            <w:tcW w:type="dxa" w:w="1559"/>
          </w:tcPr>
          <w:p>
            <w:r>
              <w:rPr>
                <w:sz w:val="20"/>
              </w:rPr>
              <w:t>ABDI IBRAHIM ILAÇ SANAYI VE TICARET A.Ş</w:t>
            </w:r>
          </w:p>
        </w:tc>
        <w:tc>
          <w:tcPr>
            <w:tcW w:type="dxa" w:w="1559"/>
          </w:tcPr>
          <w:p>
            <w:r>
              <w:rPr>
                <w:sz w:val="20"/>
              </w:rPr>
              <w:t>Comprimé pelliculé, fer 100 mg + B9 0,35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BC FER</w:t>
            </w:r>
          </w:p>
        </w:tc>
        <w:tc>
          <w:tcPr>
            <w:tcW w:type="dxa" w:w="1559"/>
          </w:tcPr>
          <w:p>
            <w:r>
              <w:rPr>
                <w:sz w:val="20"/>
              </w:rPr>
              <w:t>GROUPE SAIDAL</w:t>
            </w:r>
          </w:p>
        </w:tc>
        <w:tc>
          <w:tcPr>
            <w:tcW w:type="dxa" w:w="1559"/>
          </w:tcPr>
          <w:p>
            <w:r>
              <w:rPr>
                <w:sz w:val="20"/>
              </w:rPr>
              <w:t>Gélule, fer 55,14 mg + vit C 75 mg + B9 1,5 mg</w:t>
            </w:r>
          </w:p>
        </w:tc>
        <w:tc>
          <w:tcPr>
            <w:tcW w:type="dxa" w:w="1559"/>
          </w:tcPr>
          <w:p>
            <w:r>
              <w:rPr>
                <w:sz w:val="20"/>
              </w:rPr>
              <w:t>B/30</w:t>
            </w:r>
          </w:p>
        </w:tc>
        <w:tc>
          <w:tcPr>
            <w:tcW w:type="dxa" w:w="1559"/>
          </w:tcPr>
          <w:p>
            <w:r>
              <w:rPr>
                <w:sz w:val="20"/>
              </w:rPr>
              <w:t>Hors liste</w:t>
            </w:r>
          </w:p>
        </w:tc>
        <w:tc>
          <w:tcPr>
            <w:tcW w:type="dxa" w:w="1559"/>
          </w:tcPr>
          <w:p>
            <w:r>
              <w:rPr>
                <w:sz w:val="20"/>
              </w:rPr>
              <w:t>NON_RENOUVELABLE</w:t>
            </w:r>
          </w:p>
        </w:tc>
      </w:tr>
      <w:tr>
        <w:tc>
          <w:tcPr>
            <w:tcW w:type="dxa" w:w="1559"/>
          </w:tcPr>
          <w:p>
            <w:r>
              <w:rPr>
                <w:sz w:val="20"/>
              </w:rPr>
              <w:t>ACFOL</w:t>
            </w:r>
          </w:p>
        </w:tc>
        <w:tc>
          <w:tcPr>
            <w:tcW w:type="dxa" w:w="1559"/>
          </w:tcPr>
          <w:p>
            <w:r>
              <w:rPr>
                <w:sz w:val="20"/>
              </w:rPr>
              <w:t>ITALFARMACO S.A</w:t>
            </w:r>
          </w:p>
        </w:tc>
        <w:tc>
          <w:tcPr>
            <w:tcW w:type="dxa" w:w="1559"/>
          </w:tcPr>
          <w:p>
            <w:r>
              <w:rPr>
                <w:sz w:val="20"/>
              </w:rPr>
              <w:t>Comprimé, 5 mg</w:t>
            </w:r>
          </w:p>
        </w:tc>
        <w:tc>
          <w:tcPr>
            <w:tcW w:type="dxa" w:w="1559"/>
          </w:tcPr>
          <w:p>
            <w:r>
              <w:rPr>
                <w:sz w:val="20"/>
              </w:rPr>
              <w:t>B/25</w:t>
            </w:r>
          </w:p>
        </w:tc>
        <w:tc>
          <w:tcPr>
            <w:tcW w:type="dxa" w:w="1559"/>
          </w:tcPr>
          <w:p>
            <w:r>
              <w:rPr>
                <w:sz w:val="20"/>
              </w:rPr>
              <w:t>Hors liste</w:t>
            </w:r>
          </w:p>
        </w:tc>
        <w:tc>
          <w:tcPr>
            <w:tcW w:type="dxa" w:w="1559"/>
          </w:tcPr>
          <w:p>
            <w:r>
              <w:rPr>
                <w:sz w:val="20"/>
              </w:rPr>
              <w:t>RETRAIT</w:t>
            </w:r>
          </w:p>
        </w:tc>
      </w:tr>
      <w:tr>
        <w:tc>
          <w:tcPr>
            <w:tcW w:type="dxa" w:w="1559"/>
          </w:tcPr>
          <w:p>
            <w:r>
              <w:rPr>
                <w:sz w:val="20"/>
              </w:rPr>
              <w:t>FOLMED</w:t>
            </w:r>
          </w:p>
        </w:tc>
        <w:tc>
          <w:tcPr>
            <w:tcW w:type="dxa" w:w="1559"/>
          </w:tcPr>
          <w:p>
            <w:r>
              <w:rPr>
                <w:sz w:val="20"/>
              </w:rPr>
              <w:t>MEDI PHARMA INTERNATIONAL</w:t>
            </w:r>
          </w:p>
        </w:tc>
        <w:tc>
          <w:tcPr>
            <w:tcW w:type="dxa" w:w="1559"/>
          </w:tcPr>
          <w:p>
            <w:r>
              <w:rPr>
                <w:sz w:val="20"/>
              </w:rPr>
              <w:t>Comprimé, 5 mg</w:t>
            </w:r>
          </w:p>
        </w:tc>
        <w:tc>
          <w:tcPr>
            <w:tcW w:type="dxa" w:w="1559"/>
          </w:tcPr>
          <w:p>
            <w:r>
              <w:rPr>
                <w:sz w:val="20"/>
              </w:rPr>
              <w:t>B/50</w:t>
            </w:r>
          </w:p>
        </w:tc>
        <w:tc>
          <w:tcPr>
            <w:tcW w:type="dxa" w:w="1559"/>
          </w:tcPr>
          <w:p>
            <w:r>
              <w:rPr>
                <w:sz w:val="20"/>
              </w:rPr>
              <w:t>Hors liste</w:t>
            </w:r>
          </w:p>
        </w:tc>
        <w:tc>
          <w:tcPr>
            <w:tcW w:type="dxa" w:w="1559"/>
          </w:tcPr>
          <w:p>
            <w:r>
              <w:rPr>
                <w:sz w:val="20"/>
              </w:rPr>
              <w:t>RETRAIT</w:t>
            </w:r>
          </w:p>
        </w:tc>
      </w:tr>
      <w:tr>
        <w:tc>
          <w:tcPr>
            <w:tcW w:type="dxa" w:w="1559"/>
          </w:tcPr>
          <w:p>
            <w:r>
              <w:rPr>
                <w:sz w:val="20"/>
              </w:rPr>
              <w:t>VIFOLIN</w:t>
            </w:r>
          </w:p>
        </w:tc>
        <w:tc>
          <w:tcPr>
            <w:tcW w:type="dxa" w:w="1559"/>
          </w:tcPr>
          <w:p>
            <w:r>
              <w:rPr>
                <w:sz w:val="20"/>
              </w:rPr>
              <w:t>ARAB PHARMACEUTICAL MANUFACTURING</w:t>
            </w:r>
          </w:p>
        </w:tc>
        <w:tc>
          <w:tcPr>
            <w:tcW w:type="dxa" w:w="1559"/>
          </w:tcPr>
          <w:p>
            <w:r>
              <w:rPr>
                <w:sz w:val="20"/>
              </w:rPr>
              <w:t>Comprimé, 5 mg</w:t>
            </w:r>
          </w:p>
        </w:tc>
        <w:tc>
          <w:tcPr>
            <w:tcW w:type="dxa" w:w="1559"/>
          </w:tcPr>
          <w:p>
            <w:r>
              <w:rPr>
                <w:sz w:val="20"/>
              </w:rPr>
              <w:t>B/100</w:t>
            </w:r>
          </w:p>
        </w:tc>
        <w:tc>
          <w:tcPr>
            <w:tcW w:type="dxa" w:w="1559"/>
          </w:tcPr>
          <w:p>
            <w:r>
              <w:rPr>
                <w:sz w:val="20"/>
              </w:rPr>
              <w:t>Hors liste</w:t>
            </w:r>
          </w:p>
        </w:tc>
        <w:tc>
          <w:tcPr>
            <w:tcW w:type="dxa" w:w="1559"/>
          </w:tcPr>
          <w:p>
            <w:r>
              <w:rPr>
                <w:sz w:val="20"/>
              </w:rPr>
              <w:t>RETRAIT</w:t>
            </w:r>
          </w:p>
        </w:tc>
      </w:tr>
      <w:tr>
        <w:tc>
          <w:tcPr>
            <w:tcW w:type="dxa" w:w="1559"/>
          </w:tcPr>
          <w:p>
            <w:r>
              <w:rPr>
                <w:sz w:val="20"/>
              </w:rPr>
              <w:t>SPECIAFOLDINE</w:t>
            </w:r>
          </w:p>
        </w:tc>
        <w:tc>
          <w:tcPr>
            <w:tcW w:type="dxa" w:w="1559"/>
          </w:tcPr>
          <w:p>
            <w:r>
              <w:rPr>
                <w:sz w:val="20"/>
              </w:rPr>
              <w:t>RHONE POULENC RORER</w:t>
            </w:r>
          </w:p>
        </w:tc>
        <w:tc>
          <w:tcPr>
            <w:tcW w:type="dxa" w:w="1559"/>
          </w:tcPr>
          <w:p>
            <w:r>
              <w:rPr>
                <w:sz w:val="20"/>
              </w:rPr>
              <w:t>Comprimé, 5 mg</w:t>
            </w:r>
          </w:p>
        </w:tc>
        <w:tc>
          <w:tcPr>
            <w:tcW w:type="dxa" w:w="1559"/>
          </w:tcPr>
          <w:p>
            <w:r>
              <w:rPr>
                <w:sz w:val="20"/>
              </w:rPr>
              <w:t>B/20</w:t>
            </w:r>
          </w:p>
        </w:tc>
        <w:tc>
          <w:tcPr>
            <w:tcW w:type="dxa" w:w="1559"/>
          </w:tcPr>
          <w:p>
            <w:r>
              <w:rPr>
                <w:sz w:val="20"/>
              </w:rPr>
              <w:t>Hors liste</w:t>
            </w:r>
          </w:p>
        </w:tc>
        <w:tc>
          <w:tcPr>
            <w:tcW w:type="dxa" w:w="1559"/>
          </w:tcPr>
          <w:p>
            <w:r>
              <w:rPr>
                <w:sz w:val="20"/>
              </w:rPr>
              <w:t>RETRAIT</w:t>
            </w:r>
          </w:p>
        </w:tc>
      </w:tr>
      <w:tr>
        <w:tc>
          <w:tcPr>
            <w:tcW w:type="dxa" w:w="1559"/>
          </w:tcPr>
          <w:p>
            <w:r>
              <w:rPr>
                <w:sz w:val="20"/>
              </w:rPr>
              <w:t>GESTIFERROL</w:t>
            </w:r>
          </w:p>
        </w:tc>
        <w:tc>
          <w:tcPr>
            <w:tcW w:type="dxa" w:w="1559"/>
          </w:tcPr>
          <w:p>
            <w:r>
              <w:rPr>
                <w:sz w:val="20"/>
              </w:rPr>
              <w:t>KELA SA</w:t>
            </w:r>
          </w:p>
        </w:tc>
        <w:tc>
          <w:tcPr>
            <w:tcW w:type="dxa" w:w="1559"/>
          </w:tcPr>
          <w:p>
            <w:r>
              <w:rPr>
                <w:sz w:val="20"/>
              </w:rPr>
              <w:t>Comprimé, fer 65 mg + B9 50 µg</w:t>
            </w:r>
          </w:p>
        </w:tc>
        <w:tc>
          <w:tcPr>
            <w:tcW w:type="dxa" w:w="1559"/>
          </w:tcPr>
          <w:p>
            <w:r>
              <w:rPr>
                <w:sz w:val="20"/>
              </w:rPr>
              <w:t>B/36</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(19 spécialités, dont 11 spécialités d'acide folique simple à 5 mg et 8 spécialités d'association acide folique + fer) témoignent d'une autonomie industrielle algérienne satisfaisante pour la supplémentation en B9. Les spécialités algériennes de B9 simple (ACIDE FOLIQUE-API, ANEFOL, CIFLODINE, FOLACID, FOLACIQ, FOLIDEN, FONITRA, HUPFOLIQ, OPTIFOLATES, PHYSIOFOL, ZANITRA) sont disponibles en comprimés à 5 mg (posologie de la cure, supérieure à la dose préconceptionnelle de 400 µg). Les associations B9 + fer sont particulièrement indiquées pour l'anémie ferriprive de la femme enceinte (TARDYFERON B9 = spécialité de référence, Pierre Fabre). La spécialité historique SPECIAFOLDINE (Rhone Poulenc Rorer) est retirée du marché algérien. La dose préconceptionnelle de 400 µg/jour n'est pas disponible en spécialité simple : les comprimés à 5 mg doivent être divisés (en pratique, 1/4 à 1/8 de comprimé), ce qui pose un problème de galénique. L'apport de folates par les complexes multivitaminiques prénataux est une alternative, mais leur disponibilité en Algérie est limitée.</w:t>
      </w:r>
    </w:p>
    <w:p>
      <w:pPr>
        <w:pStyle w:val="Heading4"/>
      </w:pPr>
      <w:r>
        <w:t>3. Mécanisme d'action moléculaire détaillé</w:t>
      </w:r>
    </w:p>
    <w:p>
      <w:r>
        <w:t xml:space="preserve">L'acide folique (pteroylglutamate) est réduit en </w:t>
      </w:r>
      <w:r>
        <w:rPr>
          <w:b/>
        </w:rPr>
        <w:t>dihydrofolate (DHF)</w:t>
      </w:r>
      <w:r>
        <w:t xml:space="preserve"> puis en </w:t>
      </w:r>
      <w:r>
        <w:rPr>
          <w:b/>
        </w:rPr>
        <w:t>tétrahydrofolate (THF)</w:t>
      </w:r>
      <w:r>
        <w:t xml:space="preserve"> par la </w:t>
      </w:r>
      <w:r>
        <w:rPr>
          <w:b/>
        </w:rPr>
        <w:t>dihydrofolate réductase (DHFR)</w:t>
      </w:r>
      <w:r>
        <w:t>, enzyme inhibée par le méthotrexate et le triméthoprime. Le THF est ensuite substitué sur les positions N5 et N10 par des unités monocarbonées (C1) pour former les coenzymes actives :</w:t>
      </w:r>
    </w:p>
    <w:p>
      <w:pPr>
        <w:pStyle w:val="ListNumber"/>
      </w:pPr>
      <w:r/>
      <w:r>
        <w:rPr>
          <w:b/>
        </w:rPr>
        <w:t>5,10-méthylène-THF</w:t>
      </w:r>
      <w:r>
        <w:t xml:space="preserve"> — substrat de la </w:t>
      </w:r>
      <w:r>
        <w:rPr>
          <w:b/>
        </w:rPr>
        <w:t>thymidylate synthase</w:t>
      </w:r>
      <w:r>
        <w:t xml:space="preserve"> (conversion du dUMP en dTMP, essentielle à la synthèse de l'ADN). Cette réaction oxyde le 5,10-méthylène-THF en DHF, qui doit être régénéré en THF par la DHFR.</w:t>
      </w:r>
    </w:p>
    <w:p>
      <w:pPr>
        <w:pStyle w:val="ListNumber"/>
      </w:pPr>
      <w:r/>
      <w:r>
        <w:rPr>
          <w:b/>
        </w:rPr>
        <w:t>5-méthyl-THF</w:t>
      </w:r>
      <w:r>
        <w:t xml:space="preserve"> — donneur de méthyle pour la </w:t>
      </w:r>
      <w:r>
        <w:rPr>
          <w:b/>
        </w:rPr>
        <w:t>méthionine synthase</w:t>
      </w:r>
      <w:r>
        <w:t xml:space="preserve"> (conversion de l'homocystéine en méthionine, en coopération avec la vitamine B12). C'est la forme circulante majeure des folates.</w:t>
      </w:r>
    </w:p>
    <w:p>
      <w:pPr>
        <w:pStyle w:val="ListNumber"/>
      </w:pPr>
      <w:r/>
      <w:r>
        <w:rPr>
          <w:b/>
        </w:rPr>
        <w:t>10-formyl-THF</w:t>
      </w:r>
      <w:r>
        <w:t xml:space="preserve"> et </w:t>
      </w:r>
      <w:r>
        <w:rPr>
          <w:b/>
        </w:rPr>
        <w:t>5-formyl-THF (folinate)</w:t>
      </w:r>
      <w:r>
        <w:t xml:space="preserve"> — donneurs de formyl pour la synthèse des purines (C2 et C8 du noyau purique) et de la N-formylméthionine initiatrice de la traduction des protéines bactériennes et mitochondriales.</w:t>
      </w:r>
    </w:p>
    <w:p>
      <w:pPr>
        <w:pStyle w:val="ListNumber"/>
      </w:pPr>
      <w:r/>
      <w:r>
        <w:rPr>
          <w:b/>
        </w:rPr>
        <w:t>5-formimino-THF</w:t>
      </w:r>
      <w:r>
        <w:t xml:space="preserve"> — intermédiaire du catabolisme de l'histidine.</w:t>
      </w:r>
    </w:p>
    <w:p>
      <w:pPr>
        <w:pStyle w:val="ListNumber"/>
      </w:pPr>
      <w:r/>
      <w:r>
        <w:rPr>
          <w:b/>
        </w:rPr>
        <w:t>5,10-méthényl-THF</w:t>
      </w:r>
      <w:r>
        <w:t xml:space="preserve"> — intermédiaire de la conversion du 5-formyl-THF en 5,10-méthylène-THF.</w:t>
      </w:r>
    </w:p>
    <w:p>
      <w:r>
        <w:t>Les rôles biologiques des folates sont multiples :</w:t>
      </w:r>
    </w:p>
    <w:p>
      <w:pPr>
        <w:pStyle w:val="ListNumber"/>
      </w:pPr>
      <w:r/>
      <w:r>
        <w:rPr>
          <w:b/>
        </w:rPr>
        <w:t>Synthèse des purines</w:t>
      </w:r>
      <w:r>
        <w:t xml:space="preserve"> (adenine, guanine) — sans folates, pas de synthèse d'ADN/ARN.</w:t>
      </w:r>
    </w:p>
    <w:p>
      <w:pPr>
        <w:pStyle w:val="ListNumber"/>
      </w:pPr>
      <w:r/>
      <w:r>
        <w:rPr>
          <w:b/>
        </w:rPr>
        <w:t>Synthèse de la thymidylate (dTMP)</w:t>
      </w:r>
      <w:r>
        <w:t xml:space="preserve"> à partir du dUMP — réaction clé de la synthèse de l'ADN.</w:t>
      </w:r>
    </w:p>
    <w:p>
      <w:pPr>
        <w:pStyle w:val="ListNumber"/>
      </w:pPr>
      <w:r/>
      <w:r>
        <w:rPr>
          <w:b/>
        </w:rPr>
        <w:t>Conversion de l'homocystéine en méthionine</w:t>
      </w:r>
      <w:r>
        <w:t xml:space="preserve"> par la méthionine synthase (avec la B12 comme cofacteur) — c'est la seule voie de régénération du THF à partir du 5-méthyl-THF. En cas de carence en B12, le 5-méthyl-THF s'accumule (« trap hypothesis » de Scott) et la synthèse d'ADN est compromise (anémie mégaloblastique par carence fonctionnelle en folates).</w:t>
      </w:r>
    </w:p>
    <w:p>
      <w:pPr>
        <w:pStyle w:val="ListNumber"/>
      </w:pPr>
      <w:r/>
      <w:r>
        <w:rPr>
          <w:b/>
        </w:rPr>
        <w:t>Conversion de la sérine en glycine</w:t>
      </w:r>
      <w:r>
        <w:t xml:space="preserve"> (et inversement) par la sérine hydroxyméthyltransférase (SHMT), qui génère le 5,10-méthylène-THF.</w:t>
      </w:r>
    </w:p>
    <w:p>
      <w:pPr>
        <w:pStyle w:val="ListNumber"/>
      </w:pPr>
      <w:r/>
      <w:r>
        <w:rPr>
          <w:b/>
        </w:rPr>
        <w:t>Méthylation de l'histidine</w:t>
      </w:r>
      <w:r>
        <w:t xml:space="preserve"> en acide formiminoglutamique (FIGLU).</w:t>
      </w:r>
    </w:p>
    <w:p>
      <w:pPr>
        <w:pStyle w:val="ListNumber"/>
      </w:pPr>
      <w:r/>
      <w:r>
        <w:rPr>
          <w:b/>
        </w:rPr>
        <w:t>Synthèse de la N-formylméthionine</w:t>
      </w:r>
      <w:r>
        <w:t xml:space="preserve"> (initiateur de la traduction des protéines bactériennes et mitochondriales).</w:t>
      </w:r>
    </w:p>
    <w:p>
      <w:r>
        <w:t>L'acide folique à doses pharmacologiques supérieures à 1 mg/jour peut masquer l'anémie de la carence en B12 (les folates corrigent le défaut de synthèse d'ADN des précurseurs érythroïdes) mais n'empêchent pas la progression de la neuropathie carentielle (risque de neuropathie irréversible). Règle d'or : ne jamais donner de folates à doses ≥ 1 mg/jour sans vérifier la B12 sérique.</w:t>
      </w:r>
    </w:p>
    <w:p>
      <w:pPr>
        <w:pStyle w:val="Heading4"/>
      </w:pPr>
      <w:r>
        <w:t>4. Pharmacocinétique</w:t>
      </w:r>
    </w:p>
    <w:p>
      <w:r/>
      <w:r>
        <w:rPr>
          <w:b/>
        </w:rPr>
        <w:t>Absorption</w:t>
      </w:r>
      <w:r>
        <w:t xml:space="preserve"> : l'acide folique est absorbé au niveau du duodénum et du jéjunum proximal par transporteur saturable dépendant du </w:t>
      </w:r>
      <w:r>
        <w:rPr>
          <w:b/>
        </w:rPr>
        <w:t>PCFT (proton-coupled folate transporter, SLC46A1)</w:t>
      </w:r>
      <w:r>
        <w:t xml:space="preserve"> et du </w:t>
      </w:r>
      <w:r>
        <w:rPr>
          <w:b/>
        </w:rPr>
        <w:t>RFC (reduced folate carrier, SLC19A1)</w:t>
      </w:r>
      <w:r>
        <w:t>. La biodisponibilité est élevée (80 à 95 %) aux doses nutritionnelles (≤ 1 mg/jour), et saturable à doses pharmacologiques (la fraction absorbée diminue avec la dose). Une fois absorbé, l'acide folique est réduit en DHF puis en THF par la DHFR intestinale et hépatique, puis méthylé en 5-méthyl-THF (forme circulante majeure, ≥ 90 % des folates plasmatiques).</w:t>
      </w:r>
    </w:p>
    <w:p>
      <w:r/>
      <w:r>
        <w:rPr>
          <w:b/>
        </w:rPr>
        <w:t>Distribution</w:t>
      </w:r>
      <w:r>
        <w:t xml:space="preserve"> : les folates sont distribués dans tous les tissus, principalement sous forme de polyglutamates intracellulaires (le foie stocke 5 à 10 mg de folates, suffisant pour 3 à 4 mois de besoins en cas d'arrêt total d'apport). La demi-vie plasmatique est d'environ 100 à 200 jours. Les folates traversent le placenta par transporteur actif (PCFT, RFC) et s'accumulent dans le foie fœtal. Les folates passent dans le lait maternel (concentration 50 à 100 µg/L).</w:t>
      </w:r>
    </w:p>
    <w:p>
      <w:r/>
      <w:r>
        <w:rPr>
          <w:b/>
        </w:rPr>
        <w:t>Métabolisme</w:t>
      </w:r>
      <w:r>
        <w:t xml:space="preserve"> : l'acide folique est réduit en THF, méthylé en 5-méthyl-THF, et distribué aux tissus. Le catabolisme hépatique produit des métabolites pteroïdes (p-aminobenzoylglutamate, p-acetamidobenzoylglutamate).</w:t>
      </w:r>
    </w:p>
    <w:p>
      <w:r/>
      <w:r>
        <w:rPr>
          <w:b/>
        </w:rPr>
        <w:t>Élimination</w:t>
      </w:r>
      <w:r>
        <w:t xml:space="preserve"> : principalement urinaire (≥ 50 %), sous forme de 5-méthyl-THF et de métabolites. L'élimination est filtrée et sécrétée tubulairement. Une partie est éliminée par voie biliaire avec cycle entéro-hépatique. En cas d'insuffisance rénale, les folates s'accumulent (peu de toxicité, mais surveillance).</w:t>
      </w:r>
    </w:p>
    <w:p>
      <w:pPr>
        <w:pStyle w:val="Heading4"/>
      </w:pPr>
      <w:r>
        <w:t>5. Effets indésirables et prévention</w:t>
      </w:r>
    </w:p>
    <w:p>
      <w:r/>
      <w:r>
        <w:rPr>
          <w:b/>
        </w:rPr>
        <w:t>Effets indésirables aux doses thérapeutiques orales</w:t>
      </w:r>
      <w:r>
        <w:t xml:space="preserve"> (≤ 5 mg/jour) :</w:t>
      </w:r>
    </w:p>
    <w:p>
      <w:pPr>
        <w:pStyle w:val="ListBullet"/>
      </w:pPr>
      <w:r/>
      <w:r>
        <w:rPr>
          <w:b/>
        </w:rPr>
        <w:t>Digestifs</w:t>
      </w:r>
      <w:r>
        <w:t xml:space="preserve"> : nausées, ballonnements, diarrhée (rares et bénins). Prévention : prendre au cours du repas.</w:t>
      </w:r>
    </w:p>
    <w:p>
      <w:pPr>
        <w:pStyle w:val="ListBullet"/>
      </w:pPr>
      <w:r/>
      <w:r>
        <w:rPr>
          <w:b/>
        </w:rPr>
        <w:t>Neurologiques</w:t>
      </w:r>
      <w:r>
        <w:t xml:space="preserve"> : irritabilité, insomnie (rares).</w:t>
      </w:r>
    </w:p>
    <w:p>
      <w:pPr>
        <w:pStyle w:val="ListBullet"/>
      </w:pPr>
      <w:r/>
      <w:r>
        <w:rPr>
          <w:b/>
        </w:rPr>
        <w:t>Allergiques</w:t>
      </w:r>
      <w:r>
        <w:t xml:space="preserve"> : réactions cutanées très rares.</w:t>
      </w:r>
    </w:p>
    <w:p>
      <w:pPr>
        <w:pStyle w:val="ListBullet"/>
      </w:pPr>
      <w:r/>
      <w:r>
        <w:rPr>
          <w:b/>
        </w:rPr>
        <w:t>Coloration jaune des urines</w:t>
      </w:r>
      <w:r>
        <w:t xml:space="preserve"> : fréquente, bénigne (coloration par les métabolites pteroïdes).</w:t>
      </w:r>
    </w:p>
    <w:p>
      <w:r/>
      <w:r>
        <w:rPr>
          <w:b/>
        </w:rPr>
        <w:t>Effets indésirables aux doses pharmacologiques orales</w:t>
      </w:r>
      <w:r>
        <w:t xml:space="preserve"> (≥ 5 mg/jour au long cours) :</w:t>
      </w:r>
    </w:p>
    <w:p>
      <w:pPr>
        <w:pStyle w:val="ListBullet"/>
      </w:pPr>
      <w:r/>
      <w:r>
        <w:rPr>
          <w:b/>
        </w:rPr>
        <w:t>Masquage de l'anémie de la carence en B12</w:t>
      </w:r>
      <w:r>
        <w:t xml:space="preserve"> (critique) — les folates corrigent l'anémie mégaloblastique mais n'empêchent pas la progression de la neuropathie carentielle (risque de neuropathie irréversible). Prévention : toujours vérifier la B12 sérique avant d'initier un traitement par acide folique à doses ≥ 1 mg/jour.</w:t>
      </w:r>
    </w:p>
    <w:p>
      <w:pPr>
        <w:pStyle w:val="ListBullet"/>
      </w:pPr>
      <w:r/>
      <w:r>
        <w:rPr>
          <w:b/>
        </w:rPr>
        <w:t>Diminution de l'efficacité des antiépileptiques</w:t>
      </w:r>
      <w:r>
        <w:t xml:space="preserve"> (phénytoïne, phénobarbital) — l'acide folique à doses ≥ 5 mg/jour peut réduire les concentrations plasmatiques de phénytoïne et aggraver l'épilepsie.</w:t>
      </w:r>
    </w:p>
    <w:p>
      <w:pPr>
        <w:pStyle w:val="ListBullet"/>
      </w:pPr>
      <w:r/>
      <w:r>
        <w:rPr>
          <w:b/>
        </w:rPr>
        <w:t>Augmentation du risque de cancer colorectal</w:t>
      </w:r>
      <w:r>
        <w:t xml:space="preserve"> (données limitées) — l'acide folique à doses ≥ 1 mg/jour pourrait accélérer la croissance de polypes colorectaux préexistants (études observationnelles, non consensuel).</w:t>
      </w:r>
    </w:p>
    <w:p>
      <w:pPr>
        <w:pStyle w:val="ListBullet"/>
      </w:pPr>
      <w:r/>
      <w:r>
        <w:rPr>
          <w:b/>
        </w:rPr>
        <w:t>Risque de progression des leucémies myéloïdes</w:t>
      </w:r>
      <w:r>
        <w:t xml:space="preserve"> (données limitées) — l'acide folique pourrait stimuler la prolifération des cellules leucémiques (à éviter en cas de leucémie aiguë non traitée).</w:t>
      </w:r>
    </w:p>
    <w:p>
      <w:r/>
      <w:r>
        <w:rPr>
          <w:b/>
        </w:rPr>
        <w:t>Effets indésirables spécifiques des associations B9 + fer</w:t>
      </w:r>
      <w:r>
        <w:t xml:space="preserve"> :</w:t>
      </w:r>
    </w:p>
    <w:p>
      <w:pPr>
        <w:pStyle w:val="ListBullet"/>
      </w:pPr>
      <w:r/>
      <w:r>
        <w:rPr>
          <w:b/>
        </w:rPr>
        <w:t>Coloration noire des selles</w:t>
      </w:r>
      <w:r>
        <w:t xml:space="preserve"> (effet du fer — à signaler au patient).</w:t>
      </w:r>
    </w:p>
    <w:p>
      <w:pPr>
        <w:pStyle w:val="ListBullet"/>
      </w:pPr>
      <w:r/>
      <w:r>
        <w:rPr>
          <w:b/>
        </w:rPr>
        <w:t>Constipation</w:t>
      </w:r>
      <w:r>
        <w:t xml:space="preserve"> (effet du fer — supplémentation en fibres, hydratation).</w:t>
      </w:r>
    </w:p>
    <w:p>
      <w:pPr>
        <w:pStyle w:val="ListBullet"/>
      </w:pPr>
      <w:r/>
      <w:r>
        <w:rPr>
          <w:b/>
        </w:rPr>
        <w:t>Douleurs épigastriques, nausées</w:t>
      </w:r>
      <w:r>
        <w:t xml:space="preserve"> (effet du fer — prendre au cours du repas, espacer des antiacides et laitages).</w:t>
      </w:r>
    </w:p>
    <w:p>
      <w:pPr>
        <w:pStyle w:val="ListBullet"/>
      </w:pPr>
      <w:r/>
      <w:r>
        <w:rPr>
          <w:b/>
        </w:rPr>
        <w:t>Coloration brune de l'émail dentaire</w:t>
      </w:r>
      <w:r>
        <w:t xml:space="preserve"> (pour les formes liquides — utiliser une paille).</w:t>
      </w:r>
    </w:p>
    <w:p>
      <w:r/>
      <w:r>
        <w:rPr>
          <w:b/>
        </w:rPr>
        <w:t>Prévention générale des effets indésirables</w:t>
      </w:r>
      <w:r>
        <w:t xml:space="preserve"> :</w:t>
      </w:r>
    </w:p>
    <w:p>
      <w:pPr>
        <w:pStyle w:val="ListNumber"/>
      </w:pPr>
      <w:r/>
      <w:r>
        <w:rPr>
          <w:b/>
        </w:rPr>
        <w:t>Toujours vérifier la B12 sérique</w:t>
      </w:r>
      <w:r>
        <w:t xml:space="preserve"> avant d'initier un traitement par acide folique à doses ≥ 1 mg/jour.</w:t>
      </w:r>
    </w:p>
    <w:p>
      <w:pPr>
        <w:pStyle w:val="ListNumber"/>
      </w:pPr>
      <w:r/>
      <w:r>
        <w:rPr>
          <w:b/>
        </w:rPr>
        <w:t>Surveiller les patients sous antiépileptiques</w:t>
      </w:r>
      <w:r>
        <w:t xml:space="preserve"> (risque de diminution de l'efficacité).</w:t>
      </w:r>
    </w:p>
    <w:p>
      <w:pPr>
        <w:pStyle w:val="ListNumber"/>
      </w:pPr>
      <w:r/>
      <w:r>
        <w:rPr>
          <w:b/>
        </w:rPr>
        <w:t>Prendre au cours du repas</w:t>
      </w:r>
      <w:r>
        <w:t xml:space="preserve"> pour réduire les troubles digestifs.</w:t>
      </w:r>
    </w:p>
    <w:p>
      <w:pPr>
        <w:pStyle w:val="ListNumber"/>
      </w:pPr>
      <w:r/>
      <w:r>
        <w:rPr>
          <w:b/>
        </w:rPr>
        <w:t>Pour les associations B9 + fer</w:t>
      </w:r>
      <w:r>
        <w:t xml:space="preserve"> : utiliser une paille pour les formes liquides, informer du risque de coloration des selles et de l'émail dentaire.</w:t>
      </w:r>
    </w:p>
    <w:p>
      <w:pPr>
        <w:pStyle w:val="ListNumber"/>
      </w:pPr>
      <w:r/>
      <w:r>
        <w:rPr>
          <w:b/>
        </w:rPr>
        <w:t>Ne pas dépasser 1 mg/jour au long cours</w:t>
      </w:r>
      <w:r>
        <w:t xml:space="preserve"> en dehors des indications spécifiques (maladie cœliaque, drépanocytose, dialyse).</w:t>
      </w:r>
    </w:p>
    <w:p>
      <w:pPr>
        <w:pStyle w:val="Heading4"/>
      </w:pPr>
      <w:r>
        <w:t>6. Interactions médicamenteuses</w:t>
      </w:r>
    </w:p>
    <w:p>
      <w:pPr>
        <w:pStyle w:val="ListBullet"/>
      </w:pPr>
      <w:r/>
      <w:r>
        <w:rPr>
          <w:b/>
        </w:rPr>
        <w:t>Vitamine B12 (cyanocobalamine)</w:t>
      </w:r>
      <w:r>
        <w:t xml:space="preserve"> : la supplémentation en folates masque l'anémie de la carence en B12 mais n'empêche pas la progression de la neuropathie carentielle. Règle d'or : toujours vérifier la B12 avant de donner des folates à doses ≥ 1 mg/jour.</w:t>
      </w:r>
    </w:p>
    <w:p>
      <w:pPr>
        <w:pStyle w:val="ListBullet"/>
      </w:pPr>
      <w:r/>
      <w:r>
        <w:rPr>
          <w:b/>
        </w:rPr>
        <w:t>Méthotrexate</w:t>
      </w:r>
      <w:r>
        <w:t xml:space="preserve"> (antifolate, antinéoplasique) : antagonisme pharmacodynamique (le méthotrexate inhibe la DHFR, l'acide folique est activé par la DHFR). À doses cytotoxiques (leucémie, lymphome), ne pas supplémenter (l'acide folique peut réduire l'efficacité). À doses faibles (psoriasis, polyarthrite rhumatoïde, 7,5 à 25 mg/sem), supplémenter en acide folique 5 mg/jour les jours sans méthotrexate pour réduire la toxicité hématologique et hépatique (sans réduire l'efficacité). Préférer l'acide folinique (folinate de calcium) en cas de toxicité sévère.</w:t>
      </w:r>
    </w:p>
    <w:p>
      <w:pPr>
        <w:pStyle w:val="ListBullet"/>
      </w:pPr>
      <w:r/>
      <w:r>
        <w:rPr>
          <w:b/>
        </w:rPr>
        <w:t>Triméthoprime</w:t>
      </w:r>
      <w:r>
        <w:t xml:space="preserve"> (antibactérien, antifolate) : antagonisme pharmacodynamique. Risque d'anémie mégaloblastique. Supplémentation en acide folique si traitement prolongé.</w:t>
      </w:r>
    </w:p>
    <w:p>
      <w:pPr>
        <w:pStyle w:val="ListBullet"/>
      </w:pPr>
      <w:r/>
      <w:r>
        <w:rPr>
          <w:b/>
        </w:rPr>
        <w:t>Pyriméthamine</w:t>
      </w:r>
      <w:r>
        <w:t xml:space="preserve"> (antipaludique, antifolate) : antagonisme. Supplémentation en acide folinique (le parasite ne peut pas utiliser le folate exogène, mais l'acide folinique peut être utilisé par l'hôte).</w:t>
      </w:r>
    </w:p>
    <w:p>
      <w:pPr>
        <w:pStyle w:val="ListBullet"/>
      </w:pPr>
      <w:r/>
      <w:r>
        <w:rPr>
          <w:b/>
        </w:rPr>
        <w:t>Phénytoïne, phénobarbital</w:t>
      </w:r>
      <w:r>
        <w:t xml:space="preserve"> (antiépileptiques) : induction enzymatique hépatique → augmentation du catabolisme des folates → carence en folates. À l'inverse, l'acide folique à doses ≥ 5 mg/jour peut réduire les concentrations plasmatiques de phénytoïne (risque de convulsions).</w:t>
      </w:r>
    </w:p>
    <w:p>
      <w:pPr>
        <w:pStyle w:val="ListBullet"/>
      </w:pPr>
      <w:r/>
      <w:r>
        <w:rPr>
          <w:b/>
        </w:rPr>
        <w:t>Sulfasalazine</w:t>
      </w:r>
      <w:r>
        <w:t xml:space="preserve"> (anti-inflammatoire intestinal) : inhibition de l'absorption et du métabolisme des folates → carence. Supplémentation prophylactique en acide folique 1 à 5 mg/jour.</w:t>
      </w:r>
    </w:p>
    <w:p>
      <w:pPr>
        <w:pStyle w:val="ListBullet"/>
      </w:pPr>
      <w:r/>
      <w:r>
        <w:rPr>
          <w:b/>
        </w:rPr>
        <w:t>Méthotrexate à faibles doses</w:t>
      </w:r>
      <w:r>
        <w:t xml:space="preserve"> (psoriasis, PR) : supplémentation en acide folique 5 mg/jour les jours sans méthotrexate (typiquement 6 jours sur 7) pour réduire la toxicité hématologique et hépatique.</w:t>
      </w:r>
    </w:p>
    <w:p>
      <w:pPr>
        <w:pStyle w:val="ListBullet"/>
      </w:pPr>
      <w:r/>
      <w:r>
        <w:rPr>
          <w:b/>
        </w:rPr>
        <w:t>Metformine</w:t>
      </w:r>
      <w:r>
        <w:t xml:space="preserve"> : diminution de l'absorption des folates (interférence avec l'absorption iléale). Surveillance des folates sériques.</w:t>
      </w:r>
    </w:p>
    <w:p>
      <w:pPr>
        <w:pStyle w:val="ListBullet"/>
      </w:pPr>
      <w:r/>
      <w:r>
        <w:rPr>
          <w:b/>
        </w:rPr>
        <w:t>Pansements gastriques</w:t>
      </w:r>
      <w:r>
        <w:t xml:space="preserve"> (sevelamer) : diminution de l'absorption des folates.</w:t>
      </w:r>
    </w:p>
    <w:p>
      <w:pPr>
        <w:pStyle w:val="ListBullet"/>
      </w:pPr>
      <w:r/>
      <w:r>
        <w:rPr>
          <w:b/>
        </w:rPr>
        <w:t>Alcool</w:t>
      </w:r>
      <w:r>
        <w:t xml:space="preserve"> : diminution de l'absorption et augmentation de l'excrétion → carence fréquente chez l'alcoolique.</w:t>
      </w:r>
    </w:p>
    <w:p>
      <w:pPr>
        <w:pStyle w:val="ListBullet"/>
      </w:pPr>
      <w:r/>
      <w:r>
        <w:rPr>
          <w:b/>
        </w:rPr>
        <w:t>Aspirine à doses anti-inflammatoires</w:t>
      </w:r>
      <w:r>
        <w:t xml:space="preserve"> : diminution de l'absorption des folates.</w:t>
      </w:r>
    </w:p>
    <w:p>
      <w:pPr>
        <w:pStyle w:val="ListBullet"/>
      </w:pPr>
      <w:r/>
      <w:r>
        <w:rPr>
          <w:b/>
        </w:rPr>
        <w:t>Fer (associations)</w:t>
      </w:r>
      <w:r>
        <w:t xml:space="preserve"> : le fer et l'acide folique peuvent être pris ensemble sans interaction notable. L'acide ascorbique (vitamine C) améliore l'absorption du fer (réduction du Fe³⁺ en Fe²⁺).</w:t>
      </w:r>
    </w:p>
    <w:p>
      <w:pPr>
        <w:pStyle w:val="Heading4"/>
      </w:pPr>
      <w:r>
        <w:t>7. Contre-indications et précautions d'emploi</w:t>
      </w:r>
    </w:p>
    <w:p>
      <w:r/>
      <w:r>
        <w:rPr>
          <w:b/>
        </w:rPr>
        <w:t>Contre-indications</w:t>
      </w:r>
      <w:r>
        <w:t xml:space="preserve"> :</w:t>
      </w:r>
    </w:p>
    <w:p>
      <w:pPr>
        <w:pStyle w:val="ListBullet"/>
      </w:pPr>
      <w:r>
        <w:t>Hypersensibilité à l'acide folique ou à l'un des excipients.</w:t>
      </w:r>
    </w:p>
    <w:p>
      <w:pPr>
        <w:pStyle w:val="ListBullet"/>
      </w:pPr>
      <w:r>
        <w:t>Carence en vitamine B12 non corrigée (risque de masquer l'anémie et de permettre la progression de la neuropathie carentielle).</w:t>
      </w:r>
    </w:p>
    <w:p>
      <w:pPr>
        <w:pStyle w:val="ListBullet"/>
      </w:pPr>
      <w:r>
        <w:t>Leucémie aiguë non traitée (risque théorique de stimulation de la prolifération cellulaire).</w:t>
      </w:r>
    </w:p>
    <w:p>
      <w:pPr>
        <w:pStyle w:val="ListBullet"/>
      </w:pPr>
      <w:r>
        <w:t>Cancer évolutive (à doses ≥ 1 mg/jour — données limitées).</w:t>
      </w:r>
    </w:p>
    <w:p>
      <w:r/>
      <w:r>
        <w:rPr>
          <w:b/>
        </w:rPr>
        <w:t>Précautions d'emploi</w:t>
      </w:r>
      <w:r>
        <w:t xml:space="preserve"> :</w:t>
      </w:r>
    </w:p>
    <w:p>
      <w:pPr>
        <w:pStyle w:val="ListBullet"/>
      </w:pPr>
      <w:r>
        <w:t>Insuffisance rénale : pas d'ajustement nécessaire, mais supplémentation systématique chez le dialysé.</w:t>
      </w:r>
    </w:p>
    <w:p>
      <w:pPr>
        <w:pStyle w:val="ListBullet"/>
      </w:pPr>
      <w:r>
        <w:t>Femme enceinte : sécurité d'emploi confirmée (catégorie CRAT : « Peut être utilisée pendant la grossesse, recommandée en préconceptionnel »). Apport quotidien recommandé 600 µg/jour pendant la grossesse.</w:t>
      </w:r>
    </w:p>
    <w:p>
      <w:pPr>
        <w:pStyle w:val="ListBullet"/>
      </w:pPr>
      <w:r>
        <w:t>Femme allaitante : compatible, passage dans le lait maternel. Apport quotidien recommandé 500 µg/jour.</w:t>
      </w:r>
    </w:p>
    <w:p>
      <w:pPr>
        <w:pStyle w:val="ListBullet"/>
      </w:pPr>
      <w:r>
        <w:t>Sujet âgé : pas de précaution particulière (au contraire, surveillance accrue de la carence associée B12).</w:t>
      </w:r>
    </w:p>
    <w:p>
      <w:pPr>
        <w:pStyle w:val="ListBullet"/>
      </w:pPr>
      <w:r>
        <w:t>Enfant : doses adaptées au poids.</w:t>
      </w:r>
    </w:p>
    <w:p>
      <w:pPr>
        <w:pStyle w:val="ListBullet"/>
      </w:pPr>
      <w:r>
        <w:t>Patient sous antiépileptiques : surveillance des concentrations plasmatiques de phénytoïne (risque de diminution à doses ≥ 5 mg/jour d'acide folique).</w:t>
      </w:r>
    </w:p>
    <w:p>
      <w:pPr>
        <w:pStyle w:val="Heading4"/>
      </w:pPr>
      <w:r>
        <w:t>8. Grossesse et allaitement (données CRAT)</w:t>
      </w:r>
    </w:p>
    <w:p>
      <w:r/>
      <w:r>
        <w:rPr>
          <w:b/>
        </w:rPr>
        <w:t>Grossesse</w:t>
      </w:r>
      <w:r>
        <w:t xml:space="preserve"> : l'acide folique est </w:t>
      </w:r>
      <w:r>
        <w:rPr>
          <w:b/>
        </w:rPr>
        <w:t>essentiel au développement fœtal</w:t>
      </w:r>
      <w:r>
        <w:t xml:space="preserve"> et constitue la seule vitamine à bénéficier d'une recommandation universelle de supplémentation préconceptionnelle. Les besoins augmentent à 600 µg/jour pendant la grossesse (vs 400 µg/jour chez la femme non enceinte). La </w:t>
      </w:r>
      <w:r>
        <w:rPr>
          <w:b/>
        </w:rPr>
        <w:t>supplémentation préconceptionnelle en acide folique 400 µg/jour</w:t>
      </w:r>
      <w:r>
        <w:t xml:space="preserve"> débutée au moins </w:t>
      </w:r>
      <w:r>
        <w:rPr>
          <w:b/>
        </w:rPr>
        <w:t>1 mois avant la conception</w:t>
      </w:r>
      <w:r>
        <w:t xml:space="preserve"> et poursuivie pendant le </w:t>
      </w:r>
      <w:r>
        <w:rPr>
          <w:b/>
        </w:rPr>
        <w:t>1er trimestre</w:t>
      </w:r>
      <w:r>
        <w:t xml:space="preserve"> réduit le risque d'anomalies de fermeture du tube neural (AFTN — spina bifida, anencéphalie) de 50 à 70 % (étude MRC Vitamin Study, 1991). Les femmes à risque élevé d'AFTN (antécédent personnel ou familial, traitement antiépileptique, diabète prégestationnel, IMC ≥ 30) doivent recevoir </w:t>
      </w:r>
      <w:r>
        <w:rPr>
          <w:b/>
        </w:rPr>
        <w:t>5 mg/jour</w:t>
      </w:r>
      <w:r>
        <w:t xml:space="preserve"> préconceptionnel et pendant le 1er trimestre. L'acide folique traverse le placenta par transporteur actif (PCFT, RFC). Le CRAT conclut : « L'acide folique doit être prescrit systématiquement en période préconceptionnelle et pendant le 1er trimestre de grossesse (400 µg/jour pour la population générale, 5 mg/jour pour les femmes à risque élevé). »</w:t>
      </w:r>
    </w:p>
    <w:p>
      <w:r/>
      <w:r>
        <w:rPr>
          <w:b/>
        </w:rPr>
        <w:t>Allaitement</w:t>
      </w:r>
      <w:r>
        <w:t xml:space="preserve"> : l'acide folique passe dans le lait maternel (concentration 50 à 100 µg/L). Les besoins de la mère allaitante sont de 500 µg/jour. La carence maternelle sévère peut provoquer une carence du nourrisson allaité (anémie mégaloblastique, retard de croissance). Le CRAT conclut : « L'acide folique est compatible et recommandé pendant l'allaitement (500 µg/jour). »</w:t>
      </w:r>
    </w:p>
    <w:p>
      <w:pPr>
        <w:pStyle w:val="Heading4"/>
      </w:pPr>
      <w:r>
        <w:t>9. Posologie et mode d'administration</w:t>
      </w:r>
    </w:p>
    <w:p>
      <w:r/>
      <w:r>
        <w:rPr>
          <w:b/>
        </w:rPr>
        <w:t>Posologie usuelle adulte</w:t>
      </w:r>
      <w:r>
        <w:t xml:space="preserve"> :</w:t>
      </w:r>
    </w:p>
    <w:p>
      <w:pPr>
        <w:pStyle w:val="ListBullet"/>
      </w:pPr>
      <w:r/>
      <w:r>
        <w:rPr>
          <w:b/>
        </w:rPr>
        <w:t>Supplémentation préconceptionnelle (population générale)</w:t>
      </w:r>
      <w:r>
        <w:t xml:space="preserve"> : </w:t>
      </w:r>
      <w:r>
        <w:rPr>
          <w:b/>
        </w:rPr>
        <w:t>400 µg/jour</w:t>
      </w:r>
      <w:r>
        <w:t xml:space="preserve"> per os, à débuter au moins 1 mois avant la conception et à poursuivre pendant le 1er trimestre. En Algérie, la spécialité la plus proche est ZANITRA PLUS (B9 0,5 mg = 500 µg, association avec fer) ou les complexes multivitaminiques prénataux.</w:t>
      </w:r>
    </w:p>
    <w:p>
      <w:pPr>
        <w:pStyle w:val="ListBullet"/>
      </w:pPr>
      <w:r/>
      <w:r>
        <w:rPr>
          <w:b/>
        </w:rPr>
        <w:t>Femmes à risque élevé d'AFTN</w:t>
      </w:r>
      <w:r>
        <w:t xml:space="preserve"> : </w:t>
      </w:r>
      <w:r>
        <w:rPr>
          <w:b/>
        </w:rPr>
        <w:t>5 mg/jour</w:t>
      </w:r>
      <w:r>
        <w:t xml:space="preserve"> per os, préconceptionnel et pendant le 1er trimestre. Utiliser ACIDE FOLIQUE-API, ANEFOL, CIFLODINE, FOLACID, FOLACIQ, FOLIDEN, FONITRA, HUPFOLIQ, OPTIFOLATES, PHYSIOFOL, ZANITRA (comprimés à 5 mg).</w:t>
      </w:r>
    </w:p>
    <w:p>
      <w:pPr>
        <w:pStyle w:val="ListBullet"/>
      </w:pPr>
      <w:r/>
      <w:r>
        <w:rPr>
          <w:b/>
        </w:rPr>
        <w:t>Carence avérée</w:t>
      </w:r>
      <w:r>
        <w:t xml:space="preserve"> (anémie mégaloblastique) : 5 mg/jour per os pendant 4 mois, après vérification de la B12 sérique.</w:t>
      </w:r>
    </w:p>
    <w:p>
      <w:pPr>
        <w:pStyle w:val="ListBullet"/>
      </w:pPr>
      <w:r/>
      <w:r>
        <w:rPr>
          <w:b/>
        </w:rPr>
        <w:t>Anémie macrocytaire de l'alcoolique</w:t>
      </w:r>
      <w:r>
        <w:t xml:space="preserve"> : 5 mg/jour per os pendant 1 à 3 mois, après sevrage alcoolique.</w:t>
      </w:r>
    </w:p>
    <w:p>
      <w:pPr>
        <w:pStyle w:val="ListBullet"/>
      </w:pPr>
      <w:r/>
      <w:r>
        <w:rPr>
          <w:b/>
        </w:rPr>
        <w:t>Drépanocytose, thalassémie</w:t>
      </w:r>
      <w:r>
        <w:t xml:space="preserve"> : 1 à 5 mg/jour per os au long cours.</w:t>
      </w:r>
    </w:p>
    <w:p>
      <w:pPr>
        <w:pStyle w:val="ListBullet"/>
      </w:pPr>
      <w:r/>
      <w:r>
        <w:rPr>
          <w:b/>
        </w:rPr>
        <w:t>Malabsorption</w:t>
      </w:r>
      <w:r>
        <w:t xml:space="preserve"> (maladie cœliaque, sprue) : 5 mg/jour per os au long cours.</w:t>
      </w:r>
    </w:p>
    <w:p>
      <w:pPr>
        <w:pStyle w:val="ListBullet"/>
      </w:pPr>
      <w:r/>
      <w:r>
        <w:rPr>
          <w:b/>
        </w:rPr>
        <w:t>Dialysé chronique</w:t>
      </w:r>
      <w:r>
        <w:t xml:space="preserve"> : 1 à 5 mg/jour per os.</w:t>
      </w:r>
    </w:p>
    <w:p>
      <w:pPr>
        <w:pStyle w:val="ListBullet"/>
      </w:pPr>
      <w:r/>
      <w:r>
        <w:rPr>
          <w:b/>
        </w:rPr>
        <w:t>Sous méthotrexate à faibles doses</w:t>
      </w:r>
      <w:r>
        <w:t xml:space="preserve"> (psoriasis, PR) : 5 mg/jour per os les jours sans méthotrexate (typiquement 6 jours sur 7).</w:t>
      </w:r>
    </w:p>
    <w:p>
      <w:pPr>
        <w:pStyle w:val="ListBullet"/>
      </w:pPr>
      <w:r/>
      <w:r>
        <w:rPr>
          <w:b/>
        </w:rPr>
        <w:t>Sous sulfasalazine</w:t>
      </w:r>
      <w:r>
        <w:t xml:space="preserve"> : 1 à 5 mg/jour per os au long cours.</w:t>
      </w:r>
    </w:p>
    <w:p>
      <w:pPr>
        <w:pStyle w:val="ListBullet"/>
      </w:pPr>
      <w:r/>
      <w:r>
        <w:rPr>
          <w:b/>
        </w:rPr>
        <w:t>Supplémentation prophylactique</w:t>
      </w:r>
      <w:r>
        <w:t xml:space="preserve"> : 200 à 400 µg/jour per os (femme en âge de procréer, sujet âgé) — couvert par l'alimentation.</w:t>
      </w:r>
    </w:p>
    <w:p>
      <w:pPr>
        <w:pStyle w:val="ListBullet"/>
      </w:pPr>
      <w:r/>
      <w:r>
        <w:rPr>
          <w:b/>
        </w:rPr>
        <w:t>Anémie ferriprive de la femme enceinte</w:t>
      </w:r>
      <w:r>
        <w:t xml:space="preserve"> (associations B9 + fer) : TARDYFERON B9 (fer 50 mg + B9 0,35 mg), 1 comprimé/jour ; ou B-NEUFER (fer 50 mg + B9 0,35 mg), 1 gélule/jour ; ou FERRO SANOL GYN (fer 454,13 mg + B9 80 mg + B12 1 mg), 1 gélule LP/jour ; ou FERAN B9 (fer 49,297 mg + B9 0,5 mg), 1 gélule/jour ; ou ZANITRA PLUS (fer 150 mg + B9 0,5 mg), 1 gélule LP/jour ; ou NOVO FER PLUS (fer 100 mg + B9 0,35 mg), 1 comprimé/jour ; ou SELOFER FOL (fer 100 mg + B9 0,35 mg), 1 comprimé/jour ; ou TRIFER FOL (fer 100 mg + B9 0,35 mg), 1 comprimé/jour.</w:t>
      </w:r>
    </w:p>
    <w:p>
      <w:r/>
      <w:r>
        <w:rPr>
          <w:b/>
        </w:rPr>
        <w:t>Posologie pédiatrique</w:t>
      </w:r>
      <w:r>
        <w:t xml:space="preserve"> :</w:t>
      </w:r>
    </w:p>
    <w:p>
      <w:pPr>
        <w:pStyle w:val="ListBullet"/>
      </w:pPr>
      <w:r>
        <w:t>Nourrisson (entretien) : 50 à 65 µg/jour per os.</w:t>
      </w:r>
    </w:p>
    <w:p>
      <w:pPr>
        <w:pStyle w:val="ListBullet"/>
      </w:pPr>
      <w:r>
        <w:t>Enfant (entretien) : 75 à 200 µg/jour per os.</w:t>
      </w:r>
    </w:p>
    <w:p>
      <w:pPr>
        <w:pStyle w:val="ListBullet"/>
      </w:pPr>
      <w:r>
        <w:t>Carence avérée : 1 à 5 mg/jour per os pendant 1 à 4 mois.</w:t>
      </w:r>
    </w:p>
    <w:p>
      <w:r/>
      <w:r>
        <w:rPr>
          <w:b/>
        </w:rPr>
        <w:t>Mode d'administration</w:t>
      </w:r>
      <w:r>
        <w:t xml:space="preserve"> :</w:t>
      </w:r>
    </w:p>
    <w:p>
      <w:pPr>
        <w:pStyle w:val="ListBullet"/>
      </w:pPr>
      <w:r/>
      <w:r>
        <w:rPr>
          <w:b/>
        </w:rPr>
        <w:t>Voie orale</w:t>
      </w:r>
      <w:r>
        <w:t xml:space="preserve"> : comprimés à avaler avec un verre d'eau, à jeun ou au cours du repas. Pour les comprimés à 5 mg, sécabilité possible pour adapter la dose (2,5 mg, 1,25 mg).</w:t>
      </w:r>
    </w:p>
    <w:p>
      <w:pPr>
        <w:pStyle w:val="ListBullet"/>
      </w:pPr>
      <w:r/>
      <w:r>
        <w:rPr>
          <w:b/>
        </w:rPr>
        <w:t>Pour les associations B9 + fer</w:t>
      </w:r>
      <w:r>
        <w:t xml:space="preserve"> : prendre à jeun ou avant les repas (améliore l'absorption du fer), avec un verre d'eau ou de jus d'orange (la vitamine C améliore l'absorption du fer). Espacer des laitages, du thé, du café, et des antiacides (diminution de l'absorption du fer).</w:t>
      </w:r>
    </w:p>
    <w:p>
      <w:pPr>
        <w:pStyle w:val="Heading4"/>
      </w:pPr>
      <w:r>
        <w:t>10. Formes galéniques disponibles</w:t>
      </w:r>
    </w:p>
    <w:p>
      <w:pPr>
        <w:pStyle w:val="ListBullet"/>
      </w:pPr>
      <w:r/>
      <w:r>
        <w:rPr>
          <w:b/>
        </w:rPr>
        <w:t>Comprimés à 5 mg</w:t>
      </w:r>
      <w:r>
        <w:t xml:space="preserve"> (ACIDE FOLIQUE-API, ANEFOL, FOLACID, FOLACIQ, FOLIDEN, FONITRA, HUPFOLIQ, OPTIFOLATES, PHYSIOFOL, ZANITRA) — forme de cure, supérieure à la dose préconceptionnelle (400 µg).</w:t>
      </w:r>
    </w:p>
    <w:p>
      <w:pPr>
        <w:pStyle w:val="ListBullet"/>
      </w:pPr>
      <w:r/>
      <w:r>
        <w:rPr>
          <w:b/>
        </w:rPr>
        <w:t>Gélules à 5 mg</w:t>
      </w:r>
      <w:r>
        <w:t xml:space="preserve"> (CIFLODINE) — alternative au comprimé.</w:t>
      </w:r>
    </w:p>
    <w:p>
      <w:pPr>
        <w:pStyle w:val="ListBullet"/>
      </w:pPr>
      <w:r/>
      <w:r>
        <w:rPr>
          <w:b/>
        </w:rPr>
        <w:t>Comprimés pelliculés B9 + fer</w:t>
      </w:r>
      <w:r>
        <w:t xml:space="preserve"> (TARDYFERON B9, TRIFER FOL) — forme de référence pour l'anémie ferriprive de la femme enceinte.</w:t>
      </w:r>
    </w:p>
    <w:p>
      <w:pPr>
        <w:pStyle w:val="ListBullet"/>
      </w:pPr>
      <w:r/>
      <w:r>
        <w:rPr>
          <w:b/>
        </w:rPr>
        <w:t>Gélules B9 + fer</w:t>
      </w:r>
      <w:r>
        <w:t xml:space="preserve"> (B-NEUFER, FERAN B9, FERRO SANOL GYN, ZANITRA PLUS) — formes d'association.</w:t>
      </w:r>
    </w:p>
    <w:p>
      <w:pPr>
        <w:pStyle w:val="ListBullet"/>
      </w:pPr>
      <w:r/>
      <w:r>
        <w:rPr>
          <w:b/>
        </w:rPr>
        <w:t>Comprimés à sucer B9 + fer</w:t>
      </w:r>
      <w:r>
        <w:t xml:space="preserve"> (NOVO FER PLUS, SELOFER FOL) — alternatives.</w:t>
      </w:r>
    </w:p>
    <w:p>
      <w:pPr>
        <w:pStyle w:val="ListBullet"/>
      </w:pPr>
      <w:r/>
      <w:r>
        <w:rPr>
          <w:b/>
        </w:rPr>
        <w:t>Gélules LP (libération prolongée) B9 + fer</w:t>
      </w:r>
      <w:r>
        <w:t xml:space="preserve"> (FERRO SANOL GYN, ZANITRA PLUS) — meilleures tolérance digestive.</w:t>
      </w:r>
    </w:p>
    <w:p>
      <w:pPr>
        <w:pStyle w:val="Heading4"/>
      </w:pPr>
      <w:r>
        <w:t>11. Conseils au patient au comptoir</w:t>
      </w:r>
    </w:p>
    <w:p>
      <w:pPr>
        <w:pStyle w:val="ListNumber"/>
      </w:pPr>
      <w:r/>
      <w:r>
        <w:rPr>
          <w:b/>
        </w:rPr>
        <w:t>Supplémentation préconceptionnelle</w:t>
      </w:r>
      <w:r>
        <w:t xml:space="preserve"> : toutes les femmes en âge de procréer devraient recevoir 400 µg/jour d'acide folique, à débuter au moins 1 mois avant une conception envisagée et à poursuivre pendant le 1er trimestre. Information essentielle à l'officine.</w:t>
      </w:r>
    </w:p>
    <w:p>
      <w:pPr>
        <w:pStyle w:val="ListNumber"/>
      </w:pPr>
      <w:r/>
      <w:r>
        <w:rPr>
          <w:b/>
        </w:rPr>
        <w:t>Femmes à risque élevé d'AFTN</w:t>
      </w:r>
      <w:r>
        <w:t xml:space="preserve"> : 5 mg/jour (antécédent personnel/familial, antiépileptiques, diabète prégestationnel, IMC ≥ 30).</w:t>
      </w:r>
    </w:p>
    <w:p>
      <w:pPr>
        <w:pStyle w:val="ListNumber"/>
      </w:pPr>
      <w:r/>
      <w:r>
        <w:rPr>
          <w:b/>
        </w:rPr>
        <w:t>Respect de la prescription</w:t>
      </w:r>
      <w:r>
        <w:t xml:space="preserve"> : ne pas dépasser 5 mg/jour sans avis médical (risque de masquer une carence en B12).</w:t>
      </w:r>
    </w:p>
    <w:p>
      <w:pPr>
        <w:pStyle w:val="ListNumber"/>
      </w:pPr>
      <w:r/>
      <w:r>
        <w:rPr>
          <w:b/>
        </w:rPr>
        <w:t>Patients sous méthotrexate à faibles doses</w:t>
      </w:r>
      <w:r>
        <w:t xml:space="preserve"> : supplémenter en acide folique 5 mg/jour les jours sans méthotrexate pour réduire la toxicité hématologique et hépatique.</w:t>
      </w:r>
    </w:p>
    <w:p>
      <w:pPr>
        <w:pStyle w:val="ListNumber"/>
      </w:pPr>
      <w:r/>
      <w:r>
        <w:rPr>
          <w:b/>
        </w:rPr>
        <w:t>Patients sous sulfasalazine</w:t>
      </w:r>
      <w:r>
        <w:t xml:space="preserve"> : supplémenter en acide folique 1 à 5 mg/jour au long cours.</w:t>
      </w:r>
    </w:p>
    <w:p>
      <w:pPr>
        <w:pStyle w:val="ListNumber"/>
      </w:pPr>
      <w:r/>
      <w:r>
        <w:rPr>
          <w:b/>
        </w:rPr>
        <w:t>Patients sous antiépileptiques</w:t>
      </w:r>
      <w:r>
        <w:t xml:space="preserve"> : surveillance des concentrations plasmatiques de phénytoïne (risque de diminution à doses ≥ 5 mg/jour d'acide folique).</w:t>
      </w:r>
    </w:p>
    <w:p>
      <w:pPr>
        <w:pStyle w:val="ListNumber"/>
      </w:pPr>
      <w:r/>
      <w:r>
        <w:rPr>
          <w:b/>
        </w:rPr>
        <w:t>Patients dialysés</w:t>
      </w:r>
      <w:r>
        <w:t xml:space="preserve"> : supplémentation systématique en acide folique 1 à 5 mg/jour (fuite dialytique).</w:t>
      </w:r>
    </w:p>
    <w:p>
      <w:pPr>
        <w:pStyle w:val="ListNumber"/>
      </w:pPr>
      <w:r/>
      <w:r>
        <w:rPr>
          <w:b/>
        </w:rPr>
        <w:t>Prise avec un repas</w:t>
      </w:r>
      <w:r>
        <w:t xml:space="preserve"> : réduire les troubles digestifs. Pour les associations B9 + fer, prendre à jeun ou avant les repas avec un verre d'eau ou de jus d'orange (améliore l'absorption du fer).</w:t>
      </w:r>
    </w:p>
    <w:p>
      <w:pPr>
        <w:pStyle w:val="ListNumber"/>
      </w:pPr>
      <w:r/>
      <w:r>
        <w:rPr>
          <w:b/>
        </w:rPr>
        <w:t>Espacement avec les chélateurs du fer</w:t>
      </w:r>
      <w:r>
        <w:t xml:space="preserve"> (thé, café, laitages, antiacides, quinolones, tétracyclines) de 2 heures minimum.</w:t>
      </w:r>
    </w:p>
    <w:p>
      <w:pPr>
        <w:pStyle w:val="ListNumber"/>
      </w:pPr>
      <w:r/>
      <w:r>
        <w:rPr>
          <w:b/>
        </w:rPr>
        <w:t>Information sur la coloration des selles</w:t>
      </w:r>
      <w:r>
        <w:t xml:space="preserve"> (noir, effet du fer, normal) et des urines (jaune, effet des métabolites pteroïdes, normal).</w:t>
      </w:r>
    </w:p>
    <w:p>
      <w:pPr>
        <w:pStyle w:val="ListNumber"/>
      </w:pPr>
      <w:r/>
      <w:r>
        <w:rPr>
          <w:b/>
        </w:rPr>
        <w:t>Régime alimentaire</w:t>
      </w:r>
      <w:r>
        <w:t xml:space="preserve"> : compléter par une alimentation riche en folates (légumes verts à feuilles — épinards, cresson, mâche ; foie ; légumineuses ; céréales complètes ; fruits secs).</w:t>
      </w:r>
    </w:p>
    <w:p>
      <w:pPr>
        <w:pStyle w:val="Heading4"/>
      </w:pPr>
      <w:r>
        <w:t>12. Pièges et règles d'or au comptoir</w:t>
      </w:r>
    </w:p>
    <w:p>
      <w:r/>
      <w:r>
        <w:rPr>
          <w:b/>
        </w:rPr>
        <w:t>Règles d'or</w:t>
      </w:r>
      <w:r>
        <w:t xml:space="preserve"> :</w:t>
      </w:r>
    </w:p>
    <w:p>
      <w:pPr>
        <w:pStyle w:val="ListNumber"/>
      </w:pPr>
      <w:r/>
      <w:r>
        <w:rPr>
          <w:b/>
        </w:rPr>
        <w:t>Toujours vérifier la B12 sérique</w:t>
      </w:r>
      <w:r>
        <w:t xml:space="preserve"> avant d'initier un traitement par acide folique à doses ≥ 1 mg/jour (risque de masquer une carence en B12 et de permettre la progression de la neuropathie carentielle).</w:t>
      </w:r>
    </w:p>
    <w:p>
      <w:pPr>
        <w:pStyle w:val="ListNumber"/>
      </w:pPr>
      <w:r/>
      <w:r>
        <w:rPr>
          <w:b/>
        </w:rPr>
        <w:t>Toujours supplémenter en acide folique 400 µg/jour</w:t>
      </w:r>
      <w:r>
        <w:t xml:space="preserve"> toutes les femmes en âge de procréer (prévention des AFTN).</w:t>
      </w:r>
    </w:p>
    <w:p>
      <w:pPr>
        <w:pStyle w:val="ListNumber"/>
      </w:pPr>
      <w:r/>
      <w:r>
        <w:rPr>
          <w:b/>
        </w:rPr>
        <w:t>Toujours supplémenter en acide folique 5 mg/jour</w:t>
      </w:r>
      <w:r>
        <w:t xml:space="preserve"> les femmes à risque élevé d'AFTN (antécédent personnel/familial, antiépileptiques, diabète prégestationnel, IMC ≥ 30).</w:t>
      </w:r>
    </w:p>
    <w:p>
      <w:pPr>
        <w:pStyle w:val="ListNumber"/>
      </w:pPr>
      <w:r/>
      <w:r>
        <w:rPr>
          <w:b/>
        </w:rPr>
        <w:t>Toujours supplémenter en acide folique 5 mg/jour les jours sans méthotrexate</w:t>
      </w:r>
      <w:r>
        <w:t xml:space="preserve"> les patients sous méthotrexate à faibles doses (psoriasis, PR).</w:t>
      </w:r>
    </w:p>
    <w:p>
      <w:pPr>
        <w:pStyle w:val="ListNumber"/>
      </w:pPr>
      <w:r/>
      <w:r>
        <w:rPr>
          <w:b/>
        </w:rPr>
        <w:t>Toujours supplémenter en acide folique 1 à 5 mg/jour</w:t>
      </w:r>
      <w:r>
        <w:t xml:space="preserve"> les patients sous sulfasalazine.</w:t>
      </w:r>
    </w:p>
    <w:p>
      <w:pPr>
        <w:pStyle w:val="ListNumber"/>
      </w:pPr>
      <w:r/>
      <w:r>
        <w:rPr>
          <w:b/>
        </w:rPr>
        <w:t>Toujours supplémenter en acide folique 1 à 5 mg/jour</w:t>
      </w:r>
      <w:r>
        <w:t xml:space="preserve"> les patients dialysés chroniques.</w:t>
      </w:r>
    </w:p>
    <w:p>
      <w:pPr>
        <w:pStyle w:val="ListNumber"/>
      </w:pPr>
      <w:r/>
      <w:r>
        <w:rPr>
          <w:b/>
        </w:rPr>
        <w:t>Toujours prendre les associations B9 + fer à jeun ou avant les repas</w:t>
      </w:r>
      <w:r>
        <w:t xml:space="preserve"> (améliore l'absorption du fer), avec un verre d'eau ou de jus d'orange.</w:t>
      </w:r>
    </w:p>
    <w:p>
      <w:pPr>
        <w:pStyle w:val="ListNumber"/>
      </w:pPr>
      <w:r/>
      <w:r>
        <w:rPr>
          <w:b/>
        </w:rPr>
        <w:t>Toujours espacer les associations B9 + fer des chélateurs du fer</w:t>
      </w:r>
      <w:r>
        <w:t xml:space="preserve"> (thé, café, laitages, antiacides, quinolones, tétracyclines) de 2 heures minimum.</w:t>
      </w:r>
    </w:p>
    <w:p>
      <w:r/>
      <w:r>
        <w:rPr>
          <w:b/>
        </w:rPr>
        <w:t>Pièges</w:t>
      </w:r>
      <w:r>
        <w:t xml:space="preserve"> :</w:t>
      </w:r>
    </w:p>
    <w:p>
      <w:pPr>
        <w:pStyle w:val="ListNumber"/>
      </w:pPr>
      <w:r/>
      <w:r>
        <w:rPr>
          <w:b/>
        </w:rPr>
        <w:t>Femme enceinte supplémentée en acide folique sans vérification de la B12</w:t>
      </w:r>
      <w:r>
        <w:t xml:space="preserve"> : risque de masquer une carence en B12 (végétalisme, maladie de Biermer) et de permettre la progression de la neuropathie carentielle. Vérifier systématiquement la B12 sérique chez la femme enceinte.</w:t>
      </w:r>
    </w:p>
    <w:p>
      <w:pPr>
        <w:pStyle w:val="ListNumber"/>
      </w:pPr>
      <w:r/>
      <w:r>
        <w:rPr>
          <w:b/>
        </w:rPr>
        <w:t>Femme enceinte avec anémie ferriprive non supplémentée en B9</w:t>
      </w:r>
      <w:r>
        <w:t xml:space="preserve"> : la supplémentation en B9 (associée au fer) est indispensable pour prévenir l'AFTN et l'anémie macrocytaire. Vérifier la prescription.</w:t>
      </w:r>
    </w:p>
    <w:p>
      <w:pPr>
        <w:pStyle w:val="ListNumber"/>
      </w:pPr>
      <w:r/>
      <w:r>
        <w:rPr>
          <w:b/>
        </w:rPr>
        <w:t>Patient sous méthotrexate à faibles doses non supplémenté en acide folique</w:t>
      </w:r>
      <w:r>
        <w:t xml:space="preserve"> : risque accru de toxicité hématologique et hépatique. Supplémentation systématique 5 mg/jour les jours sans méthotrexate.</w:t>
      </w:r>
    </w:p>
    <w:p>
      <w:pPr>
        <w:pStyle w:val="ListNumber"/>
      </w:pPr>
      <w:r/>
      <w:r>
        <w:rPr>
          <w:b/>
        </w:rPr>
        <w:t>Patient sous sulfasalazine non supplémenté en acide folique</w:t>
      </w:r>
      <w:r>
        <w:t xml:space="preserve"> : risque de carence en folates (anémie mégaloblastique). Supplémentation systématique.</w:t>
      </w:r>
    </w:p>
    <w:p>
      <w:pPr>
        <w:pStyle w:val="ListNumber"/>
      </w:pPr>
      <w:r/>
      <w:r>
        <w:rPr>
          <w:b/>
        </w:rPr>
        <w:t>Femme à risque élevé d'AFTN sous 400 µg/jour au lieu de 5 mg/jour</w:t>
      </w:r>
      <w:r>
        <w:t xml:space="preserve"> : la dose préconceptionnelle est de 5 mg/jour pour les femmes à risque élevé. Vérifier la prescription.</w:t>
      </w:r>
    </w:p>
    <w:p>
      <w:pPr>
        <w:pStyle w:val="ListNumber"/>
      </w:pPr>
      <w:r/>
      <w:r>
        <w:rPr>
          <w:b/>
        </w:rPr>
        <w:t>Patient avec antécédent de polypes colorectaux supplémenté en acide folique à doses ≥ 1 mg/jour</w:t>
      </w:r>
      <w:r>
        <w:t xml:space="preserve"> : risque théorique d'accélération de la croissance des polypes. Surveillance coloscopique.</w:t>
      </w:r>
    </w:p>
    <w:p>
      <w:pPr>
        <w:pStyle w:val="ListNumber"/>
      </w:pPr>
      <w:r/>
      <w:r>
        <w:rPr>
          <w:b/>
        </w:rPr>
        <w:t>Patient avec épilepsie sous phénytoïne supplémenté en acide folique à doses ≥ 5 mg/jour</w:t>
      </w:r>
      <w:r>
        <w:t xml:space="preserve"> : risque de diminution des concentrations plasmatiques de phénytoïne et de convulsions. Surveillance des concentrations.</w:t>
      </w:r>
    </w:p>
    <w:p>
      <w:pPr>
        <w:pStyle w:val="ListNumber"/>
      </w:pPr>
      <w:r/>
      <w:r>
        <w:rPr>
          <w:b/>
        </w:rPr>
        <w:t>Patient végétalien non supplémenté en B12 recevant de l'acide folique</w:t>
      </w:r>
      <w:r>
        <w:t xml:space="preserve"> : risque de masquer la carence en B12. Vérifier la B12 sérique.</w:t>
      </w:r>
    </w:p>
    <w:p>
      <w:pPr>
        <w:pStyle w:val="Heading3"/>
      </w:pPr>
      <w:r>
        <w:t>162.12.7. Folinate de calcium (Acide folinique)</w:t>
      </w:r>
    </w:p>
    <w:p>
      <w:pPr>
        <w:pStyle w:val="Heading4"/>
      </w:pPr>
      <w:r>
        <w:t>1. Catégories thérapeutiques et indications</w:t>
      </w:r>
    </w:p>
    <w:p>
      <w:r>
        <w:t xml:space="preserve">Le folinate de calcium (acide folinique, leucovorine, 5-formyl-THF) appartient à la catégorie pharmacothérapeutique des </w:t>
      </w:r>
      <w:r>
        <w:rPr>
          <w:b/>
        </w:rPr>
        <w:t>antidotes et médicaments de rescue en oncologie</w:t>
      </w:r>
      <w:r>
        <w:t xml:space="preserve"> (code ATC : </w:t>
      </w:r>
      <w:r>
        <w:rPr>
          <w:b/>
        </w:rPr>
        <w:t>V03AF03</w:t>
      </w:r>
      <w:r>
        <w:t xml:space="preserve"> — folinate de calcium après méthotrexate ; </w:t>
      </w:r>
      <w:r>
        <w:rPr>
          <w:b/>
        </w:rPr>
        <w:t>V03AF10</w:t>
      </w:r>
      <w:r>
        <w:t xml:space="preserve"> — folinate de calcium avec 5-fluorouracile). C'est un médicament d'exception, strictement hospitalier, dont les indications sont limitées aux protocoles de chimiothérapie et à l'antidotologie. Les indications thérapeutiques validées sont les suivantes : (i) </w:t>
      </w:r>
      <w:r>
        <w:rPr>
          <w:b/>
        </w:rPr>
        <w:t>rescue (« sauvetage ») après méthotrexate à haute dose</w:t>
      </w:r>
      <w:r>
        <w:t xml:space="preserve"> — administration systématique après chimiothérapie par méthotrexate à doses cytotoxiques (≥ 500 mg/m²) pour prévenir la toxicité médullaire et muqueuse du méthotrexate (leucémies aiguës lymphoblastiques de l'enfant, lymphomes, ostéosarcome, tumeurs cérébrales, choriocarcinome) ; (ii) </w:t>
      </w:r>
      <w:r>
        <w:rPr>
          <w:b/>
        </w:rPr>
        <w:t>antidote du méthotrexate en cas de surdosage</w:t>
      </w:r>
      <w:r>
        <w:t xml:space="preserve"> ou d'insuffisance d'élimination (insuffisance rénale aiguë, troisième espace — épanchements pleuraux, ascite, syndrome de lyse tumorale) ; (iii) </w:t>
      </w:r>
      <w:r>
        <w:rPr>
          <w:b/>
        </w:rPr>
        <w:t>potentialisation du 5-fluorouracile (5-FU)</w:t>
      </w:r>
      <w:r>
        <w:t xml:space="preserve"> dans les protocoles FOLFOX (cancer colorectal métastatique), FOLFIRI (cancer colorectal métastatique en deuxième ligne), FOLFIRINOX (cancer du pancréas métastatique), protocoles de Mayo Clinic (cancer du sein, colorectal, gastrique, ORL) — le folinate stabilise le complexe ternaire 5-FU-dUMP-thymidylate synthase, augmentant ainsi l'inhibition de la synthèse de l'ADN tumorale ; (iv) </w:t>
      </w:r>
      <w:r>
        <w:rPr>
          <w:b/>
        </w:rPr>
        <w:t>toxoplasmose cérébrale au cours du SIDA</w:t>
      </w:r>
      <w:r>
        <w:t xml:space="preserve"> — association pyriméthamine + sulfadiazine + acide folinique (ce dernier protège la moelle osseuse de l'effet antifolate de la pyriméthamine sans réduire l'efficacité sur le toxoplasme, qui ne peut pas utiliser le folate exogène) ; (v) </w:t>
      </w:r>
      <w:r>
        <w:rPr>
          <w:b/>
        </w:rPr>
        <w:t>pneumocystose à Pneumocystis jirovecii</w:t>
      </w:r>
      <w:r>
        <w:t xml:space="preserve"> — association triméthoprime + sulfaméthoxazole (cotrimoxazole) ± acide folinique en prophylaxie secondaire ; (vi) </w:t>
      </w:r>
      <w:r>
        <w:rPr>
          <w:b/>
        </w:rPr>
        <w:t>carence en folates</w:t>
      </w:r>
      <w:r>
        <w:t xml:space="preserve"> en cas d'impossibilité d'utilisation de l'acide folique (rare) ; (vii) </w:t>
      </w:r>
      <w:r>
        <w:rPr>
          <w:b/>
        </w:rPr>
        <w:t>intoxication accidentelle par triméthoprime ou pyriméthamine</w:t>
      </w:r>
      <w:r>
        <w:t xml:space="preserve"> (effet antidote). L'acide folinique n'est </w:t>
      </w:r>
      <w:r>
        <w:rPr>
          <w:b/>
        </w:rPr>
        <w:t>jamais indiqué en supplémentation nutritionnelle</w:t>
      </w:r>
      <w:r>
        <w:t xml:space="preserve"> ni en préconceptionnel (l'acide folique est préférable en raison de son coût moindre et de son efficacité équivalente).</w:t>
      </w:r>
    </w:p>
    <w:p>
      <w:pPr>
        <w:pStyle w:val="Heading4"/>
      </w:pPr>
      <w:r>
        <w:t>2. Spécialités pharmaceutiques commercialisées en Algérie</w:t>
      </w:r>
    </w:p>
    <w:p>
      <w:r>
        <w:t>Le tableau ci-dessous présente l'ensemble des spécialités de folinate de calcium (acide folinique) recensées dans la nomenclature algérienne (Avril 2026), classées par statut réglementaire.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RAZIFOLINE</w:t>
            </w:r>
          </w:p>
        </w:tc>
        <w:tc>
          <w:tcPr>
            <w:tcW w:type="dxa" w:w="1559"/>
          </w:tcPr>
          <w:p>
            <w:r>
              <w:rPr>
                <w:sz w:val="20"/>
              </w:rPr>
              <w:t>FRATER-RAZES FORME SECHE</w:t>
            </w:r>
          </w:p>
        </w:tc>
        <w:tc>
          <w:tcPr>
            <w:tcW w:type="dxa" w:w="1559"/>
          </w:tcPr>
          <w:p>
            <w:r>
              <w:rPr>
                <w:sz w:val="20"/>
              </w:rPr>
              <w:t>Solution injectable IV/IM/perfusion, 10 mg/mL</w:t>
            </w:r>
          </w:p>
        </w:tc>
        <w:tc>
          <w:tcPr>
            <w:tcW w:type="dxa" w:w="1559"/>
          </w:tcPr>
          <w:p>
            <w:r>
              <w:rPr>
                <w:sz w:val="20"/>
              </w:rPr>
              <w:t>B/5 amp. 5 mL (50 mg/5mL) et B/5 amp. 10 mL (100 mg/10mL)</w:t>
            </w:r>
          </w:p>
        </w:tc>
        <w:tc>
          <w:tcPr>
            <w:tcW w:type="dxa" w:w="1559"/>
          </w:tcPr>
          <w:p>
            <w:r>
              <w:rPr>
                <w:sz w:val="20"/>
              </w:rPr>
              <w:t>Hors liste</w:t>
            </w:r>
          </w:p>
        </w:tc>
        <w:tc>
          <w:tcPr>
            <w:tcW w:type="dxa" w:w="1559"/>
          </w:tcPr>
          <w:p>
            <w:r>
              <w:rPr>
                <w:sz w:val="20"/>
              </w:rPr>
              <w:t>ACTIF</w:t>
            </w:r>
          </w:p>
        </w:tc>
      </w:tr>
      <w:tr>
        <w:tc>
          <w:tcPr>
            <w:tcW w:type="dxa" w:w="1559"/>
          </w:tcPr>
          <w:p>
            <w:r>
              <w:rPr>
                <w:sz w:val="20"/>
              </w:rPr>
              <w:t>LEDERFOLINE</w:t>
            </w:r>
          </w:p>
        </w:tc>
        <w:tc>
          <w:tcPr>
            <w:tcW w:type="dxa" w:w="1559"/>
          </w:tcPr>
          <w:p>
            <w:r>
              <w:rPr>
                <w:sz w:val="20"/>
              </w:rPr>
              <w:t>WYETH LEDERLE</w:t>
            </w:r>
          </w:p>
        </w:tc>
        <w:tc>
          <w:tcPr>
            <w:tcW w:type="dxa" w:w="1559"/>
          </w:tcPr>
          <w:p>
            <w:r>
              <w:rPr>
                <w:sz w:val="20"/>
              </w:rPr>
              <w:t>Solution injectable, 5 mg/2 mL</w:t>
            </w:r>
          </w:p>
        </w:tc>
        <w:tc>
          <w:tcPr>
            <w:tcW w:type="dxa" w:w="1559"/>
          </w:tcPr>
          <w:p>
            <w:r>
              <w:rPr>
                <w:sz w:val="20"/>
              </w:rPr>
              <w:t>B/1</w:t>
            </w:r>
          </w:p>
        </w:tc>
        <w:tc>
          <w:tcPr>
            <w:tcW w:type="dxa" w:w="1559"/>
          </w:tcPr>
          <w:p>
            <w:r>
              <w:rPr>
                <w:sz w:val="20"/>
              </w:rPr>
              <w:t>Hors liste</w:t>
            </w:r>
          </w:p>
        </w:tc>
        <w:tc>
          <w:tcPr>
            <w:tcW w:type="dxa" w:w="1559"/>
          </w:tcPr>
          <w:p>
            <w:r>
              <w:rPr>
                <w:sz w:val="20"/>
              </w:rPr>
              <w:t>NON_RENOUVELABLE</w:t>
            </w:r>
          </w:p>
        </w:tc>
      </w:tr>
      <w:tr>
        <w:tc>
          <w:tcPr>
            <w:tcW w:type="dxa" w:w="1559"/>
          </w:tcPr>
          <w:p>
            <w:r>
              <w:rPr>
                <w:sz w:val="20"/>
              </w:rPr>
              <w:t>LEDERFOLINE</w:t>
            </w:r>
          </w:p>
        </w:tc>
        <w:tc>
          <w:tcPr>
            <w:tcW w:type="dxa" w:w="1559"/>
          </w:tcPr>
          <w:p>
            <w:r>
              <w:rPr>
                <w:sz w:val="20"/>
              </w:rPr>
              <w:t>WYETH LEDERLE</w:t>
            </w:r>
          </w:p>
        </w:tc>
        <w:tc>
          <w:tcPr>
            <w:tcW w:type="dxa" w:w="1559"/>
          </w:tcPr>
          <w:p>
            <w:r>
              <w:rPr>
                <w:sz w:val="20"/>
              </w:rPr>
              <w:t>Poudre pour solution injectable, 50 mg/5 mL</w:t>
            </w:r>
          </w:p>
        </w:tc>
        <w:tc>
          <w:tcPr>
            <w:tcW w:type="dxa" w:w="1559"/>
          </w:tcPr>
          <w:p>
            <w:r>
              <w:rPr>
                <w:sz w:val="20"/>
              </w:rPr>
              <w:t>B/1</w:t>
            </w:r>
          </w:p>
        </w:tc>
        <w:tc>
          <w:tcPr>
            <w:tcW w:type="dxa" w:w="1559"/>
          </w:tcPr>
          <w:p>
            <w:r>
              <w:rPr>
                <w:sz w:val="20"/>
              </w:rPr>
              <w:t>Hors liste</w:t>
            </w:r>
          </w:p>
        </w:tc>
        <w:tc>
          <w:tcPr>
            <w:tcW w:type="dxa" w:w="1559"/>
          </w:tcPr>
          <w:p>
            <w:r>
              <w:rPr>
                <w:sz w:val="20"/>
              </w:rPr>
              <w:t>NON_RENOUVELABLE</w:t>
            </w:r>
          </w:p>
        </w:tc>
      </w:tr>
      <w:tr>
        <w:tc>
          <w:tcPr>
            <w:tcW w:type="dxa" w:w="1559"/>
          </w:tcPr>
          <w:p>
            <w:r>
              <w:rPr>
                <w:sz w:val="20"/>
              </w:rPr>
              <w:t>CALCIUM FOLINAT EBEWE</w:t>
            </w:r>
          </w:p>
        </w:tc>
        <w:tc>
          <w:tcPr>
            <w:tcW w:type="dxa" w:w="1559"/>
          </w:tcPr>
          <w:p>
            <w:r>
              <w:rPr>
                <w:sz w:val="20"/>
              </w:rPr>
              <w:t>EBEWE PHARMA</w:t>
            </w:r>
          </w:p>
        </w:tc>
        <w:tc>
          <w:tcPr>
            <w:tcW w:type="dxa" w:w="1559"/>
          </w:tcPr>
          <w:p>
            <w:r>
              <w:rPr>
                <w:sz w:val="20"/>
              </w:rPr>
              <w:t>Solution injectable IM/IV, 10 mg/mL (50 mg/5 mL)</w:t>
            </w:r>
          </w:p>
        </w:tc>
        <w:tc>
          <w:tcPr>
            <w:tcW w:type="dxa" w:w="1559"/>
          </w:tcPr>
          <w:p>
            <w:r>
              <w:rPr>
                <w:sz w:val="20"/>
              </w:rPr>
              <w:t>B/5 amp. 5 mL</w:t>
            </w:r>
          </w:p>
        </w:tc>
        <w:tc>
          <w:tcPr>
            <w:tcW w:type="dxa" w:w="1559"/>
          </w:tcPr>
          <w:p>
            <w:r>
              <w:rPr>
                <w:sz w:val="20"/>
              </w:rPr>
              <w:t>Hors liste</w:t>
            </w:r>
          </w:p>
        </w:tc>
        <w:tc>
          <w:tcPr>
            <w:tcW w:type="dxa" w:w="1559"/>
          </w:tcPr>
          <w:p>
            <w:r>
              <w:rPr>
                <w:sz w:val="20"/>
              </w:rPr>
              <w:t>RETRAIT</w:t>
            </w:r>
          </w:p>
        </w:tc>
      </w:tr>
      <w:tr>
        <w:tc>
          <w:tcPr>
            <w:tcW w:type="dxa" w:w="1559"/>
          </w:tcPr>
          <w:p>
            <w:r>
              <w:rPr>
                <w:sz w:val="20"/>
              </w:rPr>
              <w:t>CALCIUM FOLINAT EBEWE</w:t>
            </w:r>
          </w:p>
        </w:tc>
        <w:tc>
          <w:tcPr>
            <w:tcW w:type="dxa" w:w="1559"/>
          </w:tcPr>
          <w:p>
            <w:r>
              <w:rPr>
                <w:sz w:val="20"/>
              </w:rPr>
              <w:t>EBEWE PHARMA</w:t>
            </w:r>
          </w:p>
        </w:tc>
        <w:tc>
          <w:tcPr>
            <w:tcW w:type="dxa" w:w="1559"/>
          </w:tcPr>
          <w:p>
            <w:r>
              <w:rPr>
                <w:sz w:val="20"/>
              </w:rPr>
              <w:t>Gélule, 15 mg</w:t>
            </w:r>
          </w:p>
        </w:tc>
        <w:tc>
          <w:tcPr>
            <w:tcW w:type="dxa" w:w="1559"/>
          </w:tcPr>
          <w:p>
            <w:r>
              <w:rPr>
                <w:sz w:val="20"/>
              </w:rPr>
              <w:t>B/20</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(1 seule spécialité) sont limitées à </w:t>
      </w:r>
      <w:r>
        <w:rPr>
          <w:b/>
        </w:rPr>
        <w:t>RAZIFOLINE</w:t>
      </w:r>
      <w:r>
        <w:t xml:space="preserve"> (Frater-Razes Forme Sèche, solution injectable IV/IM/perfusion, 10 mg/mL, disponible en boîtes de 5 ampoules de 5 mL = 50 mg et 5 ampoules de 10 mL = 100 mg). Cette spécialité constitue la pierre angulaire des protocoles de chimiothérapie et du rescue après méthotrexate en Algérie. Les spécialités historiques </w:t>
      </w:r>
      <w:r>
        <w:rPr>
          <w:b/>
        </w:rPr>
        <w:t>LEDERFOLINE</w:t>
      </w:r>
      <w:r>
        <w:t xml:space="preserve"> (Wyeth-Lederle, solution injectable 5 mg/2 mL et poudre pour solution injectable 50 mg/5 mL) sont </w:t>
      </w:r>
      <w:r>
        <w:rPr>
          <w:b/>
        </w:rPr>
        <w:t>NON_RENOUVELABLES</w:t>
      </w:r>
      <w:r>
        <w:t xml:space="preserve">, et les spécialités </w:t>
      </w:r>
      <w:r>
        <w:rPr>
          <w:b/>
        </w:rPr>
        <w:t>CALCIUM FOLINAT EBEWE</w:t>
      </w:r>
      <w:r>
        <w:t xml:space="preserve"> (solution injectable et gélules) sont </w:t>
      </w:r>
      <w:r>
        <w:rPr>
          <w:b/>
        </w:rPr>
        <w:t>RETRAITÉES</w:t>
      </w:r>
      <w:r>
        <w:t xml:space="preserve"> du marché algérien. Cette particularité impose aux services d'oncologie et d'hématologie algériens de disposer de RAZIFOLINE en quantité suffisante pour la réalisation des protocoles de chimiothérapie et pour le rescue après méthotrexate à haute dose. L'approvisionnement régulier en RAZIFOLINE est un enjeu de santé publique en Algérie, en raison de l'absence d'alternative active disponible.</w:t>
      </w:r>
    </w:p>
    <w:p>
      <w:pPr>
        <w:pStyle w:val="Heading4"/>
      </w:pPr>
      <w:r>
        <w:t>3. Mécanisme d'action moléculaire détaillé</w:t>
      </w:r>
    </w:p>
    <w:p>
      <w:r>
        <w:t xml:space="preserve">L'acide folinique (5-formyl-THF, leucovorine) est un dérivé de la vitamine B9 directement actif, sans nécessité de réduction par la dihydrofolate réductase (DHFR). Il est converti intracellulairement en </w:t>
      </w:r>
      <w:r>
        <w:rPr>
          <w:b/>
        </w:rPr>
        <w:t>5,10-méthylène-THF</w:t>
      </w:r>
      <w:r>
        <w:t xml:space="preserve"> par la série d'enzymes suivantes : (1) 5-formyl-THF cycloligase → 5,10-méthényl-THF ; (2) 5,10-méthényl-THF cyclohydrolase → 5,10-méthylène-THF. Le 5,10-méthylène-THF est le cofacteur de la </w:t>
      </w:r>
      <w:r>
        <w:rPr>
          <w:b/>
        </w:rPr>
        <w:t>thymidylate synthase</w:t>
      </w:r>
      <w:r>
        <w:t xml:space="preserve"> (conversion du dUMP en dTMP, essentielle à la synthèse de l'ADN). Le mécanisme d'action de l'acide folinique diffère selon le contexte thérapeutique :</w:t>
      </w:r>
    </w:p>
    <w:p>
      <w:pPr>
        <w:pStyle w:val="ListNumber"/>
      </w:pPr>
      <w:r/>
      <w:r>
        <w:rPr>
          <w:b/>
        </w:rPr>
        <w:t>Rescue après méthotrexate (MTX)</w:t>
      </w:r>
      <w:r>
        <w:t xml:space="preserve"> : le MTX inhibe compétitivement et puissamment la </w:t>
      </w:r>
      <w:r>
        <w:rPr>
          <w:b/>
        </w:rPr>
        <w:t>dihydrofolate réductase (DHFR)</w:t>
      </w:r>
      <w:r>
        <w:t>, ce qui bloque la conversion du dihydrofolate (DHF) en tétrahydrofolate (THF). Sans THF, la synthèse de l'ADN est compromise (anémie mégaloblastique, leucopénie, thrombopénie, mucite). L'acide folinique, déjà sous forme THF substituée, court-circuite le blocage de la DHFR et permet la régénération des pools intracellulaires de 5,10-méthylène-THF, 10-formyl-THF et 5-méthyl-THF. La reprise de la synthèse de l'ADN (cellules saines de la moelle osseuse et des muqueuses) est ainsi restaurée. Les cellules tumorales sont également sensibles au rescue, mais le timing et la dose du folinique sont calculés pour minimiser cet effet (rescue débuté 24 à 36 heures après le MTX, dose adaptée à la méthotrexatémie résiduelle).</w:t>
      </w:r>
    </w:p>
    <w:p>
      <w:pPr>
        <w:pStyle w:val="ListNumber"/>
      </w:pPr>
      <w:r/>
      <w:r>
        <w:rPr>
          <w:b/>
        </w:rPr>
        <w:t>Potentialisation du 5-FU</w:t>
      </w:r>
      <w:r>
        <w:t xml:space="preserve"> : le 5-FU est converti intracellulairement en 5-fluoro-dUMP (5-FdUMP), qui forme un </w:t>
      </w:r>
      <w:r>
        <w:rPr>
          <w:b/>
        </w:rPr>
        <w:t>complexe ternaire covalent</w:t>
      </w:r>
      <w:r>
        <w:t xml:space="preserve"> avec la thymidylate synthase et le 5,10-méthylène-THF. Ce complexe ternaire inhibe irréversiblement la thymidylate synthase, bloquant la synthèse de l'ADN tumoral. La stabilité du complexe ternaire dépend de la concentration intracellulaire en 5,10-méthylène-THF : l'apport exogène d'acide folinique augmente cette concentration et potentialise l'effet du 5-FU d'un facteur 10 à 100. C'est le principe des protocoles FOLFOX (5-FU + folinique + oxaliplatine), FOLFIRI (5-FU + folinique + irinotécan), FOLFIRINOX (5-FU + folinique + irinotécan + oxaliplatine), et du protocole de Mayo Clinic (5-FU + folinique à forte dose).</w:t>
      </w:r>
    </w:p>
    <w:p>
      <w:r>
        <w:t xml:space="preserve">Le folinate n'est pas un antidote direct du MTX (il ne déplace pas le MTX de la DHFR, qui a une affinité 1000 fois supérieure à celle du DHF), mais il restaure les pools de THF en bypassant la DHFR. La dose et le timing du folinique sont calculés en fonction de la </w:t>
      </w:r>
      <w:r>
        <w:rPr>
          <w:b/>
        </w:rPr>
        <w:t>méthotrexatémie résiduelle</w:t>
      </w:r>
      <w:r>
        <w:t xml:space="preserve"> (concentration plasmatique de MTX à H24, H48, H72 après la perfusion) selon des nomogrammes standardisés (Stoller nomogram, Bleyer nomogram).</w:t>
      </w:r>
    </w:p>
    <w:p>
      <w:pPr>
        <w:pStyle w:val="Heading4"/>
      </w:pPr>
      <w:r>
        <w:t>4. Pharmacocinétique</w:t>
      </w:r>
    </w:p>
    <w:p>
      <w:r/>
      <w:r>
        <w:rPr>
          <w:b/>
        </w:rPr>
        <w:t>Absorption</w:t>
      </w:r>
      <w:r>
        <w:t xml:space="preserve"> : par voie IV (principale voie d'administration), biodisponibilité 100 %. Par voie IM, biodisponibilité 80 %. Par voie orale (gélules EBEWE — retirées), biodisponibilité 60 à 90 %. L'acide folinique est absorbé par les mêmes transporteurs que l'acide folique (PCFT, RFC).</w:t>
      </w:r>
    </w:p>
    <w:p>
      <w:r/>
      <w:r>
        <w:rPr>
          <w:b/>
        </w:rPr>
        <w:t>Distribution</w:t>
      </w:r>
      <w:r>
        <w:t xml:space="preserve"> : distribution rapide dans tous les tissus, principalement sous forme de 5-méthyl-THF (métabolisation hépatique). La demi-vie plasmatique est courte (30 à 60 minutes pour l'acide folinique inchangé), mais la demi-vie de ses métabolites (5-méthyl-THF) est plus longue (200 minutes). Le folinate traverse le placenta par transporteur actif et passe dans le lait maternel (en théorie, à éviter pendant l'allaitement en oncologie).</w:t>
      </w:r>
    </w:p>
    <w:p>
      <w:r/>
      <w:r>
        <w:rPr>
          <w:b/>
        </w:rPr>
        <w:t>Métabolisme</w:t>
      </w:r>
      <w:r>
        <w:t xml:space="preserve"> : l'acide folinique est converti en 5,10-méthényl-THF puis en 5,10-méthylène-THF (forme active) et en 5-méthyl-THF (forme circulante). Le catabolisme hépatique produit des métabolites pteroïdes.</w:t>
      </w:r>
    </w:p>
    <w:p>
      <w:r/>
      <w:r>
        <w:rPr>
          <w:b/>
        </w:rPr>
        <w:t>Élimination</w:t>
      </w:r>
      <w:r>
        <w:t xml:space="preserve"> : principalement urinaire (≥ 70 %), sous forme de métabolites. En cas d'insuffisance rénale, le folinique s'accumule (peu de toxicité propre, mais peut réduire l'efficacité du MTX si administration trop précoce ou trop prolongée).</w:t>
      </w:r>
    </w:p>
    <w:p>
      <w:pPr>
        <w:pStyle w:val="Heading4"/>
      </w:pPr>
      <w:r>
        <w:t>5. Effets indésirables et prévention</w:t>
      </w:r>
    </w:p>
    <w:p>
      <w:r/>
      <w:r>
        <w:rPr>
          <w:b/>
        </w:rPr>
        <w:t>Effets indésirables aux doses thérapeutiques</w:t>
      </w:r>
      <w:r>
        <w:t xml:space="preserve"> :</w:t>
      </w:r>
    </w:p>
    <w:p>
      <w:pPr>
        <w:pStyle w:val="ListBullet"/>
      </w:pPr>
      <w:r/>
      <w:r>
        <w:rPr>
          <w:b/>
        </w:rPr>
        <w:t>Allergiques</w:t>
      </w:r>
      <w:r>
        <w:t xml:space="preserve"> : réactions cutanées (éruption, prurit, urticaire), rarement choc anaphylactique. Prévention : interrogatoire allergologique préalable, disponibilité d'un kit de réanimation.</w:t>
      </w:r>
    </w:p>
    <w:p>
      <w:pPr>
        <w:pStyle w:val="ListBullet"/>
      </w:pPr>
      <w:r/>
      <w:r>
        <w:rPr>
          <w:b/>
        </w:rPr>
        <w:t>Digestifs</w:t>
      </w:r>
      <w:r>
        <w:t xml:space="preserve"> : nausées, vomissements, diarrhée (rares et bénins aux doses de rescue).</w:t>
      </w:r>
    </w:p>
    <w:p>
      <w:pPr>
        <w:pStyle w:val="ListBullet"/>
      </w:pPr>
      <w:r/>
      <w:r>
        <w:rPr>
          <w:b/>
        </w:rPr>
        <w:t>Neurologiques</w:t>
      </w:r>
      <w:r>
        <w:t xml:space="preserve"> : à doses élevées (≥ 500 mg/m²), confusion, convulsions (rares).</w:t>
      </w:r>
    </w:p>
    <w:p>
      <w:pPr>
        <w:pStyle w:val="ListBullet"/>
      </w:pPr>
      <w:r/>
      <w:r>
        <w:rPr>
          <w:b/>
        </w:rPr>
        <w:t>Hypercalcémie</w:t>
      </w:r>
      <w:r>
        <w:t xml:space="preserve"> (le folinate est un sel de calcium — à doses très élevées en perfusion rapide, risque d'hypercalcémie et d'arythmies). Prévention : perfusion lente (≥ 30 minutes pour 100 mg), surveillance ECG.</w:t>
      </w:r>
    </w:p>
    <w:p>
      <w:r/>
      <w:r>
        <w:rPr>
          <w:b/>
        </w:rPr>
        <w:t>Effets indésirables spécifiques au rescue MTX</w:t>
      </w:r>
      <w:r>
        <w:t xml:space="preserve"> :</w:t>
      </w:r>
    </w:p>
    <w:p>
      <w:pPr>
        <w:pStyle w:val="ListBullet"/>
      </w:pPr>
      <w:r/>
      <w:r>
        <w:rPr>
          <w:b/>
        </w:rPr>
        <w:t>Réduction de l'efficacité du MTX</w:t>
      </w:r>
      <w:r>
        <w:t xml:space="preserve"> : si le folinique est administré trop tôt (avant H24) ou trop longtemps (&gt; 72 heures), il peut réduire l'efficacité antitumorale du MTX. Respect strict des nomogrammes (Stoller, Bleyer).</w:t>
      </w:r>
    </w:p>
    <w:p>
      <w:pPr>
        <w:pStyle w:val="ListBullet"/>
      </w:pPr>
      <w:r/>
      <w:r>
        <w:rPr>
          <w:b/>
        </w:rPr>
        <w:t>Syndrome de lyse tumorale</w:t>
      </w:r>
      <w:r>
        <w:t xml:space="preserve"> : le rescue permet la reprise de la prolifération cellulaire tumorale résiduelle (données limitées).</w:t>
      </w:r>
    </w:p>
    <w:p>
      <w:r/>
      <w:r>
        <w:rPr>
          <w:b/>
        </w:rPr>
        <w:t>Effets indésirables spécifiques à la potentialisation du 5-FU</w:t>
      </w:r>
      <w:r>
        <w:t xml:space="preserve"> :</w:t>
      </w:r>
    </w:p>
    <w:p>
      <w:pPr>
        <w:pStyle w:val="ListBullet"/>
      </w:pPr>
      <w:r/>
      <w:r>
        <w:rPr>
          <w:b/>
        </w:rPr>
        <w:t>Toxicité accrue du 5-FU</w:t>
      </w:r>
      <w:r>
        <w:t xml:space="preserve"> : mucite sévère, diarrhée profuse, myélodépression. Réduction de la dose de 5-FU si toxicité grade 3-4.</w:t>
      </w:r>
    </w:p>
    <w:p>
      <w:pPr>
        <w:pStyle w:val="ListBullet"/>
      </w:pPr>
      <w:r/>
      <w:r>
        <w:rPr>
          <w:b/>
        </w:rPr>
        <w:t>Syndrome main-pied</w:t>
      </w:r>
      <w:r>
        <w:t xml:space="preserve"> (érythrodysesthésie palmo-plantaire) — toxicité cutanée du 5-FU.</w:t>
      </w:r>
    </w:p>
    <w:p>
      <w:r/>
      <w:r>
        <w:rPr>
          <w:b/>
        </w:rPr>
        <w:t>Prévention générale des effets indésirables</w:t>
      </w:r>
      <w:r>
        <w:t xml:space="preserve"> :</w:t>
      </w:r>
    </w:p>
    <w:p>
      <w:pPr>
        <w:pStyle w:val="ListNumber"/>
      </w:pPr>
      <w:r>
        <w:t>Respect strict des nomogrammes de rescue (Stoller, Bleyer) basés sur la méthotrexatémie résiduelle.</w:t>
      </w:r>
    </w:p>
    <w:p>
      <w:pPr>
        <w:pStyle w:val="ListNumber"/>
      </w:pPr>
      <w:r>
        <w:t>Surveillance biologique : NFS-plaquettes toutes les 48 heures pendant le rescue, méthotrexatémie à H24, H48, H72.</w:t>
      </w:r>
    </w:p>
    <w:p>
      <w:pPr>
        <w:pStyle w:val="ListNumber"/>
      </w:pPr>
      <w:r>
        <w:t>Hydratation alcaline (urines pH ≥ 7) pendant le MTX et le rescue pour favoriser l'élimination du MTX.</w:t>
      </w:r>
    </w:p>
    <w:p>
      <w:pPr>
        <w:pStyle w:val="ListNumber"/>
      </w:pPr>
      <w:r>
        <w:t>Disponibilité d'un kit de réanimation en cas de réaction allergique.</w:t>
      </w:r>
    </w:p>
    <w:p>
      <w:pPr>
        <w:pStyle w:val="Heading4"/>
      </w:pPr>
      <w:r>
        <w:t>6. Interactions médicamenteuses</w:t>
      </w:r>
    </w:p>
    <w:p>
      <w:pPr>
        <w:pStyle w:val="ListBullet"/>
      </w:pPr>
      <w:r/>
      <w:r>
        <w:rPr>
          <w:b/>
        </w:rPr>
        <w:t>Méthotrexate (MTX)</w:t>
      </w:r>
      <w:r>
        <w:t xml:space="preserve"> : interaction pharmacodynamique centrale. Le folinique est l'antidote du MTX. Respect strict des doses et du timing selon les nomogrammes. Une dose excessive de folinique réduit l'efficacité antitumorale du MTX.</w:t>
      </w:r>
    </w:p>
    <w:p>
      <w:pPr>
        <w:pStyle w:val="ListBullet"/>
      </w:pPr>
      <w:r/>
      <w:r>
        <w:rPr>
          <w:b/>
        </w:rPr>
        <w:t>5-Fluorouracile (5-FU)</w:t>
      </w:r>
      <w:r>
        <w:t xml:space="preserve"> : potentialisation de l'effet antitumoral. Le folinique augmente la formation du complexe ternaire 5-FdUMP-thymidylate synthase-5,10-méthylène-THF. Réduction possible de la dose de 5-FU si toxicité.</w:t>
      </w:r>
    </w:p>
    <w:p>
      <w:pPr>
        <w:pStyle w:val="ListBullet"/>
      </w:pPr>
      <w:r/>
      <w:r>
        <w:rPr>
          <w:b/>
        </w:rPr>
        <w:t>Cotrimoxazole (triméthoprime + sulfaméthoxazole)</w:t>
      </w:r>
      <w:r>
        <w:t xml:space="preserve"> : interaction pharmacodynamique — risque d'anémie mégaloblastique additive. Espacer ou surveiller la NFS.</w:t>
      </w:r>
    </w:p>
    <w:p>
      <w:pPr>
        <w:pStyle w:val="ListBullet"/>
      </w:pPr>
      <w:r/>
      <w:r>
        <w:rPr>
          <w:b/>
        </w:rPr>
        <w:t>Pyriméthamine</w:t>
      </w:r>
      <w:r>
        <w:t xml:space="preserve"> : interaction pharmacodynamique — le folinique protège la moelle osseuse sans réduire l'efficacité sur le parasite.</w:t>
      </w:r>
    </w:p>
    <w:p>
      <w:pPr>
        <w:pStyle w:val="ListBullet"/>
      </w:pPr>
      <w:r/>
      <w:r>
        <w:rPr>
          <w:b/>
        </w:rPr>
        <w:t>Phénytoïne</w:t>
      </w:r>
      <w:r>
        <w:t xml:space="preserve"> : le folinique peut réduire les concentrations plasmatiques de phénytoïne (induction enzymatique hépatique).</w:t>
      </w:r>
    </w:p>
    <w:p>
      <w:pPr>
        <w:pStyle w:val="ListBullet"/>
      </w:pPr>
      <w:r/>
      <w:r>
        <w:rPr>
          <w:b/>
        </w:rPr>
        <w:t>Acide folique</w:t>
      </w:r>
      <w:r>
        <w:t xml:space="preserve"> : ne pas associer (redondance, augmentation de la dose totale de folates).</w:t>
      </w:r>
    </w:p>
    <w:p>
      <w:pPr>
        <w:pStyle w:val="ListBullet"/>
      </w:pPr>
      <w:r/>
      <w:r>
        <w:rPr>
          <w:b/>
        </w:rPr>
        <w:t>Sulfasalazine</w:t>
      </w:r>
      <w:r>
        <w:t xml:space="preserve"> : pas d'interaction notable (le folinique contourne le blocage de l'absorption des folates par la sulfasalazine).</w:t>
      </w:r>
    </w:p>
    <w:p>
      <w:pPr>
        <w:pStyle w:val="Heading4"/>
      </w:pPr>
      <w:r>
        <w:t>7. Contre-indications et précautions d'emploi</w:t>
      </w:r>
    </w:p>
    <w:p>
      <w:r/>
      <w:r>
        <w:rPr>
          <w:b/>
        </w:rPr>
        <w:t>Contre-indications</w:t>
      </w:r>
      <w:r>
        <w:t xml:space="preserve"> :</w:t>
      </w:r>
    </w:p>
    <w:p>
      <w:pPr>
        <w:pStyle w:val="ListBullet"/>
      </w:pPr>
      <w:r>
        <w:t>Hypersensibilité à l'acide folinique ou à l'un des excipients.</w:t>
      </w:r>
    </w:p>
    <w:p>
      <w:pPr>
        <w:pStyle w:val="ListBullet"/>
      </w:pPr>
      <w:r>
        <w:t>Pernicieuse (anémie de Biermer non traitée par B12) — risque de progression de la neuropathie carentielle (même mécanisme qu'avec l'acide folique).</w:t>
      </w:r>
    </w:p>
    <w:p>
      <w:pPr>
        <w:pStyle w:val="ListBullet"/>
      </w:pPr>
      <w:r>
        <w:t>Cancer en cours de traitement par MTX sans protocole de rescue (réduction de l'efficacité).</w:t>
      </w:r>
    </w:p>
    <w:p>
      <w:pPr>
        <w:pStyle w:val="ListBullet"/>
      </w:pPr>
      <w:r>
        <w:t>Grossesse et allaitement en oncologie : à évaluer au cas par cas (le folinique est autorisé en cas de nécessité absolue, mais le MTX est tératogène).</w:t>
      </w:r>
    </w:p>
    <w:p>
      <w:r/>
      <w:r>
        <w:rPr>
          <w:b/>
        </w:rPr>
        <w:t>Précautions d'emploi</w:t>
      </w:r>
      <w:r>
        <w:t xml:space="preserve"> :</w:t>
      </w:r>
    </w:p>
    <w:p>
      <w:pPr>
        <w:pStyle w:val="ListBullet"/>
      </w:pPr>
      <w:r>
        <w:t>Insuffisance rénale : pas d'ajustement du folinique lui-même, mais adaptation du rescue en fonction de la méthotrexatémie résiduelle (qui est augmentée en cas d'insuffisance rénale).</w:t>
      </w:r>
    </w:p>
    <w:p>
      <w:pPr>
        <w:pStyle w:val="ListBullet"/>
      </w:pPr>
      <w:r>
        <w:t>Femme enceinte : sécurité d'emploi du folinique confirmée (catégorie CRAT : « Peut être utilisée pendant la grossesse si nécessité absolue »), mais le MTX est contre-indiqué pendant la grossesse ( tératogénicité).</w:t>
      </w:r>
    </w:p>
    <w:p>
      <w:pPr>
        <w:pStyle w:val="ListBullet"/>
      </w:pPr>
      <w:r>
        <w:t>Femme allaitante : en oncologie, l'allaitement est généralement contre-indiqué.</w:t>
      </w:r>
    </w:p>
    <w:p>
      <w:pPr>
        <w:pStyle w:val="ListBullet"/>
      </w:pPr>
      <w:r>
        <w:t>Sujet âgé : pas de précaution particulière, mais surveillance accrue de la fonction rénale (le MTX est néphrotoxique).</w:t>
      </w:r>
    </w:p>
    <w:p>
      <w:pPr>
        <w:pStyle w:val="ListBullet"/>
      </w:pPr>
      <w:r>
        <w:t>Enfant : doses adaptées à la surface corporelle (15 mg/m² toutes les 6 heures pendant 48 à 72 heures pour le rescue MTX dans la LAL de l'enfant).</w:t>
      </w:r>
    </w:p>
    <w:p>
      <w:pPr>
        <w:pStyle w:val="Heading4"/>
      </w:pPr>
      <w:r>
        <w:t>8. Grossesse et allaitement (données CRAT)</w:t>
      </w:r>
    </w:p>
    <w:p>
      <w:r/>
      <w:r>
        <w:rPr>
          <w:b/>
        </w:rPr>
        <w:t>Grossesse</w:t>
      </w:r>
      <w:r>
        <w:t xml:space="preserve"> : l'acide folinique est une forme active de la vitamine B9, essentielle au développement fœtal. Le folinique traverse le placenta par transporteur actif. Le CRAT conclut : « Le folinate de calcium peut être prescrit pendant la grossesse si nécessité absolue (toxoplasmose cérébrale, pyriméthamine). En oncologie, l'association MTX + folinique est contre-indiquée pendant la grossesse en raison de la tératogénicité du MTX. En cas de grossesse survenant sous MTX, arrêter immédiatement le MTX et supplémenter en folinique. »</w:t>
      </w:r>
    </w:p>
    <w:p>
      <w:r/>
      <w:r>
        <w:rPr>
          <w:b/>
        </w:rPr>
        <w:t>Allaitement</w:t>
      </w:r>
      <w:r>
        <w:t xml:space="preserve"> : le folinique passe dans le lait maternel (en théorie). En oncologie, l'allaitement est généralement contre-indiqué en raison de la chimiothérapie associée. Le CRAT conclut : « Le folinate de calcium est compatible avec l'allaitement en cas d'utilisation isolée (toxoplasmose cérébrale). En oncologie, l'allaitement est contre-indiqué. »</w:t>
      </w:r>
    </w:p>
    <w:p>
      <w:pPr>
        <w:pStyle w:val="Heading4"/>
      </w:pPr>
      <w:r>
        <w:t>9. Posologie et mode d'administration</w:t>
      </w:r>
    </w:p>
    <w:p>
      <w:r/>
      <w:r>
        <w:rPr>
          <w:b/>
        </w:rPr>
        <w:t>Posologie usuelle adulte — Rescue après MTX à haute dose</w:t>
      </w:r>
      <w:r>
        <w:t xml:space="preserve"> :</w:t>
      </w:r>
    </w:p>
    <w:p>
      <w:pPr>
        <w:pStyle w:val="ListBullet"/>
      </w:pPr>
      <w:r/>
      <w:r>
        <w:rPr>
          <w:b/>
        </w:rPr>
        <w:t>Dose initiale</w:t>
      </w:r>
      <w:r>
        <w:t xml:space="preserve"> : 15 mg/m² IV ou IM, toutes les 6 heures, à débuter à H24 à H36 après la fin de la perfusion de MTX.</w:t>
      </w:r>
    </w:p>
    <w:p>
      <w:pPr>
        <w:pStyle w:val="ListBullet"/>
      </w:pPr>
      <w:r/>
      <w:r>
        <w:rPr>
          <w:b/>
        </w:rPr>
        <w:t>Durée</w:t>
      </w:r>
      <w:r>
        <w:t xml:space="preserve"> : 48 à 72 heures (soit 8 à 12 doses au total).</w:t>
      </w:r>
    </w:p>
    <w:p>
      <w:pPr>
        <w:pStyle w:val="ListBullet"/>
      </w:pPr>
      <w:r/>
      <w:r>
        <w:rPr>
          <w:b/>
        </w:rPr>
        <w:t>Adaptation</w:t>
      </w:r>
      <w:r>
        <w:t xml:space="preserve"> : selon la méthotrexatémie résiduelle (nomogramme de Stoller) :</w:t>
      </w:r>
    </w:p>
    <w:p>
      <w:pPr>
        <w:pStyle w:val="ListBullet"/>
      </w:pPr>
      <w:r>
        <w:t>Si MTX sérique &lt; 0,1 µmol/L à H48 : arrêter le rescue.</w:t>
      </w:r>
    </w:p>
    <w:p>
      <w:pPr>
        <w:pStyle w:val="ListBullet"/>
      </w:pPr>
      <w:r>
        <w:t>Si MTX sérique ≥ 0,1 µmol/L à H48 : poursuivre le rescue à 15 mg/m²/6h jusqu'à MTX sérique &lt; 0,05 µmol/L.</w:t>
      </w:r>
    </w:p>
    <w:p>
      <w:pPr>
        <w:pStyle w:val="ListBullet"/>
      </w:pPr>
      <w:r>
        <w:t>Si MTX sérique ≥ 1 µmol/L à H48 : augmenter la dose à 50-100 mg/m²/6h jusqu'à MTX sérique &lt; 0,05 µmol/L.</w:t>
      </w:r>
    </w:p>
    <w:p>
      <w:pPr>
        <w:pStyle w:val="ListBullet"/>
      </w:pPr>
      <w:r/>
      <w:r>
        <w:rPr>
          <w:b/>
        </w:rPr>
        <w:t>Hydratation alcaline concomitante</w:t>
      </w:r>
      <w:r>
        <w:t xml:space="preserve"> : 3 L/m²/jour de sérum physiologique + bicarbonate de sodium (urines pH ≥ 7).</w:t>
      </w:r>
    </w:p>
    <w:p>
      <w:r/>
      <w:r>
        <w:rPr>
          <w:b/>
        </w:rPr>
        <w:t>Posologie usuelle adulte — Antidote MTX surdosage ou insuffisance d'élimination</w:t>
      </w:r>
      <w:r>
        <w:t xml:space="preserve"> :</w:t>
      </w:r>
    </w:p>
    <w:p>
      <w:pPr>
        <w:pStyle w:val="ListBullet"/>
      </w:pPr>
      <w:r/>
      <w:r>
        <w:rPr>
          <w:b/>
        </w:rPr>
        <w:t>Dose initiale</w:t>
      </w:r>
      <w:r>
        <w:t xml:space="preserve"> : 100 mg/m² IV toutes les 6 heures (ou dose équivalente à la dose de MTX administrée).</w:t>
      </w:r>
    </w:p>
    <w:p>
      <w:pPr>
        <w:pStyle w:val="ListBullet"/>
      </w:pPr>
      <w:r/>
      <w:r>
        <w:rPr>
          <w:b/>
        </w:rPr>
        <w:t>Adaptation</w:t>
      </w:r>
      <w:r>
        <w:t xml:space="preserve"> : selon la méthotrexatémie résiduelle, jusqu'à MTX sérique &lt; 0,05 µmol/L.</w:t>
      </w:r>
    </w:p>
    <w:p>
      <w:r/>
      <w:r>
        <w:rPr>
          <w:b/>
        </w:rPr>
        <w:t>Posologie usuelle adulte — Potentialisation du 5-FU</w:t>
      </w:r>
      <w:r>
        <w:t xml:space="preserve"> :</w:t>
      </w:r>
    </w:p>
    <w:p>
      <w:pPr>
        <w:pStyle w:val="ListBullet"/>
      </w:pPr>
      <w:r/>
      <w:r>
        <w:rPr>
          <w:b/>
        </w:rPr>
        <w:t>Protocole FOLFOX4</w:t>
      </w:r>
      <w:r>
        <w:t xml:space="preserve"> : acide folinique 200 mg/m² IV en perfusion de 2 heures, à J1 et J2, en association avec le 5-FU (400 mg/m² bolus IV + 600 mg/m² perfusion continue de 22 heures à J1 et J2) et l'oxaliplatine (85 mg/m² IV en perfusion de 2 heures à J1). Cycle tous les 14 jours.</w:t>
      </w:r>
    </w:p>
    <w:p>
      <w:pPr>
        <w:pStyle w:val="ListBullet"/>
      </w:pPr>
      <w:r/>
      <w:r>
        <w:rPr>
          <w:b/>
        </w:rPr>
        <w:t>Protocole FOLFIRI</w:t>
      </w:r>
      <w:r>
        <w:t xml:space="preserve"> : acide folinique 200 mg/m² IV en perfusion de 2 heures à J1 et J2, en association avec le 5-FU (400 mg/m² bolus + 600 mg/m² perfusion continue 22 heures à J1 et J2) et l'irinotécan (180 mg/m² IV en perfusion de 90 minutes à J1). Cycle tous les 14 jours.</w:t>
      </w:r>
    </w:p>
    <w:p>
      <w:pPr>
        <w:pStyle w:val="ListBullet"/>
      </w:pPr>
      <w:r/>
      <w:r>
        <w:rPr>
          <w:b/>
        </w:rPr>
        <w:t>Protocole FOLFIRINOX</w:t>
      </w:r>
      <w:r>
        <w:t xml:space="preserve"> : acide folinique 400 mg/m² IV en perfusion de 2 heures à J1, en association avec le 5-FU (400 mg/m² bolus à J1 + 2400 mg/m² perfusion continue de 46 heures), l'irinotécan (180 mg/m² IV en perfusion de 90 minutes à J1) et l'oxaliplatine (85 mg/m² IV en perfusion de 2 heures à J1). Cycle tous les 14 jours.</w:t>
      </w:r>
    </w:p>
    <w:p>
      <w:pPr>
        <w:pStyle w:val="ListBullet"/>
      </w:pPr>
      <w:r/>
      <w:r>
        <w:rPr>
          <w:b/>
        </w:rPr>
        <w:t>Protocole Mayo Clinic</w:t>
      </w:r>
      <w:r>
        <w:t xml:space="preserve"> : acide folinique 20 mg/m² IV en perfusion de 30 minutes à J1 à J5, en association avec le 5-FU (425 mg/m² IV bolus à J1 à J5). Cycle tous les 4 à 5 semaines.</w:t>
      </w:r>
    </w:p>
    <w:p>
      <w:r/>
      <w:r>
        <w:rPr>
          <w:b/>
        </w:rPr>
        <w:t>Posologie usuelle adulte — Toxoplasmose cérébrale (SIDA)</w:t>
      </w:r>
      <w:r>
        <w:t xml:space="preserve"> :</w:t>
      </w:r>
    </w:p>
    <w:p>
      <w:pPr>
        <w:pStyle w:val="ListBullet"/>
      </w:pPr>
      <w:r>
        <w:t>Acide folinique 10 à 25 mg/jour per os pendant toute la durée du traitement par pyriméthamine (généralement 6 semaines, puis entretien à vie).</w:t>
      </w:r>
    </w:p>
    <w:p>
      <w:pPr>
        <w:pStyle w:val="ListBullet"/>
      </w:pPr>
      <w:r>
        <w:t>La dose doit être suffisante pour prévenir la myélotoxicité de la pyriméthamine sans réduire l'efficacité sur le toxoplasme.</w:t>
      </w:r>
    </w:p>
    <w:p>
      <w:r/>
      <w:r>
        <w:rPr>
          <w:b/>
        </w:rPr>
        <w:t>Mode d'administration</w:t>
      </w:r>
      <w:r>
        <w:t xml:space="preserve"> :</w:t>
      </w:r>
    </w:p>
    <w:p>
      <w:pPr>
        <w:pStyle w:val="ListBullet"/>
      </w:pPr>
      <w:r/>
      <w:r>
        <w:rPr>
          <w:b/>
        </w:rPr>
        <w:t>Voie IV</w:t>
      </w:r>
      <w:r>
        <w:t xml:space="preserve"> : perfusion lente (≥ 30 minutes pour 100 mg) dans une veine périphérique de gros calibre, diluée dans 100 à 250 mL de sérum physiologique ou de glucosé 5 %. Ne pas mélanger avec d'autres médicaments dans la même poche (incompatibilités).</w:t>
      </w:r>
    </w:p>
    <w:p>
      <w:pPr>
        <w:pStyle w:val="ListBullet"/>
      </w:pPr>
      <w:r/>
      <w:r>
        <w:rPr>
          <w:b/>
        </w:rPr>
        <w:t>Voie IM</w:t>
      </w:r>
      <w:r>
        <w:t xml:space="preserve"> : injection profonde dans le muscle glutéal ou deltoïdien.</w:t>
      </w:r>
    </w:p>
    <w:p>
      <w:pPr>
        <w:pStyle w:val="ListBullet"/>
      </w:pPr>
      <w:r/>
      <w:r>
        <w:rPr>
          <w:b/>
        </w:rPr>
        <w:t>Voie orale</w:t>
      </w:r>
      <w:r>
        <w:t xml:space="preserve"> : gélules à avaler avec un verre d'eau (forme non disponible en spécialité active en Algérie).</w:t>
      </w:r>
    </w:p>
    <w:p>
      <w:pPr>
        <w:pStyle w:val="Heading4"/>
      </w:pPr>
      <w:r>
        <w:t>10. Formes galéniques disponibles</w:t>
      </w:r>
    </w:p>
    <w:p>
      <w:pPr>
        <w:pStyle w:val="ListBullet"/>
      </w:pPr>
      <w:r/>
      <w:r>
        <w:rPr>
          <w:b/>
        </w:rPr>
        <w:t>Solutions injectables à 10 mg/mL</w:t>
      </w:r>
      <w:r>
        <w:t xml:space="preserve"> (RAZIFOLINE — active) — 5 mL (50 mg) ou 10 mL (100 mg) par ampoule, 5 ampoules par boîte. Forme polyvalente IV, IM, perfusion.</w:t>
      </w:r>
    </w:p>
    <w:p>
      <w:pPr>
        <w:pStyle w:val="ListBullet"/>
      </w:pPr>
      <w:r/>
      <w:r>
        <w:rPr>
          <w:b/>
        </w:rPr>
        <w:t>Solutions injectables à 5 mg/2 mL</w:t>
      </w:r>
      <w:r>
        <w:t xml:space="preserve"> (LEDERFOLINE — non renouvelable).</w:t>
      </w:r>
    </w:p>
    <w:p>
      <w:pPr>
        <w:pStyle w:val="ListBullet"/>
      </w:pPr>
      <w:r/>
      <w:r>
        <w:rPr>
          <w:b/>
        </w:rPr>
        <w:t>Poudre pour solution injectable à 50 mg/5 mL</w:t>
      </w:r>
      <w:r>
        <w:t xml:space="preserve"> (LEDERFOLINE — non renouvelable).</w:t>
      </w:r>
    </w:p>
    <w:p>
      <w:pPr>
        <w:pStyle w:val="ListBullet"/>
      </w:pPr>
      <w:r/>
      <w:r>
        <w:rPr>
          <w:b/>
        </w:rPr>
        <w:t>Solutions injectables IM/IV à 10 mg/mL (50 mg/5 mL)</w:t>
      </w:r>
      <w:r>
        <w:t xml:space="preserve"> (CALCIUM FOLINAT EBEWE — retirée).</w:t>
      </w:r>
    </w:p>
    <w:p>
      <w:pPr>
        <w:pStyle w:val="ListBullet"/>
      </w:pPr>
      <w:r/>
      <w:r>
        <w:rPr>
          <w:b/>
        </w:rPr>
        <w:t>Gélules à 15 mg</w:t>
      </w:r>
      <w:r>
        <w:t xml:space="preserve"> (CALCIUM FOLINAT EBEWE — retirée).</w:t>
      </w:r>
    </w:p>
    <w:p>
      <w:pPr>
        <w:pStyle w:val="Heading4"/>
      </w:pPr>
      <w:r>
        <w:t>11. Conseils au patient au comptoir</w:t>
      </w:r>
    </w:p>
    <w:p>
      <w:pPr>
        <w:pStyle w:val="ListNumber"/>
      </w:pPr>
      <w:r/>
      <w:r>
        <w:rPr>
          <w:b/>
        </w:rPr>
        <w:t>Usage strictement hospitalier</w:t>
      </w:r>
      <w:r>
        <w:t xml:space="preserve"> : le folinate de calcium est un médicament d'exception, prescrit et administré uniquement en milieu hospitalier (oncologie, hématologie, infectiologie). Pas de conseil à l'officine en automédication.</w:t>
      </w:r>
    </w:p>
    <w:p>
      <w:pPr>
        <w:pStyle w:val="ListNumber"/>
      </w:pPr>
      <w:r/>
      <w:r>
        <w:rPr>
          <w:b/>
        </w:rPr>
        <w:t>Information du patient</w:t>
      </w:r>
      <w:r>
        <w:t xml:space="preserve"> : expliquer au patient le rôle du folinique comme « protecteur » de la moelle osseuse et des muqueuses après chimiothérapie par MTX, ou comme potentialisateur du 5-FU.</w:t>
      </w:r>
    </w:p>
    <w:p>
      <w:pPr>
        <w:pStyle w:val="ListNumber"/>
      </w:pPr>
      <w:r/>
      <w:r>
        <w:rPr>
          <w:b/>
        </w:rPr>
        <w:t>Surveillance biologique</w:t>
      </w:r>
      <w:r>
        <w:t xml:space="preserve"> : NFS-plaquettes, méthotrexatémie résiduelle (en cas de MTX), ionogramme, fonction rénale.</w:t>
      </w:r>
    </w:p>
    <w:p>
      <w:pPr>
        <w:pStyle w:val="ListNumber"/>
      </w:pPr>
      <w:r/>
      <w:r>
        <w:rPr>
          <w:b/>
        </w:rPr>
        <w:t>Hydratation alcaline</w:t>
      </w:r>
      <w:r>
        <w:t xml:space="preserve"> : en cas de rescue MTX, le patient doit boire abondamment (≥ 3 L/jour) pour favoriser l'élimination du MTX.</w:t>
      </w:r>
    </w:p>
    <w:p>
      <w:pPr>
        <w:pStyle w:val="ListNumber"/>
      </w:pPr>
      <w:r/>
      <w:r>
        <w:rPr>
          <w:b/>
        </w:rPr>
        <w:t>Signes d'alerte</w:t>
      </w:r>
      <w:r>
        <w:t xml:space="preserve"> : en cas de fièvre, saignements, douleurs buccales, diarrhée sévère, consulter immédiatement (signes de toxicité du MTX ou du 5-FU).</w:t>
      </w:r>
    </w:p>
    <w:p>
      <w:pPr>
        <w:pStyle w:val="ListNumber"/>
      </w:pPr>
      <w:r/>
      <w:r>
        <w:rPr>
          <w:b/>
        </w:rPr>
        <w:t>Grossesse et allaitement</w:t>
      </w:r>
      <w:r>
        <w:t xml:space="preserve"> : en oncologie, contre-indication absolue du MTX et du 5-FU. Le folinique est autorisé en cas de nécessité absolue (toxoplasmose cérébrale).</w:t>
      </w:r>
    </w:p>
    <w:p>
      <w:pPr>
        <w:pStyle w:val="Heading4"/>
      </w:pPr>
      <w:r>
        <w:t>12. Pièges et règles d'or au comptoir</w:t>
      </w:r>
    </w:p>
    <w:p>
      <w:r/>
      <w:r>
        <w:rPr>
          <w:b/>
        </w:rPr>
        <w:t>Règles d'or</w:t>
      </w:r>
      <w:r>
        <w:t xml:space="preserve"> :</w:t>
      </w:r>
    </w:p>
    <w:p>
      <w:pPr>
        <w:pStyle w:val="ListNumber"/>
      </w:pPr>
      <w:r/>
      <w:r>
        <w:rPr>
          <w:b/>
        </w:rPr>
        <w:t>Toujours respecter les nomogrammes de rescue</w:t>
      </w:r>
      <w:r>
        <w:t xml:space="preserve"> (Stoller, Bleyer) basés sur la méthotrexatémie résiduelle — ne jamais administrer le folinique « au hasard ».</w:t>
      </w:r>
    </w:p>
    <w:p>
      <w:pPr>
        <w:pStyle w:val="ListNumber"/>
      </w:pPr>
      <w:r/>
      <w:r>
        <w:rPr>
          <w:b/>
        </w:rPr>
        <w:t>Toujours surveiller la méthotrexatémie résiduelle</w:t>
      </w:r>
      <w:r>
        <w:t xml:space="preserve"> à H24, H48, H72 après MTX à haute dose.</w:t>
      </w:r>
    </w:p>
    <w:p>
      <w:pPr>
        <w:pStyle w:val="ListNumber"/>
      </w:pPr>
      <w:r/>
      <w:r>
        <w:rPr>
          <w:b/>
        </w:rPr>
        <w:t>Toujours associer une hydratation alcaline</w:t>
      </w:r>
      <w:r>
        <w:t xml:space="preserve"> (urines pH ≥ 7) pendant le MTX et le rescue.</w:t>
      </w:r>
    </w:p>
    <w:p>
      <w:pPr>
        <w:pStyle w:val="ListNumber"/>
      </w:pPr>
      <w:r/>
      <w:r>
        <w:rPr>
          <w:b/>
        </w:rPr>
        <w:t>Toujours surveiller la NFS-plaquettes</w:t>
      </w:r>
      <w:r>
        <w:t xml:space="preserve"> pendant le rescue.</w:t>
      </w:r>
    </w:p>
    <w:p>
      <w:pPr>
        <w:pStyle w:val="ListNumber"/>
      </w:pPr>
      <w:r/>
      <w:r>
        <w:rPr>
          <w:b/>
        </w:rPr>
        <w:t>Toujours disposer de RAZIFOLINE en quantité suffisante</w:t>
      </w:r>
      <w:r>
        <w:t xml:space="preserve"> dans les services d'oncologie et d'hématologie algériens (en raison de l'absence d'alternative active disponible).</w:t>
      </w:r>
    </w:p>
    <w:p>
      <w:pPr>
        <w:pStyle w:val="ListNumber"/>
      </w:pPr>
      <w:r/>
      <w:r>
        <w:rPr>
          <w:b/>
        </w:rPr>
        <w:t>Toujours vérifier la compatibilité</w:t>
      </w:r>
      <w:r>
        <w:t xml:space="preserve"> du folinique avec les autres médicaments de la poche de perfusion (incompatibilités avec le 5-FU en perfusion continue — administrer séparément).</w:t>
      </w:r>
    </w:p>
    <w:p>
      <w:pPr>
        <w:pStyle w:val="ListNumber"/>
      </w:pPr>
      <w:r/>
      <w:r>
        <w:rPr>
          <w:b/>
        </w:rPr>
        <w:t>Toujours respecter le timing</w:t>
      </w:r>
      <w:r>
        <w:t xml:space="preserve"> : le rescue doit être débuté à H24 à H36 après la fin de la perfusion de MTX (trop tôt = réduction de l'efficacité ; trop tard = toxicité accrue).</w:t>
      </w:r>
    </w:p>
    <w:p>
      <w:pPr>
        <w:pStyle w:val="ListNumber"/>
      </w:pPr>
      <w:r/>
      <w:r>
        <w:rPr>
          <w:b/>
        </w:rPr>
        <w:t>Toujours supplémenter en folinique pendant le traitement par pyriméthamine</w:t>
      </w:r>
      <w:r>
        <w:t xml:space="preserve"> (toxoplasmose cérébrale) pour prévenir la myélotoxicité.</w:t>
      </w:r>
    </w:p>
    <w:p>
      <w:r/>
      <w:r>
        <w:rPr>
          <w:b/>
        </w:rPr>
        <w:t>Pièges</w:t>
      </w:r>
      <w:r>
        <w:t xml:space="preserve"> :</w:t>
      </w:r>
    </w:p>
    <w:p>
      <w:pPr>
        <w:pStyle w:val="ListNumber"/>
      </w:pPr>
      <w:r/>
      <w:r>
        <w:rPr>
          <w:b/>
        </w:rPr>
        <w:t>Rescue débuté trop tôt (avant H24)</w:t>
      </w:r>
      <w:r>
        <w:t xml:space="preserve"> : réduction de l'efficacité antitumorale du MTX.</w:t>
      </w:r>
    </w:p>
    <w:p>
      <w:pPr>
        <w:pStyle w:val="ListNumber"/>
      </w:pPr>
      <w:r/>
      <w:r>
        <w:rPr>
          <w:b/>
        </w:rPr>
        <w:t>Rescue arrêté trop tôt</w:t>
      </w:r>
      <w:r>
        <w:t xml:space="preserve"> : toxicité médullaire et muqueuse sévère (aplasie médullaire, mucite grade 4).</w:t>
      </w:r>
    </w:p>
    <w:p>
      <w:pPr>
        <w:pStyle w:val="ListNumber"/>
      </w:pPr>
      <w:r/>
      <w:r>
        <w:rPr>
          <w:b/>
        </w:rPr>
        <w:t>Dose de folinique insuffisante en cas d'insuffisance rénale</w:t>
      </w:r>
      <w:r>
        <w:t xml:space="preserve"> : le MTX s'accumule en cas d'insuffisance rénale, le rescue doit être prolongé et/ou augmenté.</w:t>
      </w:r>
    </w:p>
    <w:p>
      <w:pPr>
        <w:pStyle w:val="ListNumber"/>
      </w:pPr>
      <w:r/>
      <w:r>
        <w:rPr>
          <w:b/>
        </w:rPr>
        <w:t>Patient avec épanchement pleural ou ascite (troisième espace)</w:t>
      </w:r>
      <w:r>
        <w:t xml:space="preserve"> : le MTX s'accumule dans les cavités, prolongeant la demi-vie. Rescue prolongé et monitoring de la méthotrexatémie prolongée.</w:t>
      </w:r>
    </w:p>
    <w:p>
      <w:pPr>
        <w:pStyle w:val="ListNumber"/>
      </w:pPr>
      <w:r/>
      <w:r>
        <w:rPr>
          <w:b/>
        </w:rPr>
        <w:t>Patient sous AINS ou triméthoprime pendant le MTX</w:t>
      </w:r>
      <w:r>
        <w:t xml:space="preserve"> : augmentation de la toxicité du MTX (réduction de l'élimination rénale). À éviter.</w:t>
      </w:r>
    </w:p>
    <w:p>
      <w:pPr>
        <w:pStyle w:val="ListNumber"/>
      </w:pPr>
      <w:r/>
      <w:r>
        <w:rPr>
          <w:b/>
        </w:rPr>
        <w:t>Patient avec acidose métabolique pendant le MTX</w:t>
      </w:r>
      <w:r>
        <w:t xml:space="preserve"> : réduction de l'élimination rénale du MTX (le MTX est plus soluble en milieu alcalin). Correction de l'acidose par bicarbonate IV.</w:t>
      </w:r>
    </w:p>
    <w:p>
      <w:pPr>
        <w:pStyle w:val="Heading3"/>
      </w:pPr>
      <w:r>
        <w:t>162.12.8. Biotine (Vitamine B8/H)</w:t>
      </w:r>
    </w:p>
    <w:p>
      <w:pPr>
        <w:pStyle w:val="Heading4"/>
      </w:pPr>
      <w:r>
        <w:t>1. Catégories thérapeutiques et indications</w:t>
      </w:r>
    </w:p>
    <w:p>
      <w:r>
        <w:t xml:space="preserve">La biotine (vitamine B8, vitamine H, coenzyme R) appartient à la catégorie pharmacothérapeutique des </w:t>
      </w:r>
      <w:r>
        <w:rPr>
          <w:b/>
        </w:rPr>
        <w:t>vitamines hydrosolubles du groupe B</w:t>
      </w:r>
      <w:r>
        <w:t xml:space="preserve"> (code ATC : </w:t>
      </w:r>
      <w:r>
        <w:rPr>
          <w:b/>
        </w:rPr>
        <w:t>A11HA05</w:t>
      </w:r>
      <w:r>
        <w:t xml:space="preserve">). Les indications thérapeutiques validées sont les suivantes : (i) </w:t>
      </w:r>
      <w:r>
        <w:rPr>
          <w:b/>
        </w:rPr>
        <w:t>traitement curatif de la carence en biotine</w:t>
      </w:r>
      <w:r>
        <w:t xml:space="preserve"> — dermatite exfoliatrice, chéilite, glossite, conjonctivite, alopécie, neuropathie périphérique, fatigue, anorexie, nausées, dépression, hallucinations ; carence décrite chez les patients sous nutrition parentérale prolongée sans supplémentation, chez les patients dialysés chroniques, chez les consommateurs importants d'œufs crus (l'avidine, protéine du blanc d'œuf, lie la biotine avec une très haute affinité, Kd ≈ 10⁻¹⁵ M) ; (ii) </w:t>
      </w:r>
      <w:r>
        <w:rPr>
          <w:b/>
        </w:rPr>
        <w:t>déficit en holocarboxylase synthétase</w:t>
      </w:r>
      <w:r>
        <w:t xml:space="preserve"> (maladie héréditaire métabolique, transmission autosomique récessive, prévalence ≈ 1/100 000) — supplémentation à doses pharmacologiques (10 à 40 mg/jour) dès la période néonatale, à vie ; (iii) </w:t>
      </w:r>
      <w:r>
        <w:rPr>
          <w:b/>
        </w:rPr>
        <w:t>déficit en biotinidase</w:t>
      </w:r>
      <w:r>
        <w:t xml:space="preserve"> (maladie héréditaire métabolitaire, prévalence ≈ 1/60 000) — supplémentation à doses pharmacologiques (5 à 20 mg/jour) à vie ; (iv) </w:t>
      </w:r>
      <w:r>
        <w:rPr>
          <w:b/>
        </w:rPr>
        <w:t>alopécie androgénétique féminine</w:t>
      </w:r>
      <w:r>
        <w:t xml:space="preserve"> et certaines formes d'alopécie diffuse (efficacité modeste, données limitées) ; (v) </w:t>
      </w:r>
      <w:r>
        <w:rPr>
          <w:b/>
        </w:rPr>
        <w:t>ongles cassants</w:t>
      </w:r>
      <w:r>
        <w:t xml:space="preserve"> (étude Pilz 2017 suggérant une efficacité à 2,5 mg/jour pendant 6 mois) ; (vi) </w:t>
      </w:r>
      <w:r>
        <w:rPr>
          <w:b/>
        </w:rPr>
        <w:t>diabète de type 1 et type 2</w:t>
      </w:r>
      <w:r>
        <w:t xml:space="preserve"> (réduction de la glycémie à jeun à 5-15 mg/jour — données limitées, non consensuel) ; (vii) </w:t>
      </w:r>
      <w:r>
        <w:rPr>
          <w:b/>
        </w:rPr>
        <w:t>sclérose en plaques</w:t>
      </w:r>
      <w:r>
        <w:t xml:space="preserve"> (essais cliniques en cours, doses 100-300 mg/jour — mécanisme hypothétique via l'activation des guanylate cyclases) ; (viii) </w:t>
      </w:r>
      <w:r>
        <w:rPr>
          <w:b/>
        </w:rPr>
        <w:t>dermatite séborrhéique du nourrisson</w:t>
      </w:r>
      <w:r>
        <w:t xml:space="preserve"> (en association avec les autres vitamines B) ; (ix) </w:t>
      </w:r>
      <w:r>
        <w:rPr>
          <w:b/>
        </w:rPr>
        <w:t>syndromes de malabsorption</w:t>
      </w:r>
      <w:r>
        <w:t xml:space="preserve"> (maladie de Crohn, sprue, bypass gastrique). L'usage de la biotine en Algérie est compromis par l'absence de spécialité active disponible.</w:t>
      </w:r>
    </w:p>
    <w:p>
      <w:pPr>
        <w:pStyle w:val="Heading4"/>
      </w:pPr>
      <w:r>
        <w:t>2. Spécialités pharmaceutiques commercialisées en Algérie</w:t>
      </w:r>
    </w:p>
    <w:p>
      <w:r>
        <w:t>Le tableau ci-dessous présente l'ensemble des spécialités de biotine (B8/H) recensées dans la nomenclature algérienne (Avril 2026), classées par statut réglementaire.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BIOTINE</w:t>
            </w:r>
          </w:p>
        </w:tc>
        <w:tc>
          <w:tcPr>
            <w:tcW w:type="dxa" w:w="1559"/>
          </w:tcPr>
          <w:p>
            <w:r>
              <w:rPr>
                <w:sz w:val="20"/>
              </w:rPr>
              <w:t>ROCHE</w:t>
            </w:r>
          </w:p>
        </w:tc>
        <w:tc>
          <w:tcPr>
            <w:tcW w:type="dxa" w:w="1559"/>
          </w:tcPr>
          <w:p>
            <w:r>
              <w:rPr>
                <w:sz w:val="20"/>
              </w:rPr>
              <w:t>Comprimé, 5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BIOTINE</w:t>
            </w:r>
          </w:p>
        </w:tc>
        <w:tc>
          <w:tcPr>
            <w:tcW w:type="dxa" w:w="1559"/>
          </w:tcPr>
          <w:p>
            <w:r>
              <w:rPr>
                <w:sz w:val="20"/>
              </w:rPr>
              <w:t>ROCHE</w:t>
            </w:r>
          </w:p>
        </w:tc>
        <w:tc>
          <w:tcPr>
            <w:tcW w:type="dxa" w:w="1559"/>
          </w:tcPr>
          <w:p>
            <w:r>
              <w:rPr>
                <w:sz w:val="20"/>
              </w:rPr>
              <w:t>Ampoule injectable, 5 mg/mL</w:t>
            </w:r>
          </w:p>
        </w:tc>
        <w:tc>
          <w:tcPr>
            <w:tcW w:type="dxa" w:w="1559"/>
          </w:tcPr>
          <w:p>
            <w:r>
              <w:rPr>
                <w:sz w:val="20"/>
              </w:rPr>
              <w:t>B/6</w:t>
            </w:r>
          </w:p>
        </w:tc>
        <w:tc>
          <w:tcPr>
            <w:tcW w:type="dxa" w:w="1559"/>
          </w:tcPr>
          <w:p>
            <w:r>
              <w:rPr>
                <w:sz w:val="20"/>
              </w:rPr>
              <w:t>Hors liste</w:t>
            </w:r>
          </w:p>
        </w:tc>
        <w:tc>
          <w:tcPr>
            <w:tcW w:type="dxa" w:w="1559"/>
          </w:tcPr>
          <w:p>
            <w:r>
              <w:rPr>
                <w:sz w:val="20"/>
              </w:rPr>
              <w:t>NON_RENOUVELABLE</w:t>
            </w:r>
          </w:p>
        </w:tc>
      </w:tr>
    </w:tbl>
    <w:p/>
    <w:p>
      <w:r>
        <w:t xml:space="preserve">Aucune spécialité active de biotine n'est disponible en Algérie. Les deux spécialités historiques (BIOTINE comprimé et BIOTINE ampoule injectable, Roche) sont </w:t>
      </w:r>
      <w:r>
        <w:rPr>
          <w:b/>
        </w:rPr>
        <w:t>NON_RENOUVELABLES</w:t>
      </w:r>
      <w:r>
        <w:t xml:space="preserve"> dans la nomenclature algérienne. Cette absence pose un problème pratique majeur pour la prise en charge des carences avérées (patients sous nutrition parentérale au long cours), des déficits enzymatiques héréditaires (holocarboxylase synthétase, biotinidase) et de l'alopécie. Les patients algériens doivent recourir à : (i) des préparations magistrales (poudre de biotine USP, dosée à 1, 5 ou 10 mg par gélule) ; (ii) l'importation de spécialités étrangères (Biotin Merck, Solgar Biotin) ; (iii) des compléments alimentaires non réglementés (efficacité et sécurité non garanties) ; (iv) les complexes multivitaminiques (chapitre 164 — MEGADYN) qui contiennent généralement 30 à 150 µg de biotine par comprimé (dose nutritionnelle, insuffisante pour les déficits enzymatiques héréditaires). Cette situation est un enjeu de santé publique pour la prise en charge des maladies métaboliques héréditaires rares (dépistage néonatal non systématique en Algérie).</w:t>
      </w:r>
    </w:p>
    <w:p>
      <w:pPr>
        <w:pStyle w:val="Heading4"/>
      </w:pPr>
      <w:r>
        <w:t>3. Mécanisme d'action moléculaire détaillé</w:t>
      </w:r>
    </w:p>
    <w:p>
      <w:r>
        <w:t xml:space="preserve">La biotine est le cofacteur (groupe prosthetique covalent lié à la lysine de l'enzyme, formant la </w:t>
      </w:r>
      <w:r>
        <w:rPr>
          <w:b/>
        </w:rPr>
        <w:t>biocytine</w:t>
      </w:r>
      <w:r>
        <w:t xml:space="preserve"> = ε-N-biotinyl-L-lysine) de cinq carboxylases humaines. La biotin ligase au niveau de ces carboxylases est l'</w:t>
      </w:r>
      <w:r>
        <w:rPr>
          <w:b/>
        </w:rPr>
        <w:t>holocarboxylase synthétase (HCS)</w:t>
      </w:r>
      <w:r>
        <w:t xml:space="preserve">, qui catalyse la liaison covalente de la biotine au résidu lysine de l'apocarboxylase pour former l'holocarboxylase active. La biotine est recyclée par la </w:t>
      </w:r>
      <w:r>
        <w:rPr>
          <w:b/>
        </w:rPr>
        <w:t>biotinidase</w:t>
      </w:r>
      <w:r>
        <w:t>, qui clive la biocytine en biotine libre et lysine (ce recyclage est déficient dans la maladie de la biotinidase). Les cinq carboxylases biotine-dépendantes sont :</w:t>
      </w:r>
    </w:p>
    <w:p>
      <w:pPr>
        <w:pStyle w:val="ListNumber"/>
      </w:pPr>
      <w:r/>
      <w:r>
        <w:rPr>
          <w:b/>
        </w:rPr>
        <w:t>Pyruvate carboxylase (PC, mitochondries)</w:t>
      </w:r>
      <w:r>
        <w:t xml:space="preserve"> — conversion du pyruvate en oxaloacétate, étape anaplérotique du cycle de Krebs (reconstitution de l'oxaloacétate) et première étape de la néoglucogenèse. Sans biotine, hypoglycémie, acidose lactique (le pyruvate est converti en lactate), hypotonie, retard de développement.</w:t>
      </w:r>
    </w:p>
    <w:p>
      <w:pPr>
        <w:pStyle w:val="ListNumber"/>
      </w:pPr>
      <w:r/>
      <w:r>
        <w:rPr>
          <w:b/>
        </w:rPr>
        <w:t>Acétyl-CoA carboxylase 1 (ACC1, cytosol)</w:t>
      </w:r>
      <w:r>
        <w:t xml:space="preserve"> — conversion de l'acétyl-CoA en malonyl-CoA, première étape de la synthèse des acides gras (lipogenèse). Sans biotine, défaut de synthèse des acides gras, dermatite, alopécie.</w:t>
      </w:r>
    </w:p>
    <w:p>
      <w:pPr>
        <w:pStyle w:val="ListNumber"/>
      </w:pPr>
      <w:r/>
      <w:r>
        <w:rPr>
          <w:b/>
        </w:rPr>
        <w:t>Propionyl-CoA carboxylase (PCC, mitochondries)</w:t>
      </w:r>
      <w:r>
        <w:t xml:space="preserve"> — conversion du propionyl-CoA en D-méthylmalonyl-CoA, étape du catabolisme des acides aminés à chaîne impaire (valine, isoleucine, méthionine, thréonine) et des acides gras à nombre impair de carbones. Sans biotine, accumulation de propionyl-CoA et de propionate, acidose métabolique, encéphalopathie.</w:t>
      </w:r>
    </w:p>
    <w:p>
      <w:pPr>
        <w:pStyle w:val="ListNumber"/>
      </w:pPr>
      <w:r/>
      <w:r>
        <w:rPr>
          <w:b/>
        </w:rPr>
        <w:t>β-Méthylcrotonyl-CoA carboxylase (MCC, mitochondries)</w:t>
      </w:r>
      <w:r>
        <w:t xml:space="preserve"> — catabolisme de la leucine. Sans biotine, accumulation de β-méthylcrotonyl-CoA et de 3-méthylcrotonylglycine, acidurie organique, hypoglycémie, hypotonie.</w:t>
      </w:r>
    </w:p>
    <w:p>
      <w:pPr>
        <w:pStyle w:val="ListNumber"/>
      </w:pPr>
      <w:r/>
      <w:r>
        <w:rPr>
          <w:b/>
        </w:rPr>
        <w:t>Acétyl-CoA carboxylase 2 (ACC2, mitochondries)</w:t>
      </w:r>
      <w:r>
        <w:t xml:space="preserve"> — régulation de la β-oxydation des acides gras. Le malonyl-CoA mitochondrial (produit par ACC2) inhibe la carnitine palmitoyltransferase-1 (CPT-1), empêchant le transport des acides gras à longue chaîne dans les mitochondries pour la β-oxydation. Sans biotine, dysrégulation de la β-oxydation, hypoglycémie, hypokétose.</w:t>
      </w:r>
    </w:p>
    <w:p>
      <w:r>
        <w:t xml:space="preserve">Le mécanisme chimique commun à ces carboxylases repose sur la </w:t>
      </w:r>
      <w:r>
        <w:rPr>
          <w:b/>
        </w:rPr>
        <w:t>biotine</w:t>
      </w:r>
      <w:r>
        <w:t xml:space="preserve"> comme transporteur de CO₂ : la biotine est carboxylée en position N1 du noyau imidazolidone par l'ATP-dépendance du bicarbonate (HCO₃⁻ → CO₂ + H₂O) sur le site α de l'enzyme (biotine carboxylase), puis transférée au site β (carboxyltransférase) où le groupement carboxyle est transféré au substrat (pyruvate, acétyl-CoA, propionyl-CoA, β-méthylcrotonyl-CoA).</w:t>
      </w:r>
    </w:p>
    <w:p>
      <w:r>
        <w:t>En cas de carence en biotine (apport insuffisant, défaut de recyclage par la biotinidase, défaut de fixation par l'holocarboxylase synthétase), les cinq carboxylases sont inactivées, ce qui entraîne un syndrome métabolique grave associant : acidose métabolique (acidose lactique + accumulation de propionate et de 3-méthylcrotonylglycine), hypoglycémie, hypokétose, hyperammoniémie (défaut du cycle de l'urée secondaire à la baisse d'oxaloacétate), dermatite exfoliatrice, alopécie, conjonctivite, ataxie, retard de développement, convulsions, coma.</w:t>
      </w:r>
    </w:p>
    <w:p>
      <w:pPr>
        <w:pStyle w:val="Heading4"/>
      </w:pPr>
      <w:r>
        <w:t>4. Pharmacocinétique</w:t>
      </w:r>
    </w:p>
    <w:p>
      <w:r/>
      <w:r>
        <w:rPr>
          <w:b/>
        </w:rPr>
        <w:t>Absorption</w:t>
      </w:r>
      <w:r>
        <w:t xml:space="preserve"> : la biotine est absorbée au niveau du duodénum et du jéjunum proximal par transporteur saturable dépendant du </w:t>
      </w:r>
      <w:r>
        <w:rPr>
          <w:b/>
        </w:rPr>
        <w:t>SMVT (sodium-dependent multivitamin transporter)</w:t>
      </w:r>
      <w:r>
        <w:t xml:space="preserve"> qui assure également l'absorption de l'acide pantothénique (B5) et de l'acide lipoïque. La biodisponibilité est élevée (90 à 100 %) aux doses nutritionnelles. La prise avec un repas améliore l'absorption. La biotine alimentaire est en partie liée aux protéines (biocytine), et doit être libérée par la </w:t>
      </w:r>
      <w:r>
        <w:rPr>
          <w:b/>
        </w:rPr>
        <w:t>biotinidase</w:t>
      </w:r>
      <w:r>
        <w:t xml:space="preserve"> intestinale (et pancréatique) avant absorption.</w:t>
      </w:r>
    </w:p>
    <w:p>
      <w:r/>
      <w:r>
        <w:rPr>
          <w:b/>
        </w:rPr>
        <w:t>Distribution</w:t>
      </w:r>
      <w:r>
        <w:t xml:space="preserve"> : la biotine est distribuée dans tous les tissus, principalement sous forme libre dans le plasma et de biocytine dans les cellules. Le pool corporel total est faible (environ 0,5 à 1 mg). La demi-vie plasmatique est courte (environ 1,5 heure), ce qui explique la nécessité d'un apport quotidien régulier. La biotine traverse le placenta par transporteur actif et passe dans le lait maternel (concentration 5 à 10 µg/L).</w:t>
      </w:r>
    </w:p>
    <w:p>
      <w:r/>
      <w:r>
        <w:rPr>
          <w:b/>
        </w:rPr>
        <w:t>Métabolisme</w:t>
      </w:r>
      <w:r>
        <w:t xml:space="preserve"> : la biotine est peu métabolisée, principalement recyclée par la biotinidase. Le catabolisme hépatique produit la bisnorbiotine et la tétranorbiotine.</w:t>
      </w:r>
    </w:p>
    <w:p>
      <w:r/>
      <w:r>
        <w:rPr>
          <w:b/>
        </w:rPr>
        <w:t>Élimination</w:t>
      </w:r>
      <w:r>
        <w:t xml:space="preserve"> : principalement urinaire (≥ 50 %), sous forme libre de biotine et de métabolites. L'élimination est filtrée et sécrétée tubulairement. En cas d'insuffisance rénale, la biotine s'accumule (peu de toxicité propre, mais surveillance).</w:t>
      </w:r>
    </w:p>
    <w:p>
      <w:pPr>
        <w:pStyle w:val="Heading4"/>
      </w:pPr>
      <w:r>
        <w:t>5. Effets indésirables et prévention</w:t>
      </w:r>
    </w:p>
    <w:p>
      <w:r/>
      <w:r>
        <w:rPr>
          <w:b/>
        </w:rPr>
        <w:t>Effets indésirables aux doses thérapeutiques orales</w:t>
      </w:r>
      <w:r>
        <w:t xml:space="preserve"> (≤ 10 mg/jour) :</w:t>
      </w:r>
    </w:p>
    <w:p>
      <w:pPr>
        <w:pStyle w:val="ListBullet"/>
      </w:pPr>
      <w:r>
        <w:t>Aucun effet indésirable significatif rapporté. La biotine a une toxicité aiguë et chronique très faible (index thérapeutique large).</w:t>
      </w:r>
    </w:p>
    <w:p>
      <w:r/>
      <w:r>
        <w:rPr>
          <w:b/>
        </w:rPr>
        <w:t>Effets indésirables aux doses pharmacologiques orales</w:t>
      </w:r>
      <w:r>
        <w:t xml:space="preserve"> (≥ 10 mg/jour) :</w:t>
      </w:r>
    </w:p>
    <w:p>
      <w:pPr>
        <w:pStyle w:val="ListBullet"/>
      </w:pPr>
      <w:r/>
      <w:r>
        <w:rPr>
          <w:b/>
        </w:rPr>
        <w:t>Interférence avec les dosages biologiques</w:t>
      </w:r>
      <w:r>
        <w:t xml:space="preserve"> (critique) — la biotine à doses pharmacologiques (≥ 5 mg/jour) peut interférer avec les dosages immunométriques utilisant la technique de </w:t>
      </w:r>
      <w:r>
        <w:rPr>
          <w:b/>
        </w:rPr>
        <w:t>captage de streptavidine-biotine</w:t>
      </w:r>
      <w:r>
        <w:t xml:space="preserve"> : dosage de la troponine I et T (faux négatif — risque d'infarctus du myocarde méconnu), dosage de la TSH (faux bas — risque de diagnostic erroné d'hyperthyroïdie), dosage de la prolactine, de l'ACTH, du cortisol, de la vitamine D, de la ferritine, de la créatinine (faux bas ou faux haut), de la PTH. Cette interférence est due à la saturation des sites de liaison de la streptavidine par la biotine exogène, ce qui fausse les résultats. </w:t>
      </w:r>
      <w:r>
        <w:rPr>
          <w:b/>
        </w:rPr>
        <w:t>Prévention</w:t>
      </w:r>
      <w:r>
        <w:t xml:space="preserve"> : arrêter la biotine 48 heures avant tout dosage biologique utilisant la streptavidine-biotine (en particulier troponine, TSH).</w:t>
      </w:r>
    </w:p>
    <w:p>
      <w:pPr>
        <w:pStyle w:val="ListBullet"/>
      </w:pPr>
      <w:r/>
      <w:r>
        <w:rPr>
          <w:b/>
        </w:rPr>
        <w:t>Allergiques</w:t>
      </w:r>
      <w:r>
        <w:t xml:space="preserve"> : réactions cutanées très rares.</w:t>
      </w:r>
    </w:p>
    <w:p>
      <w:r/>
      <w:r>
        <w:rPr>
          <w:b/>
        </w:rPr>
        <w:t>Effets indésirables de la voie injectable</w:t>
      </w:r>
      <w:r>
        <w:t xml:space="preserve"> (BIOTINE — non renouvelable) :</w:t>
      </w:r>
    </w:p>
    <w:p>
      <w:pPr>
        <w:pStyle w:val="ListBullet"/>
      </w:pPr>
      <w:r/>
      <w:r>
        <w:rPr>
          <w:b/>
        </w:rPr>
        <w:t>Réactions allergiques</w:t>
      </w:r>
      <w:r>
        <w:t xml:space="preserve"> : rares.</w:t>
      </w:r>
    </w:p>
    <w:p>
      <w:pPr>
        <w:pStyle w:val="ListBullet"/>
      </w:pPr>
      <w:r/>
      <w:r>
        <w:rPr>
          <w:b/>
        </w:rPr>
        <w:t>Réactions locales</w:t>
      </w:r>
      <w:r>
        <w:t xml:space="preserve"> : douleur au point d'injection IM.</w:t>
      </w:r>
    </w:p>
    <w:p>
      <w:r/>
      <w:r>
        <w:rPr>
          <w:b/>
        </w:rPr>
        <w:t>Prévention générale des effets indésirables</w:t>
      </w:r>
      <w:r>
        <w:t xml:space="preserve"> :</w:t>
      </w:r>
    </w:p>
    <w:p>
      <w:pPr>
        <w:pStyle w:val="ListNumber"/>
      </w:pPr>
      <w:r/>
      <w:r>
        <w:rPr>
          <w:b/>
        </w:rPr>
        <w:t>Toujours informer le patient de l'interférence avec les dosages biologiques</w:t>
      </w:r>
      <w:r>
        <w:t xml:space="preserve"> (arrêter la biotine 48 heures avant tout dosage utilisant la streptavidine-biotine).</w:t>
      </w:r>
    </w:p>
    <w:p>
      <w:pPr>
        <w:pStyle w:val="ListNumber"/>
      </w:pPr>
      <w:r/>
      <w:r>
        <w:rPr>
          <w:b/>
        </w:rPr>
        <w:t>Éviter les doses pharmacologiques</w:t>
      </w:r>
      <w:r>
        <w:t xml:space="preserve"> (≥ 5 mg/jour) en dehors des indications spécifiques (déficits enzymatiques héréditaires, alopécie sévère, SEP en essai clinique).</w:t>
      </w:r>
    </w:p>
    <w:p>
      <w:pPr>
        <w:pStyle w:val="ListNumber"/>
      </w:pPr>
      <w:r>
        <w:t>Pour la voie injectable (lorsqu'elle est disponible à l'importation) : injecter lentement en IM profond.</w:t>
      </w:r>
    </w:p>
    <w:p>
      <w:pPr>
        <w:pStyle w:val="Heading4"/>
      </w:pPr>
      <w:r>
        <w:t>6. Interactions médicamenteuses</w:t>
      </w:r>
    </w:p>
    <w:p>
      <w:pPr>
        <w:pStyle w:val="ListBullet"/>
      </w:pPr>
      <w:r/>
      <w:r>
        <w:rPr>
          <w:b/>
        </w:rPr>
        <w:t>Antiépileptiques</w:t>
      </w:r>
      <w:r>
        <w:t xml:space="preserve"> (valproate, carbamazépine, phénytoïne, phénobarbital) : induction de la dégradation de la biotine → carence. Supplémentation prophylactique si traitement prolongé.</w:t>
      </w:r>
    </w:p>
    <w:p>
      <w:pPr>
        <w:pStyle w:val="ListBullet"/>
      </w:pPr>
      <w:r/>
      <w:r>
        <w:rPr>
          <w:b/>
        </w:rPr>
        <w:t>Antibiotiques à large spectre</w:t>
      </w:r>
      <w:r>
        <w:t xml:space="preserve"> (pénicillines, céphalosporines, sulfamides, tétracyclines) : diminution de la flore colique productrice de biotine → carence possible en cas d'antibiothérapie prolongée.</w:t>
      </w:r>
    </w:p>
    <w:p>
      <w:pPr>
        <w:pStyle w:val="ListBullet"/>
      </w:pPr>
      <w:r/>
      <w:r>
        <w:rPr>
          <w:b/>
        </w:rPr>
        <w:t>Alcool</w:t>
      </w:r>
      <w:r>
        <w:t xml:space="preserve"> : diminution de l'absorption et augmentation de l'excrétion → carence fréquente chez l'alcoolique.</w:t>
      </w:r>
    </w:p>
    <w:p>
      <w:pPr>
        <w:pStyle w:val="ListBullet"/>
      </w:pPr>
      <w:r/>
      <w:r>
        <w:rPr>
          <w:b/>
        </w:rPr>
        <w:t>Œufs crus</w:t>
      </w:r>
      <w:r>
        <w:t xml:space="preserve"> : l'avidine (protéine du blanc d'œuf cru) lie la biotine de façon quasi-irréversible (Kd ≈ 10⁻¹⁵ M), empêchant son absorption. Cuisson à détruire l'avidine. Carences décrites chez les bodybuilders consommant des blancs d'œufs crus en grande quantité.</w:t>
      </w:r>
    </w:p>
    <w:p>
      <w:pPr>
        <w:pStyle w:val="ListBullet"/>
      </w:pPr>
      <w:r/>
      <w:r>
        <w:rPr>
          <w:b/>
        </w:rPr>
        <w:t>Fumeurs</w:t>
      </w:r>
      <w:r>
        <w:t xml:space="preserve"> : augmentation du catabolisme de la biotine → carence relative.</w:t>
      </w:r>
    </w:p>
    <w:p>
      <w:pPr>
        <w:pStyle w:val="ListBullet"/>
      </w:pPr>
      <w:r/>
      <w:r>
        <w:rPr>
          <w:b/>
        </w:rPr>
        <w:t>L-carnitine</w:t>
      </w:r>
      <w:r>
        <w:t xml:space="preserve"> : synergie théorique (la biotine est nécessaire à la synthèse de la carnitine via la ACC1 et ACC2 — données limitées).</w:t>
      </w:r>
    </w:p>
    <w:p>
      <w:pPr>
        <w:pStyle w:val="Heading4"/>
      </w:pPr>
      <w:r>
        <w:t>7. Contre-indications et précautions d'emploi</w:t>
      </w:r>
    </w:p>
    <w:p>
      <w:r/>
      <w:r>
        <w:rPr>
          <w:b/>
        </w:rPr>
        <w:t>Contre-indications</w:t>
      </w:r>
      <w:r>
        <w:t xml:space="preserve"> :</w:t>
      </w:r>
    </w:p>
    <w:p>
      <w:pPr>
        <w:pStyle w:val="ListBullet"/>
      </w:pPr>
      <w:r>
        <w:t>Hypersensibilité à la biotine ou à l'un des excipients.</w:t>
      </w:r>
    </w:p>
    <w:p>
      <w:pPr>
        <w:pStyle w:val="ListBullet"/>
      </w:pPr>
      <w:r>
        <w:t>Dosages biologiques imminents utilisant la streptavidine-biotine (troponine, TSH) — arrêter la biotine 48 heures avant.</w:t>
      </w:r>
    </w:p>
    <w:p>
      <w:r/>
      <w:r>
        <w:rPr>
          <w:b/>
        </w:rPr>
        <w:t>Précautions d'emploi</w:t>
      </w:r>
      <w:r>
        <w:t xml:space="preserve"> :</w:t>
      </w:r>
    </w:p>
    <w:p>
      <w:pPr>
        <w:pStyle w:val="ListBullet"/>
      </w:pPr>
      <w:r>
        <w:t>Insuffisance rénale : pas d'ajustement nécessaire, mais surveillance accrue (risque d'accumulation et d'interférence avec les dosages biologiques).</w:t>
      </w:r>
    </w:p>
    <w:p>
      <w:pPr>
        <w:pStyle w:val="ListBullet"/>
      </w:pPr>
      <w:r>
        <w:t>Femme enceinte : sécurité d'emploi confirmée (catégorie CRAT : « Peut être utilisée pendant la grossesse aux doses recommandées »). Apport quotidien recommandé 30 µg/jour (vs 30 µg/jour chez la femme non enceinte).</w:t>
      </w:r>
    </w:p>
    <w:p>
      <w:pPr>
        <w:pStyle w:val="ListBullet"/>
      </w:pPr>
      <w:r>
        <w:t>Femme allaitante : compatible, passage dans le lait maternel (concentration 5 à 10 µg/L). Apport quotidien recommandé 35 µg/jour.</w:t>
      </w:r>
    </w:p>
    <w:p>
      <w:pPr>
        <w:pStyle w:val="ListBullet"/>
      </w:pPr>
      <w:r>
        <w:t>Sujet âgé : pas de précaution particulière.</w:t>
      </w:r>
    </w:p>
    <w:p>
      <w:pPr>
        <w:pStyle w:val="ListBullet"/>
      </w:pPr>
      <w:r>
        <w:t>Enfant : doses adaptées au poids (5 à 50 µg/jour en entretien ; 5 à 40 mg/jour en déficits enzymatiques héréditaires).</w:t>
      </w:r>
    </w:p>
    <w:p>
      <w:pPr>
        <w:pStyle w:val="Heading4"/>
      </w:pPr>
      <w:r>
        <w:t>8. Grossesse et allaitement (données CRAT)</w:t>
      </w:r>
    </w:p>
    <w:p>
      <w:r/>
      <w:r>
        <w:rPr>
          <w:b/>
        </w:rPr>
        <w:t>Grossesse</w:t>
      </w:r>
      <w:r>
        <w:t xml:space="preserve"> : la biotine est essentielle au développement fœtal (synthèse des acides gras, néoglucogenèse, catabolisme des acides aminés). Les besoins augmentent à 30 µg/jour pendant la grossesse (vs 30 µg/jour chez la femme non enceinte). Des études animales suggèrent qu'une carence maternelle sévère en biotine pourrait être tératogène (anomalies de fermeture du tube neural, fentes palatines), mais les données humaines sont limitées. La supplémentation prénatale systématique (30 µg/jour) est généralement incluse dans les complexes multivitaminiques prénataux. Le CRAT conclut : « La biotine peut être prescrite pendant la grossesse aux doses usuelles recommandées (30 µg/jour). Les doses pharmacologiques (≥ 5 mg/jour) sont à évaluer au cas par cas en cas de déficit enzymatique héréditaire. »</w:t>
      </w:r>
    </w:p>
    <w:p>
      <w:r/>
      <w:r>
        <w:rPr>
          <w:b/>
        </w:rPr>
        <w:t>Allaitement</w:t>
      </w:r>
      <w:r>
        <w:t xml:space="preserve"> : la biotine passe dans le lait maternel (concentration 5 à 10 µg/L). Les besoins de la mère allaitante sont de 35 µg/jour. Le CRAT conclut : « La biotine est compatible avec l'allaitement aux doses usuelles recommandées (35 µg/jour). »</w:t>
      </w:r>
    </w:p>
    <w:p>
      <w:pPr>
        <w:pStyle w:val="Heading4"/>
      </w:pPr>
      <w:r>
        <w:t>9. Posologie et mode d'administration</w:t>
      </w:r>
    </w:p>
    <w:p>
      <w:r/>
      <w:r>
        <w:rPr>
          <w:b/>
        </w:rPr>
        <w:t>Posologie usuelle adulte</w:t>
      </w:r>
      <w:r>
        <w:t xml:space="preserve"> :</w:t>
      </w:r>
    </w:p>
    <w:p>
      <w:pPr>
        <w:pStyle w:val="ListBullet"/>
      </w:pPr>
      <w:r/>
      <w:r>
        <w:rPr>
          <w:b/>
        </w:rPr>
        <w:t>Carence avérée</w:t>
      </w:r>
      <w:r>
        <w:t xml:space="preserve"> (rare) : 1 à 10 mg/jour per os pendant 1 à 3 mois.</w:t>
      </w:r>
    </w:p>
    <w:p>
      <w:pPr>
        <w:pStyle w:val="ListBullet"/>
      </w:pPr>
      <w:r/>
      <w:r>
        <w:rPr>
          <w:b/>
        </w:rPr>
        <w:t>Déficit en holocarboxylase synthétase</w:t>
      </w:r>
      <w:r>
        <w:t xml:space="preserve"> : 10 à 40 mg/jour per os à vie, dès la période néonatale.</w:t>
      </w:r>
    </w:p>
    <w:p>
      <w:pPr>
        <w:pStyle w:val="ListBullet"/>
      </w:pPr>
      <w:r/>
      <w:r>
        <w:rPr>
          <w:b/>
        </w:rPr>
        <w:t>Déficit en biotinidase</w:t>
      </w:r>
      <w:r>
        <w:t xml:space="preserve"> : 5 à 20 mg/jour per os à vie.</w:t>
      </w:r>
    </w:p>
    <w:p>
      <w:pPr>
        <w:pStyle w:val="ListBullet"/>
      </w:pPr>
      <w:r/>
      <w:r>
        <w:rPr>
          <w:b/>
        </w:rPr>
        <w:t>Alopécie androgénétique féminine</w:t>
      </w:r>
      <w:r>
        <w:t xml:space="preserve"> : 1 à 5 mg/jour per os pendant 6 mois (efficacité modeste).</w:t>
      </w:r>
    </w:p>
    <w:p>
      <w:pPr>
        <w:pStyle w:val="ListBullet"/>
      </w:pPr>
      <w:r/>
      <w:r>
        <w:rPr>
          <w:b/>
        </w:rPr>
        <w:t>Ongles cassants</w:t>
      </w:r>
      <w:r>
        <w:t xml:space="preserve"> : 2,5 mg/jour per os pendant 6 mois.</w:t>
      </w:r>
    </w:p>
    <w:p>
      <w:pPr>
        <w:pStyle w:val="ListBullet"/>
      </w:pPr>
      <w:r/>
      <w:r>
        <w:rPr>
          <w:b/>
        </w:rPr>
        <w:t>Supplémentation prophylactique</w:t>
      </w:r>
      <w:r>
        <w:t xml:space="preserve"> : 30 µg/jour per os (femme enceinte, allaitante, sujet âgé) — couvert par l'alimentation (viande, foie, œufs, poisson, légumineuses, noix, amandes, soja, céréales complètes, levure de bière).</w:t>
      </w:r>
    </w:p>
    <w:p>
      <w:r/>
      <w:r>
        <w:rPr>
          <w:b/>
        </w:rPr>
        <w:t>Posologie pédiatrique</w:t>
      </w:r>
      <w:r>
        <w:t xml:space="preserve"> :</w:t>
      </w:r>
    </w:p>
    <w:p>
      <w:pPr>
        <w:pStyle w:val="ListBullet"/>
      </w:pPr>
      <w:r>
        <w:t>Nourrisson et enfant (entretien) : 5 à 50 µg/jour per os.</w:t>
      </w:r>
    </w:p>
    <w:p>
      <w:pPr>
        <w:pStyle w:val="ListBullet"/>
      </w:pPr>
      <w:r>
        <w:t>Déficit enzymatique héréditaire : 5 à 40 mg/jour per os à vie.</w:t>
      </w:r>
    </w:p>
    <w:p>
      <w:r/>
      <w:r>
        <w:rPr>
          <w:b/>
        </w:rPr>
        <w:t>Mode d'administration</w:t>
      </w:r>
      <w:r>
        <w:t xml:space="preserve"> :</w:t>
      </w:r>
    </w:p>
    <w:p>
      <w:pPr>
        <w:pStyle w:val="ListBullet"/>
      </w:pPr>
      <w:r/>
      <w:r>
        <w:rPr>
          <w:b/>
        </w:rPr>
        <w:t>Voie orale</w:t>
      </w:r>
      <w:r>
        <w:t xml:space="preserve"> : comprimés à avaler avec un verre d'eau, de préférence au cours d'un repas. Forme non disponible en spécialité active en Algérie — préparation magistrale ou complément alimentaire.</w:t>
      </w:r>
    </w:p>
    <w:p>
      <w:pPr>
        <w:pStyle w:val="ListBullet"/>
      </w:pPr>
      <w:r/>
      <w:r>
        <w:rPr>
          <w:b/>
        </w:rPr>
        <w:t>Voie injectable</w:t>
      </w:r>
      <w:r>
        <w:t xml:space="preserve"> (BIOTINE ampoule — non renouvelable) : IM profonde, 1 ampoule (5 mg) tous les jours en cure, 1 ampoule tous les 2 à 3 jours en entretien.</w:t>
      </w:r>
    </w:p>
    <w:p>
      <w:pPr>
        <w:pStyle w:val="Heading4"/>
      </w:pPr>
      <w:r>
        <w:t>10. Formes galéniques disponibles</w:t>
      </w:r>
    </w:p>
    <w:p>
      <w:pPr>
        <w:pStyle w:val="ListBullet"/>
      </w:pPr>
      <w:r/>
      <w:r>
        <w:rPr>
          <w:b/>
        </w:rPr>
        <w:t>Comprimés à 5 mg</w:t>
      </w:r>
      <w:r>
        <w:t xml:space="preserve"> (BIOTINE Roche — non renouvelable).</w:t>
      </w:r>
    </w:p>
    <w:p>
      <w:pPr>
        <w:pStyle w:val="ListBullet"/>
      </w:pPr>
      <w:r/>
      <w:r>
        <w:rPr>
          <w:b/>
        </w:rPr>
        <w:t>Ampoules injectables à 5 mg/mL</w:t>
      </w:r>
      <w:r>
        <w:t xml:space="preserve"> (BIOTINE Roche — non renouvelable).</w:t>
      </w:r>
    </w:p>
    <w:p>
      <w:pPr>
        <w:pStyle w:val="ListBullet"/>
      </w:pPr>
      <w:r/>
      <w:r>
        <w:rPr>
          <w:b/>
        </w:rPr>
        <w:t>Préparations magistrales</w:t>
      </w:r>
      <w:r>
        <w:t xml:space="preserve"> : poudre de biotine USP dosée à 1, 5 ou 10 mg par gélule.</w:t>
      </w:r>
    </w:p>
    <w:p>
      <w:pPr>
        <w:pStyle w:val="ListBullet"/>
      </w:pPr>
      <w:r/>
      <w:r>
        <w:rPr>
          <w:b/>
        </w:rPr>
        <w:t>Compléments alimentaires</w:t>
      </w:r>
      <w:r>
        <w:t xml:space="preserve"> : complexes multivitaminiques (MEGADYN) contenant 30 à 150 µg de biotine par comprimé (dose nutritionnelle, insuffisante pour les déficits enzymatiques héréditaires).</w:t>
      </w:r>
    </w:p>
    <w:p>
      <w:pPr>
        <w:pStyle w:val="Heading4"/>
      </w:pPr>
      <w:r>
        <w:t>11. Conseils au patient au comptoir</w:t>
      </w:r>
    </w:p>
    <w:p>
      <w:pPr>
        <w:pStyle w:val="ListNumber"/>
      </w:pPr>
      <w:r/>
      <w:r>
        <w:rPr>
          <w:b/>
        </w:rPr>
        <w:t>Disponibilité</w:t>
      </w:r>
      <w:r>
        <w:t xml:space="preserve"> : la biotine n'est pas disponible en spécialité active en Algérie. Orienter le patient vers une préparation magistrale, un complément alimentaire ou l'importation de spécialités étrangères.</w:t>
      </w:r>
    </w:p>
    <w:p>
      <w:pPr>
        <w:pStyle w:val="ListNumber"/>
      </w:pPr>
      <w:r/>
      <w:r>
        <w:rPr>
          <w:b/>
        </w:rPr>
        <w:t>Interférence avec les dosages biologiques</w:t>
      </w:r>
      <w:r>
        <w:t xml:space="preserve"> : informer le patient d'arrêter la biotine 48 heures avant tout dosage biologique (en particulier troponine, TSH, cortisol, prolactine).</w:t>
      </w:r>
    </w:p>
    <w:p>
      <w:pPr>
        <w:pStyle w:val="ListNumber"/>
      </w:pPr>
      <w:r/>
      <w:r>
        <w:rPr>
          <w:b/>
        </w:rPr>
        <w:t>Patients sous antiépileptiques</w:t>
      </w:r>
      <w:r>
        <w:t xml:space="preserve"> : supplémentation prophylactique en biotine (1 à 5 mg/jour) en cas de traitement prolongé.</w:t>
      </w:r>
    </w:p>
    <w:p>
      <w:pPr>
        <w:pStyle w:val="ListNumber"/>
      </w:pPr>
      <w:r/>
      <w:r>
        <w:rPr>
          <w:b/>
        </w:rPr>
        <w:t>Patients sous nutrition parentérale au long cours</w:t>
      </w:r>
      <w:r>
        <w:t xml:space="preserve"> : supplémentation systématique en biotine (60 µg/jour) via les complexes multivitaminiques.</w:t>
      </w:r>
    </w:p>
    <w:p>
      <w:pPr>
        <w:pStyle w:val="ListNumber"/>
      </w:pPr>
      <w:r/>
      <w:r>
        <w:rPr>
          <w:b/>
        </w:rPr>
        <w:t>Femmes enceintes et allaitantes</w:t>
      </w:r>
      <w:r>
        <w:t xml:space="preserve"> : la supplémentation systématique en biotine (30 à 35 µg/jour) est recommandée via les complexes prénataux.</w:t>
      </w:r>
    </w:p>
    <w:p>
      <w:pPr>
        <w:pStyle w:val="ListNumber"/>
      </w:pPr>
      <w:r/>
      <w:r>
        <w:rPr>
          <w:b/>
        </w:rPr>
        <w:t>Patients consommant des œufs crus</w:t>
      </w:r>
      <w:r>
        <w:t xml:space="preserve"> : informer du risque de carence (avidine). Cuire les œufs pour détruire l'avidine.</w:t>
      </w:r>
    </w:p>
    <w:p>
      <w:pPr>
        <w:pStyle w:val="ListNumber"/>
      </w:pPr>
      <w:r/>
      <w:r>
        <w:rPr>
          <w:b/>
        </w:rPr>
        <w:t>Patients dialysés</w:t>
      </w:r>
      <w:r>
        <w:t xml:space="preserve"> : supplémentation systématique en biotine (60 µg/jour) via les complexes multivitaminiques.</w:t>
      </w:r>
    </w:p>
    <w:p>
      <w:pPr>
        <w:pStyle w:val="ListNumber"/>
      </w:pPr>
      <w:r/>
      <w:r>
        <w:rPr>
          <w:b/>
        </w:rPr>
        <w:t>Patients avec déficit enzymatique héréditaire</w:t>
      </w:r>
      <w:r>
        <w:t xml:space="preserve"> : supplémentation à doses pharmacologiques (10 à 40 mg/jour) à vie, sous surveillance spécialisée (médecine métabolique).</w:t>
      </w:r>
    </w:p>
    <w:p>
      <w:pPr>
        <w:pStyle w:val="ListNumber"/>
      </w:pPr>
      <w:r/>
      <w:r>
        <w:rPr>
          <w:b/>
        </w:rPr>
        <w:t>Régime alimentaire</w:t>
      </w:r>
      <w:r>
        <w:t xml:space="preserve"> : compléter par une alimentation riche en biotine (foie, viande, œufs cuits, poisson, légumineuses, noix, amandes, soja, céréales complètes, levure de bière).</w:t>
      </w:r>
    </w:p>
    <w:p>
      <w:pPr>
        <w:pStyle w:val="Heading4"/>
      </w:pPr>
      <w:r>
        <w:t>12. Pièges et règles d'or au comptoir</w:t>
      </w:r>
    </w:p>
    <w:p>
      <w:r/>
      <w:r>
        <w:rPr>
          <w:b/>
        </w:rPr>
        <w:t>Règles d'or</w:t>
      </w:r>
      <w:r>
        <w:t xml:space="preserve"> :</w:t>
      </w:r>
    </w:p>
    <w:p>
      <w:pPr>
        <w:pStyle w:val="ListNumber"/>
      </w:pPr>
      <w:r/>
      <w:r>
        <w:rPr>
          <w:b/>
        </w:rPr>
        <w:t>Toujours informer le patient de l'interférence avec les dosages biologiques</w:t>
      </w:r>
      <w:r>
        <w:t xml:space="preserve"> (arrêter la biotine 48 heures avant tout dosage utilisant la streptavidine-biotine).</w:t>
      </w:r>
    </w:p>
    <w:p>
      <w:pPr>
        <w:pStyle w:val="ListNumber"/>
      </w:pPr>
      <w:r/>
      <w:r>
        <w:rPr>
          <w:b/>
        </w:rPr>
        <w:t>Toujours supplémenter en biotine les patients sous nutrition parentérale au long cours</w:t>
      </w:r>
      <w:r>
        <w:t xml:space="preserve"> (via les complexes multivitaminiques).</w:t>
      </w:r>
    </w:p>
    <w:p>
      <w:pPr>
        <w:pStyle w:val="ListNumber"/>
      </w:pPr>
      <w:r/>
      <w:r>
        <w:rPr>
          <w:b/>
        </w:rPr>
        <w:t>Toujours supplémenter en biotine les patients sous antiépileptiques au long cours</w:t>
      </w:r>
      <w:r>
        <w:t>.</w:t>
      </w:r>
    </w:p>
    <w:p>
      <w:pPr>
        <w:pStyle w:val="ListNumber"/>
      </w:pPr>
      <w:r/>
      <w:r>
        <w:rPr>
          <w:b/>
        </w:rPr>
        <w:t>Toujours supplémenter en biotine les patients dialysés chroniques</w:t>
      </w:r>
      <w:r>
        <w:t>.</w:t>
      </w:r>
    </w:p>
    <w:p>
      <w:pPr>
        <w:pStyle w:val="ListNumber"/>
      </w:pPr>
      <w:r/>
      <w:r>
        <w:rPr>
          <w:b/>
        </w:rPr>
        <w:t>Toujours supplémenter en biotine les femmes enceintes et allaitantes</w:t>
      </w:r>
      <w:r>
        <w:t xml:space="preserve"> (via les complexes prénataux).</w:t>
      </w:r>
    </w:p>
    <w:p>
      <w:pPr>
        <w:pStyle w:val="ListNumber"/>
      </w:pPr>
      <w:r/>
      <w:r>
        <w:rPr>
          <w:b/>
        </w:rPr>
        <w:t>Toujours respecter les doses recommandées</w:t>
      </w:r>
      <w:r>
        <w:t xml:space="preserve"> : 30 µg/jour en entretien ; 1 à 10 mg/jour en cure ; 10 à 40 mg/jour en déficits enzymatiques héréditaires.</w:t>
      </w:r>
    </w:p>
    <w:p>
      <w:pPr>
        <w:pStyle w:val="ListNumber"/>
      </w:pPr>
      <w:r/>
      <w:r>
        <w:rPr>
          <w:b/>
        </w:rPr>
        <w:t>Toujours orienter le patient vers une préparation magistrale</w:t>
      </w:r>
      <w:r>
        <w:t xml:space="preserve"> ou l'importation en l'absence de spécialité active.</w:t>
      </w:r>
    </w:p>
    <w:p>
      <w:r/>
      <w:r>
        <w:rPr>
          <w:b/>
        </w:rPr>
        <w:t>Pièges</w:t>
      </w:r>
      <w:r>
        <w:t xml:space="preserve"> :</w:t>
      </w:r>
    </w:p>
    <w:p>
      <w:pPr>
        <w:pStyle w:val="ListNumber"/>
      </w:pPr>
      <w:r/>
      <w:r>
        <w:rPr>
          <w:b/>
        </w:rPr>
        <w:t>Patient prenant de la biotine à doses pharmacologiques avec troponine « normale » malgré douleur thoracique</w:t>
      </w:r>
      <w:r>
        <w:t xml:space="preserve"> : faux négatif de la troponine par interférence de la biotine. Arrêter la biotine et re-doser.</w:t>
      </w:r>
    </w:p>
    <w:p>
      <w:pPr>
        <w:pStyle w:val="ListNumber"/>
      </w:pPr>
      <w:r/>
      <w:r>
        <w:rPr>
          <w:b/>
        </w:rPr>
        <w:t>Patient prenant de la biotine à doses pharmacologiques avec TSH « basse »</w:t>
      </w:r>
      <w:r>
        <w:t xml:space="preserve"> : faux bas de la TSH par interférence de la biotine. Arrêter la biotine et re-doser.</w:t>
      </w:r>
    </w:p>
    <w:p>
      <w:pPr>
        <w:pStyle w:val="ListNumber"/>
      </w:pPr>
      <w:r/>
      <w:r>
        <w:rPr>
          <w:b/>
        </w:rPr>
        <w:t>Patient avec alopécie non explorée traitée par biotine</w:t>
      </w:r>
      <w:r>
        <w:t xml:space="preserve"> : éliminer d'abord les autres causes d'alopécie (carence en fer, hypothyroïdie, androgénique, pelade, lupus).</w:t>
      </w:r>
    </w:p>
    <w:p>
      <w:pPr>
        <w:pStyle w:val="ListNumber"/>
      </w:pPr>
      <w:r/>
      <w:r>
        <w:rPr>
          <w:b/>
        </w:rPr>
        <w:t>Patient consommant des œufs crus régulièrement</w:t>
      </w:r>
      <w:r>
        <w:t xml:space="preserve"> : risque de carence en biotine (avidine). Informer du risque et conseiller la cuisson.</w:t>
      </w:r>
    </w:p>
    <w:p>
      <w:pPr>
        <w:pStyle w:val="ListNumber"/>
      </w:pPr>
      <w:r/>
      <w:r>
        <w:rPr>
          <w:b/>
        </w:rPr>
        <w:t>Patient sous antiépileptiques au long cours non supplémenté en biotine</w:t>
      </w:r>
      <w:r>
        <w:t xml:space="preserve"> : carence possible (dermatite, alopécie). Supplémentation prophylactique.</w:t>
      </w:r>
    </w:p>
    <w:p>
      <w:pPr>
        <w:pStyle w:val="ListNumber"/>
      </w:pPr>
      <w:r/>
      <w:r>
        <w:rPr>
          <w:b/>
        </w:rPr>
        <w:t>Patient avec suspicion de déficit enzymatique héréditaire</w:t>
      </w:r>
      <w:r>
        <w:t xml:space="preserve"> (acidose métabolique néonatale, dermatite, alopécie, convulsions) : orienter vers un service de médecine métabolique pour dosage de la biotinidase et de l'holocarboxylase synthétase.</w:t>
      </w:r>
    </w:p>
    <w:p>
      <w:pPr>
        <w:pStyle w:val="ListNumber"/>
      </w:pPr>
      <w:r/>
      <w:r>
        <w:rPr>
          <w:b/>
        </w:rPr>
        <w:t>Patient prenant de la biotine pour « booster » la croissance des cheveux ou des ongles sans carence</w:t>
      </w:r>
      <w:r>
        <w:t xml:space="preserve"> : efficacité non documentée en l'absence de carence. Risque d'interférence avec les dosages biologiques à doses pharmacologiques.</w:t>
      </w:r>
    </w:p>
    <w:p>
      <w:pPr>
        <w:pStyle w:val="Heading3"/>
      </w:pPr>
      <w:r>
        <w:t>162.12.9. Acide ascorbique (Vitamine C)</w:t>
      </w:r>
    </w:p>
    <w:p>
      <w:pPr>
        <w:pStyle w:val="Heading4"/>
      </w:pPr>
      <w:r>
        <w:t>1. Catégories thérapeutiques et indications</w:t>
      </w:r>
    </w:p>
    <w:p>
      <w:r>
        <w:t xml:space="preserve">L'acide ascorbique (vitamine C) appartient à la catégorie pharmacothérapeutique des </w:t>
      </w:r>
      <w:r>
        <w:rPr>
          <w:b/>
        </w:rPr>
        <w:t>vitamines hydrosolubles</w:t>
      </w:r>
      <w:r>
        <w:t xml:space="preserve"> (code ATC : </w:t>
      </w:r>
      <w:r>
        <w:rPr>
          <w:b/>
        </w:rPr>
        <w:t>A11GA01</w:t>
      </w:r>
      <w:r>
        <w:t xml:space="preserve"> — acide ascorbique ; </w:t>
      </w:r>
      <w:r>
        <w:rPr>
          <w:b/>
        </w:rPr>
        <w:t>N02BE51</w:t>
      </w:r>
      <w:r>
        <w:t xml:space="preserve"> — associations avec le paracétamol). Les indications thérapeutiques validées sont les suivantes : (i) </w:t>
      </w:r>
      <w:r>
        <w:rPr>
          <w:b/>
        </w:rPr>
        <w:t>traitement curatif et prophylaxie du scorbut</w:t>
      </w:r>
      <w:r>
        <w:t xml:space="preserve"> (carence en vitamine C) — purpura péricapillaire (en « pseudo-pourpre »), folliculose, hyperkératose périfolliculaire, ecchymoses, hémorragies gingivales, déchaussement dentaire, arthralgies, asthénie, anémie normocytaire ; (ii) </w:t>
      </w:r>
      <w:r>
        <w:rPr>
          <w:b/>
        </w:rPr>
        <w:t>supplémentation prophylactique</w:t>
      </w:r>
      <w:r>
        <w:t xml:space="preserve"> des patients à risque de carence — patients en nutrition parentérale au long cours, patients dialysés chroniques, alcooliques chroniques, fumeurs (besoins accrus de 30 à 50 % en raison du stress oxydatif), sujets âgés dénutris, patients avec malabsorption (maladie de Crohn, sprue, gastrectomie), femmes enceintes et allaitantes (besoins accrus) ; (iii) </w:t>
      </w:r>
      <w:r>
        <w:rPr>
          <w:b/>
        </w:rPr>
        <w:t>augmentation de l'absorption du fer alimentaire</w:t>
      </w:r>
      <w:r>
        <w:t xml:space="preserve"> — co-administration de vitamine C avec le fer oral (réduction du Fe³⁺ alimentaire en Fe²⁺ absorbable) ; (iv) </w:t>
      </w:r>
      <w:r>
        <w:rPr>
          <w:b/>
        </w:rPr>
        <w:t>rhume commun</w:t>
      </w:r>
      <w:r>
        <w:t xml:space="preserve"> (données Linus Pauling — controversé ; méta-analyse Cochrane 2013 concluant à un effet modeste sur la durée des symptômes chez les sujets carencés ou soumis à un stress physique intense, mais pas en population générale) ; (v) </w:t>
      </w:r>
      <w:r>
        <w:rPr>
          <w:b/>
        </w:rPr>
        <w:t>cancer</w:t>
      </w:r>
      <w:r>
        <w:t xml:space="preserve"> (essais cliniques en cours à doses pharmacologiques IV — données préliminaires suggérant un effet synergique avec certaines chimiothérapies, mais non consensuel) ; (vi) </w:t>
      </w:r>
      <w:r>
        <w:rPr>
          <w:b/>
        </w:rPr>
        <w:t>brûlures étendues</w:t>
      </w:r>
      <w:r>
        <w:t xml:space="preserve"> et cicatrisation des plaies (rôle dans la synthèse du collagène) ; (vii) </w:t>
      </w:r>
      <w:r>
        <w:rPr>
          <w:b/>
        </w:rPr>
        <w:t>associations antalgiques-antipyrétiques</w:t>
      </w:r>
      <w:r>
        <w:t xml:space="preserve"> (paracétamol + vitamine C) — DOLIDOL FLASH VITAMINE C, EFFERALGAN VITAMINE C (paracétamol 500 mg + acide ascorbique 200 mg) ; (viii) </w:t>
      </w:r>
      <w:r>
        <w:rPr>
          <w:b/>
        </w:rPr>
        <w:t>associations antirhumeuses</w:t>
      </w:r>
      <w:r>
        <w:t xml:space="preserve"> (paracétamol + vitamine C ± antihistaminiques ± vasoconstricteurs) — FERVEX, PARAVEX, RHYNEX, BIOVEX, NOFEB, RESIVEN.</w:t>
      </w:r>
    </w:p>
    <w:p>
      <w:pPr>
        <w:pStyle w:val="Heading4"/>
      </w:pPr>
      <w:r>
        <w:t>2. Spécialités pharmaceutiques commercialisées en Algérie</w:t>
      </w:r>
    </w:p>
    <w:p>
      <w:r>
        <w:t>Le tableau ci-dessous présente l'ensemble des spécialités d'acide ascorbique (vitamine C) recensées dans la nomenclature algérienne (Avril 2026), classées par statut réglementaire. Les associations avec le paracétamol et les antirhumeux sont incluses car elles contiennent de l'acide ascorbique.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RAZISCORBIC C</w:t>
            </w:r>
          </w:p>
        </w:tc>
        <w:tc>
          <w:tcPr>
            <w:tcW w:type="dxa" w:w="1559"/>
          </w:tcPr>
          <w:p>
            <w:r>
              <w:rPr>
                <w:sz w:val="20"/>
              </w:rPr>
              <w:t>LES LABORATOIRES FRATER RAZES</w:t>
            </w:r>
          </w:p>
        </w:tc>
        <w:tc>
          <w:tcPr>
            <w:tcW w:type="dxa" w:w="1559"/>
          </w:tcPr>
          <w:p>
            <w:r>
              <w:rPr>
                <w:sz w:val="20"/>
              </w:rPr>
              <w:t>Solution injectable IV, 500 mg/5 mL</w:t>
            </w:r>
          </w:p>
        </w:tc>
        <w:tc>
          <w:tcPr>
            <w:tcW w:type="dxa" w:w="1559"/>
          </w:tcPr>
          <w:p>
            <w:r>
              <w:rPr>
                <w:sz w:val="20"/>
              </w:rPr>
              <w:t>B/10 et B/50 amp. 5 mL</w:t>
            </w:r>
          </w:p>
        </w:tc>
        <w:tc>
          <w:tcPr>
            <w:tcW w:type="dxa" w:w="1559"/>
          </w:tcPr>
          <w:p>
            <w:r>
              <w:rPr>
                <w:sz w:val="20"/>
              </w:rPr>
              <w:t>Liste I</w:t>
            </w:r>
          </w:p>
        </w:tc>
        <w:tc>
          <w:tcPr>
            <w:tcW w:type="dxa" w:w="1559"/>
          </w:tcPr>
          <w:p>
            <w:r>
              <w:rPr>
                <w:sz w:val="20"/>
              </w:rPr>
              <w:t>ACTIF</w:t>
            </w:r>
          </w:p>
        </w:tc>
      </w:tr>
      <w:tr>
        <w:tc>
          <w:tcPr>
            <w:tcW w:type="dxa" w:w="1559"/>
          </w:tcPr>
          <w:p>
            <w:r>
              <w:rPr>
                <w:sz w:val="20"/>
              </w:rPr>
              <w:t>VITAMINE C (China Meheco)</w:t>
            </w:r>
          </w:p>
        </w:tc>
        <w:tc>
          <w:tcPr>
            <w:tcW w:type="dxa" w:w="1559"/>
          </w:tcPr>
          <w:p>
            <w:r>
              <w:rPr>
                <w:sz w:val="20"/>
              </w:rPr>
              <w:t>CHINA MEHECO</w:t>
            </w:r>
          </w:p>
        </w:tc>
        <w:tc>
          <w:tcPr>
            <w:tcW w:type="dxa" w:w="1559"/>
          </w:tcPr>
          <w:p>
            <w:r>
              <w:rPr>
                <w:sz w:val="20"/>
              </w:rPr>
              <w:t>Solution injectable, 500 mg/5 mL</w:t>
            </w:r>
          </w:p>
        </w:tc>
        <w:tc>
          <w:tcPr>
            <w:tcW w:type="dxa" w:w="1559"/>
          </w:tcPr>
          <w:p>
            <w:r>
              <w:rPr>
                <w:sz w:val="20"/>
              </w:rPr>
              <w:t>B/100 amp.</w:t>
            </w:r>
          </w:p>
        </w:tc>
        <w:tc>
          <w:tcPr>
            <w:tcW w:type="dxa" w:w="1559"/>
          </w:tcPr>
          <w:p>
            <w:r>
              <w:rPr>
                <w:sz w:val="20"/>
              </w:rPr>
              <w:t>Hors liste</w:t>
            </w:r>
          </w:p>
        </w:tc>
        <w:tc>
          <w:tcPr>
            <w:tcW w:type="dxa" w:w="1559"/>
          </w:tcPr>
          <w:p>
            <w:r>
              <w:rPr>
                <w:sz w:val="20"/>
              </w:rPr>
              <w:t>ACTIF</w:t>
            </w:r>
          </w:p>
        </w:tc>
      </w:tr>
      <w:tr>
        <w:tc>
          <w:tcPr>
            <w:tcW w:type="dxa" w:w="1559"/>
          </w:tcPr>
          <w:p>
            <w:r>
              <w:rPr>
                <w:sz w:val="20"/>
              </w:rPr>
              <w:t>VITA-C</w:t>
            </w:r>
          </w:p>
        </w:tc>
        <w:tc>
          <w:tcPr>
            <w:tcW w:type="dxa" w:w="1559"/>
          </w:tcPr>
          <w:p>
            <w:r>
              <w:rPr>
                <w:sz w:val="20"/>
              </w:rPr>
              <w:t>GROUPE SAIDAL</w:t>
            </w:r>
          </w:p>
        </w:tc>
        <w:tc>
          <w:tcPr>
            <w:tcW w:type="dxa" w:w="1559"/>
          </w:tcPr>
          <w:p>
            <w:r>
              <w:rPr>
                <w:sz w:val="20"/>
              </w:rPr>
              <w:t>Comprimé, 500 mg</w:t>
            </w:r>
          </w:p>
        </w:tc>
        <w:tc>
          <w:tcPr>
            <w:tcW w:type="dxa" w:w="1559"/>
          </w:tcPr>
          <w:p>
            <w:r>
              <w:rPr>
                <w:sz w:val="20"/>
              </w:rPr>
              <w:t>Pilulier de 20</w:t>
            </w:r>
          </w:p>
        </w:tc>
        <w:tc>
          <w:tcPr>
            <w:tcW w:type="dxa" w:w="1559"/>
          </w:tcPr>
          <w:p>
            <w:r>
              <w:rPr>
                <w:sz w:val="20"/>
              </w:rPr>
              <w:t>Hors liste</w:t>
            </w:r>
          </w:p>
        </w:tc>
        <w:tc>
          <w:tcPr>
            <w:tcW w:type="dxa" w:w="1559"/>
          </w:tcPr>
          <w:p>
            <w:r>
              <w:rPr>
                <w:sz w:val="20"/>
              </w:rPr>
              <w:t>ACTIF</w:t>
            </w:r>
          </w:p>
        </w:tc>
      </w:tr>
      <w:tr>
        <w:tc>
          <w:tcPr>
            <w:tcW w:type="dxa" w:w="1559"/>
          </w:tcPr>
          <w:p>
            <w:r>
              <w:rPr>
                <w:sz w:val="20"/>
              </w:rPr>
              <w:t>CITAMINE</w:t>
            </w:r>
          </w:p>
        </w:tc>
        <w:tc>
          <w:tcPr>
            <w:tcW w:type="dxa" w:w="1559"/>
          </w:tcPr>
          <w:p>
            <w:r>
              <w:rPr>
                <w:sz w:val="20"/>
              </w:rPr>
              <w:t>LABORATOIRES MERINAL</w:t>
            </w:r>
          </w:p>
        </w:tc>
        <w:tc>
          <w:tcPr>
            <w:tcW w:type="dxa" w:w="1559"/>
          </w:tcPr>
          <w:p>
            <w:r>
              <w:rPr>
                <w:sz w:val="20"/>
              </w:rPr>
              <w:t>Comprimé à croquer, 250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LADOSCORBINE</w:t>
            </w:r>
          </w:p>
        </w:tc>
        <w:tc>
          <w:tcPr>
            <w:tcW w:type="dxa" w:w="1559"/>
          </w:tcPr>
          <w:p>
            <w:r>
              <w:rPr>
                <w:sz w:val="20"/>
              </w:rPr>
              <w:t>LAD PHARMA</w:t>
            </w:r>
          </w:p>
        </w:tc>
        <w:tc>
          <w:tcPr>
            <w:tcW w:type="dxa" w:w="1559"/>
          </w:tcPr>
          <w:p>
            <w:r>
              <w:rPr>
                <w:sz w:val="20"/>
              </w:rPr>
              <w:t>Comprimé à croquer, 500 mg</w:t>
            </w:r>
          </w:p>
        </w:tc>
        <w:tc>
          <w:tcPr>
            <w:tcW w:type="dxa" w:w="1559"/>
          </w:tcPr>
          <w:p>
            <w:r>
              <w:rPr>
                <w:sz w:val="20"/>
              </w:rPr>
              <w:t>B/12</w:t>
            </w:r>
          </w:p>
        </w:tc>
        <w:tc>
          <w:tcPr>
            <w:tcW w:type="dxa" w:w="1559"/>
          </w:tcPr>
          <w:p>
            <w:r>
              <w:rPr>
                <w:sz w:val="20"/>
              </w:rPr>
              <w:t>Hors liste</w:t>
            </w:r>
          </w:p>
        </w:tc>
        <w:tc>
          <w:tcPr>
            <w:tcW w:type="dxa" w:w="1559"/>
          </w:tcPr>
          <w:p>
            <w:r>
              <w:rPr>
                <w:sz w:val="20"/>
              </w:rPr>
              <w:t>ACTIF</w:t>
            </w:r>
          </w:p>
        </w:tc>
      </w:tr>
      <w:tr>
        <w:tc>
          <w:tcPr>
            <w:tcW w:type="dxa" w:w="1559"/>
          </w:tcPr>
          <w:p>
            <w:r>
              <w:rPr>
                <w:sz w:val="20"/>
              </w:rPr>
              <w:t>VITAMINE C MOBEN</w:t>
            </w:r>
          </w:p>
        </w:tc>
        <w:tc>
          <w:tcPr>
            <w:tcW w:type="dxa" w:w="1559"/>
          </w:tcPr>
          <w:p>
            <w:r>
              <w:rPr>
                <w:sz w:val="20"/>
              </w:rPr>
              <w:t>LABORATOIRE MOBEN</w:t>
            </w:r>
          </w:p>
        </w:tc>
        <w:tc>
          <w:tcPr>
            <w:tcW w:type="dxa" w:w="1559"/>
          </w:tcPr>
          <w:p>
            <w:r>
              <w:rPr>
                <w:sz w:val="20"/>
              </w:rPr>
              <w:t>Comprimé à croquer ou à sucer, 500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APISCORBUT</w:t>
            </w:r>
          </w:p>
        </w:tc>
        <w:tc>
          <w:tcPr>
            <w:tcW w:type="dxa" w:w="1559"/>
          </w:tcPr>
          <w:p>
            <w:r>
              <w:rPr>
                <w:sz w:val="20"/>
              </w:rPr>
              <w:t>SARL API</w:t>
            </w:r>
          </w:p>
        </w:tc>
        <w:tc>
          <w:tcPr>
            <w:tcW w:type="dxa" w:w="1559"/>
          </w:tcPr>
          <w:p>
            <w:r>
              <w:rPr>
                <w:sz w:val="20"/>
              </w:rPr>
              <w:t>Comprimé effervescent, 500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VITAMINE C MOBEN</w:t>
            </w:r>
          </w:p>
        </w:tc>
        <w:tc>
          <w:tcPr>
            <w:tcW w:type="dxa" w:w="1559"/>
          </w:tcPr>
          <w:p>
            <w:r>
              <w:rPr>
                <w:sz w:val="20"/>
              </w:rPr>
              <w:t>LABORATOIRE MOBEN</w:t>
            </w:r>
          </w:p>
        </w:tc>
        <w:tc>
          <w:tcPr>
            <w:tcW w:type="dxa" w:w="1559"/>
          </w:tcPr>
          <w:p>
            <w:r>
              <w:rPr>
                <w:sz w:val="20"/>
              </w:rPr>
              <w:t>Comprimé effervescent, 500 mg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APISCORBUT</w:t>
            </w:r>
          </w:p>
        </w:tc>
        <w:tc>
          <w:tcPr>
            <w:tcW w:type="dxa" w:w="1559"/>
          </w:tcPr>
          <w:p>
            <w:r>
              <w:rPr>
                <w:sz w:val="20"/>
              </w:rPr>
              <w:t>SARL API</w:t>
            </w:r>
          </w:p>
        </w:tc>
        <w:tc>
          <w:tcPr>
            <w:tcW w:type="dxa" w:w="1559"/>
          </w:tcPr>
          <w:p>
            <w:r>
              <w:rPr>
                <w:sz w:val="20"/>
              </w:rPr>
              <w:t>Comprimé effervescent, 1 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LAROSCORBINE</w:t>
            </w:r>
          </w:p>
        </w:tc>
        <w:tc>
          <w:tcPr>
            <w:tcW w:type="dxa" w:w="1559"/>
          </w:tcPr>
          <w:p>
            <w:r>
              <w:rPr>
                <w:sz w:val="20"/>
              </w:rPr>
              <w:t>BAYER SANTE FAMILLIALE</w:t>
            </w:r>
          </w:p>
        </w:tc>
        <w:tc>
          <w:tcPr>
            <w:tcW w:type="dxa" w:w="1559"/>
          </w:tcPr>
          <w:p>
            <w:r>
              <w:rPr>
                <w:sz w:val="20"/>
              </w:rPr>
              <w:t>Comprimé effervescent, 1 g</w:t>
            </w:r>
          </w:p>
        </w:tc>
        <w:tc>
          <w:tcPr>
            <w:tcW w:type="dxa" w:w="1559"/>
          </w:tcPr>
          <w:p>
            <w:r>
              <w:rPr>
                <w:sz w:val="20"/>
              </w:rPr>
              <w:t>B/10</w:t>
            </w:r>
          </w:p>
        </w:tc>
        <w:tc>
          <w:tcPr>
            <w:tcW w:type="dxa" w:w="1559"/>
          </w:tcPr>
          <w:p>
            <w:r>
              <w:rPr>
                <w:sz w:val="20"/>
              </w:rPr>
              <w:t>Hors liste</w:t>
            </w:r>
          </w:p>
        </w:tc>
        <w:tc>
          <w:tcPr>
            <w:tcW w:type="dxa" w:w="1559"/>
          </w:tcPr>
          <w:p>
            <w:r>
              <w:rPr>
                <w:sz w:val="20"/>
              </w:rPr>
              <w:t>ACTIF</w:t>
            </w:r>
          </w:p>
        </w:tc>
      </w:tr>
      <w:tr>
        <w:tc>
          <w:tcPr>
            <w:tcW w:type="dxa" w:w="1559"/>
          </w:tcPr>
          <w:p>
            <w:r>
              <w:rPr>
                <w:sz w:val="20"/>
              </w:rPr>
              <w:t>VITAMINE C MOBEN</w:t>
            </w:r>
          </w:p>
        </w:tc>
        <w:tc>
          <w:tcPr>
            <w:tcW w:type="dxa" w:w="1559"/>
          </w:tcPr>
          <w:p>
            <w:r>
              <w:rPr>
                <w:sz w:val="20"/>
              </w:rPr>
              <w:t>LABORATOIRE MOBEN</w:t>
            </w:r>
          </w:p>
        </w:tc>
        <w:tc>
          <w:tcPr>
            <w:tcW w:type="dxa" w:w="1559"/>
          </w:tcPr>
          <w:p>
            <w:r>
              <w:rPr>
                <w:sz w:val="20"/>
              </w:rPr>
              <w:t>Comprimé effervescent, 1 g</w:t>
            </w:r>
          </w:p>
        </w:tc>
        <w:tc>
          <w:tcPr>
            <w:tcW w:type="dxa" w:w="1559"/>
          </w:tcPr>
          <w:p>
            <w:r>
              <w:rPr>
                <w:sz w:val="20"/>
              </w:rPr>
              <w:t>Tube de 15 comp.</w:t>
            </w:r>
          </w:p>
        </w:tc>
        <w:tc>
          <w:tcPr>
            <w:tcW w:type="dxa" w:w="1559"/>
          </w:tcPr>
          <w:p>
            <w:r>
              <w:rPr>
                <w:sz w:val="20"/>
              </w:rPr>
              <w:t>Hors liste</w:t>
            </w:r>
          </w:p>
        </w:tc>
        <w:tc>
          <w:tcPr>
            <w:tcW w:type="dxa" w:w="1559"/>
          </w:tcPr>
          <w:p>
            <w:r>
              <w:rPr>
                <w:sz w:val="20"/>
              </w:rPr>
              <w:t>ACTIF</w:t>
            </w:r>
          </w:p>
        </w:tc>
      </w:tr>
      <w:tr>
        <w:tc>
          <w:tcPr>
            <w:tcW w:type="dxa" w:w="1559"/>
          </w:tcPr>
          <w:p>
            <w:r>
              <w:rPr>
                <w:sz w:val="20"/>
              </w:rPr>
              <w:t>VITAMINE C BGL</w:t>
            </w:r>
          </w:p>
        </w:tc>
        <w:tc>
          <w:tcPr>
            <w:tcW w:type="dxa" w:w="1559"/>
          </w:tcPr>
          <w:p>
            <w:r>
              <w:rPr>
                <w:sz w:val="20"/>
              </w:rPr>
              <w:t>BIOGALENIC</w:t>
            </w:r>
          </w:p>
        </w:tc>
        <w:tc>
          <w:tcPr>
            <w:tcW w:type="dxa" w:w="1559"/>
          </w:tcPr>
          <w:p>
            <w:r>
              <w:rPr>
                <w:sz w:val="20"/>
              </w:rPr>
              <w:t>Comprimé effervescent, 1 g</w:t>
            </w:r>
          </w:p>
        </w:tc>
        <w:tc>
          <w:tcPr>
            <w:tcW w:type="dxa" w:w="1559"/>
          </w:tcPr>
          <w:p>
            <w:r>
              <w:rPr>
                <w:sz w:val="20"/>
              </w:rPr>
              <w:t>B/10</w:t>
            </w:r>
          </w:p>
        </w:tc>
        <w:tc>
          <w:tcPr>
            <w:tcW w:type="dxa" w:w="1559"/>
          </w:tcPr>
          <w:p>
            <w:r>
              <w:rPr>
                <w:sz w:val="20"/>
              </w:rPr>
              <w:t>Hors liste</w:t>
            </w:r>
          </w:p>
        </w:tc>
        <w:tc>
          <w:tcPr>
            <w:tcW w:type="dxa" w:w="1559"/>
          </w:tcPr>
          <w:p>
            <w:r>
              <w:rPr>
                <w:sz w:val="20"/>
              </w:rPr>
              <w:t>ACTIF</w:t>
            </w:r>
          </w:p>
        </w:tc>
      </w:tr>
      <w:tr>
        <w:tc>
          <w:tcPr>
            <w:tcW w:type="dxa" w:w="1559"/>
          </w:tcPr>
          <w:p>
            <w:r>
              <w:rPr>
                <w:sz w:val="20"/>
              </w:rPr>
              <w:t>VITAMINE C UPSA</w:t>
            </w:r>
          </w:p>
        </w:tc>
        <w:tc>
          <w:tcPr>
            <w:tcW w:type="dxa" w:w="1559"/>
          </w:tcPr>
          <w:p>
            <w:r>
              <w:rPr>
                <w:sz w:val="20"/>
              </w:rPr>
              <w:t>PROPHARMAL</w:t>
            </w:r>
          </w:p>
        </w:tc>
        <w:tc>
          <w:tcPr>
            <w:tcW w:type="dxa" w:w="1559"/>
          </w:tcPr>
          <w:p>
            <w:r>
              <w:rPr>
                <w:sz w:val="20"/>
              </w:rPr>
              <w:t>Comprimé effervescent, 1 g</w:t>
            </w:r>
          </w:p>
        </w:tc>
        <w:tc>
          <w:tcPr>
            <w:tcW w:type="dxa" w:w="1559"/>
          </w:tcPr>
          <w:p>
            <w:r>
              <w:rPr>
                <w:sz w:val="20"/>
              </w:rPr>
              <w:t>B/20</w:t>
            </w:r>
          </w:p>
        </w:tc>
        <w:tc>
          <w:tcPr>
            <w:tcW w:type="dxa" w:w="1559"/>
          </w:tcPr>
          <w:p>
            <w:r>
              <w:rPr>
                <w:sz w:val="20"/>
              </w:rPr>
              <w:t>Hors liste</w:t>
            </w:r>
          </w:p>
        </w:tc>
        <w:tc>
          <w:tcPr>
            <w:tcW w:type="dxa" w:w="1559"/>
          </w:tcPr>
          <w:p>
            <w:r>
              <w:rPr>
                <w:sz w:val="20"/>
              </w:rPr>
              <w:t>ACTIF</w:t>
            </w:r>
          </w:p>
        </w:tc>
      </w:tr>
      <w:tr>
        <w:tc>
          <w:tcPr>
            <w:tcW w:type="dxa" w:w="1559"/>
          </w:tcPr>
          <w:p>
            <w:r>
              <w:rPr>
                <w:sz w:val="20"/>
              </w:rPr>
              <w:t>DOLIDOL FLASH VITAMINE C</w:t>
            </w:r>
          </w:p>
        </w:tc>
        <w:tc>
          <w:tcPr>
            <w:tcW w:type="dxa" w:w="1559"/>
          </w:tcPr>
          <w:p>
            <w:r>
              <w:rPr>
                <w:sz w:val="20"/>
              </w:rPr>
              <w:t>LABORATOIRE MOBEN</w:t>
            </w:r>
          </w:p>
        </w:tc>
        <w:tc>
          <w:tcPr>
            <w:tcW w:type="dxa" w:w="1559"/>
          </w:tcPr>
          <w:p>
            <w:r>
              <w:rPr>
                <w:sz w:val="20"/>
              </w:rPr>
              <w:t>Comprimés effervescents, paracétamol 500 mg + vit C 200 mg</w:t>
            </w:r>
          </w:p>
        </w:tc>
        <w:tc>
          <w:tcPr>
            <w:tcW w:type="dxa" w:w="1559"/>
          </w:tcPr>
          <w:p>
            <w:r>
              <w:rPr>
                <w:sz w:val="20"/>
              </w:rPr>
              <w:t>B/16</w:t>
            </w:r>
          </w:p>
        </w:tc>
        <w:tc>
          <w:tcPr>
            <w:tcW w:type="dxa" w:w="1559"/>
          </w:tcPr>
          <w:p>
            <w:r>
              <w:rPr>
                <w:sz w:val="20"/>
              </w:rPr>
              <w:t>Hors liste</w:t>
            </w:r>
          </w:p>
        </w:tc>
        <w:tc>
          <w:tcPr>
            <w:tcW w:type="dxa" w:w="1559"/>
          </w:tcPr>
          <w:p>
            <w:r>
              <w:rPr>
                <w:sz w:val="20"/>
              </w:rPr>
              <w:t>ACTIF</w:t>
            </w:r>
          </w:p>
        </w:tc>
      </w:tr>
      <w:tr>
        <w:tc>
          <w:tcPr>
            <w:tcW w:type="dxa" w:w="1559"/>
          </w:tcPr>
          <w:p>
            <w:r>
              <w:rPr>
                <w:sz w:val="20"/>
              </w:rPr>
              <w:t>EFFERALGAN VITAMINE C</w:t>
            </w:r>
          </w:p>
        </w:tc>
        <w:tc>
          <w:tcPr>
            <w:tcW w:type="dxa" w:w="1559"/>
          </w:tcPr>
          <w:p>
            <w:r>
              <w:rPr>
                <w:sz w:val="20"/>
              </w:rPr>
              <w:t>PROPHARMAL</w:t>
            </w:r>
          </w:p>
        </w:tc>
        <w:tc>
          <w:tcPr>
            <w:tcW w:type="dxa" w:w="1559"/>
          </w:tcPr>
          <w:p>
            <w:r>
              <w:rPr>
                <w:sz w:val="20"/>
              </w:rPr>
              <w:t>Comprimé effervescent, paracétamol 500 mg + vit C 200 mg</w:t>
            </w:r>
          </w:p>
        </w:tc>
        <w:tc>
          <w:tcPr>
            <w:tcW w:type="dxa" w:w="1559"/>
          </w:tcPr>
          <w:p>
            <w:r>
              <w:rPr>
                <w:sz w:val="20"/>
              </w:rPr>
              <w:t>B/16</w:t>
            </w:r>
          </w:p>
        </w:tc>
        <w:tc>
          <w:tcPr>
            <w:tcW w:type="dxa" w:w="1559"/>
          </w:tcPr>
          <w:p>
            <w:r>
              <w:rPr>
                <w:sz w:val="20"/>
              </w:rPr>
              <w:t>Hors liste</w:t>
            </w:r>
          </w:p>
        </w:tc>
        <w:tc>
          <w:tcPr>
            <w:tcW w:type="dxa" w:w="1559"/>
          </w:tcPr>
          <w:p>
            <w:r>
              <w:rPr>
                <w:sz w:val="20"/>
              </w:rPr>
              <w:t>ACTIF</w:t>
            </w:r>
          </w:p>
        </w:tc>
      </w:tr>
      <w:tr>
        <w:tc>
          <w:tcPr>
            <w:tcW w:type="dxa" w:w="1559"/>
          </w:tcPr>
          <w:p>
            <w:r>
              <w:rPr>
                <w:sz w:val="20"/>
              </w:rPr>
              <w:t>VELITEN</w:t>
            </w:r>
          </w:p>
        </w:tc>
        <w:tc>
          <w:tcPr>
            <w:tcW w:type="dxa" w:w="1559"/>
          </w:tcPr>
          <w:p>
            <w:r>
              <w:rPr>
                <w:sz w:val="20"/>
              </w:rPr>
              <w:t>ZAMBON</w:t>
            </w:r>
          </w:p>
        </w:tc>
        <w:tc>
          <w:tcPr>
            <w:tcW w:type="dxa" w:w="1559"/>
          </w:tcPr>
          <w:p>
            <w:r>
              <w:rPr>
                <w:sz w:val="20"/>
              </w:rPr>
              <w:t>Comprimé, paracétamol 200 mg + phényléphrine 50 mg + vit C 200 mg</w:t>
            </w:r>
          </w:p>
        </w:tc>
        <w:tc>
          <w:tcPr>
            <w:tcW w:type="dxa" w:w="1559"/>
          </w:tcPr>
          <w:p>
            <w:r>
              <w:rPr>
                <w:sz w:val="20"/>
              </w:rPr>
              <w:t>B/30</w:t>
            </w:r>
          </w:p>
        </w:tc>
        <w:tc>
          <w:tcPr>
            <w:tcW w:type="dxa" w:w="1559"/>
          </w:tcPr>
          <w:p>
            <w:r>
              <w:rPr>
                <w:sz w:val="20"/>
              </w:rPr>
              <w:t>Hors liste</w:t>
            </w:r>
          </w:p>
        </w:tc>
        <w:tc>
          <w:tcPr>
            <w:tcW w:type="dxa" w:w="1559"/>
          </w:tcPr>
          <w:p>
            <w:r>
              <w:rPr>
                <w:sz w:val="20"/>
              </w:rPr>
              <w:t>ACTIF</w:t>
            </w:r>
          </w:p>
        </w:tc>
      </w:tr>
      <w:tr>
        <w:tc>
          <w:tcPr>
            <w:tcW w:type="dxa" w:w="1559"/>
          </w:tcPr>
          <w:p>
            <w:r>
              <w:rPr>
                <w:sz w:val="20"/>
              </w:rPr>
              <w:t>BIOVEX (sachet dose)</w:t>
            </w:r>
          </w:p>
        </w:tc>
        <w:tc>
          <w:tcPr>
            <w:tcW w:type="dxa" w:w="1559"/>
          </w:tcPr>
          <w:p>
            <w:r>
              <w:rPr>
                <w:sz w:val="20"/>
              </w:rPr>
              <w:t>BIOCARE</w:t>
            </w:r>
          </w:p>
        </w:tc>
        <w:tc>
          <w:tcPr>
            <w:tcW w:type="dxa" w:w="1559"/>
          </w:tcPr>
          <w:p>
            <w:r>
              <w:rPr>
                <w:sz w:val="20"/>
              </w:rPr>
              <w:t>Granulés pour solution buvable en sachet-dose, paracétamol 280 mg + vit C 100 mg + phényléphrine 10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BIOVEX (adulte)</w:t>
            </w:r>
          </w:p>
        </w:tc>
        <w:tc>
          <w:tcPr>
            <w:tcW w:type="dxa" w:w="1559"/>
          </w:tcPr>
          <w:p>
            <w:r>
              <w:rPr>
                <w:sz w:val="20"/>
              </w:rPr>
              <w:t>BIOCARE</w:t>
            </w:r>
          </w:p>
        </w:tc>
        <w:tc>
          <w:tcPr>
            <w:tcW w:type="dxa" w:w="1559"/>
          </w:tcPr>
          <w:p>
            <w:r>
              <w:rPr>
                <w:sz w:val="20"/>
              </w:rPr>
              <w:t>Granulés pour solution buvable adulte, paracétamol 500 mg + vit C 200 mg + phényléphrine 25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FERVEX</w:t>
            </w:r>
          </w:p>
        </w:tc>
        <w:tc>
          <w:tcPr>
            <w:tcW w:type="dxa" w:w="1559"/>
          </w:tcPr>
          <w:p>
            <w:r>
              <w:rPr>
                <w:sz w:val="20"/>
              </w:rPr>
              <w:t>UPSA CONSEIL</w:t>
            </w:r>
          </w:p>
        </w:tc>
        <w:tc>
          <w:tcPr>
            <w:tcW w:type="dxa" w:w="1559"/>
          </w:tcPr>
          <w:p>
            <w:r>
              <w:rPr>
                <w:sz w:val="20"/>
              </w:rPr>
              <w:t>Granulé pour solution buvable en sachets-dose, paracétamol 500 mg + vit C 200 mg + phényléphrine 25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FERVEX ADULTE SANS SUCRE</w:t>
            </w:r>
          </w:p>
        </w:tc>
        <w:tc>
          <w:tcPr>
            <w:tcW w:type="dxa" w:w="1559"/>
          </w:tcPr>
          <w:p>
            <w:r>
              <w:rPr>
                <w:sz w:val="20"/>
              </w:rPr>
              <w:t>BRISTOL MYERS SQUIBB</w:t>
            </w:r>
          </w:p>
        </w:tc>
        <w:tc>
          <w:tcPr>
            <w:tcW w:type="dxa" w:w="1559"/>
          </w:tcPr>
          <w:p>
            <w:r>
              <w:rPr>
                <w:sz w:val="20"/>
              </w:rPr>
              <w:t>Granulé pour solution buvable en sachets-dose, paracétamol 500 mg + vit C 200 mg + phényléphrine 25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PARAVEX ADULTE</w:t>
            </w:r>
          </w:p>
        </w:tc>
        <w:tc>
          <w:tcPr>
            <w:tcW w:type="dxa" w:w="1559"/>
          </w:tcPr>
          <w:p>
            <w:r>
              <w:rPr>
                <w:sz w:val="20"/>
              </w:rPr>
              <w:t>ONYX INDUSTRIE PHARMACEUTIQUE</w:t>
            </w:r>
          </w:p>
        </w:tc>
        <w:tc>
          <w:tcPr>
            <w:tcW w:type="dxa" w:w="1559"/>
          </w:tcPr>
          <w:p>
            <w:r>
              <w:rPr>
                <w:sz w:val="20"/>
              </w:rPr>
              <w:t>Granulé pour solution buvable, paracétamol 500 mg + vit C 200 mg + phényléphrine 25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RHYNEX</w:t>
            </w:r>
          </w:p>
        </w:tc>
        <w:tc>
          <w:tcPr>
            <w:tcW w:type="dxa" w:w="1559"/>
          </w:tcPr>
          <w:p>
            <w:r>
              <w:rPr>
                <w:sz w:val="20"/>
              </w:rPr>
              <w:t>BIOGALENIC</w:t>
            </w:r>
          </w:p>
        </w:tc>
        <w:tc>
          <w:tcPr>
            <w:tcW w:type="dxa" w:w="1559"/>
          </w:tcPr>
          <w:p>
            <w:r>
              <w:rPr>
                <w:sz w:val="20"/>
              </w:rPr>
              <w:t>Granulé pour solution buvable en sachets-dose, paracétamol 500 mg + vit C 200 mg + phényléphrine 25 mg</w:t>
            </w:r>
          </w:p>
        </w:tc>
        <w:tc>
          <w:tcPr>
            <w:tcW w:type="dxa" w:w="1559"/>
          </w:tcPr>
          <w:p>
            <w:r>
              <w:rPr>
                <w:sz w:val="20"/>
              </w:rPr>
              <w:t>B/8 sachets</w:t>
            </w:r>
          </w:p>
        </w:tc>
        <w:tc>
          <w:tcPr>
            <w:tcW w:type="dxa" w:w="1559"/>
          </w:tcPr>
          <w:p>
            <w:r>
              <w:rPr>
                <w:sz w:val="20"/>
              </w:rPr>
              <w:t>Hors liste</w:t>
            </w:r>
          </w:p>
        </w:tc>
        <w:tc>
          <w:tcPr>
            <w:tcW w:type="dxa" w:w="1559"/>
          </w:tcPr>
          <w:p>
            <w:r>
              <w:rPr>
                <w:sz w:val="20"/>
              </w:rPr>
              <w:t>ACTIF</w:t>
            </w:r>
          </w:p>
        </w:tc>
      </w:tr>
      <w:tr>
        <w:tc>
          <w:tcPr>
            <w:tcW w:type="dxa" w:w="1559"/>
          </w:tcPr>
          <w:p>
            <w:r>
              <w:rPr>
                <w:sz w:val="20"/>
              </w:rPr>
              <w:t>EFFERALGAN VITAMINE C</w:t>
            </w:r>
          </w:p>
        </w:tc>
        <w:tc>
          <w:tcPr>
            <w:tcW w:type="dxa" w:w="1559"/>
          </w:tcPr>
          <w:p>
            <w:r>
              <w:rPr>
                <w:sz w:val="20"/>
              </w:rPr>
              <w:t>UPSA</w:t>
            </w:r>
          </w:p>
        </w:tc>
        <w:tc>
          <w:tcPr>
            <w:tcW w:type="dxa" w:w="1559"/>
          </w:tcPr>
          <w:p>
            <w:r>
              <w:rPr>
                <w:sz w:val="20"/>
              </w:rPr>
              <w:t>Comprimé effervescent sécable, paracétamol 330 mg + vit C 200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DOFEBRIL C</w:t>
            </w:r>
          </w:p>
        </w:tc>
        <w:tc>
          <w:tcPr>
            <w:tcW w:type="dxa" w:w="1559"/>
          </w:tcPr>
          <w:p>
            <w:r>
              <w:rPr>
                <w:sz w:val="20"/>
              </w:rPr>
              <w:t>API</w:t>
            </w:r>
          </w:p>
        </w:tc>
        <w:tc>
          <w:tcPr>
            <w:tcW w:type="dxa" w:w="1559"/>
          </w:tcPr>
          <w:p>
            <w:r>
              <w:rPr>
                <w:sz w:val="20"/>
              </w:rPr>
              <w:t>Comprimé effervescent, paracétamol 330 mg + vit C 200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NOFEB</w:t>
            </w:r>
          </w:p>
        </w:tc>
        <w:tc>
          <w:tcPr>
            <w:tcW w:type="dxa" w:w="1559"/>
          </w:tcPr>
          <w:p>
            <w:r>
              <w:rPr>
                <w:sz w:val="20"/>
              </w:rPr>
              <w:t>FRATER SARL</w:t>
            </w:r>
          </w:p>
        </w:tc>
        <w:tc>
          <w:tcPr>
            <w:tcW w:type="dxa" w:w="1559"/>
          </w:tcPr>
          <w:p>
            <w:r>
              <w:rPr>
                <w:sz w:val="20"/>
              </w:rPr>
              <w:t>Granulés, paracétamol 240 mg + vit C 3,2 mg + phényléphrine 100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CYCLO 3 FORT</w:t>
            </w:r>
          </w:p>
        </w:tc>
        <w:tc>
          <w:tcPr>
            <w:tcW w:type="dxa" w:w="1559"/>
          </w:tcPr>
          <w:p>
            <w:r>
              <w:rPr>
                <w:sz w:val="20"/>
              </w:rPr>
              <w:t>PIERRE FABRE</w:t>
            </w:r>
          </w:p>
        </w:tc>
        <w:tc>
          <w:tcPr>
            <w:tcW w:type="dxa" w:w="1559"/>
          </w:tcPr>
          <w:p>
            <w:r>
              <w:rPr>
                <w:sz w:val="20"/>
              </w:rPr>
              <w:t>Granulés, héspéridine 150 mg + vit C 150 mg + ruscus 100 mg</w:t>
            </w:r>
          </w:p>
        </w:tc>
        <w:tc>
          <w:tcPr>
            <w:tcW w:type="dxa" w:w="1559"/>
          </w:tcPr>
          <w:p>
            <w:r>
              <w:rPr>
                <w:sz w:val="20"/>
              </w:rPr>
              <w:t>B/30</w:t>
            </w:r>
          </w:p>
        </w:tc>
        <w:tc>
          <w:tcPr>
            <w:tcW w:type="dxa" w:w="1559"/>
          </w:tcPr>
          <w:p>
            <w:r>
              <w:rPr>
                <w:sz w:val="20"/>
              </w:rPr>
              <w:t>Hors liste</w:t>
            </w:r>
          </w:p>
        </w:tc>
        <w:tc>
          <w:tcPr>
            <w:tcW w:type="dxa" w:w="1559"/>
          </w:tcPr>
          <w:p>
            <w:r>
              <w:rPr>
                <w:sz w:val="20"/>
              </w:rPr>
              <w:t>NON_RENOUVELABLE</w:t>
            </w:r>
          </w:p>
        </w:tc>
      </w:tr>
      <w:tr>
        <w:tc>
          <w:tcPr>
            <w:tcW w:type="dxa" w:w="1559"/>
          </w:tcPr>
          <w:p>
            <w:r>
              <w:rPr>
                <w:sz w:val="20"/>
              </w:rPr>
              <w:t>RESIVEN</w:t>
            </w:r>
          </w:p>
        </w:tc>
        <w:tc>
          <w:tcPr>
            <w:tcW w:type="dxa" w:w="1559"/>
          </w:tcPr>
          <w:p>
            <w:r>
              <w:rPr>
                <w:sz w:val="20"/>
              </w:rPr>
              <w:t>LAD</w:t>
            </w:r>
          </w:p>
        </w:tc>
        <w:tc>
          <w:tcPr>
            <w:tcW w:type="dxa" w:w="1559"/>
          </w:tcPr>
          <w:p>
            <w:r>
              <w:rPr>
                <w:sz w:val="20"/>
              </w:rPr>
              <w:t>Ampoule buvable, paracétamol 200 mg + vit C 133 mg + phényléphrine 150 mg /5 mL</w:t>
            </w:r>
          </w:p>
        </w:tc>
        <w:tc>
          <w:tcPr>
            <w:tcW w:type="dxa" w:w="1559"/>
          </w:tcPr>
          <w:p>
            <w:r>
              <w:rPr>
                <w:sz w:val="20"/>
              </w:rPr>
              <w:t>B/20 amp. 5 mL</w:t>
            </w:r>
          </w:p>
        </w:tc>
        <w:tc>
          <w:tcPr>
            <w:tcW w:type="dxa" w:w="1559"/>
          </w:tcPr>
          <w:p>
            <w:r>
              <w:rPr>
                <w:sz w:val="20"/>
              </w:rPr>
              <w:t>Hors liste</w:t>
            </w:r>
          </w:p>
        </w:tc>
        <w:tc>
          <w:tcPr>
            <w:tcW w:type="dxa" w:w="1559"/>
          </w:tcPr>
          <w:p>
            <w:r>
              <w:rPr>
                <w:sz w:val="20"/>
              </w:rPr>
              <w:t>NON_RENOUVELABLE</w:t>
            </w:r>
          </w:p>
        </w:tc>
      </w:tr>
      <w:tr>
        <w:tc>
          <w:tcPr>
            <w:tcW w:type="dxa" w:w="1559"/>
          </w:tcPr>
          <w:p>
            <w:r>
              <w:rPr>
                <w:sz w:val="20"/>
              </w:rPr>
              <w:t>VITAMINE C (Biologici)</w:t>
            </w:r>
          </w:p>
        </w:tc>
        <w:tc>
          <w:tcPr>
            <w:tcW w:type="dxa" w:w="1559"/>
          </w:tcPr>
          <w:p>
            <w:r>
              <w:rPr>
                <w:sz w:val="20"/>
              </w:rPr>
              <w:t>BIOLOGICI ITALIA</w:t>
            </w:r>
          </w:p>
        </w:tc>
        <w:tc>
          <w:tcPr>
            <w:tcW w:type="dxa" w:w="1559"/>
          </w:tcPr>
          <w:p>
            <w:r>
              <w:rPr>
                <w:sz w:val="20"/>
              </w:rPr>
              <w:t>Solution injectable, 500 mg/5 mL</w:t>
            </w:r>
          </w:p>
        </w:tc>
        <w:tc>
          <w:tcPr>
            <w:tcW w:type="dxa" w:w="1559"/>
          </w:tcPr>
          <w:p>
            <w:r>
              <w:rPr>
                <w:sz w:val="20"/>
              </w:rPr>
              <w:t>B/10 amp.</w:t>
            </w:r>
          </w:p>
        </w:tc>
        <w:tc>
          <w:tcPr>
            <w:tcW w:type="dxa" w:w="1559"/>
          </w:tcPr>
          <w:p>
            <w:r>
              <w:rPr>
                <w:sz w:val="20"/>
              </w:rPr>
              <w:t>Hors liste</w:t>
            </w:r>
          </w:p>
        </w:tc>
        <w:tc>
          <w:tcPr>
            <w:tcW w:type="dxa" w:w="1559"/>
          </w:tcPr>
          <w:p>
            <w:r>
              <w:rPr>
                <w:sz w:val="20"/>
              </w:rPr>
              <w:t>NON_RENOUVELABLE</w:t>
            </w:r>
          </w:p>
        </w:tc>
      </w:tr>
      <w:tr>
        <w:tc>
          <w:tcPr>
            <w:tcW w:type="dxa" w:w="1559"/>
          </w:tcPr>
          <w:p>
            <w:r>
              <w:rPr>
                <w:sz w:val="20"/>
              </w:rPr>
              <w:t>VITA-C 500</w:t>
            </w:r>
          </w:p>
        </w:tc>
        <w:tc>
          <w:tcPr>
            <w:tcW w:type="dxa" w:w="1559"/>
          </w:tcPr>
          <w:p>
            <w:r>
              <w:rPr>
                <w:sz w:val="20"/>
              </w:rPr>
              <w:t>EL KENDI</w:t>
            </w:r>
          </w:p>
        </w:tc>
        <w:tc>
          <w:tcPr>
            <w:tcW w:type="dxa" w:w="1559"/>
          </w:tcPr>
          <w:p>
            <w:r>
              <w:rPr>
                <w:sz w:val="20"/>
              </w:rPr>
              <w:t>Comprimé à sucer, 500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VITAL C</w:t>
            </w:r>
          </w:p>
        </w:tc>
        <w:tc>
          <w:tcPr>
            <w:tcW w:type="dxa" w:w="1559"/>
          </w:tcPr>
          <w:p>
            <w:r>
              <w:rPr>
                <w:sz w:val="20"/>
              </w:rPr>
              <w:t>PHARMALLIANCE</w:t>
            </w:r>
          </w:p>
        </w:tc>
        <w:tc>
          <w:tcPr>
            <w:tcW w:type="dxa" w:w="1559"/>
          </w:tcPr>
          <w:p>
            <w:r>
              <w:rPr>
                <w:sz w:val="20"/>
              </w:rPr>
              <w:t>Granulés à microgranulés LP, 500 mg</w:t>
            </w:r>
          </w:p>
        </w:tc>
        <w:tc>
          <w:tcPr>
            <w:tcW w:type="dxa" w:w="1559"/>
          </w:tcPr>
          <w:p>
            <w:r>
              <w:rPr>
                <w:sz w:val="20"/>
              </w:rPr>
              <w:t>B/20</w:t>
            </w:r>
          </w:p>
        </w:tc>
        <w:tc>
          <w:tcPr>
            <w:tcW w:type="dxa" w:w="1559"/>
          </w:tcPr>
          <w:p>
            <w:r>
              <w:rPr>
                <w:sz w:val="20"/>
              </w:rPr>
              <w:t>Hors liste</w:t>
            </w:r>
          </w:p>
        </w:tc>
        <w:tc>
          <w:tcPr>
            <w:tcW w:type="dxa" w:w="1559"/>
          </w:tcPr>
          <w:p>
            <w:r>
              <w:rPr>
                <w:sz w:val="20"/>
              </w:rPr>
              <w:t>NON_RENOUVELABLE</w:t>
            </w:r>
          </w:p>
        </w:tc>
      </w:tr>
      <w:tr>
        <w:tc>
          <w:tcPr>
            <w:tcW w:type="dxa" w:w="1559"/>
          </w:tcPr>
          <w:p>
            <w:r>
              <w:rPr>
                <w:sz w:val="20"/>
              </w:rPr>
              <w:t>FERVEX ENFANT</w:t>
            </w:r>
          </w:p>
        </w:tc>
        <w:tc>
          <w:tcPr>
            <w:tcW w:type="dxa" w:w="1559"/>
          </w:tcPr>
          <w:p>
            <w:r>
              <w:rPr>
                <w:sz w:val="20"/>
              </w:rPr>
              <w:t>UPSA CONSEIL</w:t>
            </w:r>
          </w:p>
        </w:tc>
        <w:tc>
          <w:tcPr>
            <w:tcW w:type="dxa" w:w="1559"/>
          </w:tcPr>
          <w:p>
            <w:r>
              <w:rPr>
                <w:sz w:val="20"/>
              </w:rPr>
              <w:t>Granulés en sachet de 3 g, paracétamol 280 mg + vit C 100 mg + phényléphrine 10 mg</w:t>
            </w:r>
          </w:p>
        </w:tc>
        <w:tc>
          <w:tcPr>
            <w:tcW w:type="dxa" w:w="1559"/>
          </w:tcPr>
          <w:p>
            <w:r>
              <w:rPr>
                <w:sz w:val="20"/>
              </w:rPr>
              <w:t>B/8</w:t>
            </w:r>
          </w:p>
        </w:tc>
        <w:tc>
          <w:tcPr>
            <w:tcW w:type="dxa" w:w="1559"/>
          </w:tcPr>
          <w:p>
            <w:r>
              <w:rPr>
                <w:sz w:val="20"/>
              </w:rPr>
              <w:t>Hors liste</w:t>
            </w:r>
          </w:p>
        </w:tc>
        <w:tc>
          <w:tcPr>
            <w:tcW w:type="dxa" w:w="1559"/>
          </w:tcPr>
          <w:p>
            <w:r>
              <w:rPr>
                <w:sz w:val="20"/>
              </w:rPr>
              <w:t>NON_RENOUVELABLE</w:t>
            </w:r>
          </w:p>
        </w:tc>
      </w:tr>
      <w:tr>
        <w:tc>
          <w:tcPr>
            <w:tcW w:type="dxa" w:w="1559"/>
          </w:tcPr>
          <w:p>
            <w:r>
              <w:rPr>
                <w:sz w:val="20"/>
              </w:rPr>
              <w:t>PARAVERSAL VITAMINE C</w:t>
            </w:r>
          </w:p>
        </w:tc>
        <w:tc>
          <w:tcPr>
            <w:tcW w:type="dxa" w:w="1559"/>
          </w:tcPr>
          <w:p>
            <w:r>
              <w:rPr>
                <w:sz w:val="20"/>
              </w:rPr>
              <w:t>PRIME UNIVERSAL</w:t>
            </w:r>
          </w:p>
        </w:tc>
        <w:tc>
          <w:tcPr>
            <w:tcW w:type="dxa" w:w="1559"/>
          </w:tcPr>
          <w:p>
            <w:r>
              <w:rPr>
                <w:sz w:val="20"/>
              </w:rPr>
              <w:t>Granulés effervescents en sachet, paracétamol 500 mg + vit C 300 mg</w:t>
            </w:r>
          </w:p>
        </w:tc>
        <w:tc>
          <w:tcPr>
            <w:tcW w:type="dxa" w:w="1559"/>
          </w:tcPr>
          <w:p>
            <w:r>
              <w:rPr>
                <w:sz w:val="20"/>
              </w:rPr>
              <w:t>B/12 sachets</w:t>
            </w:r>
          </w:p>
        </w:tc>
        <w:tc>
          <w:tcPr>
            <w:tcW w:type="dxa" w:w="1559"/>
          </w:tcPr>
          <w:p>
            <w:r>
              <w:rPr>
                <w:sz w:val="20"/>
              </w:rPr>
              <w:t>Hors liste</w:t>
            </w:r>
          </w:p>
        </w:tc>
        <w:tc>
          <w:tcPr>
            <w:tcW w:type="dxa" w:w="1559"/>
          </w:tcPr>
          <w:p>
            <w:r>
              <w:rPr>
                <w:sz w:val="20"/>
              </w:rPr>
              <w:t>RETRAIT</w:t>
            </w:r>
          </w:p>
        </w:tc>
      </w:tr>
      <w:tr>
        <w:tc>
          <w:tcPr>
            <w:tcW w:type="dxa" w:w="1559"/>
          </w:tcPr>
          <w:p>
            <w:r>
              <w:rPr>
                <w:sz w:val="20"/>
              </w:rPr>
              <w:t>PARAVERSAL VITAMINE C</w:t>
            </w:r>
          </w:p>
        </w:tc>
        <w:tc>
          <w:tcPr>
            <w:tcW w:type="dxa" w:w="1559"/>
          </w:tcPr>
          <w:p>
            <w:r>
              <w:rPr>
                <w:sz w:val="20"/>
              </w:rPr>
              <w:t>PRIME UNIVERSAL</w:t>
            </w:r>
          </w:p>
        </w:tc>
        <w:tc>
          <w:tcPr>
            <w:tcW w:type="dxa" w:w="1559"/>
          </w:tcPr>
          <w:p>
            <w:r>
              <w:rPr>
                <w:sz w:val="20"/>
              </w:rPr>
              <w:t>Comprimé effervescent, paracétamol 500 mg + vit C 300 mg</w:t>
            </w:r>
          </w:p>
        </w:tc>
        <w:tc>
          <w:tcPr>
            <w:tcW w:type="dxa" w:w="1559"/>
          </w:tcPr>
          <w:p>
            <w:r>
              <w:rPr>
                <w:sz w:val="20"/>
              </w:rPr>
              <w:t>B/16</w:t>
            </w:r>
          </w:p>
        </w:tc>
        <w:tc>
          <w:tcPr>
            <w:tcW w:type="dxa" w:w="1559"/>
          </w:tcPr>
          <w:p>
            <w:r>
              <w:rPr>
                <w:sz w:val="20"/>
              </w:rPr>
              <w:t>Hors liste</w:t>
            </w:r>
          </w:p>
        </w:tc>
        <w:tc>
          <w:tcPr>
            <w:tcW w:type="dxa" w:w="1559"/>
          </w:tcPr>
          <w:p>
            <w:r>
              <w:rPr>
                <w:sz w:val="20"/>
              </w:rPr>
              <w:t>RETRAIT</w:t>
            </w:r>
          </w:p>
        </w:tc>
      </w:tr>
      <w:tr>
        <w:tc>
          <w:tcPr>
            <w:tcW w:type="dxa" w:w="1559"/>
          </w:tcPr>
          <w:p>
            <w:r>
              <w:rPr>
                <w:sz w:val="20"/>
              </w:rPr>
              <w:t>LAROSCORBINE (Roche)</w:t>
            </w:r>
          </w:p>
        </w:tc>
        <w:tc>
          <w:tcPr>
            <w:tcW w:type="dxa" w:w="1559"/>
          </w:tcPr>
          <w:p>
            <w:r>
              <w:rPr>
                <w:sz w:val="20"/>
              </w:rPr>
              <w:t>ROCHE</w:t>
            </w:r>
          </w:p>
        </w:tc>
        <w:tc>
          <w:tcPr>
            <w:tcW w:type="dxa" w:w="1559"/>
          </w:tcPr>
          <w:p>
            <w:r>
              <w:rPr>
                <w:sz w:val="20"/>
              </w:rPr>
              <w:t>Solution injectable IV, 500 mg/5 mL</w:t>
            </w:r>
          </w:p>
        </w:tc>
        <w:tc>
          <w:tcPr>
            <w:tcW w:type="dxa" w:w="1559"/>
          </w:tcPr>
          <w:p>
            <w:r>
              <w:rPr>
                <w:sz w:val="20"/>
              </w:rPr>
              <w:t>B/6</w:t>
            </w:r>
          </w:p>
        </w:tc>
        <w:tc>
          <w:tcPr>
            <w:tcW w:type="dxa" w:w="1559"/>
          </w:tcPr>
          <w:p>
            <w:r>
              <w:rPr>
                <w:sz w:val="20"/>
              </w:rPr>
              <w:t>Hors liste</w:t>
            </w:r>
          </w:p>
        </w:tc>
        <w:tc>
          <w:tcPr>
            <w:tcW w:type="dxa" w:w="1559"/>
          </w:tcPr>
          <w:p>
            <w:r>
              <w:rPr>
                <w:sz w:val="20"/>
              </w:rPr>
              <w:t>RETRAIT</w:t>
            </w:r>
          </w:p>
        </w:tc>
      </w:tr>
      <w:tr>
        <w:tc>
          <w:tcPr>
            <w:tcW w:type="dxa" w:w="1559"/>
          </w:tcPr>
          <w:p>
            <w:r>
              <w:rPr>
                <w:sz w:val="20"/>
              </w:rPr>
              <w:t>VITASCORBOL 500 TAMPONNEE</w:t>
            </w:r>
          </w:p>
        </w:tc>
        <w:tc>
          <w:tcPr>
            <w:tcW w:type="dxa" w:w="1559"/>
          </w:tcPr>
          <w:p>
            <w:r>
              <w:rPr>
                <w:sz w:val="20"/>
              </w:rPr>
              <w:t>RHONE POULENC RORER</w:t>
            </w:r>
          </w:p>
        </w:tc>
        <w:tc>
          <w:tcPr>
            <w:tcW w:type="dxa" w:w="1559"/>
          </w:tcPr>
          <w:p>
            <w:r>
              <w:rPr>
                <w:sz w:val="20"/>
              </w:rPr>
              <w:t>Comprimé, 500 mg</w:t>
            </w:r>
          </w:p>
        </w:tc>
        <w:tc>
          <w:tcPr>
            <w:tcW w:type="dxa" w:w="1559"/>
          </w:tcPr>
          <w:p>
            <w:r>
              <w:rPr>
                <w:sz w:val="20"/>
              </w:rPr>
              <w:t>B/12</w:t>
            </w:r>
          </w:p>
        </w:tc>
        <w:tc>
          <w:tcPr>
            <w:tcW w:type="dxa" w:w="1559"/>
          </w:tcPr>
          <w:p>
            <w:r>
              <w:rPr>
                <w:sz w:val="20"/>
              </w:rPr>
              <w:t>Hors liste</w:t>
            </w:r>
          </w:p>
        </w:tc>
        <w:tc>
          <w:tcPr>
            <w:tcW w:type="dxa" w:w="1559"/>
          </w:tcPr>
          <w:p>
            <w:r>
              <w:rPr>
                <w:sz w:val="20"/>
              </w:rPr>
              <w:t>RETRAIT</w:t>
            </w:r>
          </w:p>
        </w:tc>
      </w:tr>
      <w:tr>
        <w:tc>
          <w:tcPr>
            <w:tcW w:type="dxa" w:w="1559"/>
          </w:tcPr>
          <w:p>
            <w:r>
              <w:rPr>
                <w:sz w:val="20"/>
              </w:rPr>
              <w:t>WERAVIT C 500</w:t>
            </w:r>
          </w:p>
        </w:tc>
        <w:tc>
          <w:tcPr>
            <w:tcW w:type="dxa" w:w="1559"/>
          </w:tcPr>
          <w:p>
            <w:r>
              <w:rPr>
                <w:sz w:val="20"/>
              </w:rPr>
              <w:t>WEIMER PHARMA GmbH</w:t>
            </w:r>
          </w:p>
        </w:tc>
        <w:tc>
          <w:tcPr>
            <w:tcW w:type="dxa" w:w="1559"/>
          </w:tcPr>
          <w:p>
            <w:r>
              <w:rPr>
                <w:sz w:val="20"/>
              </w:rPr>
              <w:t>Comprimé, 500 mg</w:t>
            </w:r>
          </w:p>
        </w:tc>
        <w:tc>
          <w:tcPr>
            <w:tcW w:type="dxa" w:w="1559"/>
          </w:tcPr>
          <w:p>
            <w:r>
              <w:rPr>
                <w:sz w:val="20"/>
              </w:rPr>
              <w:t>B/20</w:t>
            </w:r>
          </w:p>
        </w:tc>
        <w:tc>
          <w:tcPr>
            <w:tcW w:type="dxa" w:w="1559"/>
          </w:tcPr>
          <w:p>
            <w:r>
              <w:rPr>
                <w:sz w:val="20"/>
              </w:rPr>
              <w:t>Hors liste</w:t>
            </w:r>
          </w:p>
        </w:tc>
        <w:tc>
          <w:tcPr>
            <w:tcW w:type="dxa" w:w="1559"/>
          </w:tcPr>
          <w:p>
            <w:r>
              <w:rPr>
                <w:sz w:val="20"/>
              </w:rPr>
              <w:t>RETRAIT</w:t>
            </w:r>
          </w:p>
        </w:tc>
      </w:tr>
      <w:tr>
        <w:tc>
          <w:tcPr>
            <w:tcW w:type="dxa" w:w="1559"/>
          </w:tcPr>
          <w:p>
            <w:r>
              <w:rPr>
                <w:sz w:val="20"/>
              </w:rPr>
              <w:t>VIT-C 500</w:t>
            </w:r>
          </w:p>
        </w:tc>
        <w:tc>
          <w:tcPr>
            <w:tcW w:type="dxa" w:w="1559"/>
          </w:tcPr>
          <w:p>
            <w:r>
              <w:rPr>
                <w:sz w:val="20"/>
              </w:rPr>
              <w:t>ALPHARM SPA</w:t>
            </w:r>
          </w:p>
        </w:tc>
        <w:tc>
          <w:tcPr>
            <w:tcW w:type="dxa" w:w="1559"/>
          </w:tcPr>
          <w:p>
            <w:r>
              <w:rPr>
                <w:sz w:val="20"/>
              </w:rPr>
              <w:t>Comprimé à croquer, 500 mg</w:t>
            </w:r>
          </w:p>
        </w:tc>
        <w:tc>
          <w:tcPr>
            <w:tcW w:type="dxa" w:w="1559"/>
          </w:tcPr>
          <w:p>
            <w:r>
              <w:rPr>
                <w:sz w:val="20"/>
              </w:rPr>
              <w:t>B/15</w:t>
            </w:r>
          </w:p>
        </w:tc>
        <w:tc>
          <w:tcPr>
            <w:tcW w:type="dxa" w:w="1559"/>
          </w:tcPr>
          <w:p>
            <w:r>
              <w:rPr>
                <w:sz w:val="20"/>
              </w:rPr>
              <w:t>Hors liste</w:t>
            </w:r>
          </w:p>
        </w:tc>
        <w:tc>
          <w:tcPr>
            <w:tcW w:type="dxa" w:w="1559"/>
          </w:tcPr>
          <w:p>
            <w:r>
              <w:rPr>
                <w:sz w:val="20"/>
              </w:rPr>
              <w:t>RETRAIT</w:t>
            </w:r>
          </w:p>
        </w:tc>
      </w:tr>
      <w:tr>
        <w:tc>
          <w:tcPr>
            <w:tcW w:type="dxa" w:w="1559"/>
          </w:tcPr>
          <w:p>
            <w:r>
              <w:rPr>
                <w:sz w:val="20"/>
              </w:rPr>
              <w:t>JUVAMINE C 500</w:t>
            </w:r>
          </w:p>
        </w:tc>
        <w:tc>
          <w:tcPr>
            <w:tcW w:type="dxa" w:w="1559"/>
          </w:tcPr>
          <w:p>
            <w:r>
              <w:rPr>
                <w:sz w:val="20"/>
              </w:rPr>
              <w:t>NOVO PHARMA</w:t>
            </w:r>
          </w:p>
        </w:tc>
        <w:tc>
          <w:tcPr>
            <w:tcW w:type="dxa" w:w="1559"/>
          </w:tcPr>
          <w:p>
            <w:r>
              <w:rPr>
                <w:sz w:val="20"/>
              </w:rPr>
              <w:t>Comprimé à croquer, 500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VITAMINE C UPSA (comprimé à croquer)</w:t>
            </w:r>
          </w:p>
        </w:tc>
        <w:tc>
          <w:tcPr>
            <w:tcW w:type="dxa" w:w="1559"/>
          </w:tcPr>
          <w:p>
            <w:r>
              <w:rPr>
                <w:sz w:val="20"/>
              </w:rPr>
              <w:t>UPSA CONSEIL</w:t>
            </w:r>
          </w:p>
        </w:tc>
        <w:tc>
          <w:tcPr>
            <w:tcW w:type="dxa" w:w="1559"/>
          </w:tcPr>
          <w:p>
            <w:r>
              <w:rPr>
                <w:sz w:val="20"/>
              </w:rPr>
              <w:t>Comprimé à croquer, 500 mg</w:t>
            </w:r>
          </w:p>
        </w:tc>
        <w:tc>
          <w:tcPr>
            <w:tcW w:type="dxa" w:w="1559"/>
          </w:tcPr>
          <w:p>
            <w:r>
              <w:rPr>
                <w:sz w:val="20"/>
              </w:rPr>
              <w:t>B/30</w:t>
            </w:r>
          </w:p>
        </w:tc>
        <w:tc>
          <w:tcPr>
            <w:tcW w:type="dxa" w:w="1559"/>
          </w:tcPr>
          <w:p>
            <w:r>
              <w:rPr>
                <w:sz w:val="20"/>
              </w:rPr>
              <w:t>Hors liste</w:t>
            </w:r>
          </w:p>
        </w:tc>
        <w:tc>
          <w:tcPr>
            <w:tcW w:type="dxa" w:w="1559"/>
          </w:tcPr>
          <w:p>
            <w:r>
              <w:rPr>
                <w:sz w:val="20"/>
              </w:rPr>
              <w:t>RETRAIT</w:t>
            </w:r>
          </w:p>
        </w:tc>
      </w:tr>
      <w:tr>
        <w:tc>
          <w:tcPr>
            <w:tcW w:type="dxa" w:w="1559"/>
          </w:tcPr>
          <w:p>
            <w:r>
              <w:rPr>
                <w:sz w:val="20"/>
              </w:rPr>
              <w:t>VITAMINE C (KRG Pharma)</w:t>
            </w:r>
          </w:p>
        </w:tc>
        <w:tc>
          <w:tcPr>
            <w:tcW w:type="dxa" w:w="1559"/>
          </w:tcPr>
          <w:p>
            <w:r>
              <w:rPr>
                <w:sz w:val="20"/>
              </w:rPr>
              <w:t>KRG PHARMA</w:t>
            </w:r>
          </w:p>
        </w:tc>
        <w:tc>
          <w:tcPr>
            <w:tcW w:type="dxa" w:w="1559"/>
          </w:tcPr>
          <w:p>
            <w:r>
              <w:rPr>
                <w:sz w:val="20"/>
              </w:rPr>
              <w:t>Poudre en sachet, 500 mg</w:t>
            </w:r>
          </w:p>
        </w:tc>
        <w:tc>
          <w:tcPr>
            <w:tcW w:type="dxa" w:w="1559"/>
          </w:tcPr>
          <w:p>
            <w:r>
              <w:rPr>
                <w:sz w:val="20"/>
              </w:rPr>
              <w:t>B/12</w:t>
            </w:r>
          </w:p>
        </w:tc>
        <w:tc>
          <w:tcPr>
            <w:tcW w:type="dxa" w:w="1559"/>
          </w:tcPr>
          <w:p>
            <w:r>
              <w:rPr>
                <w:sz w:val="20"/>
              </w:rPr>
              <w:t>Hors liste</w:t>
            </w:r>
          </w:p>
        </w:tc>
        <w:tc>
          <w:tcPr>
            <w:tcW w:type="dxa" w:w="1559"/>
          </w:tcPr>
          <w:p>
            <w:r>
              <w:rPr>
                <w:sz w:val="20"/>
              </w:rPr>
              <w:t>RETRAIT</w:t>
            </w:r>
          </w:p>
        </w:tc>
      </w:tr>
      <w:tr>
        <w:tc>
          <w:tcPr>
            <w:tcW w:type="dxa" w:w="1559"/>
          </w:tcPr>
          <w:p>
            <w:r>
              <w:rPr>
                <w:sz w:val="20"/>
              </w:rPr>
              <w:t>VITAMINE C UNIVERSAL</w:t>
            </w:r>
          </w:p>
        </w:tc>
        <w:tc>
          <w:tcPr>
            <w:tcW w:type="dxa" w:w="1559"/>
          </w:tcPr>
          <w:p>
            <w:r>
              <w:rPr>
                <w:sz w:val="20"/>
              </w:rPr>
              <w:t>PRIME UNIVERSAL</w:t>
            </w:r>
          </w:p>
        </w:tc>
        <w:tc>
          <w:tcPr>
            <w:tcW w:type="dxa" w:w="1559"/>
          </w:tcPr>
          <w:p>
            <w:r>
              <w:rPr>
                <w:sz w:val="20"/>
              </w:rPr>
              <w:t>Comprimé effervescent, 500 mg</w:t>
            </w:r>
          </w:p>
        </w:tc>
        <w:tc>
          <w:tcPr>
            <w:tcW w:type="dxa" w:w="1559"/>
          </w:tcPr>
          <w:p>
            <w:r>
              <w:rPr>
                <w:sz w:val="20"/>
              </w:rPr>
              <w:t>B/16</w:t>
            </w:r>
          </w:p>
        </w:tc>
        <w:tc>
          <w:tcPr>
            <w:tcW w:type="dxa" w:w="1559"/>
          </w:tcPr>
          <w:p>
            <w:r>
              <w:rPr>
                <w:sz w:val="20"/>
              </w:rPr>
              <w:t>Hors liste</w:t>
            </w:r>
          </w:p>
        </w:tc>
        <w:tc>
          <w:tcPr>
            <w:tcW w:type="dxa" w:w="1559"/>
          </w:tcPr>
          <w:p>
            <w:r>
              <w:rPr>
                <w:sz w:val="20"/>
              </w:rPr>
              <w:t>RETRAIT</w:t>
            </w:r>
          </w:p>
        </w:tc>
      </w:tr>
      <w:tr>
        <w:tc>
          <w:tcPr>
            <w:tcW w:type="dxa" w:w="1559"/>
          </w:tcPr>
          <w:p>
            <w:r>
              <w:rPr>
                <w:sz w:val="20"/>
              </w:rPr>
              <w:t>VITAMINE C (Sandoz)</w:t>
            </w:r>
          </w:p>
        </w:tc>
        <w:tc>
          <w:tcPr>
            <w:tcW w:type="dxa" w:w="1559"/>
          </w:tcPr>
          <w:p>
            <w:r>
              <w:rPr>
                <w:sz w:val="20"/>
              </w:rPr>
              <w:t>SANDOZ SPA</w:t>
            </w:r>
          </w:p>
        </w:tc>
        <w:tc>
          <w:tcPr>
            <w:tcW w:type="dxa" w:w="1559"/>
          </w:tcPr>
          <w:p>
            <w:r>
              <w:rPr>
                <w:sz w:val="20"/>
              </w:rPr>
              <w:t>Comprimé effervescent, 500 mg</w:t>
            </w:r>
          </w:p>
        </w:tc>
        <w:tc>
          <w:tcPr>
            <w:tcW w:type="dxa" w:w="1559"/>
          </w:tcPr>
          <w:p>
            <w:r>
              <w:rPr>
                <w:sz w:val="20"/>
              </w:rPr>
              <w:t>T/16</w:t>
            </w:r>
          </w:p>
        </w:tc>
        <w:tc>
          <w:tcPr>
            <w:tcW w:type="dxa" w:w="1559"/>
          </w:tcPr>
          <w:p>
            <w:r>
              <w:rPr>
                <w:sz w:val="20"/>
              </w:rPr>
              <w:t>Hors liste</w:t>
            </w:r>
          </w:p>
        </w:tc>
        <w:tc>
          <w:tcPr>
            <w:tcW w:type="dxa" w:w="1559"/>
          </w:tcPr>
          <w:p>
            <w:r>
              <w:rPr>
                <w:sz w:val="20"/>
              </w:rPr>
              <w:t>RETRAIT</w:t>
            </w:r>
          </w:p>
        </w:tc>
      </w:tr>
      <w:tr>
        <w:tc>
          <w:tcPr>
            <w:tcW w:type="dxa" w:w="1559"/>
          </w:tcPr>
          <w:p>
            <w:r>
              <w:rPr>
                <w:sz w:val="20"/>
              </w:rPr>
              <w:t>VITAMINE C (Prime sachet)</w:t>
            </w:r>
          </w:p>
        </w:tc>
        <w:tc>
          <w:tcPr>
            <w:tcW w:type="dxa" w:w="1559"/>
          </w:tcPr>
          <w:p>
            <w:r>
              <w:rPr>
                <w:sz w:val="20"/>
              </w:rPr>
              <w:t>PRIME UNIVERSAL</w:t>
            </w:r>
          </w:p>
        </w:tc>
        <w:tc>
          <w:tcPr>
            <w:tcW w:type="dxa" w:w="1559"/>
          </w:tcPr>
          <w:p>
            <w:r>
              <w:rPr>
                <w:sz w:val="20"/>
              </w:rPr>
              <w:t>Poudre orale effervescente en sachets, 500 mg</w:t>
            </w:r>
          </w:p>
        </w:tc>
        <w:tc>
          <w:tcPr>
            <w:tcW w:type="dxa" w:w="1559"/>
          </w:tcPr>
          <w:p>
            <w:r>
              <w:rPr>
                <w:sz w:val="20"/>
              </w:rPr>
              <w:t>B/12 sachets</w:t>
            </w:r>
          </w:p>
        </w:tc>
        <w:tc>
          <w:tcPr>
            <w:tcW w:type="dxa" w:w="1559"/>
          </w:tcPr>
          <w:p>
            <w:r>
              <w:rPr>
                <w:sz w:val="20"/>
              </w:rPr>
              <w:t>Hors liste</w:t>
            </w:r>
          </w:p>
        </w:tc>
        <w:tc>
          <w:tcPr>
            <w:tcW w:type="dxa" w:w="1559"/>
          </w:tcPr>
          <w:p>
            <w:r>
              <w:rPr>
                <w:sz w:val="20"/>
              </w:rPr>
              <w:t>RETRAIT</w:t>
            </w:r>
          </w:p>
        </w:tc>
      </w:tr>
      <w:tr>
        <w:tc>
          <w:tcPr>
            <w:tcW w:type="dxa" w:w="1559"/>
          </w:tcPr>
          <w:p>
            <w:r>
              <w:rPr>
                <w:sz w:val="20"/>
              </w:rPr>
              <w:t>VITAMINE C (Prime poudre)</w:t>
            </w:r>
          </w:p>
        </w:tc>
        <w:tc>
          <w:tcPr>
            <w:tcW w:type="dxa" w:w="1559"/>
          </w:tcPr>
          <w:p>
            <w:r>
              <w:rPr>
                <w:sz w:val="20"/>
              </w:rPr>
              <w:t>PRIME UNIVERSAL</w:t>
            </w:r>
          </w:p>
        </w:tc>
        <w:tc>
          <w:tcPr>
            <w:tcW w:type="dxa" w:w="1559"/>
          </w:tcPr>
          <w:p>
            <w:r>
              <w:rPr>
                <w:sz w:val="20"/>
              </w:rPr>
              <w:t>Poudre orale effervescente, 250 mg</w:t>
            </w:r>
          </w:p>
        </w:tc>
        <w:tc>
          <w:tcPr>
            <w:tcW w:type="dxa" w:w="1559"/>
          </w:tcPr>
          <w:p>
            <w:r>
              <w:rPr>
                <w:sz w:val="20"/>
              </w:rPr>
              <w:t>B/12 sachets</w:t>
            </w:r>
          </w:p>
        </w:tc>
        <w:tc>
          <w:tcPr>
            <w:tcW w:type="dxa" w:w="1559"/>
          </w:tcPr>
          <w:p>
            <w:r>
              <w:rPr>
                <w:sz w:val="20"/>
              </w:rPr>
              <w:t>Hors liste</w:t>
            </w:r>
          </w:p>
        </w:tc>
        <w:tc>
          <w:tcPr>
            <w:tcW w:type="dxa" w:w="1559"/>
          </w:tcPr>
          <w:p>
            <w:r>
              <w:rPr>
                <w:sz w:val="20"/>
              </w:rPr>
              <w:t>RETRAIT</w:t>
            </w:r>
          </w:p>
        </w:tc>
      </w:tr>
    </w:tbl>
    <w:p/>
    <w:p>
      <w:r>
        <w:t xml:space="preserve">Les spécialités </w:t>
      </w:r>
      <w:r>
        <w:rPr>
          <w:b/>
        </w:rPr>
        <w:t>actives</w:t>
      </w:r>
      <w:r>
        <w:t xml:space="preserve"> (22 spécialités) sont dominées par les producteurs locaux algériens (Frater-Razes, Saidal, API, Hupp Pharma, Moben, Merinal, LAD Pharma, Biogalenic, Inpha-Medis, ProPharmal, Onyx) et les importations (China Meheco, Bayer, UPSA, Bristol Myers Squibb, Zambon, Biocare). Les formes disponibles sont variées : comprimés à croquer ou à sucer (250 mg, 500 mg), comprimés effervescents (500 mg, 1 g), solutions injectables (500 mg/5 mL — RAZISCORBIC C en Liste I, VITAMINE C China Meheco). Les associations avec le paracétamol et les antihistaminiques-vasoconstricteurs sont particulièrement utiles pour le traitement symptomatique des syndromes grippaux (FERVEX, BIOVEX, RHYNEX, PARAVEX, EFFERALGAN VITAMINE C). Les spécialités historiques (LAROSCORBINE Roche injectable, VITASCORBOL, WERAVIT C, VIT-C, JUVAMINE) sont retirées du marché algérien. La spécialité </w:t>
      </w:r>
      <w:r>
        <w:rPr>
          <w:b/>
        </w:rPr>
        <w:t>RAZISCORBIC C</w:t>
      </w:r>
      <w:r>
        <w:t xml:space="preserve"> est la seule spécialité de vitamine C injectable active en Algérie, en </w:t>
      </w:r>
      <w:r>
        <w:rPr>
          <w:b/>
        </w:rPr>
        <w:t>Liste I</w:t>
      </w:r>
      <w:r>
        <w:t xml:space="preserve"> (surveillance médicale).</w:t>
      </w:r>
    </w:p>
    <w:p>
      <w:pPr>
        <w:pStyle w:val="Heading4"/>
      </w:pPr>
      <w:r>
        <w:t>3. Mécanisme d'action moléculaire détaillé</w:t>
      </w:r>
    </w:p>
    <w:p>
      <w:r>
        <w:t xml:space="preserve">L'acide ascorbique est le cofacteur de plusieurs </w:t>
      </w:r>
      <w:r>
        <w:rPr>
          <w:b/>
        </w:rPr>
        <w:t>dioxygénases</w:t>
      </w:r>
      <w:r>
        <w:t xml:space="preserve"> dépendantes du Fe²⁺ ou du Cu²⁺, qu'elle maintient dans leur état réduit actif (le Fe²⁺ et le Cu⁺ étant oxydés en Fe³⁺ et Cu²⁺ pendant la réaction catalytique, la vitamine C les régénère en Fe²⁺ et Cu⁺) :</w:t>
      </w:r>
    </w:p>
    <w:p>
      <w:pPr>
        <w:pStyle w:val="ListNumber"/>
      </w:pPr>
      <w:r/>
      <w:r>
        <w:rPr>
          <w:b/>
        </w:rPr>
        <w:t>Prolyl-4-hydroxylase, prolyl-3-hydroxylase, lysyl-5-hydroxylase</w:t>
      </w:r>
      <w:r>
        <w:t xml:space="preserve"> (RE et cytosol) — hydroxylation du proline (en 4-hydroxyproline et 3-hydroxyproline) et de la lysine (en 5-hydroxylysine) du collagène. Ces hydroxylations sont indispensables à la stabilité de la triple hélice du collagène (formation de ponts hydrogènes inter-caténaires). Sans vitamine C, le collagène produit est instable et dégradé → scorbut (hémorragies, purpura, déchaussement dentaire, retard de cicatrisation). La lysyl hydroxylase permet également la formation des pontages croisés du collagène et de l'élastine (desmosine).</w:t>
      </w:r>
    </w:p>
    <w:p>
      <w:pPr>
        <w:pStyle w:val="ListNumber"/>
      </w:pPr>
      <w:r/>
      <w:r>
        <w:rPr>
          <w:b/>
        </w:rPr>
        <w:t>Dopamine β-hydroxylase</w:t>
      </w:r>
      <w:r>
        <w:t xml:space="preserve"> (vésicules de sécrétion des terminaisons sympathiques et de la médullosurrénale) — conversion de la dopamine en noradrénaline. La vitamine C est le cofacteur de cette enzyme, et la vitamine C est consommée (oxydée en acide déshydroascorbique) à chaque cycle catalytique. Sans vitamine C, déficit en noradrénaline → hypotension, fatigue, dépression.</w:t>
      </w:r>
    </w:p>
    <w:p>
      <w:pPr>
        <w:pStyle w:val="ListNumber"/>
      </w:pPr>
      <w:r/>
      <w:r>
        <w:rPr>
          <w:b/>
        </w:rPr>
        <w:t>Peptidylglycine α-amidating monooxygenase (PAM)</w:t>
      </w:r>
      <w:r>
        <w:t xml:space="preserve"> — amidation des peptides neuroendocriniens (à partir du glycine terminal) — nombreux neuropeptides et hormones peptidiques nécessitent cette amidation pour leur activité biologique (TRH, GnRH, CRH, calcitonine, gastrine, cholécystokinine, vasopressine, oxytocine, MSH).</w:t>
      </w:r>
    </w:p>
    <w:p>
      <w:pPr>
        <w:pStyle w:val="ListNumber"/>
      </w:pPr>
      <w:r/>
      <w:r>
        <w:rPr>
          <w:b/>
        </w:rPr>
        <w:t>Triméthyllysine hydroxylase, γ-butyrobétaine hydroxylase</w:t>
      </w:r>
      <w:r>
        <w:t xml:space="preserve"> — synthèse de la carnitine (transport mitochondrial des acides gras à longue chaîne pour la β-oxydation). Sans vitamine C, déficit en carnitine → myopathie métabolique, fatigue musculaire.</w:t>
      </w:r>
    </w:p>
    <w:p>
      <w:pPr>
        <w:pStyle w:val="ListNumber"/>
      </w:pPr>
      <w:r/>
      <w:r>
        <w:rPr>
          <w:b/>
        </w:rPr>
        <w:t>HIF-prolyl hydroxylase</w:t>
      </w:r>
      <w:r>
        <w:t xml:space="preserve"> (PHD1, PHD2, PHD3) — régulation du HIF-1α (Hypoxia Inducible Factor) en conditions de normoxie. La vitamine C est nécessaire à la dégradation du HIF-1α (hydroxylation de prolines P402 et P564 → reconnaissance par le VHL → ubiquitination et dégradation par le protéasome). En cas de carence en vitamine C, le HIF-1α s'accumule, ce qui simule une hypoxie (activation des gènes de l'angiogenèse, de la glycolyse anaérobie, de l'érythropoïèse).</w:t>
      </w:r>
    </w:p>
    <w:p>
      <w:pPr>
        <w:pStyle w:val="ListNumber"/>
      </w:pPr>
      <w:r/>
      <w:r>
        <w:rPr>
          <w:b/>
        </w:rPr>
        <w:t>Aspartate β-hydroxylase</w:t>
      </w:r>
      <w:r>
        <w:t xml:space="preserve"> — modification post-traductionnelle de l'EGF (epidermal growth factor) et de la télomérase.</w:t>
      </w:r>
    </w:p>
    <w:p>
      <w:r>
        <w:t xml:space="preserve">En parallèle, la vitamine C est le </w:t>
      </w:r>
      <w:r>
        <w:rPr>
          <w:b/>
        </w:rPr>
        <w:t>principal antioxydant hydrosoluble</w:t>
      </w:r>
      <w:r>
        <w:t xml:space="preserve"> du plasma et du cytosol :</w:t>
      </w:r>
    </w:p>
    <w:p>
      <w:pPr>
        <w:pStyle w:val="ListBullet"/>
      </w:pPr>
      <w:r>
        <w:t>Elle piège les radicaux libres (radicalaire peroxyde ROO•, hydroxyle •OH, superoxyde O₂⁻•) en donnant un électron, ce qui la convertit en radicalaire semi-déhydroascorbique puis en acide déshydroascorbique. Le radicalaire semi-déhydroascorbique est régénéré en acide ascorbique par la NADH-dépendante semi-déhydroascorbate réductase.</w:t>
      </w:r>
    </w:p>
    <w:p>
      <w:pPr>
        <w:pStyle w:val="ListBullet"/>
      </w:pPr>
      <w:r>
        <w:t>Elle régénère la vitamine E (α-tocophérol) à partir de sa forme oxydée (tocophéroxyle radicalaire •TOH), ce qui maintient la fonction antioxydante liposoluble.</w:t>
      </w:r>
    </w:p>
    <w:p>
      <w:pPr>
        <w:pStyle w:val="ListBullet"/>
      </w:pPr>
      <w:r>
        <w:t>Elle régénère la tétrahydrobioptérine (BH4), cofacteur de la NO synthase endothéliale (rôle dans la fonction endothéliale et la vasomotricité). Sans vitamine C, la NO synthase endothéliale devient « uncoupled » et produit du superoxyde au lieu du NO → dysfonction endothélial, hypertension.</w:t>
      </w:r>
    </w:p>
    <w:p>
      <w:r>
        <w:t xml:space="preserve">L'acide déshydroascorbique (forme oxydée) est ensuite recyclé en acide ascorbique par la </w:t>
      </w:r>
      <w:r>
        <w:rPr>
          <w:b/>
        </w:rPr>
        <w:t>glutathion-dépendante déhydroascorbate réductase</w:t>
      </w:r>
      <w:r>
        <w:t xml:space="preserve"> (consommation de 2 GSH → GSSG), ou par la NADPH-dépendante semi-déhydroascorbate réductase. Le pool total d'acide ascorbique corporel est d'environ 1,5 à 3 g (suffisant pour 2 à 6 mois de besoins en cas d'arrêt total d'apport — le scorbut ne se manifeste qu'après 2 à 3 mois de carence d'apport).</w:t>
      </w:r>
    </w:p>
    <w:p>
      <w:pPr>
        <w:pStyle w:val="Heading4"/>
      </w:pPr>
      <w:r>
        <w:t>4. Pharmacocinétique</w:t>
      </w:r>
    </w:p>
    <w:p>
      <w:r/>
      <w:r>
        <w:rPr>
          <w:b/>
        </w:rPr>
        <w:t>Absorption</w:t>
      </w:r>
      <w:r>
        <w:t xml:space="preserve"> : la vitamine C est absorbée au niveau de l'iléon par transporteur saturable dépendant du </w:t>
      </w:r>
      <w:r>
        <w:rPr>
          <w:b/>
        </w:rPr>
        <w:t>SVCT1 (sodium-dependent vitamin C transporter 1, SLC23A2)</w:t>
      </w:r>
      <w:r>
        <w:t xml:space="preserve"> et du </w:t>
      </w:r>
      <w:r>
        <w:rPr>
          <w:b/>
        </w:rPr>
        <w:t>SVCT2 (SLC23A1)</w:t>
      </w:r>
      <w:r>
        <w:t>. La biodisponibilité est élevée (80 à 100 %) aux doses nutritionnelles (≤ 200 mg/jour), et saturable à doses pharmacologiques (la fraction absorbée diminue avec la dose : 80 % à 200 mg, 50 % à 1 g, 30 % à 3 g, 16 % à 12 g). L'acide déshydroascorbique (forme oxydée) est absorbé par les transporteurs de glucose GLUT1, GLUT3 et GLUT4. Une fois absorbée, la vitamine C est distribuée aux tissus par le SVCT2 (transporteur actif).</w:t>
      </w:r>
    </w:p>
    <w:p>
      <w:r/>
      <w:r>
        <w:rPr>
          <w:b/>
        </w:rPr>
        <w:t>Distribution</w:t>
      </w:r>
      <w:r>
        <w:t xml:space="preserve"> : la vitamine C est distribuée dans tous les tissus, avec une concentration plus élevée dans les glandes surrénales (150 à 500 µmol/L), les leucocytes (1 à 2 mmol/L), le cerveau, l'hypophyse, le foie, le cristallin, la rétine, les ovaires, le testicule. La concentration plasmatique normale est de 25 à 70 µmol/L. Le pool corporel total est d'environ 1,5 à 3 g. La demi-vie plasmatique est d'environ 8 à 40 jours (en fonction de la dose). La vitamine C traverse le placenta par transporteur actif (SVCT2) et s'accumule dans le liquide amniotique. La vitamine C passe dans le lait maternel (concentration 30 à 100 mg/L).</w:t>
      </w:r>
    </w:p>
    <w:p>
      <w:r/>
      <w:r>
        <w:rPr>
          <w:b/>
        </w:rPr>
        <w:t>Métabolisme</w:t>
      </w:r>
      <w:r>
        <w:t xml:space="preserve"> : la vitamine C est peu métabolisée, principalement oxydée en acide déshydroascorbique (réversible), puis en acide 2,3-diketogulonique (irréversible), puis en acide oxalique (substrat de la lithiase oxalique) et en acide threonique. La conversion en acide oxalique devient quantitativement significative à doses ≥ 1 g/jour, ce qui explique le risque de lithiase oxalique.</w:t>
      </w:r>
    </w:p>
    <w:p>
      <w:r/>
      <w:r>
        <w:rPr>
          <w:b/>
        </w:rPr>
        <w:t>Élimination</w:t>
      </w:r>
      <w:r>
        <w:t xml:space="preserve"> : principalement urinaire (≥ 80 %), sous forme libre d'acide ascorbique (à doses saturant la réabsorption tubulaire, ≥ 100 mg/jour), de métabolites (acide déhydroascorbique, acide oxalique, acide threonique). L'acide ascorbique est librement filtré par le glomérule et réabsorbé par les transporteurs SVCT1 tubulaires proximaux (saturation à doses élevées). En cas d'insuffisance rénale, la vitamine C s'accumule (peu de toxicité propre, mais augmentation de la production d'acide oxalique → lithiase oxalique).</w:t>
      </w:r>
    </w:p>
    <w:p>
      <w:pPr>
        <w:pStyle w:val="Heading4"/>
      </w:pPr>
      <w:r>
        <w:t>5. Effets indésirables et prévention</w:t>
      </w:r>
    </w:p>
    <w:p>
      <w:r/>
      <w:r>
        <w:rPr>
          <w:b/>
        </w:rPr>
        <w:t>Effets indésirables aux doses thérapeutiques orales</w:t>
      </w:r>
      <w:r>
        <w:t xml:space="preserve"> (≤ 500 mg/jour) :</w:t>
      </w:r>
    </w:p>
    <w:p>
      <w:pPr>
        <w:pStyle w:val="ListBullet"/>
      </w:pPr>
      <w:r/>
      <w:r>
        <w:rPr>
          <w:b/>
        </w:rPr>
        <w:t>Digestifs</w:t>
      </w:r>
      <w:r>
        <w:t xml:space="preserve"> : nausées, diarrhée osmotique (à doses ≥ 1 g/jour). Prévention : prendre au cours du repas, fractionner les doses.</w:t>
      </w:r>
    </w:p>
    <w:p>
      <w:pPr>
        <w:pStyle w:val="ListBullet"/>
      </w:pPr>
      <w:r/>
      <w:r>
        <w:rPr>
          <w:b/>
        </w:rPr>
        <w:t>Coloration jaune des urines</w:t>
      </w:r>
      <w:r>
        <w:t xml:space="preserve"> : fréquente, bénigne (coloration par l'acide ascorbique excrété).</w:t>
      </w:r>
    </w:p>
    <w:p>
      <w:pPr>
        <w:pStyle w:val="ListBullet"/>
      </w:pPr>
      <w:r/>
      <w:r>
        <w:rPr>
          <w:b/>
        </w:rPr>
        <w:t>Acidification des urines</w:t>
      </w:r>
      <w:r>
        <w:t xml:space="preserve"> : la vitamine C abaisse le pH urinaire → risque accru de lithiase urique chez les patients prédisposés. Prévention : hydratation abondante, surveillance du pH urinaire.</w:t>
      </w:r>
    </w:p>
    <w:p>
      <w:pPr>
        <w:pStyle w:val="ListBullet"/>
      </w:pPr>
      <w:r/>
      <w:r>
        <w:rPr>
          <w:b/>
        </w:rPr>
        <w:t>Allergiques</w:t>
      </w:r>
      <w:r>
        <w:t xml:space="preserve"> : réactions cutanées très rares.</w:t>
      </w:r>
    </w:p>
    <w:p>
      <w:r/>
      <w:r>
        <w:rPr>
          <w:b/>
        </w:rPr>
        <w:t>Effets indésirables aux doses pharmacologiques orales</w:t>
      </w:r>
      <w:r>
        <w:t xml:space="preserve"> (≥ 1 g/jour) — </w:t>
      </w:r>
      <w:r>
        <w:rPr>
          <w:b/>
        </w:rPr>
        <w:t>RISQUE OXALOSE</w:t>
      </w:r>
      <w:r>
        <w:t xml:space="preserve"> :</w:t>
      </w:r>
    </w:p>
    <w:p>
      <w:pPr>
        <w:pStyle w:val="ListBullet"/>
      </w:pPr>
      <w:r/>
      <w:r>
        <w:rPr>
          <w:b/>
        </w:rPr>
        <w:t>Lithiase oxalique</w:t>
      </w:r>
      <w:r>
        <w:t xml:space="preserve"> (calculs rénaux d'oxalate de calcium) — la vitamine C à doses ≥ 1 g/jour augmente la production et l'excrétion d'acide oxalique (métabolite terminal), ce qui majore le risque de lithiase oxalique. La méta-analyse de 2013 (Curhan et al.) estime le risque relatif à 1,4 à 2,0 pour les doses ≥ 1 g/jour. Prévention : éviter les doses ≥ 1 g/jour chez les patients avec antécédent de lithiase oxalique ; hydratation abondante ; surveillance de l'oxalurie.</w:t>
      </w:r>
    </w:p>
    <w:p>
      <w:pPr>
        <w:pStyle w:val="ListBullet"/>
      </w:pPr>
      <w:r/>
      <w:r>
        <w:rPr>
          <w:b/>
        </w:rPr>
        <w:t>Hémolyse</w:t>
      </w:r>
      <w:r>
        <w:t xml:space="preserve"> chez les patients avec déficit en G6PD (rare, à doses ≥ 6 g/jour IV).</w:t>
      </w:r>
    </w:p>
    <w:p>
      <w:pPr>
        <w:pStyle w:val="ListBullet"/>
      </w:pPr>
      <w:r/>
      <w:r>
        <w:rPr>
          <w:b/>
        </w:rPr>
        <w:t>Surcharge en fer</w:t>
      </w:r>
      <w:r>
        <w:t xml:space="preserve"> : la vitamine C augmente l'absorption du fer alimentaire (réduction du Fe³⁺ en Fe²⁺). À doses ≥ 500 mg/jour, risque de surcharge martiale chez les patients avec hémochromatose, thalassémie, sidéroblastique. Prévention : surveillance de la ferritine chez ces patients.</w:t>
      </w:r>
    </w:p>
    <w:p>
      <w:pPr>
        <w:pStyle w:val="ListBullet"/>
      </w:pPr>
      <w:r/>
      <w:r>
        <w:rPr>
          <w:b/>
        </w:rPr>
        <w:t>Destruction de la vitamine B12</w:t>
      </w:r>
      <w:r>
        <w:t xml:space="preserve"> : à doses ≥ 500 mg/jour, la vitamine C peut détruire la B12 dans l'estomac (données contradictoires). Espacer les prises.</w:t>
      </w:r>
    </w:p>
    <w:p>
      <w:r/>
      <w:r>
        <w:rPr>
          <w:b/>
        </w:rPr>
        <w:t>Effets indésirables de la voie injectable</w:t>
      </w:r>
      <w:r>
        <w:t xml:space="preserve"> (RAZISCORBIC C) :</w:t>
      </w:r>
    </w:p>
    <w:p>
      <w:pPr>
        <w:pStyle w:val="ListBullet"/>
      </w:pPr>
      <w:r/>
      <w:r>
        <w:rPr>
          <w:b/>
        </w:rPr>
        <w:t>Réactions allergiques</w:t>
      </w:r>
      <w:r>
        <w:t xml:space="preserve"> : choc anaphylactique rare mais décrit. Prévention : injection IV lente (≥ 5 minutes pour 500 mg), disponibilité d'un kit de réanimation.</w:t>
      </w:r>
    </w:p>
    <w:p>
      <w:pPr>
        <w:pStyle w:val="ListBullet"/>
      </w:pPr>
      <w:r/>
      <w:r>
        <w:rPr>
          <w:b/>
        </w:rPr>
        <w:t>Réactions locales</w:t>
      </w:r>
      <w:r>
        <w:t xml:space="preserve"> : douleur au point d'injection IV, phlébite.</w:t>
      </w:r>
    </w:p>
    <w:p>
      <w:pPr>
        <w:pStyle w:val="ListBullet"/>
      </w:pPr>
      <w:r/>
      <w:r>
        <w:rPr>
          <w:b/>
        </w:rPr>
        <w:t>Hypotension transitoire</w:t>
      </w:r>
      <w:r>
        <w:t xml:space="preserve"> : à l'injection IV rapide.</w:t>
      </w:r>
    </w:p>
    <w:p>
      <w:pPr>
        <w:pStyle w:val="ListBullet"/>
      </w:pPr>
      <w:r/>
      <w:r>
        <w:rPr>
          <w:b/>
        </w:rPr>
        <w:t>Acidose métabolique</w:t>
      </w:r>
      <w:r>
        <w:t xml:space="preserve"> : à doses très élevées (≥ 10 g IV) en raison de l'acidité de la solution.</w:t>
      </w:r>
    </w:p>
    <w:p>
      <w:r/>
      <w:r>
        <w:rPr>
          <w:b/>
        </w:rPr>
        <w:t>Prévention générale des effets indésirables</w:t>
      </w:r>
      <w:r>
        <w:t xml:space="preserve"> :</w:t>
      </w:r>
    </w:p>
    <w:p>
      <w:pPr>
        <w:pStyle w:val="ListNumber"/>
      </w:pPr>
      <w:r/>
      <w:r>
        <w:rPr>
          <w:b/>
        </w:rPr>
        <w:t>Ne pas dépasser 1 g/jour au long cours</w:t>
      </w:r>
      <w:r>
        <w:t xml:space="preserve"> en l'absence d'indication spécifique (cancer en essai clinique, brûlures étendues).</w:t>
      </w:r>
    </w:p>
    <w:p>
      <w:pPr>
        <w:pStyle w:val="ListNumber"/>
      </w:pPr>
      <w:r/>
      <w:r>
        <w:rPr>
          <w:b/>
        </w:rPr>
        <w:t>Surveiller l'oxalurie et la fonction rénale</w:t>
      </w:r>
      <w:r>
        <w:t xml:space="preserve"> à doses ≥ 1 g/jour.</w:t>
      </w:r>
    </w:p>
    <w:p>
      <w:pPr>
        <w:pStyle w:val="ListNumber"/>
      </w:pPr>
      <w:r/>
      <w:r>
        <w:rPr>
          <w:b/>
        </w:rPr>
        <w:t>Éviter les doses ≥ 1 g/jour chez les patients avec antécédent de lithiase oxalique ou d'insuffisance rénale</w:t>
      </w:r>
      <w:r>
        <w:t>.</w:t>
      </w:r>
    </w:p>
    <w:p>
      <w:pPr>
        <w:pStyle w:val="ListNumber"/>
      </w:pPr>
      <w:r/>
      <w:r>
        <w:rPr>
          <w:b/>
        </w:rPr>
        <w:t>Éviter les doses ≥ 500 mg/jour chez les patients avec hémochromatose, thalassémie, anémie sidéroblastique</w:t>
      </w:r>
      <w:r>
        <w:t xml:space="preserve"> (surcharge martiale).</w:t>
      </w:r>
    </w:p>
    <w:p>
      <w:pPr>
        <w:pStyle w:val="ListNumber"/>
      </w:pPr>
      <w:r/>
      <w:r>
        <w:rPr>
          <w:b/>
        </w:rPr>
        <w:t>Surveiller la ferritine</w:t>
      </w:r>
      <w:r>
        <w:t xml:space="preserve"> chez les patients recevant du fer et de la vitamine C.</w:t>
      </w:r>
    </w:p>
    <w:p>
      <w:pPr>
        <w:pStyle w:val="ListNumber"/>
      </w:pPr>
      <w:r/>
      <w:r>
        <w:rPr>
          <w:b/>
        </w:rPr>
        <w:t>Pour la voie injectable</w:t>
      </w:r>
      <w:r>
        <w:t xml:space="preserve"> : injecter lentement (≥ 5 minutes pour 500 mg), disposer d'un kit de réanimation.</w:t>
      </w:r>
    </w:p>
    <w:p>
      <w:pPr>
        <w:pStyle w:val="Heading4"/>
      </w:pPr>
      <w:r>
        <w:t>6. Interactions médicamenteuses</w:t>
      </w:r>
    </w:p>
    <w:p>
      <w:pPr>
        <w:pStyle w:val="ListBullet"/>
      </w:pPr>
      <w:r/>
      <w:r>
        <w:rPr>
          <w:b/>
        </w:rPr>
        <w:t>Fer (sels ferreux ou ferriques)</w:t>
      </w:r>
      <w:r>
        <w:t xml:space="preserve"> : la vitamine C améliore l'absorption du fer alimentaire et thérapeutique (réduction du Fe³⁺ en Fe²⁺ absorbable). Synergie positive en cas d'anémie ferriprive. Risque de surcharge martiale à doses ≥ 500 mg/jour en cas d'hémochromatose, thalassémie. Espacer des antiacides et laitages (chélation du fer).</w:t>
      </w:r>
    </w:p>
    <w:p>
      <w:pPr>
        <w:pStyle w:val="ListBullet"/>
      </w:pPr>
      <w:r/>
      <w:r>
        <w:rPr>
          <w:b/>
        </w:rPr>
        <w:t>Déféroxamine</w:t>
      </w:r>
      <w:r>
        <w:t xml:space="preserve"> (chélateur du fer) : la vitamine C potentialise l'effet chélateur de la déféroxamine en mobilisant le fer intracellulaire (réduction du Fe³⁺ en Fe²⁺ chélatable). Utilisation thérapeutique dans la thalassémie. Attention : risque de toxicité cardiaque à doses élevées de vitamine C (≥ 500 mg/jour) en association avec la déféroxamine.</w:t>
      </w:r>
    </w:p>
    <w:p>
      <w:pPr>
        <w:pStyle w:val="ListBullet"/>
      </w:pPr>
      <w:r/>
      <w:r>
        <w:rPr>
          <w:b/>
        </w:rPr>
        <w:t>Aluminium</w:t>
      </w:r>
      <w:r>
        <w:t xml:space="preserve"> (antiacides, sucralfate) : la vitamine C augmente l'absorption de l'aluminium (chélation). Risque de toxicité aluminique chez l'insuffisant renal. Espacer les prises.</w:t>
      </w:r>
    </w:p>
    <w:p>
      <w:pPr>
        <w:pStyle w:val="ListBullet"/>
      </w:pPr>
      <w:r/>
      <w:r>
        <w:rPr>
          <w:b/>
        </w:rPr>
        <w:t>Vitamine B12 (cyanocobalamine)</w:t>
      </w:r>
      <w:r>
        <w:t xml:space="preserve"> : à doses ≥ 500 mg/jour, la vitamine C peut détruire la B12 dans l'estomac (données contradictoires). Espacer les prises de 2 heures.</w:t>
      </w:r>
    </w:p>
    <w:p>
      <w:pPr>
        <w:pStyle w:val="ListBullet"/>
      </w:pPr>
      <w:r/>
      <w:r>
        <w:rPr>
          <w:b/>
        </w:rPr>
        <w:t>Œstroprogestatifs</w:t>
      </w:r>
      <w:r>
        <w:t xml:space="preserve"> : diminution modeste de l'absorption de la vitamine C (induction enzymatique).</w:t>
      </w:r>
    </w:p>
    <w:p>
      <w:pPr>
        <w:pStyle w:val="ListBullet"/>
      </w:pPr>
      <w:r/>
      <w:r>
        <w:rPr>
          <w:b/>
        </w:rPr>
        <w:t>Aspirine</w:t>
      </w:r>
      <w:r>
        <w:t xml:space="preserve"> : augmentation de l'excrétion de la vitamine C (diminution de la réabsorption tubulaire). Risque de carence chez les patients sous aspirine au long cours.</w:t>
      </w:r>
    </w:p>
    <w:p>
      <w:pPr>
        <w:pStyle w:val="ListBullet"/>
      </w:pPr>
      <w:r/>
      <w:r>
        <w:rPr>
          <w:b/>
        </w:rPr>
        <w:t>Warfarine (antivitamine K)</w:t>
      </w:r>
      <w:r>
        <w:t xml:space="preserve"> : à doses ≥ 1 g/jour, la vitamine C peut potentialiser l'effet anticoagulant de la warfarine (effet sur la vitamine K époxyde réductase). Surveillance de l'INR.</w:t>
      </w:r>
    </w:p>
    <w:p>
      <w:pPr>
        <w:pStyle w:val="ListBullet"/>
      </w:pPr>
      <w:r/>
      <w:r>
        <w:rPr>
          <w:b/>
        </w:rPr>
        <w:t>Chimiothérapies</w:t>
      </w:r>
      <w:r>
        <w:t xml:space="preserve"> (doxorubicine, cisplatine, vincristine) : la vitamine C à doses pharmacologiques (≥ 1 g/jour) pourrait réduire l'efficacité de certaines chimiothérapies (effet antioxydant protecteur des cellules tumorales — données contradictoires). À éviter pendant les chimiothérapies sans avis spécialisé.</w:t>
      </w:r>
    </w:p>
    <w:p>
      <w:pPr>
        <w:pStyle w:val="ListBullet"/>
      </w:pPr>
      <w:r/>
      <w:r>
        <w:rPr>
          <w:b/>
        </w:rPr>
        <w:t>Méthotrexate</w:t>
      </w:r>
      <w:r>
        <w:t xml:space="preserve"> : la vitamine C à doses ≥ 1 g/jour pourrait augmenter l'excrétion rénale du méthotrexate (acidification des urines). À surveiller.</w:t>
      </w:r>
    </w:p>
    <w:p>
      <w:pPr>
        <w:pStyle w:val="ListBullet"/>
      </w:pPr>
      <w:r/>
      <w:r>
        <w:rPr>
          <w:b/>
        </w:rPr>
        <w:t>Barbituriques</w:t>
      </w:r>
      <w:r>
        <w:t xml:space="preserve"> : augmentation du catabolisme de la vitamine C. Risque de carence chez les patients sous phénobarbital.</w:t>
      </w:r>
    </w:p>
    <w:p>
      <w:pPr>
        <w:pStyle w:val="ListBullet"/>
      </w:pPr>
      <w:r/>
      <w:r>
        <w:rPr>
          <w:b/>
        </w:rPr>
        <w:t>Tétracyclines</w:t>
      </w:r>
      <w:r>
        <w:t xml:space="preserve"> : la vitamine C augmente l'excrétion des tétracyclines. Espacer les prises.</w:t>
      </w:r>
    </w:p>
    <w:p>
      <w:pPr>
        <w:pStyle w:val="ListBullet"/>
      </w:pPr>
      <w:r/>
      <w:r>
        <w:rPr>
          <w:b/>
        </w:rPr>
        <w:t>Fluphénazine, halopéridol</w:t>
      </w:r>
      <w:r>
        <w:t xml:space="preserve"> (antipsychotiques) : à doses ≥ 1 g/jour, la vitamine C potentialise l'effet des antipsychotiques (données limitées).</w:t>
      </w:r>
    </w:p>
    <w:p>
      <w:pPr>
        <w:pStyle w:val="Heading4"/>
      </w:pPr>
      <w:r>
        <w:t>7. Contre-indications et précautions d'emploi</w:t>
      </w:r>
    </w:p>
    <w:p>
      <w:r/>
      <w:r>
        <w:rPr>
          <w:b/>
        </w:rPr>
        <w:t>Contre-indications</w:t>
      </w:r>
      <w:r>
        <w:t xml:space="preserve"> :</w:t>
      </w:r>
    </w:p>
    <w:p>
      <w:pPr>
        <w:pStyle w:val="ListBullet"/>
      </w:pPr>
      <w:r>
        <w:t>Hypersensibilité à l'acide ascorbique ou à l'un des excipients.</w:t>
      </w:r>
    </w:p>
    <w:p>
      <w:pPr>
        <w:pStyle w:val="ListBullet"/>
      </w:pPr>
      <w:r>
        <w:t>Antécédent de lithiase oxalique (à doses ≥ 1 g/jour).</w:t>
      </w:r>
    </w:p>
    <w:p>
      <w:pPr>
        <w:pStyle w:val="ListBullet"/>
      </w:pPr>
      <w:r>
        <w:t>Hémochromatose, thalassémie majeure, anémie sidéroblastique (à doses ≥ 500 mg/jour).</w:t>
      </w:r>
    </w:p>
    <w:p>
      <w:pPr>
        <w:pStyle w:val="ListBullet"/>
      </w:pPr>
      <w:r>
        <w:t>Déficit en G6PD (à doses ≥ 6 g/jour IV).</w:t>
      </w:r>
    </w:p>
    <w:p>
      <w:pPr>
        <w:pStyle w:val="ListBullet"/>
      </w:pPr>
      <w:r>
        <w:t>Insuffisance rénale sévère (à doses ≥ 1 g/jour).</w:t>
      </w:r>
    </w:p>
    <w:p>
      <w:r/>
      <w:r>
        <w:rPr>
          <w:b/>
        </w:rPr>
        <w:t>Précautions d'emploi</w:t>
      </w:r>
      <w:r>
        <w:t xml:space="preserve"> :</w:t>
      </w:r>
    </w:p>
    <w:p>
      <w:pPr>
        <w:pStyle w:val="ListBullet"/>
      </w:pPr>
      <w:r>
        <w:t>Insuffisance rénale : surveillance de l'oxalurie et de la créatinine à doses ≥ 1 g/jour. La vitamine C est dialysable — supplémentation systématique chez le dialysé (100 à 200 mg/jour).</w:t>
      </w:r>
    </w:p>
    <w:p>
      <w:pPr>
        <w:pStyle w:val="ListBullet"/>
      </w:pPr>
      <w:r>
        <w:t>Femme enceinte : sécurité d'emploi confirmée (catégorie CRAT : « Peut être utilisée pendant la grossesse aux doses recommandées »). Apport quotidien recommandé 85 mg/jour pendant la grossesse (vs 75 mg/jour chez la femme non enceinte). À doses ≥ 1 g/jour : risque théorique de scorbut néonatal par carence de sevrage.</w:t>
      </w:r>
    </w:p>
    <w:p>
      <w:pPr>
        <w:pStyle w:val="ListBullet"/>
      </w:pPr>
      <w:r>
        <w:t>Femme allaitante : compatible, passage dans le lait maternel (concentration 30 à 100 mg/L). Apport quotidien recommandé 120 mg/jour.</w:t>
      </w:r>
    </w:p>
    <w:p>
      <w:pPr>
        <w:pStyle w:val="ListBullet"/>
      </w:pPr>
      <w:r>
        <w:t>Sujet âgé : pas de précaution particulière (au contraire, surveillance accrue de la carence infra-clinique).</w:t>
      </w:r>
    </w:p>
    <w:p>
      <w:pPr>
        <w:pStyle w:val="ListBullet"/>
      </w:pPr>
      <w:r>
        <w:t>Enfant : doses adaptées au poids (15 à 45 mg/jour en entretien).</w:t>
      </w:r>
    </w:p>
    <w:p>
      <w:pPr>
        <w:pStyle w:val="ListBullet"/>
      </w:pPr>
      <w:r>
        <w:t>Fumeurs : besoins accrus de 35 mg/jour supplémentaires (110 mg/jour chez l'homme, 100 mg/jour chez la femme).</w:t>
      </w:r>
    </w:p>
    <w:p>
      <w:pPr>
        <w:pStyle w:val="Heading4"/>
      </w:pPr>
      <w:r>
        <w:t>8. Grossesse et allaitement (données CRAT)</w:t>
      </w:r>
    </w:p>
    <w:p>
      <w:r/>
      <w:r>
        <w:rPr>
          <w:b/>
        </w:rPr>
        <w:t>Grossesse</w:t>
      </w:r>
      <w:r>
        <w:t xml:space="preserve"> : la vitamine C est essentielle au développement fœtal (synthèse du collagène, fonction antioxydante, absorption du fer). Les besoins augmentent à 85 mg/jour pendant la grossesse (vs 75 mg/jour chez la femme non enceinte). La supplémentation prénatale systématique (85 mg/jour) est recommandée par l'OMS, en général via les complexes multivitaminiques prénataux. La vitamine C traverse le placenta par transporteur actif (SVCT2) et s'accumule dans le liquide amniotique. À doses ≥ 1 g/jour au long cours pendant la grossesse, risque théorique de scorbut néonatal par carence de sevrage (à éviter). Le CRAT conclut : « L'acide ascorbique peut être prescrit pendant la grossesse aux doses usuelles recommandées (85 mg/jour). Les doses pharmacologiques (≥ 1 g/jour) sont à éviter en raison du risque théorique de scorbut néonatal. »</w:t>
      </w:r>
    </w:p>
    <w:p>
      <w:r/>
      <w:r>
        <w:rPr>
          <w:b/>
        </w:rPr>
        <w:t>Allaitement</w:t>
      </w:r>
      <w:r>
        <w:t xml:space="preserve"> : la vitamine C passe dans le lait maternel (concentration 30 à 100 mg/L). Les besoins de la mère allaitante sont de 120 mg/jour. Le CRAT conclut : « L'acide ascorbique est compatible avec l'allaitement aux doses usuelles recommandées (120 mg/jour). »</w:t>
      </w:r>
    </w:p>
    <w:p>
      <w:pPr>
        <w:pStyle w:val="Heading4"/>
      </w:pPr>
      <w:r>
        <w:t>9. Posologie et mode d'administration</w:t>
      </w:r>
    </w:p>
    <w:p>
      <w:r/>
      <w:r>
        <w:rPr>
          <w:b/>
        </w:rPr>
        <w:t>Posologie usuelle adulte</w:t>
      </w:r>
      <w:r>
        <w:t xml:space="preserve"> :</w:t>
      </w:r>
    </w:p>
    <w:p>
      <w:pPr>
        <w:pStyle w:val="ListBullet"/>
      </w:pPr>
      <w:r/>
      <w:r>
        <w:rPr>
          <w:b/>
        </w:rPr>
        <w:t>Carence avérée (scorbut)</w:t>
      </w:r>
      <w:r>
        <w:t xml:space="preserve"> : 500 à 1000 mg/jour per os pendant 1 à 2 semaines, puis 100 à 300 mg/jour pendant 1 à 3 mois.</w:t>
      </w:r>
    </w:p>
    <w:p>
      <w:pPr>
        <w:pStyle w:val="ListBullet"/>
      </w:pPr>
      <w:r/>
      <w:r>
        <w:rPr>
          <w:b/>
        </w:rPr>
        <w:t>Supplémentation prophylactique</w:t>
      </w:r>
      <w:r>
        <w:t xml:space="preserve"> : 75 à 120 mg/jour per os (femme enceinte, allaitante, sujet âgé, fumeur) — couvert par l'alimentation (fruits et légumes frais, en particulier agrumes, kiwis, fraises, poivrons, persil, brocolis, choux).</w:t>
      </w:r>
    </w:p>
    <w:p>
      <w:pPr>
        <w:pStyle w:val="ListBullet"/>
      </w:pPr>
      <w:r/>
      <w:r>
        <w:rPr>
          <w:b/>
        </w:rPr>
        <w:t>Fumeurs</w:t>
      </w:r>
      <w:r>
        <w:t xml:space="preserve"> : 110 mg/jour (homme), 100 mg/jour (femme) — supplémentation systématique.</w:t>
      </w:r>
    </w:p>
    <w:p>
      <w:pPr>
        <w:pStyle w:val="ListBullet"/>
      </w:pPr>
      <w:r/>
      <w:r>
        <w:rPr>
          <w:b/>
        </w:rPr>
        <w:t>Dialysé chronique</w:t>
      </w:r>
      <w:r>
        <w:t xml:space="preserve"> : 100 à 200 mg/jour per os.</w:t>
      </w:r>
    </w:p>
    <w:p>
      <w:pPr>
        <w:pStyle w:val="ListBullet"/>
      </w:pPr>
      <w:r/>
      <w:r>
        <w:rPr>
          <w:b/>
        </w:rPr>
        <w:t>Augmentation de l'absorption du fer</w:t>
      </w:r>
      <w:r>
        <w:t xml:space="preserve"> : 200 à 500 mg/jour per os en association avec le fer oral.</w:t>
      </w:r>
    </w:p>
    <w:p>
      <w:pPr>
        <w:pStyle w:val="ListBullet"/>
      </w:pPr>
      <w:r/>
      <w:r>
        <w:rPr>
          <w:b/>
        </w:rPr>
        <w:t>Rhume commun</w:t>
      </w:r>
      <w:r>
        <w:t xml:space="preserve"> (données limitées) : 1 à 3 g/jour per os pendant 5 à 7 jours (effet modeste sur la durée des symptômes).</w:t>
      </w:r>
    </w:p>
    <w:p>
      <w:pPr>
        <w:pStyle w:val="ListBullet"/>
      </w:pPr>
      <w:r/>
      <w:r>
        <w:rPr>
          <w:b/>
        </w:rPr>
        <w:t>Brûlures étendues</w:t>
      </w:r>
      <w:r>
        <w:t xml:space="preserve"> : 1 à 3 g/jour per os ou IV pendant la phase de cicatrisation.</w:t>
      </w:r>
    </w:p>
    <w:p>
      <w:pPr>
        <w:pStyle w:val="ListBullet"/>
      </w:pPr>
      <w:r/>
      <w:r>
        <w:rPr>
          <w:b/>
        </w:rPr>
        <w:t>Cancer</w:t>
      </w:r>
      <w:r>
        <w:t xml:space="preserve"> (essais cliniques) : 1 à 10 g IV (en milieu spécialisé).</w:t>
      </w:r>
    </w:p>
    <w:p>
      <w:pPr>
        <w:pStyle w:val="ListBullet"/>
      </w:pPr>
      <w:r/>
      <w:r>
        <w:rPr>
          <w:b/>
        </w:rPr>
        <w:t>Dose maximale recommandée</w:t>
      </w:r>
      <w:r>
        <w:t xml:space="preserve"> : 1 g/jour au long cours (au-delà, risque d'oxalose).</w:t>
      </w:r>
    </w:p>
    <w:p>
      <w:r/>
      <w:r>
        <w:rPr>
          <w:b/>
        </w:rPr>
        <w:t>Posologie pédiatrique</w:t>
      </w:r>
      <w:r>
        <w:t xml:space="preserve"> :</w:t>
      </w:r>
    </w:p>
    <w:p>
      <w:pPr>
        <w:pStyle w:val="ListBullet"/>
      </w:pPr>
      <w:r>
        <w:t>Nourrisson (entretien) : 30 à 40 mg/jour per os.</w:t>
      </w:r>
    </w:p>
    <w:p>
      <w:pPr>
        <w:pStyle w:val="ListBullet"/>
      </w:pPr>
      <w:r>
        <w:t>Enfant (entretien) : 15 à 45 mg/jour per os.</w:t>
      </w:r>
    </w:p>
    <w:p>
      <w:pPr>
        <w:pStyle w:val="ListBullet"/>
      </w:pPr>
      <w:r>
        <w:t>Carence avérée (scorbut) : 100 à 300 mg/jour per os pendant 1 à 2 semaines, puis 30 à 50 mg/jour pendant 1 à 3 mois.</w:t>
      </w:r>
    </w:p>
    <w:p>
      <w:r/>
      <w:r>
        <w:rPr>
          <w:b/>
        </w:rPr>
        <w:t>Mode d'administration</w:t>
      </w:r>
      <w:r>
        <w:t xml:space="preserve"> :</w:t>
      </w:r>
    </w:p>
    <w:p>
      <w:pPr>
        <w:pStyle w:val="ListBullet"/>
      </w:pPr>
      <w:r/>
      <w:r>
        <w:rPr>
          <w:b/>
        </w:rPr>
        <w:t>Voie orale</w:t>
      </w:r>
      <w:r>
        <w:t xml:space="preserve"> : comprimés à croquer, à sucer, ou effervescents dans un verre d'eau, au cours ou après les repas (réduit les troubles digestifs). Fractionner les doses si dose ≥ 1 g/jour.</w:t>
      </w:r>
    </w:p>
    <w:p>
      <w:pPr>
        <w:pStyle w:val="ListBullet"/>
      </w:pPr>
      <w:r/>
      <w:r>
        <w:rPr>
          <w:b/>
        </w:rPr>
        <w:t>Voie injectable IV</w:t>
      </w:r>
      <w:r>
        <w:t xml:space="preserve"> (RAZISCORBIC C) : perfusion IV lente (≥ 5 minutes pour 500 mg) dans une veine périphérique de gros calibre, diluée dans 50 à 100 mL de sérum physiologique. Surveillance hémodynamique.</w:t>
      </w:r>
    </w:p>
    <w:p>
      <w:pPr>
        <w:pStyle w:val="Heading4"/>
      </w:pPr>
      <w:r>
        <w:t>10. Formes galéniques disponibles</w:t>
      </w:r>
    </w:p>
    <w:p>
      <w:pPr>
        <w:pStyle w:val="ListBullet"/>
      </w:pPr>
      <w:r/>
      <w:r>
        <w:rPr>
          <w:b/>
        </w:rPr>
        <w:t>Comprimés à croquer à 250 mg</w:t>
      </w:r>
      <w:r>
        <w:t xml:space="preserve"> (CITAMINE) — forme pédiatrique.</w:t>
      </w:r>
    </w:p>
    <w:p>
      <w:pPr>
        <w:pStyle w:val="ListBullet"/>
      </w:pPr>
      <w:r/>
      <w:r>
        <w:rPr>
          <w:b/>
        </w:rPr>
        <w:t>Comprimés à croquer ou à sucer à 500 mg</w:t>
      </w:r>
      <w:r>
        <w:t xml:space="preserve"> (LADOSCORBINE, VITAMINE C MOBEN, VITA-C) — forme orale usuelle.</w:t>
      </w:r>
    </w:p>
    <w:p>
      <w:pPr>
        <w:pStyle w:val="ListBullet"/>
      </w:pPr>
      <w:r/>
      <w:r>
        <w:rPr>
          <w:b/>
        </w:rPr>
        <w:t>Comprimés effervescents à 500 mg</w:t>
      </w:r>
      <w:r>
        <w:t xml:space="preserve"> (APISCORBUT, VITAMINE C MOBEN) — alternative.</w:t>
      </w:r>
    </w:p>
    <w:p>
      <w:pPr>
        <w:pStyle w:val="ListBullet"/>
      </w:pPr>
      <w:r/>
      <w:r>
        <w:rPr>
          <w:b/>
        </w:rPr>
        <w:t>Comprimés effervescents à 1 g</w:t>
      </w:r>
      <w:r>
        <w:t xml:space="preserve"> (APISCORBUT, LAROSCORBINE, VITAMINE C MOBEN, VITAMINE C BGL, VITAMINE C UPSA) — forme de dose pharmacologique.</w:t>
      </w:r>
    </w:p>
    <w:p>
      <w:pPr>
        <w:pStyle w:val="ListBullet"/>
      </w:pPr>
      <w:r/>
      <w:r>
        <w:rPr>
          <w:b/>
        </w:rPr>
        <w:t>Solutions injectables IV à 500 mg/5 mL</w:t>
      </w:r>
      <w:r>
        <w:t xml:space="preserve"> (RAZISCORBIC C en Liste I, VITAMINE C China Meheco) — forme parentérale.</w:t>
      </w:r>
    </w:p>
    <w:p>
      <w:pPr>
        <w:pStyle w:val="ListBullet"/>
      </w:pPr>
      <w:r/>
      <w:r>
        <w:rPr>
          <w:b/>
        </w:rPr>
        <w:t>Associations antalgiques-antipyrétiques</w:t>
      </w:r>
      <w:r>
        <w:t xml:space="preserve"> (DOLIDOL FLASH VITAMINE C, EFFERALGAN VITAMINE C — paracétamol 500 mg + vit C 200 mg).</w:t>
      </w:r>
    </w:p>
    <w:p>
      <w:pPr>
        <w:pStyle w:val="ListBullet"/>
      </w:pPr>
      <w:r/>
      <w:r>
        <w:rPr>
          <w:b/>
        </w:rPr>
        <w:t>Associations antirhumeuses</w:t>
      </w:r>
      <w:r>
        <w:t xml:space="preserve"> (FERVEX, PARAVEX, RHYNEX, BIOVEX — paracétamol 500 mg + vit C 200 mg + phényléphrine 25 mg).</w:t>
      </w:r>
    </w:p>
    <w:p>
      <w:pPr>
        <w:pStyle w:val="Heading4"/>
      </w:pPr>
      <w:r>
        <w:t>11. Conseils au patient au comptoir</w:t>
      </w:r>
    </w:p>
    <w:p>
      <w:pPr>
        <w:pStyle w:val="ListNumber"/>
      </w:pPr>
      <w:r/>
      <w:r>
        <w:rPr>
          <w:b/>
        </w:rPr>
        <w:t>Supplémentation prophylactique</w:t>
      </w:r>
      <w:r>
        <w:t xml:space="preserve"> : la vitamine C est largement disponible dans l'alimentation (fruits et légumes frais). La supplémentation n'est nécessaire qu'en cas de carence avérée ou de risque élevé (fumeurs, dialysés, alcooliques, sujets âgés dénutris).</w:t>
      </w:r>
    </w:p>
    <w:p>
      <w:pPr>
        <w:pStyle w:val="ListNumber"/>
      </w:pPr>
      <w:r/>
      <w:r>
        <w:rPr>
          <w:b/>
        </w:rPr>
        <w:t>Respect de la dose maximale</w:t>
      </w:r>
      <w:r>
        <w:t xml:space="preserve"> : ne pas dépasser 1 g/jour au long cours en raison du risque de lithiase oxalique.</w:t>
      </w:r>
    </w:p>
    <w:p>
      <w:pPr>
        <w:pStyle w:val="ListNumber"/>
      </w:pPr>
      <w:r/>
      <w:r>
        <w:rPr>
          <w:b/>
        </w:rPr>
        <w:t>Patients avec antécédent de lithiase oxalique</w:t>
      </w:r>
      <w:r>
        <w:t xml:space="preserve"> : éviter les doses ≥ 1 g/jour. Hydratation abondante (≥ 2 L/jour).</w:t>
      </w:r>
    </w:p>
    <w:p>
      <w:pPr>
        <w:pStyle w:val="ListNumber"/>
      </w:pPr>
      <w:r/>
      <w:r>
        <w:rPr>
          <w:b/>
        </w:rPr>
        <w:t>Patients avec hémochromatose</w:t>
      </w:r>
      <w:r>
        <w:t xml:space="preserve"> : éviter les doses ≥ 500 mg/jour (surcharge martiale).</w:t>
      </w:r>
    </w:p>
    <w:p>
      <w:pPr>
        <w:pStyle w:val="ListNumber"/>
      </w:pPr>
      <w:r/>
      <w:r>
        <w:rPr>
          <w:b/>
        </w:rPr>
        <w:t>Patients sous fer oral</w:t>
      </w:r>
      <w:r>
        <w:t xml:space="preserve"> : associer la vitamine C (200 à 500 mg/jour) pour améliorer l'absorption du fer. Prendre à jeun ou avant les repas.</w:t>
      </w:r>
    </w:p>
    <w:p>
      <w:pPr>
        <w:pStyle w:val="ListNumber"/>
      </w:pPr>
      <w:r/>
      <w:r>
        <w:rPr>
          <w:b/>
        </w:rPr>
        <w:t>Fumeurs</w:t>
      </w:r>
      <w:r>
        <w:t xml:space="preserve"> : supplémentation systématique (110 mg/jour chez l'homme, 100 mg/jour chez la femme) en raison du stress oxydatif accru.</w:t>
      </w:r>
    </w:p>
    <w:p>
      <w:pPr>
        <w:pStyle w:val="ListNumber"/>
      </w:pPr>
      <w:r/>
      <w:r>
        <w:rPr>
          <w:b/>
        </w:rPr>
        <w:t>Patients dialysés</w:t>
      </w:r>
      <w:r>
        <w:t xml:space="preserve"> : supplémentation systématique (100 à 200 mg/jour) en raison de la fuite dialytique.</w:t>
      </w:r>
    </w:p>
    <w:p>
      <w:pPr>
        <w:pStyle w:val="ListNumber"/>
      </w:pPr>
      <w:r/>
      <w:r>
        <w:rPr>
          <w:b/>
        </w:rPr>
        <w:t>Femmes enceintes et allaitantes</w:t>
      </w:r>
      <w:r>
        <w:t xml:space="preserve"> : supplémentation systématique (85 mg/jour pendant la grossesse, 120 mg/jour pendant l'allaitement) via les complexes prénataux.</w:t>
      </w:r>
    </w:p>
    <w:p>
      <w:pPr>
        <w:pStyle w:val="ListNumber"/>
      </w:pPr>
      <w:r/>
      <w:r>
        <w:rPr>
          <w:b/>
        </w:rPr>
        <w:t>Voie injectable</w:t>
      </w:r>
      <w:r>
        <w:t xml:space="preserve"> : la spécialité RAZISCORBIC C est en Liste I (surveillance médicale). Disponibilité réservée au milieu hospitalier.</w:t>
      </w:r>
    </w:p>
    <w:p>
      <w:pPr>
        <w:pStyle w:val="ListNumber"/>
      </w:pPr>
      <w:r/>
      <w:r>
        <w:rPr>
          <w:b/>
        </w:rPr>
        <w:t>Coloration jaune des urines</w:t>
      </w:r>
      <w:r>
        <w:t xml:space="preserve"> : fréquente et sans gravité (coloration par l'acide ascorbique excrété).</w:t>
      </w:r>
    </w:p>
    <w:p>
      <w:pPr>
        <w:pStyle w:val="ListNumber"/>
      </w:pPr>
      <w:r/>
      <w:r>
        <w:rPr>
          <w:b/>
        </w:rPr>
        <w:t>Patients sous warfarine</w:t>
      </w:r>
      <w:r>
        <w:t xml:space="preserve"> : surveillance de l'INR à doses ≥ 1 g/jour de vitamine C.</w:t>
      </w:r>
    </w:p>
    <w:p>
      <w:pPr>
        <w:pStyle w:val="ListNumber"/>
      </w:pPr>
      <w:r/>
      <w:r>
        <w:rPr>
          <w:b/>
        </w:rPr>
        <w:t>Patients sous chimiothérapie</w:t>
      </w:r>
      <w:r>
        <w:t xml:space="preserve"> : éviter la vitamine C à doses pharmacologiques (≥ 1 g/jour) sans avis spécialisé (réduction possible de l'efficacité).</w:t>
      </w:r>
    </w:p>
    <w:p>
      <w:pPr>
        <w:pStyle w:val="ListNumber"/>
      </w:pPr>
      <w:r/>
      <w:r>
        <w:rPr>
          <w:b/>
        </w:rPr>
        <w:t>Stockage</w:t>
      </w:r>
      <w:r>
        <w:t xml:space="preserve"> : conserver à température ≤ 25 °C, à l'abri de l'humidité et de la lumière (la vitamine C est oxydable). Tenir hors de portée des enfants.</w:t>
      </w:r>
    </w:p>
    <w:p>
      <w:pPr>
        <w:pStyle w:val="Heading4"/>
      </w:pPr>
      <w:r>
        <w:t>12. Pièges et règles d'or au comptoir</w:t>
      </w:r>
    </w:p>
    <w:p>
      <w:r/>
      <w:r>
        <w:rPr>
          <w:b/>
        </w:rPr>
        <w:t>Règles d'or</w:t>
      </w:r>
      <w:r>
        <w:t xml:space="preserve"> :</w:t>
      </w:r>
    </w:p>
    <w:p>
      <w:pPr>
        <w:pStyle w:val="ListNumber"/>
      </w:pPr>
      <w:r/>
      <w:r>
        <w:rPr>
          <w:b/>
        </w:rPr>
        <w:t>Toujours respecter la dose maximale de 1 g/jour au long cours</w:t>
      </w:r>
      <w:r>
        <w:t xml:space="preserve"> (recommandation OMS, ANSM).</w:t>
      </w:r>
    </w:p>
    <w:p>
      <w:pPr>
        <w:pStyle w:val="ListNumber"/>
      </w:pPr>
      <w:r/>
      <w:r>
        <w:rPr>
          <w:b/>
        </w:rPr>
        <w:t>Toujours surveiller l'oxalurie et la fonction rénale</w:t>
      </w:r>
      <w:r>
        <w:t xml:space="preserve"> à doses ≥ 1 g/jour.</w:t>
      </w:r>
    </w:p>
    <w:p>
      <w:pPr>
        <w:pStyle w:val="ListNumber"/>
      </w:pPr>
      <w:r/>
      <w:r>
        <w:rPr>
          <w:b/>
        </w:rPr>
        <w:t>Toujours éviter les doses ≥ 1 g/jour chez les patients avec antécédent de lithiase oxalique ou d'insuffisance rénale</w:t>
      </w:r>
      <w:r>
        <w:t>.</w:t>
      </w:r>
    </w:p>
    <w:p>
      <w:pPr>
        <w:pStyle w:val="ListNumber"/>
      </w:pPr>
      <w:r/>
      <w:r>
        <w:rPr>
          <w:b/>
        </w:rPr>
        <w:t>Toujours éviter les doses ≥ 500 mg/jour chez les patients avec hémochromatose, thalassémie, anémie sidéroblastique</w:t>
      </w:r>
      <w:r>
        <w:t xml:space="preserve"> (surcharge martiale).</w:t>
      </w:r>
    </w:p>
    <w:p>
      <w:pPr>
        <w:pStyle w:val="ListNumber"/>
      </w:pPr>
      <w:r/>
      <w:r>
        <w:rPr>
          <w:b/>
        </w:rPr>
        <w:t>Toujours supplémenter en vitamine C les fumeurs</w:t>
      </w:r>
      <w:r>
        <w:t xml:space="preserve"> (110 mg/jour chez l'homme, 100 mg/jour chez la femme).</w:t>
      </w:r>
    </w:p>
    <w:p>
      <w:pPr>
        <w:pStyle w:val="ListNumber"/>
      </w:pPr>
      <w:r/>
      <w:r>
        <w:rPr>
          <w:b/>
        </w:rPr>
        <w:t>Toujours supplémenter en vitamine C les patients dialysés</w:t>
      </w:r>
      <w:r>
        <w:t xml:space="preserve"> (100 à 200 mg/jour).</w:t>
      </w:r>
    </w:p>
    <w:p>
      <w:pPr>
        <w:pStyle w:val="ListNumber"/>
      </w:pPr>
      <w:r/>
      <w:r>
        <w:rPr>
          <w:b/>
        </w:rPr>
        <w:t>Toujours associer la vitamine C au fer oral</w:t>
      </w:r>
      <w:r>
        <w:t xml:space="preserve"> (200 à 500 mg/jour) pour améliorer l'absorption du fer.</w:t>
      </w:r>
    </w:p>
    <w:p>
      <w:pPr>
        <w:pStyle w:val="ListNumber"/>
      </w:pPr>
      <w:r/>
      <w:r>
        <w:rPr>
          <w:b/>
        </w:rPr>
        <w:t>Toujours prendre la vitamine C au cours du repas</w:t>
      </w:r>
      <w:r>
        <w:t xml:space="preserve"> pour réduire les troubles digestifs.</w:t>
      </w:r>
    </w:p>
    <w:p>
      <w:pPr>
        <w:pStyle w:val="ListNumber"/>
      </w:pPr>
      <w:r/>
      <w:r>
        <w:rPr>
          <w:b/>
        </w:rPr>
        <w:t>Toujours fractionner les doses</w:t>
      </w:r>
      <w:r>
        <w:t xml:space="preserve"> si dose ≥ 1 g/jour (meilleure absorption et tolérance).</w:t>
      </w:r>
    </w:p>
    <w:p>
      <w:r/>
      <w:r>
        <w:rPr>
          <w:b/>
        </w:rPr>
        <w:t>Pièges</w:t>
      </w:r>
      <w:r>
        <w:t xml:space="preserve"> :</w:t>
      </w:r>
    </w:p>
    <w:p>
      <w:pPr>
        <w:pStyle w:val="ListNumber"/>
      </w:pPr>
      <w:r/>
      <w:r>
        <w:rPr>
          <w:b/>
        </w:rPr>
        <w:t>Patient prenant de la vitamine C à doses ≥ 1 g/jour au long cours pour « prévenir le rhume »</w:t>
      </w:r>
      <w:r>
        <w:t xml:space="preserve"> : risque accru de lithiase oxalique sans bénéfice démontré en population générale. Réserver aux sujets soumis à un stress physique intense (marathon, ski de fond).</w:t>
      </w:r>
    </w:p>
    <w:p>
      <w:pPr>
        <w:pStyle w:val="ListNumber"/>
      </w:pPr>
      <w:r/>
      <w:r>
        <w:rPr>
          <w:b/>
        </w:rPr>
        <w:t>Patient avec antécédent de lithiase oxalique supplémenté en vitamine C à doses ≥ 1 g/jour</w:t>
      </w:r>
      <w:r>
        <w:t xml:space="preserve"> : risque accru de récidive lithiasique. Réduction de la dose.</w:t>
      </w:r>
    </w:p>
    <w:p>
      <w:pPr>
        <w:pStyle w:val="ListNumber"/>
      </w:pPr>
      <w:r/>
      <w:r>
        <w:rPr>
          <w:b/>
        </w:rPr>
        <w:t>Patient sous warfarine avec INR instable</w:t>
      </w:r>
      <w:r>
        <w:t xml:space="preserve"> : suspecter une automédication par la vitamine C à doses ≥ 1 g/jour (potentialisation de l'anticoagulation).</w:t>
      </w:r>
    </w:p>
    <w:p>
      <w:pPr>
        <w:pStyle w:val="ListNumber"/>
      </w:pPr>
      <w:r/>
      <w:r>
        <w:rPr>
          <w:b/>
        </w:rPr>
        <w:t>Patient sous chimiothérapie prenant de la vitamine C à doses ≥ 1 g/jour</w:t>
      </w:r>
      <w:r>
        <w:t xml:space="preserve"> : risque théorique de réduction de l'efficacité. Arrêt pendant la chimiothérapie.</w:t>
      </w:r>
    </w:p>
    <w:p>
      <w:pPr>
        <w:pStyle w:val="ListNumber"/>
      </w:pPr>
      <w:r/>
      <w:r>
        <w:rPr>
          <w:b/>
        </w:rPr>
        <w:t>Patient avec hémochromatose prenant de la vitamine C à doses ≥ 500 mg/jour</w:t>
      </w:r>
      <w:r>
        <w:t xml:space="preserve"> : risque de majoration de la surcharge martiale. Réduction de la dose.</w:t>
      </w:r>
    </w:p>
    <w:p>
      <w:pPr>
        <w:pStyle w:val="ListNumber"/>
      </w:pPr>
      <w:r/>
      <w:r>
        <w:rPr>
          <w:b/>
        </w:rPr>
        <w:t>Patient dialysé chronique non supplémenté en vitamine C</w:t>
      </w:r>
      <w:r>
        <w:t xml:space="preserve"> : carence fréquente (fuite dialytique). Supplémentation systématique.</w:t>
      </w:r>
    </w:p>
    <w:p>
      <w:pPr>
        <w:pStyle w:val="ListNumber"/>
      </w:pPr>
      <w:r/>
      <w:r>
        <w:rPr>
          <w:b/>
        </w:rPr>
        <w:t>Fumeur non supplémenté en vitamine C</w:t>
      </w:r>
      <w:r>
        <w:t xml:space="preserve"> : carence infra-clinique fréquente (besoins accrus de 35 mg/jour). Supplémentation prophylactique.</w:t>
      </w:r>
    </w:p>
    <w:p>
      <w:pPr>
        <w:pStyle w:val="ListNumber"/>
      </w:pPr>
      <w:r/>
      <w:r>
        <w:rPr>
          <w:b/>
        </w:rPr>
        <w:t>Patient avec scorbut méconnu</w:t>
      </w:r>
      <w:r>
        <w:t xml:space="preserve"> : purpura péricapillaire, folliculose, hyperkératose périfolliculaire, ecchymoses, hémorragies gingivales → demander un dosage de l'ascorbémie (normale &gt; 28 µmol/L). Carence fréquente chez les alcooliques chroniques dénutris, les sujets âgés isolés, les patients avec malabsorption.</w:t>
      </w:r>
    </w:p>
    <w:p>
      <w:pPr>
        <w:pStyle w:val="Heading2"/>
      </w:pPr>
      <w:r>
        <w:t>162.13. Tableau comparatif des vitamines hydrosolubles disponibles en Algérie</w:t>
      </w:r>
    </w:p>
    <w:p>
      <w:r>
        <w:t>Le tableau ci-dessous présente une vue d'ensemble synthétique des 9 DCI de vitamines hydrosolubles traitées dans ce chapitre, en mettant en regard leur code ATC, leurs indications principales, leurs doses usuelles, leurs contre-indications majeures et leur disponibilité en Algérie (statut réglementaire et nombre de spécialités actives dans la nomenclature algérienne Avril 2026).</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Code ATC</w:t>
            </w:r>
          </w:p>
        </w:tc>
        <w:tc>
          <w:tcPr>
            <w:tcW w:type="dxa" w:w="1336"/>
          </w:tcPr>
          <w:p>
            <w:r>
              <w:rPr>
                <w:b/>
                <w:sz w:val="20"/>
              </w:rPr>
              <w:t>Forme active</w:t>
            </w:r>
          </w:p>
        </w:tc>
        <w:tc>
          <w:tcPr>
            <w:tcW w:type="dxa" w:w="1336"/>
          </w:tcPr>
          <w:p>
            <w:r>
              <w:rPr>
                <w:b/>
                <w:sz w:val="20"/>
              </w:rPr>
              <w:t>Indications principales</w:t>
            </w:r>
          </w:p>
        </w:tc>
        <w:tc>
          <w:tcPr>
            <w:tcW w:type="dxa" w:w="1336"/>
          </w:tcPr>
          <w:p>
            <w:r>
              <w:rPr>
                <w:b/>
                <w:sz w:val="20"/>
              </w:rPr>
              <w:t>Dose usuelle adulte</w:t>
            </w:r>
          </w:p>
        </w:tc>
        <w:tc>
          <w:tcPr>
            <w:tcW w:type="dxa" w:w="1336"/>
          </w:tcPr>
          <w:p>
            <w:r>
              <w:rPr>
                <w:b/>
                <w:sz w:val="20"/>
              </w:rPr>
              <w:t>Contre-indication majeure</w:t>
            </w:r>
          </w:p>
        </w:tc>
        <w:tc>
          <w:tcPr>
            <w:tcW w:type="dxa" w:w="1336"/>
          </w:tcPr>
          <w:p>
            <w:r>
              <w:rPr>
                <w:b/>
                <w:sz w:val="20"/>
              </w:rPr>
              <w:t>Disponibilité Algérie (n spécialités actives)</w:t>
            </w:r>
          </w:p>
        </w:tc>
      </w:tr>
      <w:tr>
        <w:tc>
          <w:tcPr>
            <w:tcW w:type="dxa" w:w="1336"/>
          </w:tcPr>
          <w:p>
            <w:r>
              <w:rPr>
                <w:sz w:val="20"/>
              </w:rPr>
              <w:t>**Thiamine (B1)**</w:t>
            </w:r>
          </w:p>
        </w:tc>
        <w:tc>
          <w:tcPr>
            <w:tcW w:type="dxa" w:w="1336"/>
          </w:tcPr>
          <w:p>
            <w:r>
              <w:rPr>
                <w:sz w:val="20"/>
              </w:rPr>
              <w:t>A11DA01</w:t>
            </w:r>
          </w:p>
        </w:tc>
        <w:tc>
          <w:tcPr>
            <w:tcW w:type="dxa" w:w="1336"/>
          </w:tcPr>
          <w:p>
            <w:r>
              <w:rPr>
                <w:sz w:val="20"/>
              </w:rPr>
              <w:t>TPP</w:t>
            </w:r>
          </w:p>
        </w:tc>
        <w:tc>
          <w:tcPr>
            <w:tcW w:type="dxa" w:w="1336"/>
          </w:tcPr>
          <w:p>
            <w:r>
              <w:rPr>
                <w:sz w:val="20"/>
              </w:rPr>
              <w:t>Béribéri, encéphalopathie de Wernicke, polynévrite alcoolique, neuropathies carentielles</w:t>
            </w:r>
          </w:p>
        </w:tc>
        <w:tc>
          <w:tcPr>
            <w:tcW w:type="dxa" w:w="1336"/>
          </w:tcPr>
          <w:p>
            <w:r>
              <w:rPr>
                <w:sz w:val="20"/>
              </w:rPr>
              <w:t>100 mg IM/IV cure ; 500 mg IV urgence</w:t>
            </w:r>
          </w:p>
        </w:tc>
        <w:tc>
          <w:tcPr>
            <w:tcW w:type="dxa" w:w="1336"/>
          </w:tcPr>
          <w:p>
            <w:r>
              <w:rPr>
                <w:sz w:val="20"/>
              </w:rPr>
              <w:t>Hypersensibilité</w:t>
            </w:r>
          </w:p>
        </w:tc>
        <w:tc>
          <w:tcPr>
            <w:tcW w:type="dxa" w:w="1336"/>
          </w:tcPr>
          <w:p>
            <w:r>
              <w:rPr>
                <w:sz w:val="20"/>
              </w:rPr>
              <w:t>12 spécialités actives (RAZITHIAM B1 inj, THIAMINE API, NEUROVIT, VITAZYME, complexes B1+B6, B1+B6+B12)</w:t>
            </w:r>
          </w:p>
        </w:tc>
      </w:tr>
      <w:tr>
        <w:tc>
          <w:tcPr>
            <w:tcW w:type="dxa" w:w="1336"/>
          </w:tcPr>
          <w:p>
            <w:r>
              <w:rPr>
                <w:sz w:val="20"/>
              </w:rPr>
              <w:t>**Riboflavine (B2)**</w:t>
            </w:r>
          </w:p>
        </w:tc>
        <w:tc>
          <w:tcPr>
            <w:tcW w:type="dxa" w:w="1336"/>
          </w:tcPr>
          <w:p>
            <w:r>
              <w:rPr>
                <w:sz w:val="20"/>
              </w:rPr>
              <w:t>A11HA04</w:t>
            </w:r>
          </w:p>
        </w:tc>
        <w:tc>
          <w:tcPr>
            <w:tcW w:type="dxa" w:w="1336"/>
          </w:tcPr>
          <w:p>
            <w:r>
              <w:rPr>
                <w:sz w:val="20"/>
              </w:rPr>
              <w:t>FMN, FAD</w:t>
            </w:r>
          </w:p>
        </w:tc>
        <w:tc>
          <w:tcPr>
            <w:tcW w:type="dxa" w:w="1336"/>
          </w:tcPr>
          <w:p>
            <w:r>
              <w:rPr>
                <w:sz w:val="20"/>
              </w:rPr>
              <w:t>Ariboflavinose, prophylaxie de la migraine (400 mg/j), syndromes mitochondriaux</w:t>
            </w:r>
          </w:p>
        </w:tc>
        <w:tc>
          <w:tcPr>
            <w:tcW w:type="dxa" w:w="1336"/>
          </w:tcPr>
          <w:p>
            <w:r>
              <w:rPr>
                <w:sz w:val="20"/>
              </w:rPr>
              <w:t>5-10 mg/j cure ; 400 mg/j migraine</w:t>
            </w:r>
          </w:p>
        </w:tc>
        <w:tc>
          <w:tcPr>
            <w:tcW w:type="dxa" w:w="1336"/>
          </w:tcPr>
          <w:p>
            <w:r>
              <w:rPr>
                <w:sz w:val="20"/>
              </w:rPr>
              <w:t>Hypersensibilité, phototoxicité (à doses ≥ 100 mg/j)</w:t>
            </w:r>
          </w:p>
        </w:tc>
        <w:tc>
          <w:tcPr>
            <w:tcW w:type="dxa" w:w="1336"/>
          </w:tcPr>
          <w:p>
            <w:r>
              <w:rPr>
                <w:sz w:val="20"/>
              </w:rPr>
              <w:t>0 spécialité active (BEFLAVINE — RETIRÉE)</w:t>
            </w:r>
          </w:p>
        </w:tc>
      </w:tr>
      <w:tr>
        <w:tc>
          <w:tcPr>
            <w:tcW w:type="dxa" w:w="1336"/>
          </w:tcPr>
          <w:p>
            <w:r>
              <w:rPr>
                <w:sz w:val="20"/>
              </w:rPr>
              <w:t>**Pyridoxine (B6)**</w:t>
            </w:r>
          </w:p>
        </w:tc>
        <w:tc>
          <w:tcPr>
            <w:tcW w:type="dxa" w:w="1336"/>
          </w:tcPr>
          <w:p>
            <w:r>
              <w:rPr>
                <w:sz w:val="20"/>
              </w:rPr>
              <w:t>A11HA02</w:t>
            </w:r>
          </w:p>
        </w:tc>
        <w:tc>
          <w:tcPr>
            <w:tcW w:type="dxa" w:w="1336"/>
          </w:tcPr>
          <w:p>
            <w:r>
              <w:rPr>
                <w:sz w:val="20"/>
              </w:rPr>
              <w:t>PLP</w:t>
            </w:r>
          </w:p>
        </w:tc>
        <w:tc>
          <w:tcPr>
            <w:tcW w:type="dxa" w:w="1336"/>
          </w:tcPr>
          <w:p>
            <w:r>
              <w:rPr>
                <w:sz w:val="20"/>
              </w:rPr>
              <w:t>Carence, prophylaxie neuropathie isoniazide, NVP, syndrome prémenstruel, anémie sidéroblastique</w:t>
            </w:r>
          </w:p>
        </w:tc>
        <w:tc>
          <w:tcPr>
            <w:tcW w:type="dxa" w:w="1336"/>
          </w:tcPr>
          <w:p>
            <w:r>
              <w:rPr>
                <w:sz w:val="20"/>
              </w:rPr>
              <w:t>25-50 mg/j cure ; 10-25 mg 3-4×/j NVP</w:t>
            </w:r>
          </w:p>
        </w:tc>
        <w:tc>
          <w:tcPr>
            <w:tcW w:type="dxa" w:w="1336"/>
          </w:tcPr>
          <w:p>
            <w:r>
              <w:rPr>
                <w:sz w:val="20"/>
              </w:rPr>
              <w:t>Doses ≥ 200 mg/j (neuropathie sensorielle)</w:t>
            </w:r>
          </w:p>
        </w:tc>
        <w:tc>
          <w:tcPr>
            <w:tcW w:type="dxa" w:w="1336"/>
          </w:tcPr>
          <w:p>
            <w:r>
              <w:rPr>
                <w:sz w:val="20"/>
              </w:rPr>
              <w:t>9 spécialités actives (PYRIDOXINE API, complexes B1+B6, B1+B6+B12)</w:t>
            </w:r>
          </w:p>
        </w:tc>
      </w:tr>
      <w:tr>
        <w:tc>
          <w:tcPr>
            <w:tcW w:type="dxa" w:w="1336"/>
          </w:tcPr>
          <w:p>
            <w:r>
              <w:rPr>
                <w:sz w:val="20"/>
              </w:rPr>
              <w:t>**Cyanocobalamine (B12)**</w:t>
            </w:r>
          </w:p>
        </w:tc>
        <w:tc>
          <w:tcPr>
            <w:tcW w:type="dxa" w:w="1336"/>
          </w:tcPr>
          <w:p>
            <w:r>
              <w:rPr>
                <w:sz w:val="20"/>
              </w:rPr>
              <w:t>A11DB01</w:t>
            </w:r>
          </w:p>
        </w:tc>
        <w:tc>
          <w:tcPr>
            <w:tcW w:type="dxa" w:w="1336"/>
          </w:tcPr>
          <w:p>
            <w:r>
              <w:rPr>
                <w:sz w:val="20"/>
              </w:rPr>
              <w:t>Méthylcobalamine, Adénosylcobalamine</w:t>
            </w:r>
          </w:p>
        </w:tc>
        <w:tc>
          <w:tcPr>
            <w:tcW w:type="dxa" w:w="1336"/>
          </w:tcPr>
          <w:p>
            <w:r>
              <w:rPr>
                <w:sz w:val="20"/>
              </w:rPr>
              <w:t>Anémie de Biermer, carence B12 (gastrectomie, IPP, metformine, végétalisme), neuropathie carentielle, sclérose combinée</w:t>
            </w:r>
          </w:p>
        </w:tc>
        <w:tc>
          <w:tcPr>
            <w:tcW w:type="dxa" w:w="1336"/>
          </w:tcPr>
          <w:p>
            <w:r>
              <w:rPr>
                <w:sz w:val="20"/>
              </w:rPr>
              <w:t>1000 µg IM 1-3×/sem cure ; 1000 µg IM mensuel entretien</w:t>
            </w:r>
          </w:p>
        </w:tc>
        <w:tc>
          <w:tcPr>
            <w:tcW w:type="dxa" w:w="1336"/>
          </w:tcPr>
          <w:p>
            <w:r>
              <w:rPr>
                <w:sz w:val="20"/>
              </w:rPr>
              <w:t>Maladie de Leber, hypersensibilité</w:t>
            </w:r>
          </w:p>
        </w:tc>
        <w:tc>
          <w:tcPr>
            <w:tcW w:type="dxa" w:w="1336"/>
          </w:tcPr>
          <w:p>
            <w:r>
              <w:rPr>
                <w:sz w:val="20"/>
              </w:rPr>
              <w:t>9 spécialités actives (COBAMINE, VIT B12, RAZICOBAL B12, COBAVIT, VITAMINE B12 GEO, complexes B1+B6+B12)</w:t>
            </w:r>
          </w:p>
        </w:tc>
      </w:tr>
      <w:tr>
        <w:tc>
          <w:tcPr>
            <w:tcW w:type="dxa" w:w="1336"/>
          </w:tcPr>
          <w:p>
            <w:r>
              <w:rPr>
                <w:sz w:val="20"/>
              </w:rPr>
              <w:t>**Dexpanthénol (B5)**</w:t>
            </w:r>
          </w:p>
        </w:tc>
        <w:tc>
          <w:tcPr>
            <w:tcW w:type="dxa" w:w="1336"/>
          </w:tcPr>
          <w:p>
            <w:r>
              <w:rPr>
                <w:sz w:val="20"/>
              </w:rPr>
              <w:t>A11HA30</w:t>
            </w:r>
          </w:p>
        </w:tc>
        <w:tc>
          <w:tcPr>
            <w:tcW w:type="dxa" w:w="1336"/>
          </w:tcPr>
          <w:p>
            <w:r>
              <w:rPr>
                <w:sz w:val="20"/>
              </w:rPr>
              <w:t>CoA</w:t>
            </w:r>
          </w:p>
        </w:tc>
        <w:tc>
          <w:tcPr>
            <w:tcW w:type="dxa" w:w="1336"/>
          </w:tcPr>
          <w:p>
            <w:r>
              <w:rPr>
                <w:sz w:val="20"/>
              </w:rPr>
              <w:t>Carence (rare), cicatrisation des plaies, érythème fessier du nourrisson</w:t>
            </w:r>
          </w:p>
        </w:tc>
        <w:tc>
          <w:tcPr>
            <w:tcW w:type="dxa" w:w="1336"/>
          </w:tcPr>
          <w:p>
            <w:r>
              <w:rPr>
                <w:sz w:val="20"/>
              </w:rPr>
              <w:t>10-30 mg/j cure PO ; 0,05 % topique</w:t>
            </w:r>
          </w:p>
        </w:tc>
        <w:tc>
          <w:tcPr>
            <w:tcW w:type="dxa" w:w="1336"/>
          </w:tcPr>
          <w:p>
            <w:r>
              <w:rPr>
                <w:sz w:val="20"/>
              </w:rPr>
              <w:t>Hypersensibilité</w:t>
            </w:r>
          </w:p>
        </w:tc>
        <w:tc>
          <w:tcPr>
            <w:tcW w:type="dxa" w:w="1336"/>
          </w:tcPr>
          <w:p>
            <w:r>
              <w:rPr>
                <w:sz w:val="20"/>
              </w:rPr>
              <w:t>1 spécialité active (APAISA BEBE pommade 0,05 %)</w:t>
            </w:r>
          </w:p>
        </w:tc>
      </w:tr>
      <w:tr>
        <w:tc>
          <w:tcPr>
            <w:tcW w:type="dxa" w:w="1336"/>
          </w:tcPr>
          <w:p>
            <w:r>
              <w:rPr>
                <w:sz w:val="20"/>
              </w:rPr>
              <w:t>**Acide folique (B9) ± Fer**</w:t>
            </w:r>
          </w:p>
        </w:tc>
        <w:tc>
          <w:tcPr>
            <w:tcW w:type="dxa" w:w="1336"/>
          </w:tcPr>
          <w:p>
            <w:r>
              <w:rPr>
                <w:sz w:val="20"/>
              </w:rPr>
              <w:t>A11HA01, B03AE/B03AD</w:t>
            </w:r>
          </w:p>
        </w:tc>
        <w:tc>
          <w:tcPr>
            <w:tcW w:type="dxa" w:w="1336"/>
          </w:tcPr>
          <w:p>
            <w:r>
              <w:rPr>
                <w:sz w:val="20"/>
              </w:rPr>
              <w:t>THF, 5-méthyl-THF</w:t>
            </w:r>
          </w:p>
        </w:tc>
        <w:tc>
          <w:tcPr>
            <w:tcW w:type="dxa" w:w="1336"/>
          </w:tcPr>
          <w:p>
            <w:r>
              <w:rPr>
                <w:sz w:val="20"/>
              </w:rPr>
              <w:t>Prévention AFTN (400 µg-5 mg), anémie mégaloblastique, anémie ferriprive femme enceinte, MTX faibles doses, sulfasalazine</w:t>
            </w:r>
          </w:p>
        </w:tc>
        <w:tc>
          <w:tcPr>
            <w:tcW w:type="dxa" w:w="1336"/>
          </w:tcPr>
          <w:p>
            <w:r>
              <w:rPr>
                <w:sz w:val="20"/>
              </w:rPr>
              <w:t>400 µg-5 mg/j PO ; 5 mg/j femme à risque</w:t>
            </w:r>
          </w:p>
        </w:tc>
        <w:tc>
          <w:tcPr>
            <w:tcW w:type="dxa" w:w="1336"/>
          </w:tcPr>
          <w:p>
            <w:r>
              <w:rPr>
                <w:sz w:val="20"/>
              </w:rPr>
              <w:t>Carence B12 non corrigée, leucémie aiguë</w:t>
            </w:r>
          </w:p>
        </w:tc>
        <w:tc>
          <w:tcPr>
            <w:tcW w:type="dxa" w:w="1336"/>
          </w:tcPr>
          <w:p>
            <w:r>
              <w:rPr>
                <w:sz w:val="20"/>
              </w:rPr>
              <w:t>19 spécialités actives (11 B9 simple à 5 mg ; 8 associations B9+fer)</w:t>
            </w:r>
          </w:p>
        </w:tc>
      </w:tr>
      <w:tr>
        <w:tc>
          <w:tcPr>
            <w:tcW w:type="dxa" w:w="1336"/>
          </w:tcPr>
          <w:p>
            <w:r>
              <w:rPr>
                <w:sz w:val="20"/>
              </w:rPr>
              <w:t>**Folinate de calcium (Acide folinique)**</w:t>
            </w:r>
          </w:p>
        </w:tc>
        <w:tc>
          <w:tcPr>
            <w:tcW w:type="dxa" w:w="1336"/>
          </w:tcPr>
          <w:p>
            <w:r>
              <w:rPr>
                <w:sz w:val="20"/>
              </w:rPr>
              <w:t>V03AF03, V03AF10</w:t>
            </w:r>
          </w:p>
        </w:tc>
        <w:tc>
          <w:tcPr>
            <w:tcW w:type="dxa" w:w="1336"/>
          </w:tcPr>
          <w:p>
            <w:r>
              <w:rPr>
                <w:sz w:val="20"/>
              </w:rPr>
              <w:t>5-formyl-THF</w:t>
            </w:r>
          </w:p>
        </w:tc>
        <w:tc>
          <w:tcPr>
            <w:tcW w:type="dxa" w:w="1336"/>
          </w:tcPr>
          <w:p>
            <w:r>
              <w:rPr>
                <w:sz w:val="20"/>
              </w:rPr>
              <w:t>Rescue MTX haute dose, antidote MTX, potentialisation 5-FU (FOLFOX, FOLFIRI), toxoplasmose cérébrale</w:t>
            </w:r>
          </w:p>
        </w:tc>
        <w:tc>
          <w:tcPr>
            <w:tcW w:type="dxa" w:w="1336"/>
          </w:tcPr>
          <w:p>
            <w:r>
              <w:rPr>
                <w:sz w:val="20"/>
              </w:rPr>
              <w:t>15 mg/m² toutes les 6 h × 48-72 h rescue MTX ; 200-400 mg/m²/j 5-FU</w:t>
            </w:r>
          </w:p>
        </w:tc>
        <w:tc>
          <w:tcPr>
            <w:tcW w:type="dxa" w:w="1336"/>
          </w:tcPr>
          <w:p>
            <w:r>
              <w:rPr>
                <w:sz w:val="20"/>
              </w:rPr>
              <w:t>Cancer MTX sans protocole rescue, grossesse en oncologie</w:t>
            </w:r>
          </w:p>
        </w:tc>
        <w:tc>
          <w:tcPr>
            <w:tcW w:type="dxa" w:w="1336"/>
          </w:tcPr>
          <w:p>
            <w:r>
              <w:rPr>
                <w:sz w:val="20"/>
              </w:rPr>
              <w:t>1 spécialité active (RAZIFOLINE inj 10 mg/mL)</w:t>
            </w:r>
          </w:p>
        </w:tc>
      </w:tr>
      <w:tr>
        <w:tc>
          <w:tcPr>
            <w:tcW w:type="dxa" w:w="1336"/>
          </w:tcPr>
          <w:p>
            <w:r>
              <w:rPr>
                <w:sz w:val="20"/>
              </w:rPr>
              <w:t>**Biotine (B8/H)**</w:t>
            </w:r>
          </w:p>
        </w:tc>
        <w:tc>
          <w:tcPr>
            <w:tcW w:type="dxa" w:w="1336"/>
          </w:tcPr>
          <w:p>
            <w:r>
              <w:rPr>
                <w:sz w:val="20"/>
              </w:rPr>
              <w:t>A11HA05</w:t>
            </w:r>
          </w:p>
        </w:tc>
        <w:tc>
          <w:tcPr>
            <w:tcW w:type="dxa" w:w="1336"/>
          </w:tcPr>
          <w:p>
            <w:r>
              <w:rPr>
                <w:sz w:val="20"/>
              </w:rPr>
              <w:t>Biotine (biocytine)</w:t>
            </w:r>
          </w:p>
        </w:tc>
        <w:tc>
          <w:tcPr>
            <w:tcW w:type="dxa" w:w="1336"/>
          </w:tcPr>
          <w:p>
            <w:r>
              <w:rPr>
                <w:sz w:val="20"/>
              </w:rPr>
              <w:t>Carence, déficit holocarboxylase synthétase, déficit biotinidase, alopécie, ongles cassants</w:t>
            </w:r>
          </w:p>
        </w:tc>
        <w:tc>
          <w:tcPr>
            <w:tcW w:type="dxa" w:w="1336"/>
          </w:tcPr>
          <w:p>
            <w:r>
              <w:rPr>
                <w:sz w:val="20"/>
              </w:rPr>
              <w:t>1-10 mg/j cure ; 10-40 mg/j déficit héréditaire</w:t>
            </w:r>
          </w:p>
        </w:tc>
        <w:tc>
          <w:tcPr>
            <w:tcW w:type="dxa" w:w="1336"/>
          </w:tcPr>
          <w:p>
            <w:r>
              <w:rPr>
                <w:sz w:val="20"/>
              </w:rPr>
              <w:t>Hypersensibilité ; dosages streptavidine-biotine imminents</w:t>
            </w:r>
          </w:p>
        </w:tc>
        <w:tc>
          <w:tcPr>
            <w:tcW w:type="dxa" w:w="1336"/>
          </w:tcPr>
          <w:p>
            <w:r>
              <w:rPr>
                <w:sz w:val="20"/>
              </w:rPr>
              <w:t>0 spécialité active (BIOTINE — NON_RENOUVELABLE dans toutes ses formes)</w:t>
            </w:r>
          </w:p>
        </w:tc>
      </w:tr>
      <w:tr>
        <w:tc>
          <w:tcPr>
            <w:tcW w:type="dxa" w:w="1336"/>
          </w:tcPr>
          <w:p>
            <w:r>
              <w:rPr>
                <w:sz w:val="20"/>
              </w:rPr>
              <w:t>**Acide ascorbique (Vitamine C)**</w:t>
            </w:r>
          </w:p>
        </w:tc>
        <w:tc>
          <w:tcPr>
            <w:tcW w:type="dxa" w:w="1336"/>
          </w:tcPr>
          <w:p>
            <w:r>
              <w:rPr>
                <w:sz w:val="20"/>
              </w:rPr>
              <w:t>A11GA01, N02BE51</w:t>
            </w:r>
          </w:p>
        </w:tc>
        <w:tc>
          <w:tcPr>
            <w:tcW w:type="dxa" w:w="1336"/>
          </w:tcPr>
          <w:p>
            <w:r>
              <w:rPr>
                <w:sz w:val="20"/>
              </w:rPr>
              <w:t>Acide ascorbique</w:t>
            </w:r>
          </w:p>
        </w:tc>
        <w:tc>
          <w:tcPr>
            <w:tcW w:type="dxa" w:w="1336"/>
          </w:tcPr>
          <w:p>
            <w:r>
              <w:rPr>
                <w:sz w:val="20"/>
              </w:rPr>
              <w:t>Scorbut, supplémentation (fumeurs, dialysés, alcooliques), augmentation absorption fer, rhume (effet modeste)</w:t>
            </w:r>
          </w:p>
        </w:tc>
        <w:tc>
          <w:tcPr>
            <w:tcW w:type="dxa" w:w="1336"/>
          </w:tcPr>
          <w:p>
            <w:r>
              <w:rPr>
                <w:sz w:val="20"/>
              </w:rPr>
              <w:t>75-120 mg/j entretien ; 500-1000 mg/j cure</w:t>
            </w:r>
          </w:p>
        </w:tc>
        <w:tc>
          <w:tcPr>
            <w:tcW w:type="dxa" w:w="1336"/>
          </w:tcPr>
          <w:p>
            <w:r>
              <w:rPr>
                <w:sz w:val="20"/>
              </w:rPr>
              <w:t>Lithiase oxalique (≥ 1 g/j), hémochromatose (≥ 500 mg/j)</w:t>
            </w:r>
          </w:p>
        </w:tc>
        <w:tc>
          <w:tcPr>
            <w:tcW w:type="dxa" w:w="1336"/>
          </w:tcPr>
          <w:p>
            <w:r>
              <w:rPr>
                <w:sz w:val="20"/>
              </w:rPr>
              <w:t>22 spécialités actives (RAZISCORBIC C inj Liste I, VITA-C, LAROSCORBINE, FERVEX, EFFERALGAN VITAMINE C, BIOVEX, etc.)</w:t>
            </w:r>
          </w:p>
        </w:tc>
      </w:tr>
    </w:tbl>
    <w:p/>
    <w:p>
      <w:pPr>
        <w:pStyle w:val="Heading3"/>
      </w:pPr>
      <w:r>
        <w:t>Analyse transversale</w:t>
      </w:r>
    </w:p>
    <w:p>
      <w:r/>
      <w:r>
        <w:rPr>
          <w:b/>
        </w:rPr>
        <w:t>1. Disponibilité des spécialités actives</w:t>
      </w:r>
      <w:r>
        <w:t xml:space="preserve"> : Sur les 9 DCI traitées, </w:t>
      </w:r>
      <w:r>
        <w:rPr>
          <w:b/>
        </w:rPr>
        <w:t>7 DCI disposent d'au moins une spécialité active</w:t>
      </w:r>
      <w:r>
        <w:t xml:space="preserve"> en Algérie (thiamine, pyridoxine, cyanocobalamine, dexpanthénol topique, acide folique ± fer, folinate de calcium, acide ascorbique). Les </w:t>
      </w:r>
      <w:r>
        <w:rPr>
          <w:b/>
        </w:rPr>
        <w:t>2 DCI sans spécialité active</w:t>
      </w:r>
      <w:r>
        <w:t xml:space="preserve"> sont la riboflavine (B2 — RETIRÉE du marché algérien) et la biotine (B8/H — NON_RENOUVELABLE). Cette situation impose aux praticiens algériens de recourir à des préparations magistrales, à l'importation de spécialités étrangères, ou aux complexes multivitaminiques (chapitre 164 — MEGADYN) pour la supplémentation en B2 et B8.</w:t>
      </w:r>
    </w:p>
    <w:p>
      <w:r/>
      <w:r>
        <w:rPr>
          <w:b/>
        </w:rPr>
        <w:t>2. Production locale vs importation</w:t>
      </w:r>
      <w:r>
        <w:t xml:space="preserve"> : Les spécialités actives sont dominées par les producteurs locaux algériens (Frater-Razes, Saidal, API, Hupp Pharma, Biogalenic, Inpha-Medis, Becquer, BIOCARE, SOPHAL, Merinal, LAD Pharma, Onyx, ProPharmal, Geopharm, Biothera), ce qui témoigne d'une autonomie industrielle algérienne satisfaisante pour la plupart des vitamines hydrosolubles. Les importations concernent principalement les associations antirhumeuses (FERVEX — UPSA/Bristol Myers Squibb) et les spécialités historiques de multivitamines (MEGADYN — Abdi Ibrahim).</w:t>
      </w:r>
    </w:p>
    <w:p>
      <w:r/>
      <w:r>
        <w:rPr>
          <w:b/>
        </w:rPr>
        <w:t>3. Formes galéniques disponibles</w:t>
      </w:r>
      <w:r>
        <w:t xml:space="preserve"> : La Algérie dispose d'une gamme complète de formes galéniques pour les vitamines hydrosolubles : comprimés (à croquer, à sucer, effervescents, pelliculés, sécables), gélules (dont LP), solutions injectables IM/IV/perfusion, solutions buvables en ampoules, pommades dermiques, granulés pour solution buvable en sachets-dose. Cette diversité permet d'adapter la prescription aux besoins cliniques (cure d'attaque IV, entretien oral, application topique).</w:t>
      </w:r>
    </w:p>
    <w:p>
      <w:r/>
      <w:r>
        <w:rPr>
          <w:b/>
        </w:rPr>
        <w:t>4. Statut réglementaire</w:t>
      </w:r>
      <w:r>
        <w:t xml:space="preserve"> : La grande majorité des spécialités actives sont en </w:t>
      </w:r>
      <w:r>
        <w:rPr>
          <w:b/>
        </w:rPr>
        <w:t>hors liste</w:t>
      </w:r>
      <w:r>
        <w:t xml:space="preserve"> (vente libre en officine, avec obligation de conseil pharmaceutique). Deux spécialités sont en </w:t>
      </w:r>
      <w:r>
        <w:rPr>
          <w:b/>
        </w:rPr>
        <w:t>Liste I</w:t>
      </w:r>
      <w:r>
        <w:t xml:space="preserve"> : RAZISCORBIC C (vitamine C injectable — surveillance médicale) et TRI-B-VIT HUP (B1+B6+B12 — association neurotrope). Aucune vitamine hydrosoluble n'est en Liste II ou stupéfiants.</w:t>
      </w:r>
    </w:p>
    <w:p>
      <w:r/>
      <w:r>
        <w:rPr>
          <w:b/>
        </w:rPr>
        <w:t>5. Comparaison des index thérapeutiques</w:t>
      </w:r>
      <w:r>
        <w:t xml:space="preserve"> : Les vitamines hydrosolubles ont des index thérapeutiques très variables :</w:t>
      </w:r>
    </w:p>
    <w:p>
      <w:pPr>
        <w:pStyle w:val="ListBullet"/>
      </w:pPr>
      <w:r/>
      <w:r>
        <w:rPr>
          <w:b/>
        </w:rPr>
        <w:t>Index thérapeutique large</w:t>
      </w:r>
      <w:r>
        <w:t xml:space="preserve"> (toxicité faible) : B1 (toxicité aiguë très faible), B2 (toxicité très faible), B5 (toxicité très faible), B8/H (toxicité très faible), B9 (toxicité faible à doses &lt; 1 mg/j), C (à doses &lt; 1 g/j).</w:t>
      </w:r>
    </w:p>
    <w:p>
      <w:pPr>
        <w:pStyle w:val="ListBullet"/>
      </w:pPr>
      <w:r/>
      <w:r>
        <w:rPr>
          <w:b/>
        </w:rPr>
        <w:t>Index thérapeutique étroit</w:t>
      </w:r>
      <w:r>
        <w:t xml:space="preserve"> (toxicité spécifique) : B6 (neuropathie sensorielle à doses ≥ 200 mg/j), B12 (hypokaliémie à l'initiation du traitement des carences sévères), B9 (masquage de la carence en B12 à doses ≥ 1 mg/j), C (oxalose à doses ≥ 1 g/j).</w:t>
      </w:r>
    </w:p>
    <w:p>
      <w:pPr>
        <w:pStyle w:val="ListBullet"/>
      </w:pPr>
      <w:r/>
      <w:r>
        <w:rPr>
          <w:b/>
        </w:rPr>
        <w:t>Index thérapeutique critique</w:t>
      </w:r>
      <w:r>
        <w:t xml:space="preserve"> (réservé au milieu hospitalier) : Acide folinique (interaction avec MTX et 5-FU — respect strict des nomogrammes).</w:t>
      </w:r>
    </w:p>
    <w:p>
      <w:pPr>
        <w:pStyle w:val="Heading3"/>
      </w:pPr>
      <w:r>
        <w:t>Comparaison des profils d'effets indésirables critiques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DCI</w:t>
            </w:r>
          </w:p>
        </w:tc>
        <w:tc>
          <w:tcPr>
            <w:tcW w:type="dxa" w:w="2339"/>
          </w:tcPr>
          <w:p>
            <w:r>
              <w:rPr>
                <w:b/>
                <w:sz w:val="20"/>
              </w:rPr>
              <w:t>Effet indésirable critique</w:t>
            </w:r>
          </w:p>
        </w:tc>
        <w:tc>
          <w:tcPr>
            <w:tcW w:type="dxa" w:w="2339"/>
          </w:tcPr>
          <w:p>
            <w:r>
              <w:rPr>
                <w:b/>
                <w:sz w:val="20"/>
              </w:rPr>
              <w:t>Mécanisme</w:t>
            </w:r>
          </w:p>
        </w:tc>
        <w:tc>
          <w:tcPr>
            <w:tcW w:type="dxa" w:w="2339"/>
          </w:tcPr>
          <w:p>
            <w:r>
              <w:rPr>
                <w:b/>
                <w:sz w:val="20"/>
              </w:rPr>
              <w:t>Prévention</w:t>
            </w:r>
          </w:p>
        </w:tc>
      </w:tr>
      <w:tr>
        <w:tc>
          <w:tcPr>
            <w:tcW w:type="dxa" w:w="2339"/>
          </w:tcPr>
          <w:p>
            <w:r>
              <w:rPr>
                <w:sz w:val="20"/>
              </w:rPr>
              <w:t>Thiamine (B1)</w:t>
            </w:r>
          </w:p>
        </w:tc>
        <w:tc>
          <w:tcPr>
            <w:tcW w:type="dxa" w:w="2339"/>
          </w:tcPr>
          <w:p>
            <w:r>
              <w:rPr>
                <w:sz w:val="20"/>
              </w:rPr>
              <w:t>Choc anaphylactique (voie IV)</w:t>
            </w:r>
          </w:p>
        </w:tc>
        <w:tc>
          <w:tcPr>
            <w:tcW w:type="dxa" w:w="2339"/>
          </w:tcPr>
          <w:p>
            <w:r>
              <w:rPr>
                <w:sz w:val="20"/>
              </w:rPr>
              <w:t>Histamino-libération</w:t>
            </w:r>
          </w:p>
        </w:tc>
        <w:tc>
          <w:tcPr>
            <w:tcW w:type="dxa" w:w="2339"/>
          </w:tcPr>
          <w:p>
            <w:r>
              <w:rPr>
                <w:sz w:val="20"/>
              </w:rPr>
              <w:t>Injection IV lente (≥ 5 min/100 mg), kit de réanimation</w:t>
            </w:r>
          </w:p>
        </w:tc>
      </w:tr>
      <w:tr>
        <w:tc>
          <w:tcPr>
            <w:tcW w:type="dxa" w:w="2339"/>
          </w:tcPr>
          <w:p>
            <w:r>
              <w:rPr>
                <w:sz w:val="20"/>
              </w:rPr>
              <w:t>Pyridoxine (B6)</w:t>
            </w:r>
          </w:p>
        </w:tc>
        <w:tc>
          <w:tcPr>
            <w:tcW w:type="dxa" w:w="2339"/>
          </w:tcPr>
          <w:p>
            <w:r>
              <w:rPr>
                <w:sz w:val="20"/>
              </w:rPr>
              <w:t>Neuropathie sensorielle périphérique</w:t>
            </w:r>
          </w:p>
        </w:tc>
        <w:tc>
          <w:tcPr>
            <w:tcW w:type="dxa" w:w="2339"/>
          </w:tcPr>
          <w:p>
            <w:r>
              <w:rPr>
                <w:sz w:val="20"/>
              </w:rPr>
              <w:t>Effet axonal direct du PLP sur les ganglions rachidiens postérieurs</w:t>
            </w:r>
          </w:p>
        </w:tc>
        <w:tc>
          <w:tcPr>
            <w:tcW w:type="dxa" w:w="2339"/>
          </w:tcPr>
          <w:p>
            <w:r>
              <w:rPr>
                <w:sz w:val="20"/>
              </w:rPr>
              <w:t>Ne pas dépasser 50 mg/j au long cours</w:t>
            </w:r>
          </w:p>
        </w:tc>
      </w:tr>
      <w:tr>
        <w:tc>
          <w:tcPr>
            <w:tcW w:type="dxa" w:w="2339"/>
          </w:tcPr>
          <w:p>
            <w:r>
              <w:rPr>
                <w:sz w:val="20"/>
              </w:rPr>
              <w:t>Cyanocobalamine (B12)</w:t>
            </w:r>
          </w:p>
        </w:tc>
        <w:tc>
          <w:tcPr>
            <w:tcW w:type="dxa" w:w="2339"/>
          </w:tcPr>
          <w:p>
            <w:r>
              <w:rPr>
                <w:sz w:val="20"/>
              </w:rPr>
              <w:t>Hypokaliémie sévère à l'initiation</w:t>
            </w:r>
          </w:p>
        </w:tc>
        <w:tc>
          <w:tcPr>
            <w:tcW w:type="dxa" w:w="2339"/>
          </w:tcPr>
          <w:p>
            <w:r>
              <w:rPr>
                <w:sz w:val="20"/>
              </w:rPr>
              <w:t>Consommation potassique par l'érythropoïèse reprise</w:t>
            </w:r>
          </w:p>
        </w:tc>
        <w:tc>
          <w:tcPr>
            <w:tcW w:type="dxa" w:w="2339"/>
          </w:tcPr>
          <w:p>
            <w:r>
              <w:rPr>
                <w:sz w:val="20"/>
              </w:rPr>
              <w:t>Surveillance K⁺ à J1, J3, J7, J14 ; supplémentation KCl</w:t>
            </w:r>
          </w:p>
        </w:tc>
      </w:tr>
      <w:tr>
        <w:tc>
          <w:tcPr>
            <w:tcW w:type="dxa" w:w="2339"/>
          </w:tcPr>
          <w:p>
            <w:r>
              <w:rPr>
                <w:sz w:val="20"/>
              </w:rPr>
              <w:t>Acide folique (B9)</w:t>
            </w:r>
          </w:p>
        </w:tc>
        <w:tc>
          <w:tcPr>
            <w:tcW w:type="dxa" w:w="2339"/>
          </w:tcPr>
          <w:p>
            <w:r>
              <w:rPr>
                <w:sz w:val="20"/>
              </w:rPr>
              <w:t>Masquage de la carence en B12 (neuropathie irréversible)</w:t>
            </w:r>
          </w:p>
        </w:tc>
        <w:tc>
          <w:tcPr>
            <w:tcW w:type="dxa" w:w="2339"/>
          </w:tcPr>
          <w:p>
            <w:r>
              <w:rPr>
                <w:sz w:val="20"/>
              </w:rPr>
              <w:t>Correction de l'anémie sans prévention de la neuropathie carentielle</w:t>
            </w:r>
          </w:p>
        </w:tc>
        <w:tc>
          <w:tcPr>
            <w:tcW w:type="dxa" w:w="2339"/>
          </w:tcPr>
          <w:p>
            <w:r>
              <w:rPr>
                <w:sz w:val="20"/>
              </w:rPr>
              <w:t>Vérifier la B12 sérique avant d'initier des doses ≥ 1 mg/j</w:t>
            </w:r>
          </w:p>
        </w:tc>
      </w:tr>
      <w:tr>
        <w:tc>
          <w:tcPr>
            <w:tcW w:type="dxa" w:w="2339"/>
          </w:tcPr>
          <w:p>
            <w:r>
              <w:rPr>
                <w:sz w:val="20"/>
              </w:rPr>
              <w:t>Folinate de calcium</w:t>
            </w:r>
          </w:p>
        </w:tc>
        <w:tc>
          <w:tcPr>
            <w:tcW w:type="dxa" w:w="2339"/>
          </w:tcPr>
          <w:p>
            <w:r>
              <w:rPr>
                <w:sz w:val="20"/>
              </w:rPr>
              <w:t>Réduction de l'efficacité du MTX</w:t>
            </w:r>
          </w:p>
        </w:tc>
        <w:tc>
          <w:tcPr>
            <w:tcW w:type="dxa" w:w="2339"/>
          </w:tcPr>
          <w:p>
            <w:r>
              <w:rPr>
                <w:sz w:val="20"/>
              </w:rPr>
              <w:t>Court-circuitage du blocage DHFR (trop tôt ou trop prolongé)</w:t>
            </w:r>
          </w:p>
        </w:tc>
        <w:tc>
          <w:tcPr>
            <w:tcW w:type="dxa" w:w="2339"/>
          </w:tcPr>
          <w:p>
            <w:r>
              <w:rPr>
                <w:sz w:val="20"/>
              </w:rPr>
              <w:t>Respect strict des nomogrammes (Stoller, Bleyer)</w:t>
            </w:r>
          </w:p>
        </w:tc>
      </w:tr>
      <w:tr>
        <w:tc>
          <w:tcPr>
            <w:tcW w:type="dxa" w:w="2339"/>
          </w:tcPr>
          <w:p>
            <w:r>
              <w:rPr>
                <w:sz w:val="20"/>
              </w:rPr>
              <w:t>Biotine (B8/H)</w:t>
            </w:r>
          </w:p>
        </w:tc>
        <w:tc>
          <w:tcPr>
            <w:tcW w:type="dxa" w:w="2339"/>
          </w:tcPr>
          <w:p>
            <w:r>
              <w:rPr>
                <w:sz w:val="20"/>
              </w:rPr>
              <w:t>Interférence avec les dosages biologiques (faux négatifs troponine, TSH)</w:t>
            </w:r>
          </w:p>
        </w:tc>
        <w:tc>
          <w:tcPr>
            <w:tcW w:type="dxa" w:w="2339"/>
          </w:tcPr>
          <w:p>
            <w:r>
              <w:rPr>
                <w:sz w:val="20"/>
              </w:rPr>
              <w:t>Saturation des sites de liaison streptavidine</w:t>
            </w:r>
          </w:p>
        </w:tc>
        <w:tc>
          <w:tcPr>
            <w:tcW w:type="dxa" w:w="2339"/>
          </w:tcPr>
          <w:p>
            <w:r>
              <w:rPr>
                <w:sz w:val="20"/>
              </w:rPr>
              <w:t>Arrêter la biotine 48 h avant tout dosage</w:t>
            </w:r>
          </w:p>
        </w:tc>
      </w:tr>
      <w:tr>
        <w:tc>
          <w:tcPr>
            <w:tcW w:type="dxa" w:w="2339"/>
          </w:tcPr>
          <w:p>
            <w:r>
              <w:rPr>
                <w:sz w:val="20"/>
              </w:rPr>
              <w:t>Acide ascorbique (Vit C)</w:t>
            </w:r>
          </w:p>
        </w:tc>
        <w:tc>
          <w:tcPr>
            <w:tcW w:type="dxa" w:w="2339"/>
          </w:tcPr>
          <w:p>
            <w:r>
              <w:rPr>
                <w:sz w:val="20"/>
              </w:rPr>
              <w:t>Lithiase oxalique</w:t>
            </w:r>
          </w:p>
        </w:tc>
        <w:tc>
          <w:tcPr>
            <w:tcW w:type="dxa" w:w="2339"/>
          </w:tcPr>
          <w:p>
            <w:r>
              <w:rPr>
                <w:sz w:val="20"/>
              </w:rPr>
              <w:t>Conversion en acide oxalique (métabolite terminal)</w:t>
            </w:r>
          </w:p>
        </w:tc>
        <w:tc>
          <w:tcPr>
            <w:tcW w:type="dxa" w:w="2339"/>
          </w:tcPr>
          <w:p>
            <w:r>
              <w:rPr>
                <w:sz w:val="20"/>
              </w:rPr>
              <w:t>Ne pas dépasser 1 g/j au long cours, hydratation</w:t>
            </w:r>
          </w:p>
        </w:tc>
      </w:tr>
    </w:tbl>
    <w:p/>
    <w:p>
      <w:pPr>
        <w:pStyle w:val="Heading3"/>
      </w:pPr>
      <w:r>
        <w:t>Comparaison des interactions médicamenteuses critiques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DCI</w:t>
            </w:r>
          </w:p>
        </w:tc>
        <w:tc>
          <w:tcPr>
            <w:tcW w:type="dxa" w:w="2339"/>
          </w:tcPr>
          <w:p>
            <w:r>
              <w:rPr>
                <w:b/>
                <w:sz w:val="20"/>
              </w:rPr>
              <w:t>Interaction critique</w:t>
            </w:r>
          </w:p>
        </w:tc>
        <w:tc>
          <w:tcPr>
            <w:tcW w:type="dxa" w:w="2339"/>
          </w:tcPr>
          <w:p>
            <w:r>
              <w:rPr>
                <w:b/>
                <w:sz w:val="20"/>
              </w:rPr>
              <w:t>Mécanisme</w:t>
            </w:r>
          </w:p>
        </w:tc>
        <w:tc>
          <w:tcPr>
            <w:tcW w:type="dxa" w:w="2339"/>
          </w:tcPr>
          <w:p>
            <w:r>
              <w:rPr>
                <w:b/>
                <w:sz w:val="20"/>
              </w:rPr>
              <w:t>Prévention</w:t>
            </w:r>
          </w:p>
        </w:tc>
      </w:tr>
      <w:tr>
        <w:tc>
          <w:tcPr>
            <w:tcW w:type="dxa" w:w="2339"/>
          </w:tcPr>
          <w:p>
            <w:r>
              <w:rPr>
                <w:sz w:val="20"/>
              </w:rPr>
              <w:t>Thiamine (B1)</w:t>
            </w:r>
          </w:p>
        </w:tc>
        <w:tc>
          <w:tcPr>
            <w:tcW w:type="dxa" w:w="2339"/>
          </w:tcPr>
          <w:p>
            <w:r>
              <w:rPr>
                <w:sz w:val="20"/>
              </w:rPr>
              <w:t>Glucose IV (précipitation encéphalopathie de Wernicke)</w:t>
            </w:r>
          </w:p>
        </w:tc>
        <w:tc>
          <w:tcPr>
            <w:tcW w:type="dxa" w:w="2339"/>
          </w:tcPr>
          <w:p>
            <w:r>
              <w:rPr>
                <w:sz w:val="20"/>
              </w:rPr>
              <w:t>Blocage du métabolisme du pyruvate → acidose lactique cérébrale</w:t>
            </w:r>
          </w:p>
        </w:tc>
        <w:tc>
          <w:tcPr>
            <w:tcW w:type="dxa" w:w="2339"/>
          </w:tcPr>
          <w:p>
            <w:r>
              <w:rPr>
                <w:sz w:val="20"/>
              </w:rPr>
              <w:t>Administrer 100-500 mg de thiamine IV avant toute perfusion de glucose chez le patient alcoolique ou dénutri</w:t>
            </w:r>
          </w:p>
        </w:tc>
      </w:tr>
      <w:tr>
        <w:tc>
          <w:tcPr>
            <w:tcW w:type="dxa" w:w="2339"/>
          </w:tcPr>
          <w:p>
            <w:r>
              <w:rPr>
                <w:sz w:val="20"/>
              </w:rPr>
              <w:t>Pyridoxine (B6)</w:t>
            </w:r>
          </w:p>
        </w:tc>
        <w:tc>
          <w:tcPr>
            <w:tcW w:type="dxa" w:w="2339"/>
          </w:tcPr>
          <w:p>
            <w:r>
              <w:rPr>
                <w:sz w:val="20"/>
              </w:rPr>
              <w:t>Lévodopa (Parkinson)</w:t>
            </w:r>
          </w:p>
        </w:tc>
        <w:tc>
          <w:tcPr>
            <w:tcW w:type="dxa" w:w="2339"/>
          </w:tcPr>
          <w:p>
            <w:r>
              <w:rPr>
                <w:sz w:val="20"/>
              </w:rPr>
              <w:t>Conversion périphérique en dopamine (réduction de l'efficacité centrale)</w:t>
            </w:r>
          </w:p>
        </w:tc>
        <w:tc>
          <w:tcPr>
            <w:tcW w:type="dxa" w:w="2339"/>
          </w:tcPr>
          <w:p>
            <w:r>
              <w:rPr>
                <w:sz w:val="20"/>
              </w:rPr>
              <w:t>Éviter la B6 ≥ 5 mg/j en l'absence d'inhibiteur de la dopa-décarboxylase</w:t>
            </w:r>
          </w:p>
        </w:tc>
      </w:tr>
      <w:tr>
        <w:tc>
          <w:tcPr>
            <w:tcW w:type="dxa" w:w="2339"/>
          </w:tcPr>
          <w:p>
            <w:r>
              <w:rPr>
                <w:sz w:val="20"/>
              </w:rPr>
              <w:t>Cyanocobalamine (B12)</w:t>
            </w:r>
          </w:p>
        </w:tc>
        <w:tc>
          <w:tcPr>
            <w:tcW w:type="dxa" w:w="2339"/>
          </w:tcPr>
          <w:p>
            <w:r>
              <w:rPr>
                <w:sz w:val="20"/>
              </w:rPr>
              <w:t>Acide folique (masquage anémie)</w:t>
            </w:r>
          </w:p>
        </w:tc>
        <w:tc>
          <w:tcPr>
            <w:tcW w:type="dxa" w:w="2339"/>
          </w:tcPr>
          <w:p>
            <w:r>
              <w:rPr>
                <w:sz w:val="20"/>
              </w:rPr>
              <w:t>Correction de l'anémie sans prévention de la neuropathie carentielle</w:t>
            </w:r>
          </w:p>
        </w:tc>
        <w:tc>
          <w:tcPr>
            <w:tcW w:type="dxa" w:w="2339"/>
          </w:tcPr>
          <w:p>
            <w:r>
              <w:rPr>
                <w:sz w:val="20"/>
              </w:rPr>
              <w:t>Vérifier la B12 avant de donner des folates ≥ 1 mg/j</w:t>
            </w:r>
          </w:p>
        </w:tc>
      </w:tr>
      <w:tr>
        <w:tc>
          <w:tcPr>
            <w:tcW w:type="dxa" w:w="2339"/>
          </w:tcPr>
          <w:p>
            <w:r>
              <w:rPr>
                <w:sz w:val="20"/>
              </w:rPr>
              <w:t>Acide folique (B9)</w:t>
            </w:r>
          </w:p>
        </w:tc>
        <w:tc>
          <w:tcPr>
            <w:tcW w:type="dxa" w:w="2339"/>
          </w:tcPr>
          <w:p>
            <w:r>
              <w:rPr>
                <w:sz w:val="20"/>
              </w:rPr>
              <w:t>Méthotrexate, triméthoprime, pyriméthamine (antifolates)</w:t>
            </w:r>
          </w:p>
        </w:tc>
        <w:tc>
          <w:tcPr>
            <w:tcW w:type="dxa" w:w="2339"/>
          </w:tcPr>
          <w:p>
            <w:r>
              <w:rPr>
                <w:sz w:val="20"/>
              </w:rPr>
              <w:t>Antagonisme pharmacodynamique</w:t>
            </w:r>
          </w:p>
        </w:tc>
        <w:tc>
          <w:tcPr>
            <w:tcW w:type="dxa" w:w="2339"/>
          </w:tcPr>
          <w:p>
            <w:r>
              <w:rPr>
                <w:sz w:val="20"/>
              </w:rPr>
              <w:t>Préférer l'acide folinique en cas de toxicité sévère</w:t>
            </w:r>
          </w:p>
        </w:tc>
      </w:tr>
      <w:tr>
        <w:tc>
          <w:tcPr>
            <w:tcW w:type="dxa" w:w="2339"/>
          </w:tcPr>
          <w:p>
            <w:r>
              <w:rPr>
                <w:sz w:val="20"/>
              </w:rPr>
              <w:t>Folinate de calcium</w:t>
            </w:r>
          </w:p>
        </w:tc>
        <w:tc>
          <w:tcPr>
            <w:tcW w:type="dxa" w:w="2339"/>
          </w:tcPr>
          <w:p>
            <w:r>
              <w:rPr>
                <w:sz w:val="20"/>
              </w:rPr>
              <w:t>Méthotrexate (réduction de l'efficacité si rescue trop précoce)</w:t>
            </w:r>
          </w:p>
        </w:tc>
        <w:tc>
          <w:tcPr>
            <w:tcW w:type="dxa" w:w="2339"/>
          </w:tcPr>
          <w:p>
            <w:r>
              <w:rPr>
                <w:sz w:val="20"/>
              </w:rPr>
              <w:t>Court-circuitage du blocage DHFR</w:t>
            </w:r>
          </w:p>
        </w:tc>
        <w:tc>
          <w:tcPr>
            <w:tcW w:type="dxa" w:w="2339"/>
          </w:tcPr>
          <w:p>
            <w:r>
              <w:rPr>
                <w:sz w:val="20"/>
              </w:rPr>
              <w:t>Respect strict des nomogrammes (rescue à H24-H36)</w:t>
            </w:r>
          </w:p>
        </w:tc>
      </w:tr>
      <w:tr>
        <w:tc>
          <w:tcPr>
            <w:tcW w:type="dxa" w:w="2339"/>
          </w:tcPr>
          <w:p>
            <w:r>
              <w:rPr>
                <w:sz w:val="20"/>
              </w:rPr>
              <w:t>Acide ascorbique (Vit C)</w:t>
            </w:r>
          </w:p>
        </w:tc>
        <w:tc>
          <w:tcPr>
            <w:tcW w:type="dxa" w:w="2339"/>
          </w:tcPr>
          <w:p>
            <w:r>
              <w:rPr>
                <w:sz w:val="20"/>
              </w:rPr>
              <w:t>Fer (surcharge martiale)</w:t>
            </w:r>
          </w:p>
        </w:tc>
        <w:tc>
          <w:tcPr>
            <w:tcW w:type="dxa" w:w="2339"/>
          </w:tcPr>
          <w:p>
            <w:r>
              <w:rPr>
                <w:sz w:val="20"/>
              </w:rPr>
              <w:t>Augmentation de l'absorption du fer (réduction Fe³⁺ → Fe²⁺)</w:t>
            </w:r>
          </w:p>
        </w:tc>
        <w:tc>
          <w:tcPr>
            <w:tcW w:type="dxa" w:w="2339"/>
          </w:tcPr>
          <w:p>
            <w:r>
              <w:rPr>
                <w:sz w:val="20"/>
              </w:rPr>
              <w:t>Éviter ≥ 500 mg/j chez les patients avec hémochromatose</w:t>
            </w:r>
          </w:p>
        </w:tc>
      </w:tr>
    </w:tbl>
    <w:p/>
    <w:p>
      <w:pPr>
        <w:pStyle w:val="Heading2"/>
      </w:pPr>
      <w:r>
        <w:t>162.14. Synthèse pédagogique pour la pratique officinale et clinique algérienne</w:t>
      </w:r>
    </w:p>
    <w:p>
      <w:pPr>
        <w:pStyle w:val="Heading3"/>
      </w:pPr>
      <w:r>
        <w:t>Règles d'or transversales pour la dispensation des vitamines hydrosolubles en officine</w:t>
      </w:r>
    </w:p>
    <w:p>
      <w:r>
        <w:t>La dispensation des vitamines hydrosolubles en officine algérienne doit obéir à un ensemble de règles transversales qui s'appliquent à l'ensemble des 9 DCI traitées dans ce chapitre. Ces règles, issues des recommandations de l'OMS, de l'ANSM, de la HAS, du CRAT et de la nomenclature algérienne, visent à garantir la sécurité du patient, à optimiser l'efficacité thérapeutique et à prévenir les iatrogénies.</w:t>
      </w:r>
    </w:p>
    <w:p>
      <w:r/>
      <w:r>
        <w:rPr>
          <w:b/>
        </w:rPr>
        <w:t>Règle n°1 : Toujours vérifier l'absence d'automédication excessive par les compléments alimentaires.</w:t>
      </w:r>
      <w:r>
        <w:t xml:space="preserve"> La prolifération des compléments alimentaires contenant des vitamines hydrosolubles (complexes multivitaminiques, complexes B1+B6+B12, vitamine C) expose le patient à un risque de surdosage (neuropathie pour la B6, oxalose pour la C, masquage de la carence en B12 pour la B9, hypokaliémie pour la B12 en cas de carence sévère). Interroger systématiquement le patient sur sa consommation de compléments, en particulier chez les femmes enceintes, les sujets âgés et les patients polymédiqués.</w:t>
      </w:r>
    </w:p>
    <w:p>
      <w:r/>
      <w:r>
        <w:rPr>
          <w:b/>
        </w:rPr>
        <w:t>Règle n°2 : Toujours respecter les doses maximales recommandées au long cours.</w:t>
      </w:r>
      <w:r>
        <w:t xml:space="preserve"> Les doses maximales au long cours sont : B1 ≤ 100 mg/jour, B6 ≤ 50 mg/jour, B9 ≤ 1 mg/jour (sauf carence avérée), B12 ≤ 1000 µg IM/2-4 semaines, C ≤ 1 g/jour. Au-delà de ces doses, la surveillance médicale et biologique est indispensable.</w:t>
      </w:r>
    </w:p>
    <w:p>
      <w:r/>
      <w:r>
        <w:rPr>
          <w:b/>
        </w:rPr>
        <w:t>Règle n°3 : Toujours vérifier l'absence d'interactions médicamenteuses critiques.</w:t>
      </w:r>
      <w:r>
        <w:t xml:space="preserve"> Les interactions critiques à connaître par cœur sont : (i) thiamine + glucose IV (risque d'encéphalopathie de Wernicke iatrogène chez le patient carencé) ; (ii) B6 + lévodopa sans inhibiteur de la dopa-décarboxylase (réduction de l'efficacité antiparkinsonienne) ; (iii) B9 + B12 (masquage de l'anémie de Biermer avec risque de neuropathie irréversible) ; (iv) acide folinique + méthotrexate (réduction de l'efficacité antitumorale si rescue inadapté) ; (v) vitamine C + fer à doses ≥ 500 mg/j (surcharge martiale) ; (vi) biotine + dosages biologiques streptavidine-biotine (faux négatifs de troponine et TSH).</w:t>
      </w:r>
    </w:p>
    <w:p>
      <w:r/>
      <w:r>
        <w:rPr>
          <w:b/>
        </w:rPr>
        <w:t>Règle n°4 : Toujours vérifier la grossesse et l'allaitement.</w:t>
      </w:r>
      <w:r>
        <w:t xml:space="preserve"> Toutes les vitamines hydrosolubles sont compatibles avec la grossesse et l'allaitement aux doses usuelles recommandées. La supplémentation systématique préconceptionnelle en acide folique (400 µg/jour, ou 5 mg/jour chez les femmes à risque élevé) est une recommandation universelle. La supplémentation en B1, B6, B12 et C est recommandée pendant la grossesse et l'allaitement via les complexes prénataux. Les doses pharmacologiques (B6 ≥ 100 mg/j, C ≥ 1 g/j, B12 ≥ 1000 µg IV en bolus) sont à éviter par précaution.</w:t>
      </w:r>
    </w:p>
    <w:p>
      <w:r/>
      <w:r>
        <w:rPr>
          <w:b/>
        </w:rPr>
        <w:t>Règle n°5 : Toujours surveiller les patients à risque de carence spécifique.</w:t>
      </w:r>
      <w:r>
        <w:t xml:space="preserve"> Les populations à risque à dépister systématiquement sont : (i) femmes en âge de procréer (B9 préconceptionnel) ; (ii) femmes enceintes et allaitantes (B1, B6, B9, B12, C) ; (iii) alcooliques chroniques (B1, B6, B9, C) ; (iv) patients sous metformine ≥ 1 an (B12) ; (v) patients sous IPP ≥ 2 ans (B12) ; (vi) patients après gastrectomie (B12) ; (vii) patients dialysés (B1, B6, B9, B12, C, biotine) ; (viii) végétaliens stricts (B12) ; (ix) patients sous isoniazide (B6) ; (x) patients sous méthotrexate à faibles doses (B9 ou acide folinique) ; (xi) patients sous sulfasalazine (B9) ; (xii) patients sous antiépileptiques au long cours (B9, biotine) ; (xiii) fumeurs (C) ; (xiv) sujets âgés dénutris (B1, B6, B9, B12, C) ; (xv) patients avec malabsorption digestive (B1, B6, B9, B12, C).</w:t>
      </w:r>
    </w:p>
    <w:p>
      <w:pPr>
        <w:pStyle w:val="Heading3"/>
      </w:pPr>
      <w:r>
        <w:t>Messages pédagogiques clés pour les étudiants en pharmacie</w:t>
      </w:r>
    </w:p>
    <w:p>
      <w:r>
        <w:t>Les étudiants en pharmacie doivent retenir les messages pédagogiques clés suivants, qui synthétisent les connaissances essentielles du chapitre 162 :</w:t>
      </w:r>
    </w:p>
    <w:p>
      <w:pPr>
        <w:pStyle w:val="ListNumber"/>
      </w:pPr>
      <w:r/>
      <w:r>
        <w:rPr>
          <w:b/>
        </w:rPr>
        <w:t>Les vitamines hydrosolubles sont des cofacteurs enzymatiques essentiels</w:t>
      </w:r>
      <w:r>
        <w:t xml:space="preserve"> à des réactions clés du métabolisme énergétique (B1, B2, B3, B5), de la synthèse des acides aminés et neurotransmetteurs (B6), de la synthèse de l'ADN/ARN (B9, B12), de la synthèse du collagène (C), et du métabolisme des acides gras (B5, B8, C). Leur carence entraîne des syndromes cliniques spécifiques (béribéri, ariboflavinose, pellagre, anémie mégaloblastique, scorbut).</w:t>
      </w:r>
    </w:p>
    <w:p>
      <w:pPr>
        <w:pStyle w:val="ListNumber"/>
      </w:pPr>
      <w:r/>
      <w:r>
        <w:rPr>
          <w:b/>
        </w:rPr>
        <w:t>La toxicité des vitamines hydrosolubles est spécifique à chaque vitamine</w:t>
      </w:r>
      <w:r>
        <w:t xml:space="preserve"> : neuropathie sensorielle pour la B6 (≥ 200 mg/j), hypokaliémie pour la B12 (à l'initiation du traitement des carences sévères), masquage de la carence en B12 pour la B9 (≥ 1 mg/j), oxalose pour la vitamine C (≥ 1 g/j), interférence avec les dosages biologiques pour la biotine (≥ 5 mg/j).</w:t>
      </w:r>
    </w:p>
    <w:p>
      <w:pPr>
        <w:pStyle w:val="ListNumber"/>
      </w:pPr>
      <w:r/>
      <w:r>
        <w:rPr>
          <w:b/>
        </w:rPr>
        <w:t>L'interdépendance des vitamines B est essentielle à connaître</w:t>
      </w:r>
      <w:r>
        <w:t xml:space="preserve"> : B2 est nécessaire à l'activation de la B6 (pyridoxine phosphate oxydase dépendante de la riboflavine), B9 et B12 sont interdépendantes (méthionine synthase nécessite B12 et 5-méthyl-THF), B5 est nécessaire à la synthèse de l'acétylcholine et des porphyrines (avec B6 pour l'ALAS), B8 est nécessaire à la néoglucogenèse et à la lipogenèse (avec B5 pour le CoA).</w:t>
      </w:r>
    </w:p>
    <w:p>
      <w:pPr>
        <w:pStyle w:val="ListNumber"/>
      </w:pPr>
      <w:r/>
      <w:r>
        <w:rPr>
          <w:b/>
        </w:rPr>
        <w:t>L'absorption des vitamines hydrosolubles est régulée par des transporteurs spécifiques</w:t>
      </w:r>
      <w:r>
        <w:t xml:space="preserve"> : THTR-1/THTR-2 pour la B1, RFVT pour la B2, SMVT pour la B5 et la B8, PCFT et RFC pour la B9, cubiline-amnionless pour la B12 (avec facteur intrinsèque), SVCT1/SVCT2 pour la C. La saturation de ces transporteurs explique la faible biodisponibilité des doses pharmacologiques.</w:t>
      </w:r>
    </w:p>
    <w:p>
      <w:pPr>
        <w:pStyle w:val="ListNumber"/>
      </w:pPr>
      <w:r/>
      <w:r>
        <w:rPr>
          <w:b/>
        </w:rPr>
        <w:t>La nomenclature algérienne reflète une autonomie industrielle satisfaisante</w:t>
      </w:r>
      <w:r>
        <w:t xml:space="preserve"> pour la plupart des vitamines hydrosolubles (B1, B6, B12, B9, C), mais des </w:t>
      </w:r>
      <w:r>
        <w:rPr>
          <w:b/>
        </w:rPr>
        <w:t>lacunes critiques</w:t>
      </w:r>
      <w:r>
        <w:t xml:space="preserve"> existent pour la B2 (retirée) et la B8 (non renouvelable). Les spécialités injectables actives (RAZITHIAM B1, RAZICOBAL B12, RAZISCORBIC C, RAZIFOLINE) constituent la pierre angulaire de la prise en charge hospitalière des carences sévères et des protocoles de chimiothérapie.</w:t>
      </w:r>
    </w:p>
    <w:p>
      <w:pPr>
        <w:pStyle w:val="ListNumber"/>
      </w:pPr>
      <w:r/>
      <w:r>
        <w:rPr>
          <w:b/>
        </w:rPr>
        <w:t>La prescription des vitamines hydrosolubles doit être guidée par le diagnostic de carence</w:t>
      </w:r>
      <w:r>
        <w:t xml:space="preserve"> (biologique ou par contexte clinique évocateur), sauf pour l'acide folique préconceptionnel (prescription systématique à toutes les femmes en âge de procréer). La supplémentation « au hasard » sans carence documentée expose à un risque d'iatrogénie (neuropathie B6, oxalose C, masquage B12) sans bénéfice démontré.</w:t>
      </w:r>
    </w:p>
    <w:p>
      <w:pPr>
        <w:pStyle w:val="ListNumber"/>
      </w:pPr>
      <w:r/>
      <w:r>
        <w:rPr>
          <w:b/>
        </w:rPr>
        <w:t>Les associations fixes B1+B6+B12 sont très prescrites en Algérie</w:t>
      </w:r>
      <w:r>
        <w:t xml:space="preserve"> pour les neuropathies périphériques (diabète, alcoolisme, carentielle), malgré une efficacité contestée par la Cochrane. Les étudiants doivent connaître les doses maximales (B6 ≤ 50 mg/j) et surveiller l'apparition de paresthésies.</w:t>
      </w:r>
    </w:p>
    <w:p>
      <w:pPr>
        <w:pStyle w:val="ListNumber"/>
      </w:pPr>
      <w:r/>
      <w:r>
        <w:rPr>
          <w:b/>
        </w:rPr>
        <w:t>Les associations B9 + fer sont très prescrites chez la femme enceinte</w:t>
      </w:r>
      <w:r>
        <w:t xml:space="preserve"> (TARDYFERON B9, B-NEUFER, FERRO SANOL GYN, etc.), reflétant la prévalence élevée de l'anémie ferriprive de la grossesse en Algérie. Les étudiants doivent connaître les doses (fer 50 à 150 mg + B9 0,35 à 1 mg), les effets indésirables (coloration des selles, constipation) et les précautions (espacer des chélateurs du fer).</w:t>
      </w:r>
    </w:p>
    <w:p>
      <w:pPr>
        <w:pStyle w:val="ListNumber"/>
      </w:pPr>
      <w:r/>
      <w:r>
        <w:rPr>
          <w:b/>
        </w:rPr>
        <w:t>L'acide folinique est un médicament d'exception</w:t>
      </w:r>
      <w:r>
        <w:t>, strictement hospitalier, utilisé pour le rescue après méthotrexate et la potentialisation du 5-FU. Les étudiants doivent connaître les nomogrammes de rescue (Stoller, Bleyer), le timing (H24-H36), la surveillance de la méthotrexatémie résiduelle, et le risque de réduction de l'efficacité antitumorale si le rescue est inadapté.</w:t>
      </w:r>
    </w:p>
    <w:p>
      <w:pPr>
        <w:pStyle w:val="ListNumber"/>
      </w:pPr>
      <w:r/>
      <w:r>
        <w:rPr>
          <w:b/>
        </w:rPr>
        <w:t>La vitamine C à doses pharmacologiques (≥ 1 g/j) est courante en automédication</w:t>
      </w:r>
      <w:r>
        <w:t xml:space="preserve"> pour la prévention du rhume (efficacité modeste et controversée). Les étudiants doivent connaître le risque de lithiase oxalique, l'interférence avec la warfarine, et la destruction de la B12 (données contradictoires).</w:t>
      </w:r>
    </w:p>
    <w:p>
      <w:pPr>
        <w:pStyle w:val="Heading3"/>
      </w:pPr>
      <w:r>
        <w:t>Algorithmes de prise en charge à l'officine</w:t>
      </w:r>
    </w:p>
    <w:p>
      <w:r/>
      <w:r>
        <w:rPr>
          <w:b/>
        </w:rPr>
        <w:t>Algorithme n°1 : Femme en âge de procréer envisageant une grossesse</w:t>
      </w:r>
      <w:r/>
    </w:p>
    <w:p>
      <w:pPr>
        <w:pStyle w:val="ListNumber"/>
      </w:pPr>
      <w:r>
        <w:t>Vérifier l'absence de grossesse en cours (test de grossesse si doute).</w:t>
      </w:r>
    </w:p>
    <w:p>
      <w:pPr>
        <w:pStyle w:val="ListNumber"/>
      </w:pPr>
      <w:r>
        <w:t>Vérifier l'absence d'antécédent d'AFTN personnel ou familial, de traitement antiépileptique, de diabète prégestationnel, d'IMC ≥ 30 (facteurs de risque d'AFTN).</w:t>
      </w:r>
    </w:p>
    <w:p>
      <w:pPr>
        <w:pStyle w:val="ListNumber"/>
      </w:pPr>
      <w:r>
        <w:t xml:space="preserve">Si absence de facteur de risque : supplémenter en acide folique </w:t>
      </w:r>
      <w:r>
        <w:rPr>
          <w:b/>
        </w:rPr>
        <w:t>400 µg/jour</w:t>
      </w:r>
      <w:r>
        <w:t xml:space="preserve"> à débuter au moins 1 mois avant la conception et à poursuivre pendant le 1er trimestre. En Algérie : prescription d'ACIDE FOLIQUE-API 5 mg (1/8 à 1/4 de comprimé), ou de ZANITRA PLUS (B9 0,5 mg + fer), ou des complexes prénataux.</w:t>
      </w:r>
    </w:p>
    <w:p>
      <w:pPr>
        <w:pStyle w:val="ListNumber"/>
      </w:pPr>
      <w:r>
        <w:t xml:space="preserve">Si facteur(s) de risque : supplémenter en acide folique </w:t>
      </w:r>
      <w:r>
        <w:rPr>
          <w:b/>
        </w:rPr>
        <w:t>5 mg/jour</w:t>
      </w:r>
      <w:r>
        <w:t xml:space="preserve"> préconceptionnel et pendant le 1er trimestre. Orienter vers une consultation prénatale.</w:t>
      </w:r>
    </w:p>
    <w:p>
      <w:pPr>
        <w:pStyle w:val="ListNumber"/>
      </w:pPr>
      <w:r>
        <w:t>Vérifier la B12 sérique (en particulier chez la femme végétalienne).</w:t>
      </w:r>
    </w:p>
    <w:p>
      <w:pPr>
        <w:pStyle w:val="ListNumber"/>
      </w:pPr>
      <w:r>
        <w:t>Vérifier la ferritine (anémie ferriprive fréquente en Algérie).</w:t>
      </w:r>
    </w:p>
    <w:p>
      <w:pPr>
        <w:pStyle w:val="ListNumber"/>
      </w:pPr>
      <w:r>
        <w:t>Conseiller l'arrêt du tabac, de l'alcool, et l'équilibre alimentaire.</w:t>
      </w:r>
    </w:p>
    <w:p>
      <w:r/>
      <w:r>
        <w:rPr>
          <w:b/>
        </w:rPr>
        <w:t>Algorithme n°2 : Patient alcoolique chronique</w:t>
      </w:r>
      <w:r/>
    </w:p>
    <w:p>
      <w:pPr>
        <w:pStyle w:val="ListNumber"/>
      </w:pPr>
      <w:r>
        <w:t xml:space="preserve">Supplémentation systématique en </w:t>
      </w:r>
      <w:r>
        <w:rPr>
          <w:b/>
        </w:rPr>
        <w:t>thiamine (B1)</w:t>
      </w:r>
      <w:r>
        <w:t xml:space="preserve"> : 100 mg/jour per os, ou 100-500 mg IV si hospitalisation. </w:t>
      </w:r>
      <w:r>
        <w:rPr>
          <w:b/>
        </w:rPr>
        <w:t>Toujours précéder la perfusion de glucose par de la thiamine IV</w:t>
      </w:r>
      <w:r>
        <w:t xml:space="preserve"> (encéphalopathie de Wernicke).</w:t>
      </w:r>
    </w:p>
    <w:p>
      <w:pPr>
        <w:pStyle w:val="ListNumber"/>
      </w:pPr>
      <w:r>
        <w:t xml:space="preserve">Supplémentation en </w:t>
      </w:r>
      <w:r>
        <w:rPr>
          <w:b/>
        </w:rPr>
        <w:t>pyridoxine (B6)</w:t>
      </w:r>
      <w:r>
        <w:t xml:space="preserve"> : 25-50 mg/jour per os (carence fréquente).</w:t>
      </w:r>
    </w:p>
    <w:p>
      <w:pPr>
        <w:pStyle w:val="ListNumber"/>
      </w:pPr>
      <w:r>
        <w:t xml:space="preserve">Supplémentation en </w:t>
      </w:r>
      <w:r>
        <w:rPr>
          <w:b/>
        </w:rPr>
        <w:t>acide folique (B9)</w:t>
      </w:r>
      <w:r>
        <w:t xml:space="preserve"> : 1-5 mg/jour per os (carence fréquente).</w:t>
      </w:r>
    </w:p>
    <w:p>
      <w:pPr>
        <w:pStyle w:val="ListNumber"/>
      </w:pPr>
      <w:r>
        <w:t xml:space="preserve">Supplémentation en </w:t>
      </w:r>
      <w:r>
        <w:rPr>
          <w:b/>
        </w:rPr>
        <w:t>vitamine C</w:t>
      </w:r>
      <w:r>
        <w:t xml:space="preserve"> : 100-500 mg/jour per os (carence possible).</w:t>
      </w:r>
    </w:p>
    <w:p>
      <w:pPr>
        <w:pStyle w:val="ListNumber"/>
      </w:pPr>
      <w:r>
        <w:t>Vérifier la B12 sérique (malabsorption associée possible).</w:t>
      </w:r>
    </w:p>
    <w:p>
      <w:pPr>
        <w:pStyle w:val="ListNumber"/>
      </w:pPr>
      <w:r>
        <w:t>Conseiller le sevrage alcoolique (consultation spécialisée).</w:t>
      </w:r>
    </w:p>
    <w:p>
      <w:r/>
      <w:r>
        <w:rPr>
          <w:b/>
        </w:rPr>
        <w:t>Algorithme n°3 : Patient sous isoniazide (antituberculeux)</w:t>
      </w:r>
      <w:r/>
    </w:p>
    <w:p>
      <w:pPr>
        <w:pStyle w:val="ListNumber"/>
      </w:pPr>
      <w:r>
        <w:t xml:space="preserve">Supplémentation systématique en </w:t>
      </w:r>
      <w:r>
        <w:rPr>
          <w:b/>
        </w:rPr>
        <w:t>pyridoxine (B6)</w:t>
      </w:r>
      <w:r>
        <w:t xml:space="preserve"> : 25-50 mg/jour per os pendant toute la durée du traitement antituberculeux (6 à 9 mois), pour prévenir la neuropathie périphérique.</w:t>
      </w:r>
    </w:p>
    <w:p>
      <w:pPr>
        <w:pStyle w:val="ListNumber"/>
      </w:pPr>
      <w:r>
        <w:t>Surveiller l'apparition de paresthésies (consultation immédiate).</w:t>
      </w:r>
    </w:p>
    <w:p>
      <w:pPr>
        <w:pStyle w:val="ListNumber"/>
      </w:pPr>
      <w:r>
        <w:t>Vérifier la B12 sérique et la ferritine à l'initiation et à 3 mois (malabsorption associée possible).</w:t>
      </w:r>
    </w:p>
    <w:p>
      <w:r/>
      <w:r>
        <w:rPr>
          <w:b/>
        </w:rPr>
        <w:t>Algorithme n°4 : Patient diabétique de type 2 sous metformine au long cours</w:t>
      </w:r>
      <w:r/>
    </w:p>
    <w:p>
      <w:pPr>
        <w:pStyle w:val="ListNumber"/>
      </w:pPr>
      <w:r>
        <w:t xml:space="preserve">Surveillance annuelle de la </w:t>
      </w:r>
      <w:r>
        <w:rPr>
          <w:b/>
        </w:rPr>
        <w:t>B12 sérique</w:t>
      </w:r>
      <w:r>
        <w:t xml:space="preserve"> à partir de 1 an de traitement (carence par interférence avec l'absorption iléale).</w:t>
      </w:r>
    </w:p>
    <w:p>
      <w:pPr>
        <w:pStyle w:val="ListNumber"/>
      </w:pPr>
      <w:r>
        <w:t>Supplémentation en B12 si carence documentée : 1000 µg IM/2-4 semaines, puis 1000 µg IM toutes les 2-4 semaines à vie. Ou voie orale 1000-2000 µg/jour (absorption passive).</w:t>
      </w:r>
    </w:p>
    <w:p>
      <w:pPr>
        <w:pStyle w:val="ListNumber"/>
      </w:pPr>
      <w:r>
        <w:t>Surveillance de la ferritine (carence en fer associée possible).</w:t>
      </w:r>
    </w:p>
    <w:p>
      <w:r/>
      <w:r>
        <w:rPr>
          <w:b/>
        </w:rPr>
        <w:t>Algorithme n°5 : Patient âgé dénutri</w:t>
      </w:r>
      <w:r/>
    </w:p>
    <w:p>
      <w:pPr>
        <w:pStyle w:val="ListNumber"/>
      </w:pPr>
      <w:r>
        <w:t xml:space="preserve">Dépistage systématique de la carence en </w:t>
      </w:r>
      <w:r>
        <w:rPr>
          <w:b/>
        </w:rPr>
        <w:t>B12</w:t>
      </w:r>
      <w:r>
        <w:t xml:space="preserve"> (atrophie gastrique, achlorhydrie) : dosage de la B12 sérique, de l'homocystéine et de l'acide méthylmalonique.</w:t>
      </w:r>
    </w:p>
    <w:p>
      <w:pPr>
        <w:pStyle w:val="ListNumber"/>
      </w:pPr>
      <w:r>
        <w:t xml:space="preserve">Dépistage de la carence en </w:t>
      </w:r>
      <w:r>
        <w:rPr>
          <w:b/>
        </w:rPr>
        <w:t>folates</w:t>
      </w:r>
      <w:r>
        <w:t xml:space="preserve"> : dosage des folates sériques et érythrocytaires.</w:t>
      </w:r>
    </w:p>
    <w:p>
      <w:pPr>
        <w:pStyle w:val="ListNumber"/>
      </w:pPr>
      <w:r>
        <w:t xml:space="preserve">Dépistage de la carence en </w:t>
      </w:r>
      <w:r>
        <w:rPr>
          <w:b/>
        </w:rPr>
        <w:t>vitamine C</w:t>
      </w:r>
      <w:r>
        <w:t xml:space="preserve"> : dosage de l'ascorbémie (normale &gt; 28 µmol/L).</w:t>
      </w:r>
    </w:p>
    <w:p>
      <w:pPr>
        <w:pStyle w:val="ListNumber"/>
      </w:pPr>
      <w:r>
        <w:t>Supplémentation multivitaminique (MEGADYN ou préparation magistrale) si carence documentée.</w:t>
      </w:r>
    </w:p>
    <w:p>
      <w:pPr>
        <w:pStyle w:val="ListNumber"/>
      </w:pPr>
      <w:r>
        <w:t>Conseils nutritionnels (équilibre alimentaire, compléments nutritionnels oraux).</w:t>
      </w:r>
    </w:p>
    <w:p>
      <w:pPr>
        <w:pStyle w:val="Heading3"/>
      </w:pPr>
      <w:r>
        <w:t>Messages de prévention pour les patients</w:t>
      </w:r>
    </w:p>
    <w:p>
      <w:r>
        <w:t>Les messages de prévention à transmettre aux patients à l'officine sont les suivants :</w:t>
      </w:r>
    </w:p>
    <w:p>
      <w:pPr>
        <w:pStyle w:val="ListNumber"/>
      </w:pPr>
      <w:r/>
      <w:r>
        <w:rPr>
          <w:b/>
        </w:rPr>
        <w:t>Respect de la prescription</w:t>
      </w:r>
      <w:r>
        <w:t xml:space="preserve"> : prendre les vitamines régulièrement, à heure fixe, pendant toute la durée prescrite. Ne pas arrêter prématurément en cas d'amélioration.</w:t>
      </w:r>
    </w:p>
    <w:p>
      <w:pPr>
        <w:pStyle w:val="ListNumber"/>
      </w:pPr>
      <w:r/>
      <w:r>
        <w:rPr>
          <w:b/>
        </w:rPr>
        <w:t>Respect des doses maximales</w:t>
      </w:r>
      <w:r>
        <w:t xml:space="preserve"> : ne jamais dépasser les doses recommandées sans avis médical (B6 ≤ 50 mg/jour, C ≤ 1 g/jour, B9 ≤ 1 mg/jour hors prescription médicale).</w:t>
      </w:r>
    </w:p>
    <w:p>
      <w:pPr>
        <w:pStyle w:val="ListNumber"/>
      </w:pPr>
      <w:r/>
      <w:r>
        <w:rPr>
          <w:b/>
        </w:rPr>
        <w:t>Surveillance des effets indésirables</w:t>
      </w:r>
      <w:r>
        <w:t xml:space="preserve"> : consulter en cas d'apparition de paresthésies (B6), d'engourdissements, de troubles de l'équilibre, de crampes musculaires (B12), de palpitations (B12), de douleurs lombaires (C — lithiase), de signes d'alerte.</w:t>
      </w:r>
    </w:p>
    <w:p>
      <w:pPr>
        <w:pStyle w:val="ListNumber"/>
      </w:pPr>
      <w:r/>
      <w:r>
        <w:rPr>
          <w:b/>
        </w:rPr>
        <w:t>Information des autres prescripteurs</w:t>
      </w:r>
      <w:r>
        <w:t xml:space="preserve"> : signaler à tout médecin ou pharmacien les vitamines prises (risque d'interactions médicamenteuses et de surdosage).</w:t>
      </w:r>
    </w:p>
    <w:p>
      <w:pPr>
        <w:pStyle w:val="ListNumber"/>
      </w:pPr>
      <w:r/>
      <w:r>
        <w:rPr>
          <w:b/>
        </w:rPr>
        <w:t>Espacement avec les chélateurs intestinaux</w:t>
      </w:r>
      <w:r>
        <w:t xml:space="preserve"> : pour les associations B9 + fer, espacer des laitages, du thé, du café, des antiacides, des quinolones et tétracyclines de 2 heures minimum.</w:t>
      </w:r>
    </w:p>
    <w:p>
      <w:pPr>
        <w:pStyle w:val="ListNumber"/>
      </w:pPr>
      <w:r/>
      <w:r>
        <w:rPr>
          <w:b/>
        </w:rPr>
        <w:t>Information sur la coloration des urines et des selles</w:t>
      </w:r>
      <w:r>
        <w:t xml:space="preserve"> : la coloration jaune-fluorescente des urines (B2, B9, C) et noire des selles (fer des associations B9 + fer) est normale et sans gravité.</w:t>
      </w:r>
    </w:p>
    <w:p>
      <w:pPr>
        <w:pStyle w:val="ListNumber"/>
      </w:pPr>
      <w:r/>
      <w:r>
        <w:rPr>
          <w:b/>
        </w:rPr>
        <w:t>Prise avec un repas</w:t>
      </w:r>
      <w:r>
        <w:t xml:space="preserve"> : réduire les troubles digestifs et améliorer l'absorption.</w:t>
      </w:r>
    </w:p>
    <w:p>
      <w:pPr>
        <w:pStyle w:val="ListNumber"/>
      </w:pPr>
      <w:r/>
      <w:r>
        <w:rPr>
          <w:b/>
        </w:rPr>
        <w:t>Hydratation abondante</w:t>
      </w:r>
      <w:r>
        <w:t xml:space="preserve"> : pour la vitamine C à doses ≥ 1 g/jour (prévention de la lithiase oxalique), pour les patients sous rescue MTX (élimination du MTX).</w:t>
      </w:r>
    </w:p>
    <w:p>
      <w:pPr>
        <w:pStyle w:val="ListNumber"/>
      </w:pPr>
      <w:r/>
      <w:r>
        <w:rPr>
          <w:b/>
        </w:rPr>
        <w:t>Arrêt de la biotine 48 h avant tout dosage biologique</w:t>
      </w:r>
      <w:r>
        <w:t xml:space="preserve"> : prévenir les faux négatifs de la troponine et de la TSH.</w:t>
      </w:r>
    </w:p>
    <w:p>
      <w:pPr>
        <w:pStyle w:val="ListNumber"/>
      </w:pPr>
      <w:r/>
      <w:r>
        <w:rPr>
          <w:b/>
        </w:rPr>
        <w:t>Stockage</w:t>
      </w:r>
      <w:r>
        <w:t xml:space="preserve"> : conserver à température ≤ 25 °C, à l'abri de l'humidité et de la lumière. Tenir hors de portée des enfants.</w:t>
      </w:r>
    </w:p>
    <w:p>
      <w:pPr>
        <w:pStyle w:val="Heading2"/>
      </w:pPr>
      <w:r>
        <w:t>162.15. Conclusion du chapitre 162</w:t>
      </w:r>
    </w:p>
    <w:p>
      <w:r>
        <w:t xml:space="preserve">Le chapitre 162 a permis de présenter de façon exhaustive la pharmacologie clinique des </w:t>
      </w:r>
      <w:r>
        <w:rPr>
          <w:b/>
        </w:rPr>
        <w:t>vitamines hydrosolubles</w:t>
      </w:r>
      <w:r>
        <w:t xml:space="preserve"> (groupe B et vitamine C) dans le contexte spécifique du marché algérien. Les 9 DCI traitées — thiamine (B1), riboflavine (B2), pyridoxine (B6), cyanocobalamine (B12), dexpanthénol (B5), acide folique ± fer (B9), folinate de calcium (acide folinique), biotine (B8/H), acide ascorbique (C) — couvrent l'essentiel de la pratique clinique et officinale en Algérie, depuis la supplémentation préconceptionnelle en acide folique (recommandation universelle de santé publique) jusqu'au rescue après méthotrexate à haute dose (usage strictement hospitalier).</w:t>
      </w:r>
    </w:p>
    <w:p>
      <w:r>
        <w:t>Plusieurs constats émergent de cette analyse approfondie :</w:t>
      </w:r>
    </w:p>
    <w:p>
      <w:r/>
      <w:r>
        <w:rPr>
          <w:b/>
        </w:rPr>
        <w:t>Premièrement</w:t>
      </w:r>
      <w:r>
        <w:t xml:space="preserve">, les vitamines hydrosolubles constituent une </w:t>
      </w:r>
      <w:r>
        <w:rPr>
          <w:b/>
        </w:rPr>
        <w:t>classe pharmacologique hétérogène mais cohérente</w:t>
      </w:r>
      <w:r>
        <w:t>, dont le dénominateur commun est le rôle de cofacteur enzymatique. La diversité de leurs mécanismes d'action moléculaire (pyruvate DH pour B1, flavoprotéines pour B2, transaminases/décarboxylases pour B6, méthionine synthase/méthylmalonyl-CoA mutase pour B12, coenzyme A pour B5, folates/THF pour B9, carboxylases pour B8, dioxygénases pour C) explique la diversité des syndromes carentiels (béribéri, ariboflavinose, pellagre, anémie mégaloblastique, scorbut, neuropathies périphériques, démence carentielle) et oriente la prescription vers des doses physiologiques ou pharmacologiques selon l'indication.</w:t>
      </w:r>
    </w:p>
    <w:p>
      <w:r/>
      <w:r>
        <w:rPr>
          <w:b/>
        </w:rPr>
        <w:t>Deuxièmement</w:t>
      </w:r>
      <w:r>
        <w:t xml:space="preserve">, la </w:t>
      </w:r>
      <w:r>
        <w:rPr>
          <w:b/>
        </w:rPr>
        <w:t>nomenclature algérienne (Avril 2026)</w:t>
      </w:r>
      <w:r>
        <w:t xml:space="preserve"> reflète une autonomie industrielle satisfaisante pour la plupart des vitamines hydrosolubles, avec des producteurs locaux algériens (Frater-Razes, Saidal, API, Hupp Pharma, Biogalenic, Inpha-Medis, Becquer, BIOCARE, SOPHAL, Merinal, LAD Pharma, Onyx, ProPharmal, Geopharm, Biothera) qui couvrent l'essentiel des besoins. Néanmoins, </w:t>
      </w:r>
      <w:r>
        <w:rPr>
          <w:b/>
        </w:rPr>
        <w:t>deux lacunes critiques</w:t>
      </w:r>
      <w:r>
        <w:t xml:space="preserve"> sont identifiées : (i) la riboflavine (B2) est entièrement </w:t>
      </w:r>
      <w:r>
        <w:rPr>
          <w:b/>
        </w:rPr>
        <w:t>RETRAITÉE</w:t>
      </w:r>
      <w:r>
        <w:t xml:space="preserve"> du marché algérien, ce qui pose un problème pratique pour la prise en charge des carences et des syndromes mitochondriaux ; (ii) la biotine (B8/H) est </w:t>
      </w:r>
      <w:r>
        <w:rPr>
          <w:b/>
        </w:rPr>
        <w:t>NON_RENOUVELABLE</w:t>
      </w:r>
      <w:r>
        <w:t xml:space="preserve"> dans toutes ses formes, ce qui complique la prise en charge des carences et des déficits enzymatiques héréditaires (holocarboxylase synthétase, biotinidase). Ces lacunes justifient une politique de réenregistrement ou d'importation temporaire pour répondre aux besoins cliniques non couverts.</w:t>
      </w:r>
    </w:p>
    <w:p>
      <w:r/>
      <w:r>
        <w:rPr>
          <w:b/>
        </w:rPr>
        <w:t>Troisièmement</w:t>
      </w:r>
      <w:r>
        <w:t xml:space="preserve">, les </w:t>
      </w:r>
      <w:r>
        <w:rPr>
          <w:b/>
        </w:rPr>
        <w:t>formes injectables actives</w:t>
      </w:r>
      <w:r>
        <w:t xml:space="preserve"> (RAZITHIAM B1, RAZICOBAL B12, RAZISCORBIC C en Liste I, RAZIFOLINE) constituent la pierre angulaire de la prise en charge hospitalière des carences sévères et des protocoles de chimiothérapie. Leur disponibilité régulière est un enjeu de santé publique en Algérie, en raison de l'absence d'alternative active pour le traitement d'urgence de l'encéphalopathie de Wernicke, de l'anémie de Biermer, du scorbut sévère et du rescue après méthotrexate.</w:t>
      </w:r>
    </w:p>
    <w:p>
      <w:r/>
      <w:r>
        <w:rPr>
          <w:b/>
        </w:rPr>
        <w:t>Quatrièmement</w:t>
      </w:r>
      <w:r>
        <w:t xml:space="preserve">, la </w:t>
      </w:r>
      <w:r>
        <w:rPr>
          <w:b/>
        </w:rPr>
        <w:t>prévention des effets indésirables critiques</w:t>
      </w:r>
      <w:r>
        <w:t xml:space="preserve"> repose sur la connaissance des index thérapeutiques étroits de certaines vitamines : neuropathie sensorielle de la B6 (≥ 200 mg/j), hypokaliémie de la B12 à l'initiation du traitement des carences sévères, masquage de la carence en B12 par la B9 (≥ 1 mg/j), interférence de la biotine avec les dosages biologiques (≥ 5 mg/j), oxalose de la vitamine C (≥ 1 g/j), et interaction pharmacodynamique de l'acide folinique avec le méthotrexate. Le pharmacien d'officine joue un rôle central dans la détection et la prévention de ces iatrogénies.</w:t>
      </w:r>
    </w:p>
    <w:p>
      <w:r/>
      <w:r>
        <w:rPr>
          <w:b/>
        </w:rPr>
        <w:t>Cinquièmement</w:t>
      </w:r>
      <w:r>
        <w:t xml:space="preserve">, la </w:t>
      </w:r>
      <w:r>
        <w:rPr>
          <w:b/>
        </w:rPr>
        <w:t>supplémentation préconceptionnelle en acide folique (400 µg/jour, ou 5 mg/jour chez les femmes à risque élevé d'AFTN)</w:t>
      </w:r>
      <w:r>
        <w:t xml:space="preserve"> demeure la recommandation universelle de santé publique la plus importante pour les vitamines hydrosolubles. Sa mise en œuvre effective en Algérie nécessite une information systématique des femmes en âge de procréer à l'officine, une amélioration de la disponibilité des comprimés à 400 µg (actuellement non disponibles en spécialité simple — les comprimés à 5 mg doivent être divisés), et une sensibilisation des médecins généralistes et gynécologues.</w:t>
      </w:r>
    </w:p>
    <w:p>
      <w:r/>
      <w:r>
        <w:rPr>
          <w:b/>
        </w:rPr>
        <w:t>Sixièmement</w:t>
      </w:r>
      <w:r>
        <w:t xml:space="preserve">, la </w:t>
      </w:r>
      <w:r>
        <w:rPr>
          <w:b/>
        </w:rPr>
        <w:t>prise en charge des carences en vitamines hydrosolubles</w:t>
      </w:r>
      <w:r>
        <w:t xml:space="preserve"> en Algérie doit intégrer le contexte épidémiologique spécifique : prévalence élevée de l'anémie ferriprive de la grossesse (justifiant la diversité des associations B9 + fer), prévalence élevée de l'alcoolisme chronique (justifiant la supplémentation systématique en B1, B6, B9 et C), prévalence croissante du diabète de type 2 traité par metformine (justifiant la surveillance de la B12), prévalence élevée du tabagisme (justifiant la supplémentation en vitamine C chez les fumeurs).</w:t>
      </w:r>
    </w:p>
    <w:p>
      <w:r/>
      <w:r>
        <w:rPr>
          <w:b/>
        </w:rPr>
        <w:t>Septièmement</w:t>
      </w:r>
      <w:r>
        <w:t>, l'</w:t>
      </w:r>
      <w:r>
        <w:rPr>
          <w:b/>
        </w:rPr>
        <w:t>interdépendance des vitamines B</w:t>
      </w:r>
      <w:r>
        <w:t xml:space="preserve"> (B2 nécessaire à l'activation de la B6, B9 et B12 interdépendantes pour la méthylation, B5 et B8 nécessaires au métabolisme énergétique) justifie la prescription préférentielle des </w:t>
      </w:r>
      <w:r>
        <w:rPr>
          <w:b/>
        </w:rPr>
        <w:t>complexes multivitaminiques</w:t>
      </w:r>
      <w:r>
        <w:t xml:space="preserve"> (chapitre 164) en cas de carence multivitaminique, plutôt que la supplémentation isolée d'une vitamine unique. Cette approche est particulièrement pertinente chez les patients à risque de carence multiple (alcooliques, dialysés, sujets âgés dénutris, patients sous nutrition parentérale au long cours).</w:t>
      </w:r>
    </w:p>
    <w:p>
      <w:r/>
      <w:r>
        <w:rPr>
          <w:b/>
        </w:rPr>
        <w:t>Huitièmement</w:t>
      </w:r>
      <w:r>
        <w:t xml:space="preserve">, la </w:t>
      </w:r>
      <w:r>
        <w:rPr>
          <w:b/>
        </w:rPr>
        <w:t>formation continue des pharmaciens et médecins algériens</w:t>
      </w:r>
      <w:r>
        <w:t xml:space="preserve"> sur la pharmacologie des vitamines hydrosolubles est un enjeu majeur pour l'amélioration de la qualité de la prescription. Les pièges principaux à éviter sont : (i) l'automédication excessive par les compléments alimentaires ; (ii) la prescription de B9 sans vérifier la B12 ; (iii) la prescription de B6 à doses ≥ 200 mg/j sans surveillance neurologique ; (iv) l'oubli de la thiamine IV avant perfusion de glucose chez le patient alcoolique ; (v) la confusion entre acide folique et acide folinique (ce dernier étant strictement hospitalier) ; (vi) la méconnaissance de l'interférence de la biotine avec les dosages biologiques ; (vii) l'automédication par la vitamine C à doses ≥ 1 g/j sans surveillance de l'oxalurie.</w:t>
      </w:r>
    </w:p>
    <w:p>
      <w:r/>
      <w:r>
        <w:rPr>
          <w:b/>
        </w:rPr>
        <w:t>Neuvièmement</w:t>
      </w:r>
      <w:r>
        <w:t xml:space="preserve">, la </w:t>
      </w:r>
      <w:r>
        <w:rPr>
          <w:b/>
        </w:rPr>
        <w:t>recherche clinique algérienne</w:t>
      </w:r>
      <w:r>
        <w:t xml:space="preserve"> sur les vitamines hydrosolubles pourrait bénéficier de plusieurs axes prioritaires : (i) étude de la prévalence des carences en vitamines hydrosolubles chez les populations à risque (femmes enceintes, alcooliques, dialysés, sujets âgés) ; (ii) évaluation de l'efficacité et de la tolérance des spécialités algériennes (RAZITHIAM B1, RAZICOBAL B12, RAZISCORBIC C, RAZIFOLINE) en pratique clinique ; (iii) étude de l'impact de la supplémentation préconceptionnelle en acide folique sur la prévalence des AFTN en Algérie ; (iv) évaluation de l'observance et de la tolérance des associations B9 + fer chez la femme enceinte.</w:t>
      </w:r>
    </w:p>
    <w:p>
      <w:r/>
      <w:r>
        <w:rPr>
          <w:b/>
        </w:rPr>
        <w:t>Dixièmement</w:t>
      </w:r>
      <w:r>
        <w:t xml:space="preserve">, la </w:t>
      </w:r>
      <w:r>
        <w:rPr>
          <w:b/>
        </w:rPr>
        <w:t>continuité avec les chapitres 161 et 163</w:t>
      </w:r>
      <w:r>
        <w:t xml:space="preserve"> du Fascicule XVII est essentielle : les vitamines hydrosolubles (chapitre 162) ne peuvent être comprises qu'en parallèle avec les vitamines liposolubles (chapitre 161 — A, D, E, K) et les minéraux majeurs (chapitre 163 — Calcium, Magnésium, Fer, Potassium, Fluor, Iode). Les oligoéléments et la carnitine (chapitre 164) complètent l'ensemble des nutriments essentiels à la santé humaine.</w:t>
      </w:r>
    </w:p>
    <w:p>
      <w:r>
        <w:t>En conclusion, le chapitre 162 fournit aux étudiants en pharmacie, aux pharmaciens d'officine et aux cliniciens algériens un outil de référence pour la prescription raisonnée des vitamines hydrosolubles, ancré dans la réalité du marché algérien et conforme aux recommandations internationales. La maîtrise des mécanismes d'action moléculaire, des profils pharmacocinétiques, des effets indésirables spécifiques, des interactions médicamenteuses critiques, et des données CRAT pour la grossesse et l'allaitement est indispensable à la pratique pharmaceutique moderne. La vigilance sur les lacunes de la nomenclature algérienne (B2 retirée, B8 non renouvelable) et la promotion de la supplémentation préconceptionnelle en acide folique constituent les deux enjeux majeurs pour les années à venir.</w:t>
      </w:r>
    </w:p>
    <w:p>
      <w:r/>
      <w:r>
        <w:rPr>
          <w:b/>
        </w:rPr>
        <w:t>Fin du chapitre 162 — Vitamines hydrosolubles.</w:t>
      </w:r>
      <w:r/>
    </w:p>
    <w:p>
      <w:r/>
      <w:r>
        <w:rPr>
          <w:b/>
        </w:rPr>
        <w:t>Suite du Fascicule XVII : Chapitre 163 — Minéraux (Calcium, Magnésium, Fer, Potassium, Fluor, Iode).</w:t>
      </w:r>
      <w:r/>
    </w:p>
    <w:p>
      <w:pPr>
        <w:pStyle w:val="Heading1"/>
      </w:pPr>
      <w:r>
        <w:t>Chapitre 163 — Minéraux : Calcium, Magnésium, Fer, Potassium, Fluor, Iode</w:t>
      </w:r>
    </w:p>
    <w:p>
      <w:pPr>
        <w:pStyle w:val="Heading2"/>
      </w:pPr>
      <w:r>
        <w:t>Introduction générale du chapitre 163</w:t>
      </w:r>
    </w:p>
    <w:p>
      <w:r>
        <w:t>Les minéraux thérapeutiques constituent une classe pharmacologique fondamentale, à la charnière entre la pharmacologie clinique, la nutrition, la médecine d'urgence et la médecine préventive. Contrairement aux vitamines (chapitres 161 et 162 du présent Fascicule XVII), qui agissent essentiellement comme cofacteurs enzymatiques à doses milligrammiques ou microgrammiques, les minéraux correspondent à des éléments chimiques inorganiques qui participent à la constitution structurale de l'organisme (calcium osseux, phosphore), au maintien de l'équilibre hydroélectrolytique (sodium, potassium, magnésium, chlore), à la fonction contractile (calcium, potassium, magnésium), à l'hémoglobine et aux chaînes de transport électronique (fer), à la structure des hormones (iode pour T3/T4), ou encore à la minéralisation de l'émail dentaire (fluor). Chaque minéral possède un compartiment de réserve, une régulation homéostatique fine — parathyroïde pour le calcium, rénine-angiotensine-aldostérone pour le potassium, transferrine-ferritine pour le fer, thyroïde pour l'iode — et un seuil de toxicité propre justifiant un encadrement thérapeutique rigoureux. La frontière entre carence, eutexie et surcharge est étroite, et la toxicité d'un même minéral peut être aiguë (surdosage massif) ou chronique (syndrome de Burnett, fluorose, hémochromatose iatrogène).</w:t>
      </w:r>
    </w:p>
    <w:p>
      <w:r>
        <w:t>En Algérie, ces minéraux sont disponibles dans la nomenclature nationale d'avril 2026 sous forme de sels variés (carbonate, pidolate, gluconate, chlorure, sulfate, fumarate, polymaltose, saccharose, oxyde, aspartate, lactate, citrate, ferrédétate, hydroxyde), chacun présentant un profil de tolérance, d'absorption et d'indication propre. Le présent chapitre adopte une approche systématique pour six DCI/minéraux : Calcium, Magnésium, Fer, Potassium, Fluor et Iode. Pour chaque DCI, le lecteur trouvera une analyse détaillée en onze sections couvrant la liste des catégories pharmaco-thérapeutiques, le tableau exhaustif des spécialités algériennes (actives, non renouvelables, retirées), le mécanisme d'action moléculaire, le profil pharmacocinétique, la prévention des effets indésirables, les interactions médicamenteuses, l'utilisation durant la grossesse et l'allaitement (en référence au Centre de Renseignements sur les Agents Tératogènes, CRAT), la posologie adulte et pédiatrique, les formes galéniques disponibles, les conseils au patient et enfin les pièges du comptoir. Une attention particulière est portée aux situations critiques : syndrome de Burnett du carbonate de calcium au long cours, hypermagnésémie du sujet âgé en insuffisance rénale chronique, surdosage martial mortel de l'enfant (cause majeure de mortalité intoxicologique pédiatrique), hyperkaliémie létale du potassium injectable, fluorose chronique osseuse et dentaire, thyrotoxicose de Jod-Basedow après charge iodée.</w:t>
      </w:r>
    </w:p>
    <w:p>
      <w:r>
        <w:t>Les sources bibliographiques mobilisées incluent le VIDAL 2024, les Résumés des Caractéristiques du Produit (RCP) validés par l'ANSM, la base Thériaque de la CNHIM, le Centre de Renseignements sur les Agents Tératogènes (CRAT), les recommandations de la Haute Autorité de Santé (HAS), de l'Organisation mondiale de la Santé (OMS), de la Kidney Disease: Improving Global Outcomes (KDIGO), de la European Society for Paediatric Gastroenterology Hepatology and Nutrition (ESPGHAN) et d'UpToDate. Les spécialités algériennes actives, non renouvelables et retirées sont citées à partir de la nomenclature « COMPLETE LISTE » d'avril 2026, afin de refléter fidèlement la disponibilité du marché national. Le pharmacien d'officine et le clinicien hospitalier trouveront ici une fiche opérationnelle pour chaque prescription, incluant les conseils au patient, les précautions de dispensation et la conduite à tenir en cas d'effet indésirable. Un tableau comparatif synthétique des six DCI clôt le chapitre et permet un arbitrage thérapeutique rapide.</w:t>
      </w:r>
    </w:p>
    <w:p>
      <w:pPr>
        <w:pStyle w:val="Heading2"/>
      </w:pPr>
      <w:r>
        <w:t>163.1 Sous-classe : Minéraux — Calcium</w:t>
      </w:r>
    </w:p>
    <w:p>
      <w:r>
        <w:t>Le calcium est le minéral le plus abondant de l'organisme humain, avec environ 1 200 à 1 400 g chez l'adulte, dont 99 % stockés dans le squelette sous forme d'hydroxyapatite [Ca₁₀(PO₄)₆(OH)₂]. Le 1 % extracellulaire circulant, bien que quantitativement marginal, exerce des fonctions physiologiques critiques : couplage excitation-contraction musculaire (squelettique, lisse et cardiaque), transmission synaptique (libération vésiculaire des neurotransmetteurs calcium-dépendante), coagulation en cascade (facteurs II, VII, IX, X, protéine C et S), contraction des cellules endothéliales et sécrétion hormonale. La régulation homéostatique fait intervenir la parathormone (PTH), le calcitriol (1,25-dihydroxy-vitamine D) et la calcitonine, qui contrôlent respectivement la résorption osseuse ostéoclastique, l'absorption intestinale active et la calcémie extracellulaire. Une hypocalcémie symptomatique se manifeste par tétanie (signe de Chvostek, manœuvre de Trousseau), paresthésies péribuccales et digitales, spasmes carpopédiques, laryngospasme et allongement de l'espace QT à l'ECG ; une hypercalcémie se manifeste par polyurie-polydipsie, constipation, troubles neuropsychiatriques, nausées-vomissements et raccourcissement du QT.</w:t>
      </w:r>
    </w:p>
    <w:p>
      <w:r>
        <w:t>Les sels de calcium disponibles en thérapeutique diffèrent par leur teneur en calcium élément, leur biodisponibilité orale et leurs indications privilégiées. Le carbonate de calcium contient environ 40 % de calcium élément (500 mg de carbonate = 200 mg de calcium élément) et constitue la forme orale de référence en raison de son rapport coût/efficacité et de son action antiacide accessoire. Le gluconate de calcium (9 % de calcium élément) est la forme intraveineuse de choix en raison de sa tolérance veineuse et de sa moindre nécrose tissulaire en cas d'extravasation. Le chlorure de calcium (27 % de calcium élément) est plus irritant veineux, réservé à l'urgence cardiologique réanimationnelle. Le pidolate de calcium, hydrosoluble, est utilisé per os en pédiatrie (croissance, dentition, terrain allergique). Le bromo-galactogluconate correspond à une forme associant le calcium à un anion organique complexe, très utilisée en Algérie en comprimé effervescent. La prescription d'un sel de calcium doit systématiquement être associée à la vitamine D (cf. chapitre 161) pour optimiser l'absorption intestinale ; un apport protéique adéquat et un exercice physique en charge conditionnent la fixation osseuse.</w:t>
      </w:r>
    </w:p>
    <w:p>
      <w:pPr>
        <w:pStyle w:val="Heading3"/>
      </w:pPr>
      <w:r>
        <w:t>163.1.1 DCI : Calcium (carbonate, pidolate, gluconate, chlorure)</w:t>
      </w:r>
    </w:p>
    <w:p>
      <w:r/>
      <w:r>
        <w:rPr>
          <w:b/>
        </w:rPr>
        <w:t>Liste des catégories pharmaco-thérapeutiques :</w:t>
      </w:r>
      <w:r>
        <w:t xml:space="preserve"> Minéraux et électrolytes ; Calcium thérapeutique ; Supplémentation osseuse ; Antiacide d'action locale (carbonate) ; Urgence cardiologique et métabolique (gluconate, chlorure IV) ; Liste I pour les formes injectables (chlorure, gluconate IV).</w:t>
      </w:r>
    </w:p>
    <w:p>
      <w:r>
        <w:t>Le calcium, élément alcalino-terreux de masse atomique 40,08, est utilisé en thérapeutique sous quatre sels principaux : carbonate (per os, antiacide et supplémentation), pidolate (per os pédiatrique et adulte), gluconate (voie IV d'urgence) et chlorure (voie IV réservée à la réanimation cardiologique). Le bromo-galactogluconate, spécialité historique française toujours commercialisée en Algérie, constitue une cinquième forme apparentée. La sélection du sel repose sur la voie d'administration, la teneur en calcium élément, la tolérance digestive, et le contexte clinique (supplémentation chronique, hypocalcémie aiguë, hyperkaliémie menaçante, syndrome de lyse tumorale, intoxication par inhibiteur calcique).</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RENNIE</w:t>
            </w:r>
          </w:p>
        </w:tc>
        <w:tc>
          <w:tcPr>
            <w:tcW w:type="dxa" w:w="1559"/>
          </w:tcPr>
          <w:p>
            <w:r>
              <w:rPr>
                <w:sz w:val="20"/>
              </w:rPr>
              <w:t>Bayer Healthcare SAS</w:t>
            </w:r>
          </w:p>
        </w:tc>
        <w:tc>
          <w:tcPr>
            <w:tcW w:type="dxa" w:w="1559"/>
          </w:tcPr>
          <w:p>
            <w:r>
              <w:rPr>
                <w:sz w:val="20"/>
              </w:rPr>
              <w:t>Comprimé à croquer, carbonate Ca 680 mg + carbonate Mg 80 mg</w:t>
            </w:r>
          </w:p>
        </w:tc>
        <w:tc>
          <w:tcPr>
            <w:tcW w:type="dxa" w:w="1559"/>
          </w:tcPr>
          <w:p>
            <w:r>
              <w:rPr>
                <w:sz w:val="20"/>
              </w:rPr>
              <w:t>Boîte de 48</w:t>
            </w:r>
          </w:p>
        </w:tc>
        <w:tc>
          <w:tcPr>
            <w:tcW w:type="dxa" w:w="1559"/>
          </w:tcPr>
          <w:p>
            <w:r>
              <w:rPr>
                <w:sz w:val="20"/>
              </w:rPr>
              <w:t>—</w:t>
            </w:r>
          </w:p>
        </w:tc>
        <w:tc>
          <w:tcPr>
            <w:tcW w:type="dxa" w:w="1559"/>
          </w:tcPr>
          <w:p>
            <w:r>
              <w:rPr>
                <w:sz w:val="20"/>
              </w:rPr>
              <w:t>Actif</w:t>
            </w:r>
          </w:p>
        </w:tc>
      </w:tr>
      <w:tr>
        <w:tc>
          <w:tcPr>
            <w:tcW w:type="dxa" w:w="1559"/>
          </w:tcPr>
          <w:p>
            <w:r>
              <w:rPr>
                <w:sz w:val="20"/>
              </w:rPr>
              <w:t>RENNIE DEFLATINE</w:t>
            </w:r>
          </w:p>
        </w:tc>
        <w:tc>
          <w:tcPr>
            <w:tcW w:type="dxa" w:w="1559"/>
          </w:tcPr>
          <w:p>
            <w:r>
              <w:rPr>
                <w:sz w:val="20"/>
              </w:rPr>
              <w:t>Bayer Santé Familiale</w:t>
            </w:r>
          </w:p>
        </w:tc>
        <w:tc>
          <w:tcPr>
            <w:tcW w:type="dxa" w:w="1559"/>
          </w:tcPr>
          <w:p>
            <w:r>
              <w:rPr>
                <w:sz w:val="20"/>
              </w:rPr>
              <w:t>Comprimé à croquer sans sucre, carbonate Ca 680 mg + carbonate Mg 80 mg + diméticone 25 mg</w:t>
            </w:r>
          </w:p>
        </w:tc>
        <w:tc>
          <w:tcPr>
            <w:tcW w:type="dxa" w:w="1559"/>
          </w:tcPr>
          <w:p>
            <w:r>
              <w:rPr>
                <w:sz w:val="20"/>
              </w:rPr>
              <w:t>Boîte de 18</w:t>
            </w:r>
          </w:p>
        </w:tc>
        <w:tc>
          <w:tcPr>
            <w:tcW w:type="dxa" w:w="1559"/>
          </w:tcPr>
          <w:p>
            <w:r>
              <w:rPr>
                <w:sz w:val="20"/>
              </w:rPr>
              <w:t>—</w:t>
            </w:r>
          </w:p>
        </w:tc>
        <w:tc>
          <w:tcPr>
            <w:tcW w:type="dxa" w:w="1559"/>
          </w:tcPr>
          <w:p>
            <w:r>
              <w:rPr>
                <w:sz w:val="20"/>
              </w:rPr>
              <w:t>Actif</w:t>
            </w:r>
          </w:p>
        </w:tc>
      </w:tr>
      <w:tr>
        <w:tc>
          <w:tcPr>
            <w:tcW w:type="dxa" w:w="1559"/>
          </w:tcPr>
          <w:p>
            <w:r>
              <w:rPr>
                <w:sz w:val="20"/>
              </w:rPr>
              <w:t>CALCIBIONAT</w:t>
            </w:r>
          </w:p>
        </w:tc>
        <w:tc>
          <w:tcPr>
            <w:tcW w:type="dxa" w:w="1559"/>
          </w:tcPr>
          <w:p>
            <w:r>
              <w:rPr>
                <w:sz w:val="20"/>
              </w:rPr>
              <w:t>Biogalenic</w:t>
            </w:r>
          </w:p>
        </w:tc>
        <w:tc>
          <w:tcPr>
            <w:tcW w:type="dxa" w:w="1559"/>
          </w:tcPr>
          <w:p>
            <w:r>
              <w:rPr>
                <w:sz w:val="20"/>
              </w:rPr>
              <w:t>Comprimé effervescent, bromo-galactogluconate de calcium 2 g</w:t>
            </w:r>
          </w:p>
        </w:tc>
        <w:tc>
          <w:tcPr>
            <w:tcW w:type="dxa" w:w="1559"/>
          </w:tcPr>
          <w:p>
            <w:r>
              <w:rPr>
                <w:sz w:val="20"/>
              </w:rPr>
              <w:t>Tube de 20</w:t>
            </w:r>
          </w:p>
        </w:tc>
        <w:tc>
          <w:tcPr>
            <w:tcW w:type="dxa" w:w="1559"/>
          </w:tcPr>
          <w:p>
            <w:r>
              <w:rPr>
                <w:sz w:val="20"/>
              </w:rPr>
              <w:t>—</w:t>
            </w:r>
          </w:p>
        </w:tc>
        <w:tc>
          <w:tcPr>
            <w:tcW w:type="dxa" w:w="1559"/>
          </w:tcPr>
          <w:p>
            <w:r>
              <w:rPr>
                <w:sz w:val="20"/>
              </w:rPr>
              <w:t>Actif</w:t>
            </w:r>
          </w:p>
        </w:tc>
      </w:tr>
      <w:tr>
        <w:tc>
          <w:tcPr>
            <w:tcW w:type="dxa" w:w="1559"/>
          </w:tcPr>
          <w:p>
            <w:r>
              <w:rPr>
                <w:sz w:val="20"/>
              </w:rPr>
              <w:t>CALCIBRO</w:t>
            </w:r>
          </w:p>
        </w:tc>
        <w:tc>
          <w:tcPr>
            <w:tcW w:type="dxa" w:w="1559"/>
          </w:tcPr>
          <w:p>
            <w:r>
              <w:rPr>
                <w:sz w:val="20"/>
              </w:rPr>
              <w:t>SARL API</w:t>
            </w:r>
          </w:p>
        </w:tc>
        <w:tc>
          <w:tcPr>
            <w:tcW w:type="dxa" w:w="1559"/>
          </w:tcPr>
          <w:p>
            <w:r>
              <w:rPr>
                <w:sz w:val="20"/>
              </w:rPr>
              <w:t>Comprimé effervescent, bromo-galactogluconate de calcium 2 g</w:t>
            </w:r>
          </w:p>
        </w:tc>
        <w:tc>
          <w:tcPr>
            <w:tcW w:type="dxa" w:w="1559"/>
          </w:tcPr>
          <w:p>
            <w:r>
              <w:rPr>
                <w:sz w:val="20"/>
              </w:rPr>
              <w:t>Tube de 20</w:t>
            </w:r>
          </w:p>
        </w:tc>
        <w:tc>
          <w:tcPr>
            <w:tcW w:type="dxa" w:w="1559"/>
          </w:tcPr>
          <w:p>
            <w:r>
              <w:rPr>
                <w:sz w:val="20"/>
              </w:rPr>
              <w:t>—</w:t>
            </w:r>
          </w:p>
        </w:tc>
        <w:tc>
          <w:tcPr>
            <w:tcW w:type="dxa" w:w="1559"/>
          </w:tcPr>
          <w:p>
            <w:r>
              <w:rPr>
                <w:sz w:val="20"/>
              </w:rPr>
              <w:t>Actif</w:t>
            </w:r>
          </w:p>
        </w:tc>
      </w:tr>
      <w:tr>
        <w:tc>
          <w:tcPr>
            <w:tcW w:type="dxa" w:w="1559"/>
          </w:tcPr>
          <w:p>
            <w:r>
              <w:rPr>
                <w:sz w:val="20"/>
              </w:rPr>
              <w:t>CALBROLAXE</w:t>
            </w:r>
          </w:p>
        </w:tc>
        <w:tc>
          <w:tcPr>
            <w:tcW w:type="dxa" w:w="1559"/>
          </w:tcPr>
          <w:p>
            <w:r>
              <w:rPr>
                <w:sz w:val="20"/>
              </w:rPr>
              <w:t>Laboratoire Moben</w:t>
            </w:r>
          </w:p>
        </w:tc>
        <w:tc>
          <w:tcPr>
            <w:tcW w:type="dxa" w:w="1559"/>
          </w:tcPr>
          <w:p>
            <w:r>
              <w:rPr>
                <w:sz w:val="20"/>
              </w:rPr>
              <w:t>Comprimé effervescent, bromo-galactogluconate de calcium 2 g</w:t>
            </w:r>
          </w:p>
        </w:tc>
        <w:tc>
          <w:tcPr>
            <w:tcW w:type="dxa" w:w="1559"/>
          </w:tcPr>
          <w:p>
            <w:r>
              <w:rPr>
                <w:sz w:val="20"/>
              </w:rPr>
              <w:t>Boîte de 1 tube de 20</w:t>
            </w:r>
          </w:p>
        </w:tc>
        <w:tc>
          <w:tcPr>
            <w:tcW w:type="dxa" w:w="1559"/>
          </w:tcPr>
          <w:p>
            <w:r>
              <w:rPr>
                <w:sz w:val="20"/>
              </w:rPr>
              <w:t>—</w:t>
            </w:r>
          </w:p>
        </w:tc>
        <w:tc>
          <w:tcPr>
            <w:tcW w:type="dxa" w:w="1559"/>
          </w:tcPr>
          <w:p>
            <w:r>
              <w:rPr>
                <w:sz w:val="20"/>
              </w:rPr>
              <w:t>Actif</w:t>
            </w:r>
          </w:p>
        </w:tc>
      </w:tr>
      <w:tr>
        <w:tc>
          <w:tcPr>
            <w:tcW w:type="dxa" w:w="1559"/>
          </w:tcPr>
          <w:p>
            <w:r>
              <w:rPr>
                <w:sz w:val="20"/>
              </w:rPr>
              <w:t>CALCIBRONAT (comp.)</w:t>
            </w:r>
          </w:p>
        </w:tc>
        <w:tc>
          <w:tcPr>
            <w:tcW w:type="dxa" w:w="1559"/>
          </w:tcPr>
          <w:p>
            <w:r>
              <w:rPr>
                <w:sz w:val="20"/>
              </w:rPr>
              <w:t>Propharmal</w:t>
            </w:r>
          </w:p>
        </w:tc>
        <w:tc>
          <w:tcPr>
            <w:tcW w:type="dxa" w:w="1559"/>
          </w:tcPr>
          <w:p>
            <w:r>
              <w:rPr>
                <w:sz w:val="20"/>
              </w:rPr>
              <w:t>Comprimé effervescent, bromo-galactogluconate de calcium 2 g</w:t>
            </w:r>
          </w:p>
        </w:tc>
        <w:tc>
          <w:tcPr>
            <w:tcW w:type="dxa" w:w="1559"/>
          </w:tcPr>
          <w:p>
            <w:r>
              <w:rPr>
                <w:sz w:val="20"/>
              </w:rPr>
              <w:t>Boîte de 1 tube de 20</w:t>
            </w:r>
          </w:p>
        </w:tc>
        <w:tc>
          <w:tcPr>
            <w:tcW w:type="dxa" w:w="1559"/>
          </w:tcPr>
          <w:p>
            <w:r>
              <w:rPr>
                <w:sz w:val="20"/>
              </w:rPr>
              <w:t>—</w:t>
            </w:r>
          </w:p>
        </w:tc>
        <w:tc>
          <w:tcPr>
            <w:tcW w:type="dxa" w:w="1559"/>
          </w:tcPr>
          <w:p>
            <w:r>
              <w:rPr>
                <w:sz w:val="20"/>
              </w:rPr>
              <w:t>Actif</w:t>
            </w:r>
          </w:p>
        </w:tc>
      </w:tr>
      <w:tr>
        <w:tc>
          <w:tcPr>
            <w:tcW w:type="dxa" w:w="1559"/>
          </w:tcPr>
          <w:p>
            <w:r>
              <w:rPr>
                <w:sz w:val="20"/>
              </w:rPr>
              <w:t>CALCIDOSE</w:t>
            </w:r>
          </w:p>
        </w:tc>
        <w:tc>
          <w:tcPr>
            <w:tcW w:type="dxa" w:w="1559"/>
          </w:tcPr>
          <w:p>
            <w:r>
              <w:rPr>
                <w:sz w:val="20"/>
              </w:rPr>
              <w:t>Laboratoires Merinal</w:t>
            </w:r>
          </w:p>
        </w:tc>
        <w:tc>
          <w:tcPr>
            <w:tcW w:type="dxa" w:w="1559"/>
          </w:tcPr>
          <w:p>
            <w:r>
              <w:rPr>
                <w:sz w:val="20"/>
              </w:rPr>
              <w:t>Poudre pour suspension buvable en sachet-dose, carbonate de calcium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CALCIUM HYSA 500</w:t>
            </w:r>
          </w:p>
        </w:tc>
        <w:tc>
          <w:tcPr>
            <w:tcW w:type="dxa" w:w="1559"/>
          </w:tcPr>
          <w:p>
            <w:r>
              <w:rPr>
                <w:sz w:val="20"/>
              </w:rPr>
              <w:t>SARL HYSA</w:t>
            </w:r>
          </w:p>
        </w:tc>
        <w:tc>
          <w:tcPr>
            <w:tcW w:type="dxa" w:w="1559"/>
          </w:tcPr>
          <w:p>
            <w:r>
              <w:rPr>
                <w:sz w:val="20"/>
              </w:rPr>
              <w:t>Poudre pour suspension buvable en sachet-dose, carbonate de calcium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KINADYN CALCIUM</w:t>
            </w:r>
          </w:p>
        </w:tc>
        <w:tc>
          <w:tcPr>
            <w:tcW w:type="dxa" w:w="1559"/>
          </w:tcPr>
          <w:p>
            <w:r>
              <w:rPr>
                <w:sz w:val="20"/>
              </w:rPr>
              <w:t>Biopharm</w:t>
            </w:r>
          </w:p>
        </w:tc>
        <w:tc>
          <w:tcPr>
            <w:tcW w:type="dxa" w:w="1559"/>
          </w:tcPr>
          <w:p>
            <w:r>
              <w:rPr>
                <w:sz w:val="20"/>
              </w:rPr>
              <w:t>Poudre pour suspension buvable en sachet-dose, carbonate de calcium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OSSECAL (poudre)</w:t>
            </w:r>
          </w:p>
        </w:tc>
        <w:tc>
          <w:tcPr>
            <w:tcW w:type="dxa" w:w="1559"/>
          </w:tcPr>
          <w:p>
            <w:r>
              <w:rPr>
                <w:sz w:val="20"/>
              </w:rPr>
              <w:t>Biogalenic</w:t>
            </w:r>
          </w:p>
        </w:tc>
        <w:tc>
          <w:tcPr>
            <w:tcW w:type="dxa" w:w="1559"/>
          </w:tcPr>
          <w:p>
            <w:r>
              <w:rPr>
                <w:sz w:val="20"/>
              </w:rPr>
              <w:t>Poudre pour suspension buvable en sachet-dose, carbonate de calcium 500 mg (Ca élément)</w:t>
            </w:r>
          </w:p>
        </w:tc>
        <w:tc>
          <w:tcPr>
            <w:tcW w:type="dxa" w:w="1559"/>
          </w:tcPr>
          <w:p>
            <w:r>
              <w:rPr>
                <w:sz w:val="20"/>
              </w:rPr>
              <w:t>Boîte de 30 sachets</w:t>
            </w:r>
          </w:p>
        </w:tc>
        <w:tc>
          <w:tcPr>
            <w:tcW w:type="dxa" w:w="1559"/>
          </w:tcPr>
          <w:p>
            <w:r>
              <w:rPr>
                <w:sz w:val="20"/>
              </w:rPr>
              <w:t>—</w:t>
            </w:r>
          </w:p>
        </w:tc>
        <w:tc>
          <w:tcPr>
            <w:tcW w:type="dxa" w:w="1559"/>
          </w:tcPr>
          <w:p>
            <w:r>
              <w:rPr>
                <w:sz w:val="20"/>
              </w:rPr>
              <w:t>Actif</w:t>
            </w:r>
          </w:p>
        </w:tc>
      </w:tr>
      <w:tr>
        <w:tc>
          <w:tcPr>
            <w:tcW w:type="dxa" w:w="1559"/>
          </w:tcPr>
          <w:p>
            <w:r>
              <w:rPr>
                <w:sz w:val="20"/>
              </w:rPr>
              <w:t>CALCIUM API</w:t>
            </w:r>
          </w:p>
        </w:tc>
        <w:tc>
          <w:tcPr>
            <w:tcW w:type="dxa" w:w="1559"/>
          </w:tcPr>
          <w:p>
            <w:r>
              <w:rPr>
                <w:sz w:val="20"/>
              </w:rPr>
              <w:t>SARL API</w:t>
            </w:r>
          </w:p>
        </w:tc>
        <w:tc>
          <w:tcPr>
            <w:tcW w:type="dxa" w:w="1559"/>
          </w:tcPr>
          <w:p>
            <w:r>
              <w:rPr>
                <w:sz w:val="20"/>
              </w:rPr>
              <w:t>Comprimé effervescent, carbonate de calcium 500 mg (Ca élément)</w:t>
            </w:r>
          </w:p>
        </w:tc>
        <w:tc>
          <w:tcPr>
            <w:tcW w:type="dxa" w:w="1559"/>
          </w:tcPr>
          <w:p>
            <w:r>
              <w:rPr>
                <w:sz w:val="20"/>
              </w:rPr>
              <w:t>Flacon de 20</w:t>
            </w:r>
          </w:p>
        </w:tc>
        <w:tc>
          <w:tcPr>
            <w:tcW w:type="dxa" w:w="1559"/>
          </w:tcPr>
          <w:p>
            <w:r>
              <w:rPr>
                <w:sz w:val="20"/>
              </w:rPr>
              <w:t>—</w:t>
            </w:r>
          </w:p>
        </w:tc>
        <w:tc>
          <w:tcPr>
            <w:tcW w:type="dxa" w:w="1559"/>
          </w:tcPr>
          <w:p>
            <w:r>
              <w:rPr>
                <w:sz w:val="20"/>
              </w:rPr>
              <w:t>Actif</w:t>
            </w:r>
          </w:p>
        </w:tc>
      </w:tr>
      <w:tr>
        <w:tc>
          <w:tcPr>
            <w:tcW w:type="dxa" w:w="1559"/>
          </w:tcPr>
          <w:p>
            <w:r>
              <w:rPr>
                <w:sz w:val="20"/>
              </w:rPr>
              <w:t>CALCIAL</w:t>
            </w:r>
          </w:p>
        </w:tc>
        <w:tc>
          <w:tcPr>
            <w:tcW w:type="dxa" w:w="1559"/>
          </w:tcPr>
          <w:p>
            <w:r>
              <w:rPr>
                <w:sz w:val="20"/>
              </w:rPr>
              <w:t>Laboratoire Algérien du Médicament</w:t>
            </w:r>
          </w:p>
        </w:tc>
        <w:tc>
          <w:tcPr>
            <w:tcW w:type="dxa" w:w="1559"/>
          </w:tcPr>
          <w:p>
            <w:r>
              <w:rPr>
                <w:sz w:val="20"/>
              </w:rPr>
              <w:t>Sirop, pidolate de calcium 67,5 mg/5 mL (0,5 g/5 mL de pidolate)</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CALCIFOR</w:t>
            </w:r>
          </w:p>
        </w:tc>
        <w:tc>
          <w:tcPr>
            <w:tcW w:type="dxa" w:w="1559"/>
          </w:tcPr>
          <w:p>
            <w:r>
              <w:rPr>
                <w:sz w:val="20"/>
              </w:rPr>
              <w:t>LAD Pharma</w:t>
            </w:r>
          </w:p>
        </w:tc>
        <w:tc>
          <w:tcPr>
            <w:tcW w:type="dxa" w:w="1559"/>
          </w:tcPr>
          <w:p>
            <w:r>
              <w:rPr>
                <w:sz w:val="20"/>
              </w:rPr>
              <w:t>Sirop, pidolate de calcium 67,5 mg/5 mL (0,5 g/5 mL de pidolate)</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CALCIMED</w:t>
            </w:r>
          </w:p>
        </w:tc>
        <w:tc>
          <w:tcPr>
            <w:tcW w:type="dxa" w:w="1559"/>
          </w:tcPr>
          <w:p>
            <w:r>
              <w:rPr>
                <w:sz w:val="20"/>
              </w:rPr>
              <w:t>World Medecine Limited</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CALCIOS</w:t>
            </w:r>
          </w:p>
        </w:tc>
        <w:tc>
          <w:tcPr>
            <w:tcW w:type="dxa" w:w="1559"/>
          </w:tcPr>
          <w:p>
            <w:r>
              <w:rPr>
                <w:sz w:val="20"/>
              </w:rPr>
              <w:t>Pharmidal NS</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CALCIUM BR</w:t>
            </w:r>
          </w:p>
        </w:tc>
        <w:tc>
          <w:tcPr>
            <w:tcW w:type="dxa" w:w="1559"/>
          </w:tcPr>
          <w:p>
            <w:r>
              <w:rPr>
                <w:sz w:val="20"/>
              </w:rPr>
              <w:t>SARL Biorem</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CALCIUM NOVAGENERICS</w:t>
            </w:r>
          </w:p>
        </w:tc>
        <w:tc>
          <w:tcPr>
            <w:tcW w:type="dxa" w:w="1559"/>
          </w:tcPr>
          <w:p>
            <w:r>
              <w:rPr>
                <w:sz w:val="20"/>
              </w:rPr>
              <w:t>Novapharm Trading</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CALPEROS</w:t>
            </w:r>
          </w:p>
        </w:tc>
        <w:tc>
          <w:tcPr>
            <w:tcW w:type="dxa" w:w="1559"/>
          </w:tcPr>
          <w:p>
            <w:r>
              <w:rPr>
                <w:sz w:val="20"/>
              </w:rPr>
              <w:t>Bouchara-Recordati</w:t>
            </w:r>
          </w:p>
        </w:tc>
        <w:tc>
          <w:tcPr>
            <w:tcW w:type="dxa" w:w="1559"/>
          </w:tcPr>
          <w:p>
            <w:r>
              <w:rPr>
                <w:sz w:val="20"/>
              </w:rPr>
              <w:t>Comprimé à sucer sécable,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KALCITAB</w:t>
            </w:r>
          </w:p>
        </w:tc>
        <w:tc>
          <w:tcPr>
            <w:tcW w:type="dxa" w:w="1559"/>
          </w:tcPr>
          <w:p>
            <w:r>
              <w:rPr>
                <w:sz w:val="20"/>
              </w:rPr>
              <w:t>SARL Pharma Sphère</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OSSECAL (comprimé)</w:t>
            </w:r>
          </w:p>
        </w:tc>
        <w:tc>
          <w:tcPr>
            <w:tcW w:type="dxa" w:w="1559"/>
          </w:tcPr>
          <w:p>
            <w:r>
              <w:rPr>
                <w:sz w:val="20"/>
              </w:rPr>
              <w:t>Biogalenic</w:t>
            </w:r>
          </w:p>
        </w:tc>
        <w:tc>
          <w:tcPr>
            <w:tcW w:type="dxa" w:w="1559"/>
          </w:tcPr>
          <w:p>
            <w:r>
              <w:rPr>
                <w:sz w:val="20"/>
              </w:rPr>
              <w:t>Comprimé à sucer, carbonate de calcium 500 mg</w:t>
            </w:r>
          </w:p>
        </w:tc>
        <w:tc>
          <w:tcPr>
            <w:tcW w:type="dxa" w:w="1559"/>
          </w:tcPr>
          <w:p>
            <w:r>
              <w:rPr>
                <w:sz w:val="20"/>
              </w:rPr>
              <w:t>Boîte de 60</w:t>
            </w:r>
          </w:p>
        </w:tc>
        <w:tc>
          <w:tcPr>
            <w:tcW w:type="dxa" w:w="1559"/>
          </w:tcPr>
          <w:p>
            <w:r>
              <w:rPr>
                <w:sz w:val="20"/>
              </w:rPr>
              <w:t>—</w:t>
            </w:r>
          </w:p>
        </w:tc>
        <w:tc>
          <w:tcPr>
            <w:tcW w:type="dxa" w:w="1559"/>
          </w:tcPr>
          <w:p>
            <w:r>
              <w:rPr>
                <w:sz w:val="20"/>
              </w:rPr>
              <w:t>Actif</w:t>
            </w:r>
          </w:p>
        </w:tc>
      </w:tr>
      <w:tr>
        <w:tc>
          <w:tcPr>
            <w:tcW w:type="dxa" w:w="1559"/>
          </w:tcPr>
          <w:p>
            <w:r>
              <w:rPr>
                <w:sz w:val="20"/>
              </w:rPr>
              <w:t>ACTICAL (sirop)</w:t>
            </w:r>
          </w:p>
        </w:tc>
        <w:tc>
          <w:tcPr>
            <w:tcW w:type="dxa" w:w="1559"/>
          </w:tcPr>
          <w:p>
            <w:r>
              <w:rPr>
                <w:sz w:val="20"/>
              </w:rPr>
              <w:t>Groupe Saidal</w:t>
            </w:r>
          </w:p>
        </w:tc>
        <w:tc>
          <w:tcPr>
            <w:tcW w:type="dxa" w:w="1559"/>
          </w:tcPr>
          <w:p>
            <w:r>
              <w:rPr>
                <w:sz w:val="20"/>
              </w:rPr>
              <w:t>Sirop, pidolate de calcium 10 %</w:t>
            </w:r>
          </w:p>
        </w:tc>
        <w:tc>
          <w:tcPr>
            <w:tcW w:type="dxa" w:w="1559"/>
          </w:tcPr>
          <w:p>
            <w:r>
              <w:rPr>
                <w:sz w:val="20"/>
              </w:rPr>
              <w:t>Flacon de 125 mL</w:t>
            </w:r>
          </w:p>
        </w:tc>
        <w:tc>
          <w:tcPr>
            <w:tcW w:type="dxa" w:w="1559"/>
          </w:tcPr>
          <w:p>
            <w:r>
              <w:rPr>
                <w:sz w:val="20"/>
              </w:rPr>
              <w:t>—</w:t>
            </w:r>
          </w:p>
        </w:tc>
        <w:tc>
          <w:tcPr>
            <w:tcW w:type="dxa" w:w="1559"/>
          </w:tcPr>
          <w:p>
            <w:r>
              <w:rPr>
                <w:sz w:val="20"/>
              </w:rPr>
              <w:t>Non renouvelable</w:t>
            </w:r>
          </w:p>
        </w:tc>
      </w:tr>
      <w:tr>
        <w:tc>
          <w:tcPr>
            <w:tcW w:type="dxa" w:w="1559"/>
          </w:tcPr>
          <w:p>
            <w:r>
              <w:rPr>
                <w:sz w:val="20"/>
              </w:rPr>
              <w:t>ACTICAL (amp. buv.)</w:t>
            </w:r>
          </w:p>
        </w:tc>
        <w:tc>
          <w:tcPr>
            <w:tcW w:type="dxa" w:w="1559"/>
          </w:tcPr>
          <w:p>
            <w:r>
              <w:rPr>
                <w:sz w:val="20"/>
              </w:rPr>
              <w:t>Groupe Saidal</w:t>
            </w:r>
          </w:p>
        </w:tc>
        <w:tc>
          <w:tcPr>
            <w:tcW w:type="dxa" w:w="1559"/>
          </w:tcPr>
          <w:p>
            <w:r>
              <w:rPr>
                <w:sz w:val="20"/>
              </w:rPr>
              <w:t>Ampoule buvable, pidolate de calcium 135 mg/10 mL (10 % pidolate)</w:t>
            </w:r>
          </w:p>
        </w:tc>
        <w:tc>
          <w:tcPr>
            <w:tcW w:type="dxa" w:w="1559"/>
          </w:tcPr>
          <w:p>
            <w:r>
              <w:rPr>
                <w:sz w:val="20"/>
              </w:rPr>
              <w:t>Boîte de 20 amp. de 10 mL</w:t>
            </w:r>
          </w:p>
        </w:tc>
        <w:tc>
          <w:tcPr>
            <w:tcW w:type="dxa" w:w="1559"/>
          </w:tcPr>
          <w:p>
            <w:r>
              <w:rPr>
                <w:sz w:val="20"/>
              </w:rPr>
              <w:t>—</w:t>
            </w:r>
          </w:p>
        </w:tc>
        <w:tc>
          <w:tcPr>
            <w:tcW w:type="dxa" w:w="1559"/>
          </w:tcPr>
          <w:p>
            <w:r>
              <w:rPr>
                <w:sz w:val="20"/>
              </w:rPr>
              <w:t>Non renouvelable</w:t>
            </w:r>
          </w:p>
        </w:tc>
      </w:tr>
      <w:tr>
        <w:tc>
          <w:tcPr>
            <w:tcW w:type="dxa" w:w="1559"/>
          </w:tcPr>
          <w:p>
            <w:r>
              <w:rPr>
                <w:sz w:val="20"/>
              </w:rPr>
              <w:t>ADCAL</w:t>
            </w:r>
          </w:p>
        </w:tc>
        <w:tc>
          <w:tcPr>
            <w:tcW w:type="dxa" w:w="1559"/>
          </w:tcPr>
          <w:p>
            <w:r>
              <w:rPr>
                <w:sz w:val="20"/>
              </w:rPr>
              <w:t>Jordanian Pharmaceutical Manufacturing</w:t>
            </w:r>
          </w:p>
        </w:tc>
        <w:tc>
          <w:tcPr>
            <w:tcW w:type="dxa" w:w="1559"/>
          </w:tcPr>
          <w:p>
            <w:r>
              <w:rPr>
                <w:sz w:val="20"/>
              </w:rPr>
              <w:t>Comprimé, carbonate de calcium 500 mg</w:t>
            </w:r>
          </w:p>
        </w:tc>
        <w:tc>
          <w:tcPr>
            <w:tcW w:type="dxa" w:w="1559"/>
          </w:tcPr>
          <w:p>
            <w:r>
              <w:rPr>
                <w:sz w:val="20"/>
              </w:rPr>
              <w:t>Boîte de 60</w:t>
            </w:r>
          </w:p>
        </w:tc>
        <w:tc>
          <w:tcPr>
            <w:tcW w:type="dxa" w:w="1559"/>
          </w:tcPr>
          <w:p>
            <w:r>
              <w:rPr>
                <w:sz w:val="20"/>
              </w:rPr>
              <w:t>—</w:t>
            </w:r>
          </w:p>
        </w:tc>
        <w:tc>
          <w:tcPr>
            <w:tcW w:type="dxa" w:w="1559"/>
          </w:tcPr>
          <w:p>
            <w:r>
              <w:rPr>
                <w:sz w:val="20"/>
              </w:rPr>
              <w:t>Non renouvelable</w:t>
            </w:r>
          </w:p>
        </w:tc>
      </w:tr>
      <w:tr>
        <w:tc>
          <w:tcPr>
            <w:tcW w:type="dxa" w:w="1559"/>
          </w:tcPr>
          <w:p>
            <w:r>
              <w:rPr>
                <w:sz w:val="20"/>
              </w:rPr>
              <w:t>SEACAL CALCIUM</w:t>
            </w:r>
          </w:p>
        </w:tc>
        <w:tc>
          <w:tcPr>
            <w:tcW w:type="dxa" w:w="1559"/>
          </w:tcPr>
          <w:p>
            <w:r>
              <w:rPr>
                <w:sz w:val="20"/>
              </w:rPr>
              <w:t>El Kendi Industrie du Médicament</w:t>
            </w:r>
          </w:p>
        </w:tc>
        <w:tc>
          <w:tcPr>
            <w:tcW w:type="dxa" w:w="1559"/>
          </w:tcPr>
          <w:p>
            <w:r>
              <w:rPr>
                <w:sz w:val="20"/>
              </w:rPr>
              <w:t>Comprimé pelliculé, carbonate de calcium 500 mg</w:t>
            </w:r>
          </w:p>
        </w:tc>
        <w:tc>
          <w:tcPr>
            <w:tcW w:type="dxa" w:w="1559"/>
          </w:tcPr>
          <w:p>
            <w:r>
              <w:rPr>
                <w:sz w:val="20"/>
              </w:rPr>
              <w:t>Flacon de 60</w:t>
            </w:r>
          </w:p>
        </w:tc>
        <w:tc>
          <w:tcPr>
            <w:tcW w:type="dxa" w:w="1559"/>
          </w:tcPr>
          <w:p>
            <w:r>
              <w:rPr>
                <w:sz w:val="20"/>
              </w:rPr>
              <w:t>—</w:t>
            </w:r>
          </w:p>
        </w:tc>
        <w:tc>
          <w:tcPr>
            <w:tcW w:type="dxa" w:w="1559"/>
          </w:tcPr>
          <w:p>
            <w:r>
              <w:rPr>
                <w:sz w:val="20"/>
              </w:rPr>
              <w:t>Non renouvelable</w:t>
            </w:r>
          </w:p>
        </w:tc>
      </w:tr>
      <w:tr>
        <w:tc>
          <w:tcPr>
            <w:tcW w:type="dxa" w:w="1559"/>
          </w:tcPr>
          <w:p>
            <w:r>
              <w:rPr>
                <w:sz w:val="20"/>
              </w:rPr>
              <w:t>RENIBON</w:t>
            </w:r>
          </w:p>
        </w:tc>
        <w:tc>
          <w:tcPr>
            <w:tcW w:type="dxa" w:w="1559"/>
          </w:tcPr>
          <w:p>
            <w:r>
              <w:rPr>
                <w:sz w:val="20"/>
              </w:rPr>
              <w:t>Oubari et Radwan Pharma</w:t>
            </w:r>
          </w:p>
        </w:tc>
        <w:tc>
          <w:tcPr>
            <w:tcW w:type="dxa" w:w="1559"/>
          </w:tcPr>
          <w:p>
            <w:r>
              <w:rPr>
                <w:sz w:val="20"/>
              </w:rPr>
              <w:t>Comprimé à croquer, carbonate Ca 680 mg + carbonate Mg 80 mg</w:t>
            </w:r>
          </w:p>
        </w:tc>
        <w:tc>
          <w:tcPr>
            <w:tcW w:type="dxa" w:w="1559"/>
          </w:tcPr>
          <w:p>
            <w:r>
              <w:rPr>
                <w:sz w:val="20"/>
              </w:rPr>
              <w:t>Boîte de 20</w:t>
            </w:r>
          </w:p>
        </w:tc>
        <w:tc>
          <w:tcPr>
            <w:tcW w:type="dxa" w:w="1559"/>
          </w:tcPr>
          <w:p>
            <w:r>
              <w:rPr>
                <w:sz w:val="20"/>
              </w:rPr>
              <w:t>—</w:t>
            </w:r>
          </w:p>
        </w:tc>
        <w:tc>
          <w:tcPr>
            <w:tcW w:type="dxa" w:w="1559"/>
          </w:tcPr>
          <w:p>
            <w:r>
              <w:rPr>
                <w:sz w:val="20"/>
              </w:rPr>
              <w:t>Non renouvelable</w:t>
            </w:r>
          </w:p>
        </w:tc>
      </w:tr>
      <w:tr>
        <w:tc>
          <w:tcPr>
            <w:tcW w:type="dxa" w:w="1559"/>
          </w:tcPr>
          <w:p>
            <w:r>
              <w:rPr>
                <w:sz w:val="20"/>
              </w:rPr>
              <w:t>HEPARINE CALCIQUE 5000 UI/0,2 mL</w:t>
            </w:r>
          </w:p>
        </w:tc>
        <w:tc>
          <w:tcPr>
            <w:tcW w:type="dxa" w:w="1559"/>
          </w:tcPr>
          <w:p>
            <w:r>
              <w:rPr>
                <w:sz w:val="20"/>
              </w:rPr>
              <w:t>LEO</w:t>
            </w:r>
          </w:p>
        </w:tc>
        <w:tc>
          <w:tcPr>
            <w:tcW w:type="dxa" w:w="1559"/>
          </w:tcPr>
          <w:p>
            <w:r>
              <w:rPr>
                <w:sz w:val="20"/>
              </w:rPr>
              <w:t>Solution injectable SC, héparinate de calcium 25 000 UI/mL</w:t>
            </w:r>
          </w:p>
        </w:tc>
        <w:tc>
          <w:tcPr>
            <w:tcW w:type="dxa" w:w="1559"/>
          </w:tcPr>
          <w:p>
            <w:r>
              <w:rPr>
                <w:sz w:val="20"/>
              </w:rPr>
              <w:t>Boîte de 50 seringues de 0,2 mL</w:t>
            </w:r>
          </w:p>
        </w:tc>
        <w:tc>
          <w:tcPr>
            <w:tcW w:type="dxa" w:w="1559"/>
          </w:tcPr>
          <w:p>
            <w:r>
              <w:rPr>
                <w:sz w:val="20"/>
              </w:rPr>
              <w:t>Liste I</w:t>
            </w:r>
          </w:p>
        </w:tc>
        <w:tc>
          <w:tcPr>
            <w:tcW w:type="dxa" w:w="1559"/>
          </w:tcPr>
          <w:p>
            <w:r>
              <w:rPr>
                <w:sz w:val="20"/>
              </w:rPr>
              <w:t>Non renouvelable</w:t>
            </w:r>
          </w:p>
        </w:tc>
      </w:tr>
      <w:tr>
        <w:tc>
          <w:tcPr>
            <w:tcW w:type="dxa" w:w="1559"/>
          </w:tcPr>
          <w:p>
            <w:r>
              <w:rPr>
                <w:sz w:val="20"/>
              </w:rPr>
              <w:t>HEPARINE CALCIQUE 7500 UI/0,3 mL</w:t>
            </w:r>
          </w:p>
        </w:tc>
        <w:tc>
          <w:tcPr>
            <w:tcW w:type="dxa" w:w="1559"/>
          </w:tcPr>
          <w:p>
            <w:r>
              <w:rPr>
                <w:sz w:val="20"/>
              </w:rPr>
              <w:t>LEO</w:t>
            </w:r>
          </w:p>
        </w:tc>
        <w:tc>
          <w:tcPr>
            <w:tcW w:type="dxa" w:w="1559"/>
          </w:tcPr>
          <w:p>
            <w:r>
              <w:rPr>
                <w:sz w:val="20"/>
              </w:rPr>
              <w:t>Solution injectable SC, héparinate de calcium 25 000 UI/mL</w:t>
            </w:r>
          </w:p>
        </w:tc>
        <w:tc>
          <w:tcPr>
            <w:tcW w:type="dxa" w:w="1559"/>
          </w:tcPr>
          <w:p>
            <w:r>
              <w:rPr>
                <w:sz w:val="20"/>
              </w:rPr>
              <w:t>Boîte de 50 seringues de 0,3 mL</w:t>
            </w:r>
          </w:p>
        </w:tc>
        <w:tc>
          <w:tcPr>
            <w:tcW w:type="dxa" w:w="1559"/>
          </w:tcPr>
          <w:p>
            <w:r>
              <w:rPr>
                <w:sz w:val="20"/>
              </w:rPr>
              <w:t>Liste I</w:t>
            </w:r>
          </w:p>
        </w:tc>
        <w:tc>
          <w:tcPr>
            <w:tcW w:type="dxa" w:w="1559"/>
          </w:tcPr>
          <w:p>
            <w:r>
              <w:rPr>
                <w:sz w:val="20"/>
              </w:rPr>
              <w:t>Non renouvelable</w:t>
            </w:r>
          </w:p>
        </w:tc>
      </w:tr>
      <w:tr>
        <w:tc>
          <w:tcPr>
            <w:tcW w:type="dxa" w:w="1559"/>
          </w:tcPr>
          <w:p>
            <w:r>
              <w:rPr>
                <w:sz w:val="20"/>
              </w:rPr>
              <w:t>CALCIUM CHLORURE</w:t>
            </w:r>
          </w:p>
        </w:tc>
        <w:tc>
          <w:tcPr>
            <w:tcW w:type="dxa" w:w="1559"/>
          </w:tcPr>
          <w:p>
            <w:r>
              <w:rPr>
                <w:sz w:val="20"/>
              </w:rPr>
              <w:t>Renaudin</w:t>
            </w:r>
          </w:p>
        </w:tc>
        <w:tc>
          <w:tcPr>
            <w:tcW w:type="dxa" w:w="1559"/>
          </w:tcPr>
          <w:p>
            <w:r>
              <w:rPr>
                <w:sz w:val="20"/>
              </w:rPr>
              <w:t>Solution injectable IV, chlorure de calcium 10 %</w:t>
            </w:r>
          </w:p>
        </w:tc>
        <w:tc>
          <w:tcPr>
            <w:tcW w:type="dxa" w:w="1559"/>
          </w:tcPr>
          <w:p>
            <w:r>
              <w:rPr>
                <w:sz w:val="20"/>
              </w:rPr>
              <w:t>Boîte de 100 ampoules de 10 mL</w:t>
            </w:r>
          </w:p>
        </w:tc>
        <w:tc>
          <w:tcPr>
            <w:tcW w:type="dxa" w:w="1559"/>
          </w:tcPr>
          <w:p>
            <w:r>
              <w:rPr>
                <w:sz w:val="20"/>
              </w:rPr>
              <w:t>—</w:t>
            </w:r>
          </w:p>
        </w:tc>
        <w:tc>
          <w:tcPr>
            <w:tcW w:type="dxa" w:w="1559"/>
          </w:tcPr>
          <w:p>
            <w:r>
              <w:rPr>
                <w:sz w:val="20"/>
              </w:rPr>
              <w:t>Non renouvelable</w:t>
            </w:r>
          </w:p>
        </w:tc>
      </w:tr>
      <w:tr>
        <w:tc>
          <w:tcPr>
            <w:tcW w:type="dxa" w:w="1559"/>
          </w:tcPr>
          <w:p>
            <w:r>
              <w:rPr>
                <w:sz w:val="20"/>
              </w:rPr>
              <w:t>CALCIBRONAT (sol. inj.)</w:t>
            </w:r>
          </w:p>
        </w:tc>
        <w:tc>
          <w:tcPr>
            <w:tcW w:type="dxa" w:w="1559"/>
          </w:tcPr>
          <w:p>
            <w:r>
              <w:rPr>
                <w:sz w:val="20"/>
              </w:rPr>
              <w:t>Novartis Pharma SA</w:t>
            </w:r>
          </w:p>
        </w:tc>
        <w:tc>
          <w:tcPr>
            <w:tcW w:type="dxa" w:w="1559"/>
          </w:tcPr>
          <w:p>
            <w:r>
              <w:rPr>
                <w:sz w:val="20"/>
              </w:rPr>
              <w:t>Solution injectable IV, bromo-galactogluconate de calcium 124 mg/mL</w:t>
            </w:r>
          </w:p>
        </w:tc>
        <w:tc>
          <w:tcPr>
            <w:tcW w:type="dxa" w:w="1559"/>
          </w:tcPr>
          <w:p>
            <w:r>
              <w:rPr>
                <w:sz w:val="20"/>
              </w:rPr>
              <w:t>Boîte de 5 ampoules de 10 mL</w:t>
            </w:r>
          </w:p>
        </w:tc>
        <w:tc>
          <w:tcPr>
            <w:tcW w:type="dxa" w:w="1559"/>
          </w:tcPr>
          <w:p>
            <w:r>
              <w:rPr>
                <w:sz w:val="20"/>
              </w:rPr>
              <w:t>—</w:t>
            </w:r>
          </w:p>
        </w:tc>
        <w:tc>
          <w:tcPr>
            <w:tcW w:type="dxa" w:w="1559"/>
          </w:tcPr>
          <w:p>
            <w:r>
              <w:rPr>
                <w:sz w:val="20"/>
              </w:rPr>
              <w:t>Retiré</w:t>
            </w:r>
          </w:p>
        </w:tc>
      </w:tr>
      <w:tr>
        <w:tc>
          <w:tcPr>
            <w:tcW w:type="dxa" w:w="1559"/>
          </w:tcPr>
          <w:p>
            <w:r>
              <w:rPr>
                <w:sz w:val="20"/>
              </w:rPr>
              <w:t>CALCIUM-MEDIFA</w:t>
            </w:r>
          </w:p>
        </w:tc>
        <w:tc>
          <w:tcPr>
            <w:tcW w:type="dxa" w:w="1559"/>
          </w:tcPr>
          <w:p>
            <w:r>
              <w:rPr>
                <w:sz w:val="20"/>
              </w:rPr>
              <w:t>Medifa</w:t>
            </w:r>
          </w:p>
        </w:tc>
        <w:tc>
          <w:tcPr>
            <w:tcW w:type="dxa" w:w="1559"/>
          </w:tcPr>
          <w:p>
            <w:r>
              <w:rPr>
                <w:sz w:val="20"/>
              </w:rPr>
              <w:t>Solution injectable IV, calcium glubionate 0,6875 g/5 mL</w:t>
            </w:r>
          </w:p>
        </w:tc>
        <w:tc>
          <w:tcPr>
            <w:tcW w:type="dxa" w:w="1559"/>
          </w:tcPr>
          <w:p>
            <w:r>
              <w:rPr>
                <w:sz w:val="20"/>
              </w:rPr>
              <w:t>Boîte de 10 ampoules de 5 mL</w:t>
            </w:r>
          </w:p>
        </w:tc>
        <w:tc>
          <w:tcPr>
            <w:tcW w:type="dxa" w:w="1559"/>
          </w:tcPr>
          <w:p>
            <w:r>
              <w:rPr>
                <w:sz w:val="20"/>
              </w:rPr>
              <w:t>—</w:t>
            </w:r>
          </w:p>
        </w:tc>
        <w:tc>
          <w:tcPr>
            <w:tcW w:type="dxa" w:w="1559"/>
          </w:tcPr>
          <w:p>
            <w:r>
              <w:rPr>
                <w:sz w:val="20"/>
              </w:rPr>
              <w:t>Retiré</w:t>
            </w:r>
          </w:p>
        </w:tc>
      </w:tr>
      <w:tr>
        <w:tc>
          <w:tcPr>
            <w:tcW w:type="dxa" w:w="1559"/>
          </w:tcPr>
          <w:p>
            <w:r>
              <w:rPr>
                <w:sz w:val="20"/>
              </w:rPr>
              <w:t>CALCIUM SANDOZ</w:t>
            </w:r>
          </w:p>
        </w:tc>
        <w:tc>
          <w:tcPr>
            <w:tcW w:type="dxa" w:w="1559"/>
          </w:tcPr>
          <w:p>
            <w:r>
              <w:rPr>
                <w:sz w:val="20"/>
              </w:rPr>
              <w:t>Sandoz</w:t>
            </w:r>
          </w:p>
        </w:tc>
        <w:tc>
          <w:tcPr>
            <w:tcW w:type="dxa" w:w="1559"/>
          </w:tcPr>
          <w:p>
            <w:r>
              <w:rPr>
                <w:sz w:val="20"/>
              </w:rPr>
              <w:t>Poudre pour solution buvable en sachet, gluconolactate Ca 3,40 g + carbonate Ca 0,150 g/sachet (500 mg Ca élément)</w:t>
            </w:r>
          </w:p>
        </w:tc>
        <w:tc>
          <w:tcPr>
            <w:tcW w:type="dxa" w:w="1559"/>
          </w:tcPr>
          <w:p>
            <w:r>
              <w:rPr>
                <w:sz w:val="20"/>
              </w:rPr>
              <w:t>Boîte de 30</w:t>
            </w:r>
          </w:p>
        </w:tc>
        <w:tc>
          <w:tcPr>
            <w:tcW w:type="dxa" w:w="1559"/>
          </w:tcPr>
          <w:p>
            <w:r>
              <w:rPr>
                <w:sz w:val="20"/>
              </w:rPr>
              <w:t>—</w:t>
            </w:r>
          </w:p>
        </w:tc>
        <w:tc>
          <w:tcPr>
            <w:tcW w:type="dxa" w:w="1559"/>
          </w:tcPr>
          <w:p>
            <w:r>
              <w:rPr>
                <w:sz w:val="20"/>
              </w:rPr>
              <w:t>Retiré</w:t>
            </w:r>
          </w:p>
        </w:tc>
      </w:tr>
      <w:tr>
        <w:tc>
          <w:tcPr>
            <w:tcW w:type="dxa" w:w="1559"/>
          </w:tcPr>
          <w:p>
            <w:r>
              <w:rPr>
                <w:sz w:val="20"/>
              </w:rPr>
              <w:t>CALCIBON</w:t>
            </w:r>
          </w:p>
        </w:tc>
        <w:tc>
          <w:tcPr>
            <w:tcW w:type="dxa" w:w="1559"/>
          </w:tcPr>
          <w:p>
            <w:r>
              <w:rPr>
                <w:sz w:val="20"/>
              </w:rPr>
              <w:t>Alpharm SPA</w:t>
            </w:r>
          </w:p>
        </w:tc>
        <w:tc>
          <w:tcPr>
            <w:tcW w:type="dxa" w:w="1559"/>
          </w:tcPr>
          <w:p>
            <w:r>
              <w:rPr>
                <w:sz w:val="20"/>
              </w:rPr>
              <w:t>Comprimé, carbonate de calcium 500 mg</w:t>
            </w:r>
          </w:p>
        </w:tc>
        <w:tc>
          <w:tcPr>
            <w:tcW w:type="dxa" w:w="1559"/>
          </w:tcPr>
          <w:p>
            <w:r>
              <w:rPr>
                <w:sz w:val="20"/>
              </w:rPr>
              <w:t>Boîte de 50</w:t>
            </w:r>
          </w:p>
        </w:tc>
        <w:tc>
          <w:tcPr>
            <w:tcW w:type="dxa" w:w="1559"/>
          </w:tcPr>
          <w:p>
            <w:r>
              <w:rPr>
                <w:sz w:val="20"/>
              </w:rPr>
              <w:t>—</w:t>
            </w:r>
          </w:p>
        </w:tc>
        <w:tc>
          <w:tcPr>
            <w:tcW w:type="dxa" w:w="1559"/>
          </w:tcPr>
          <w:p>
            <w:r>
              <w:rPr>
                <w:sz w:val="20"/>
              </w:rPr>
              <w:t>Retiré</w:t>
            </w:r>
          </w:p>
        </w:tc>
      </w:tr>
      <w:tr>
        <w:tc>
          <w:tcPr>
            <w:tcW w:type="dxa" w:w="1559"/>
          </w:tcPr>
          <w:p>
            <w:r>
              <w:rPr>
                <w:sz w:val="20"/>
              </w:rPr>
              <w:t>OROCAL</w:t>
            </w:r>
          </w:p>
        </w:tc>
        <w:tc>
          <w:tcPr>
            <w:tcW w:type="dxa" w:w="1559"/>
          </w:tcPr>
          <w:p>
            <w:r>
              <w:rPr>
                <w:sz w:val="20"/>
              </w:rPr>
              <w:t>Theramex</w:t>
            </w:r>
          </w:p>
        </w:tc>
        <w:tc>
          <w:tcPr>
            <w:tcW w:type="dxa" w:w="1559"/>
          </w:tcPr>
          <w:p>
            <w:r>
              <w:rPr>
                <w:sz w:val="20"/>
              </w:rPr>
              <w:t>Comprimé à sucer, carbonate de calcium 500 mg (Ca élément)</w:t>
            </w:r>
          </w:p>
        </w:tc>
        <w:tc>
          <w:tcPr>
            <w:tcW w:type="dxa" w:w="1559"/>
          </w:tcPr>
          <w:p>
            <w:r>
              <w:rPr>
                <w:sz w:val="20"/>
              </w:rPr>
              <w:t>Boîte de 60</w:t>
            </w:r>
          </w:p>
        </w:tc>
        <w:tc>
          <w:tcPr>
            <w:tcW w:type="dxa" w:w="1559"/>
          </w:tcPr>
          <w:p>
            <w:r>
              <w:rPr>
                <w:sz w:val="20"/>
              </w:rPr>
              <w:t>—</w:t>
            </w:r>
          </w:p>
        </w:tc>
        <w:tc>
          <w:tcPr>
            <w:tcW w:type="dxa" w:w="1559"/>
          </w:tcPr>
          <w:p>
            <w:r>
              <w:rPr>
                <w:sz w:val="20"/>
              </w:rPr>
              <w:t>Retiré</w:t>
            </w:r>
          </w:p>
        </w:tc>
      </w:tr>
      <w:tr>
        <w:tc>
          <w:tcPr>
            <w:tcW w:type="dxa" w:w="1559"/>
          </w:tcPr>
          <w:p>
            <w:r>
              <w:rPr>
                <w:sz w:val="20"/>
              </w:rPr>
              <w:t>ENERGIVERSAL</w:t>
            </w:r>
          </w:p>
        </w:tc>
        <w:tc>
          <w:tcPr>
            <w:tcW w:type="dxa" w:w="1559"/>
          </w:tcPr>
          <w:p>
            <w:r>
              <w:rPr>
                <w:sz w:val="20"/>
              </w:rPr>
              <w:t>Prime Universal</w:t>
            </w:r>
          </w:p>
        </w:tc>
        <w:tc>
          <w:tcPr>
            <w:tcW w:type="dxa" w:w="1559"/>
          </w:tcPr>
          <w:p>
            <w:r>
              <w:rPr>
                <w:sz w:val="20"/>
              </w:rPr>
              <w:t>Comprimé effervescent, carbonate de calcium 500 mg</w:t>
            </w:r>
          </w:p>
        </w:tc>
        <w:tc>
          <w:tcPr>
            <w:tcW w:type="dxa" w:w="1559"/>
          </w:tcPr>
          <w:p>
            <w:r>
              <w:rPr>
                <w:sz w:val="20"/>
              </w:rPr>
              <w:t>Boîte de 16</w:t>
            </w:r>
          </w:p>
        </w:tc>
        <w:tc>
          <w:tcPr>
            <w:tcW w:type="dxa" w:w="1559"/>
          </w:tcPr>
          <w:p>
            <w:r>
              <w:rPr>
                <w:sz w:val="20"/>
              </w:rPr>
              <w:t>—</w:t>
            </w:r>
          </w:p>
        </w:tc>
        <w:tc>
          <w:tcPr>
            <w:tcW w:type="dxa" w:w="1559"/>
          </w:tcPr>
          <w:p>
            <w:r>
              <w:rPr>
                <w:sz w:val="20"/>
              </w:rPr>
              <w:t>Retiré</w:t>
            </w:r>
          </w:p>
        </w:tc>
      </w:tr>
    </w:tbl>
    <w:p/>
    <w:p>
      <w:r/>
      <w:r>
        <w:rPr>
          <w:b/>
        </w:rPr>
        <w:t>Remarque :</w:t>
      </w:r>
      <w:r>
        <w:t xml:space="preserve"> Les héparines calciques (HEPARINE CALCIQUE LEO) sont citées dans la nomenclature sous la rubrique « calcium » du fait du cation, mais relèvent fonctionnellement des anticoagulants ; leur fiche détaillée est traitée dans le chapitre des antithrombotiques.</w:t>
      </w:r>
    </w:p>
    <w:p>
      <w:pPr>
        <w:pStyle w:val="Heading4"/>
      </w:pPr>
      <w:r>
        <w:t>1. Mécanisme d'action</w:t>
      </w:r>
    </w:p>
    <w:p>
      <w:r>
        <w:t xml:space="preserve">Le calcium thérapeutique agit par quatre mécanismes complémentaires selon le sel et la voie d'administration. (1) </w:t>
      </w:r>
      <w:r>
        <w:rPr>
          <w:b/>
        </w:rPr>
        <w:t>Minéralisation osseuse</w:t>
      </w:r>
      <w:r>
        <w:t xml:space="preserve"> : le calcium oral, en association avec le phosphate et la vitamine D, constitue le substrat minéral de l'hydroxyapatite déposée par les ostéoblastes sur la matrice ostéoïde. Le calcium ionisé Ca²⁺ circulant, sous contrôle PTH-calcitriol, est incorporé au niveau des vésicules matricielles ostéoblastiques puis cristallise en hydroxyapatite ; la balance ostéoblaste/ostéoclaste est influencée par le calcium systémique via le sensing receptor CaSR parathyroïdien qui rétrocontrôle la sécrétion de PTH. (2) </w:t>
      </w:r>
      <w:r>
        <w:rPr>
          <w:b/>
        </w:rPr>
        <w:t>Couplage excitation-contraction musculaire</w:t>
      </w:r>
      <w:r>
        <w:t xml:space="preserve"> : le calcium extracellulaire franchit le canal calcique voltage-dépendant de type L (Cav1.1 squelettique, Cav1.2 cardiaque et vasculaire) lors du potentiel d'action, déclenche la libération de calcium sarcoplasmique via le récepteur ryanodine (RyR1 squelettique, RyR2 cardiaque) et permet la liaison Ca²⁺-troponine C qui lève l'inhibition de l'actomyosine. (3) </w:t>
      </w:r>
      <w:r>
        <w:rPr>
          <w:b/>
        </w:rPr>
        <w:t>Coagulation en cascade</w:t>
      </w:r>
      <w:r>
        <w:t xml:space="preserve"> : le calcium ionisé (facteur IV de la coagulation) est cofacteur obligatoire des complexes activateurs (facteur IXa-VIIIa-PL-Ca²⁺ activateur du X ; facteur Xa-Va-PL-Ca²⁺ activateur de la prothrombine) en pontant les domaines Gla des facteurs II, VII, IX, X, protéine C et protéine S aux phospholipides plaquettaires. (4) </w:t>
      </w:r>
      <w:r>
        <w:rPr>
          <w:b/>
        </w:rPr>
        <w:t>Antagonisme des effets membranaires de l'hyperkaliémie et de l'hypermagnésémie</w:t>
      </w:r>
      <w:r>
        <w:t xml:space="preserve"> : le calcium IV restaure le gradient électrochimique transmembranaire en augmentant le seuil de dépolarisation sans modifier la kaliémie ou la magnésémie, ce qui en fait un thérapeutique d'urgence « gain de temps » dans l'hyperkaliémie menaçante et l'hypermagnésémie.</w:t>
      </w:r>
    </w:p>
    <w:p>
      <w:r>
        <w:t>Dans le contexte de l'intoxication par les inhibiteurs calciques (diltiazem, vérapamil, amlodipine, nifédipine), l'administration IV de calcium restaure l'influx calcique transmembranaire bloqué par l'antagoniste compétitif, augmentant la force contractile et la pression artérielle. Dans le surdosage par bêta-bloquants, le calcium IV court-circuite l'inhibition de l'adénylate cyclase et rétablit un influx calcique suffisant pour maintenir une perfusion tissulaire. Le carbonate de calcium exerce en outre une action antiacide locale immédiate par neutralisation de l'acide chlorhydrique gastrique selon la réaction CaCO₃ + 2 HCl → CaCl₂ + H₂O + CO₂, avec libération de dioxyde de carbone (éructations) et formation de chlorure de calcium absorbable.</w:t>
      </w:r>
    </w:p>
    <w:p>
      <w:pPr>
        <w:pStyle w:val="Heading4"/>
      </w:pPr>
      <w:r>
        <w:t>2. Profil pharmacocinétique</w:t>
      </w:r>
    </w:p>
    <w:p>
      <w:r>
        <w:t>L'absorption intestinale du calcium oral est saturable, active et vitamine D-dépendante pour 20–40 % de la dose ingérée (fraction absorbable), le reste étant éliminé dans les selles. Le carbonate de calcium requiert un pH gastrique acide pour se solubiliser en chlorure de calcium absorbable : chez le sujet sous inhibiteur de la pompe à protons (IPP) ou après gastrectomie, l'absorption diminue de 40 à 60 % ; le citrate de calcium (non disponible dans la nomenclature algérienne mais importable) reste absorbable indépendamment du pH gastrique. Le pic calcémique est atteint en 2 à 4 heures. Le pic d'absorption est majoré par la prise au cours du repas (effet trophique sur la vidange gastrique et la sécrétion acide). La fraction absorbée est transportée dans le plasma sous trois formes : ionisée Ca²⁺ biologiquement active (50 %), liée à l'albumine (40 %), complexée à bicarbonate, phosphate ou citrate (10 %) ; la calcémie corrigée = calcémie mesurée + 0,02 × (40 − albuminémie g/L).</w:t>
      </w:r>
    </w:p>
    <w:p>
      <w:r>
        <w:t>La distribution tissulaire du calcium est essentiellement osseuse (99 % du pool corporel), avec un compartiment rapidement échangeable au niveau des cellules, du liquide extracellulaire et de la surface osseuse. Le calcium traverse le placenta (surtout au 3e trimestre) et est excrété dans le lait maternel (300–400 mg/j en période d'allaitement exclusif). L'élimination est rénale à 80 % (filtration glomérulaire) avec réabsorption tubulaire proximale (65 %) et distale (20 %) régulée par la PTH (augmente la réabsorption distale), le calcitriol et la calcitonine. Une calciurie &gt; 8 mmol/24 h chez l'homme ou &gt; 7 mmol/24 h chez la femme traduit une hypercalciurie expose au risque lithiasique. Le calcium non absorbé est éliminé dans les selles. La demi-vie plasmatique du calcium ionisé est très courte (minutes), mais le pool total corporel se renouvelle en plusieurs années du fait du turn-over osseux. Le gluconate et le chlorure IV agissent en 1 à 3 minutes, avec une durée d'action de 30 à 60 minutes, ce qui impose une perfusion d'entretien en cas d'hyperkaliémie persistante.</w:t>
      </w:r>
    </w:p>
    <w:p>
      <w:pPr>
        <w:pStyle w:val="Heading4"/>
      </w:pPr>
      <w:r>
        <w:t>3. Prévention des effets indésirables</w:t>
      </w:r>
    </w:p>
    <w:p>
      <w:r>
        <w:t xml:space="preserve">La prévention des effets indésirables du calcium repose sur cinq piliers. </w:t>
      </w:r>
      <w:r>
        <w:rPr>
          <w:b/>
        </w:rPr>
        <w:t>Premièrement</w:t>
      </w:r>
      <w:r>
        <w:t xml:space="preserve">, l'évaluation systématique de la fonction rénale (créatininémie, DFG Cockcroft) avant toute prescription prolongée : le calcium est éliminé à 80 % par le rein, et l'insuffisance rénale chronique (IRC) favorise à la fois l'hypercalcémie (par déminéralisation osseuse secondaire à l'hyperparathyroïdie rénale) et l'hyperphosphatémie, créant un cercle vicieux de calcifications vasculaires. </w:t>
      </w:r>
      <w:r>
        <w:rPr>
          <w:b/>
        </w:rPr>
        <w:t>Deuxièmement</w:t>
      </w:r>
      <w:r>
        <w:t>, la surveillance de la calciurie des 24 heures en cas de traitement &gt; 3 mois ou de posologie &gt; 1 g/j : une calciurie &gt; 5 mmol/24 h impose une réduction posologique et une hyperhydratation. La calciurie est le marqueur le plus précoce de surcharge, précédant la hypercalcémie de plusieurs semaines.</w:t>
      </w:r>
    </w:p>
    <w:p>
      <w:r/>
      <w:r>
        <w:rPr>
          <w:b/>
        </w:rPr>
        <w:t>Troisièmement</w:t>
      </w:r>
      <w:r>
        <w:t xml:space="preserve">, la prévention du syndrome de Burnett (alcalose métabolique hypochlorémique avec hypercalcémie et insuffisance rénale) compliquant l'usage prolongé de fortes doses de carbonate de calcium en association avec du lait (lait-alkali syndrome), surtout chez la femme enceinte en fin de grossesse, le sujet âgé sous antiacide au long cours ou le patient sous diurétiques thiazidiques : polyurie-polydipsie, asthénie, anorexie, vomissements, troubles neuropsychiatriques ; l'arrêt du calcium, l'hydratation salée et la correction de l'hypochlorémie suffisent généralement. </w:t>
      </w:r>
      <w:r>
        <w:rPr>
          <w:b/>
        </w:rPr>
        <w:t>Quatrièmement</w:t>
      </w:r>
      <w:r>
        <w:t xml:space="preserve">, la prudence s'impose chez le sujet sous digitalique : la correction d'une hypocalcémie chez un patient digitalisé doit être lente et monitorée, l'hypercalcémie potentialisant l'effet toxique de la digoxine (arythmies ventriculaires, tachycardie ventriculaire torsadée). </w:t>
      </w:r>
      <w:r>
        <w:rPr>
          <w:b/>
        </w:rPr>
        <w:t>Cinquièmement</w:t>
      </w:r>
      <w:r>
        <w:t>, la co-prescription vitamine D est systématique mais doit être dosée pour éviter l'hypervitaminose D, qui potentialiserait l'hypercalcémie ; le risque de lithiase rénale calcique justifie un apport hydrique &gt; 1,5 L/j. Enfin, l'extravasation du gluconate IV, bien que moins nécrosante que le chlorure, impose une administration stricte dans une voie veineuse de bon calibre, en dilution et en perfusion lente.</w:t>
      </w:r>
    </w:p>
    <w:p>
      <w:pPr>
        <w:pStyle w:val="Heading4"/>
      </w:pPr>
      <w:r>
        <w:t>4. Interactions médicamenteuses</w:t>
      </w:r>
    </w:p>
    <w:p>
      <w:r>
        <w:t xml:space="preserve">Le calcium présente plusieurs interactions médicamenteuses majeures, à connaître au comptoir comme à l'hôpital. </w:t>
      </w:r>
      <w:r>
        <w:rPr>
          <w:b/>
        </w:rPr>
        <w:t>Avec les digitaliques</w:t>
      </w:r>
      <w:r>
        <w:t xml:space="preserve"> (digoxine, digitoxine) : l'hypercalcémie induite par le calcium IV potentialise l'effet toxique digitalique (tachycardie ventriculaire, fibrillation ventriculaire, bloc auriculo-ventriculaire) ; un ECG et une digoxinémie doivent être contrôlés avant administration IV. L'administration IV lente sous monitoring ECG est impérative. </w:t>
      </w:r>
      <w:r>
        <w:rPr>
          <w:b/>
        </w:rPr>
        <w:t>Avec les tétracyclines</w:t>
      </w:r>
      <w:r>
        <w:t xml:space="preserve"> (doxycycline, minocycline, lymécycline) : le calcium chélate les tétracyclines dans la lumière intestinale et réduit leur absorption de 50 à 90 % ; espacer la prise de 2 heures au minimum, idéalement 4 heures. </w:t>
      </w:r>
      <w:r>
        <w:rPr>
          <w:b/>
        </w:rPr>
        <w:t>Avec les fluoroquinolones</w:t>
      </w:r>
      <w:r>
        <w:t xml:space="preserve"> (ciprofloxacine, lévofloxacine, moxifloxacine) : même chélation par les cations divalents, avec réduction de la biodisponibilité de 50 % ; espacer de 2 heures avant ou 6 heures après la quinolone.</w:t>
      </w:r>
    </w:p>
    <w:p>
      <w:r/>
      <w:r>
        <w:rPr>
          <w:b/>
        </w:rPr>
        <w:t>Avec les bisphosphonates</w:t>
      </w:r>
      <w:r>
        <w:t xml:space="preserve"> (alendronate, risedronate, zoledronate) : le calcium oral réduit drastiquement l'absorption des bisphosphonates (biodisponibilité orale &lt; 1 %, divisée par 5 si co-administration) ; respecter un délai minimum de 2 heures (idéalement prendre le bisphosphonate à jeun le matin, puis le calcium à distance, midi ou soir). </w:t>
      </w:r>
      <w:r>
        <w:rPr>
          <w:b/>
        </w:rPr>
        <w:t>Avec les thyroxines</w:t>
      </w:r>
      <w:r>
        <w:t xml:space="preserve"> (lévothyroxine) : le calcium réduit l'absorption de la T4 de 20 à 40 % ; espacer de 4 heures minimum. </w:t>
      </w:r>
      <w:r>
        <w:rPr>
          <w:b/>
        </w:rPr>
        <w:t>Avec les ferreux</w:t>
      </w:r>
      <w:r>
        <w:t xml:space="preserve"> (sulfate de fer) : compétition d'absorption au niveau du transporteur DMT1, prendre à distance. </w:t>
      </w:r>
      <w:r>
        <w:rPr>
          <w:b/>
        </w:rPr>
        <w:t>Avec les diurétiques thiazidiques</w:t>
      </w:r>
      <w:r>
        <w:t xml:space="preserve"> (hydrochlorothiazide, indapamide) : les thiazides réduisent la calciurie et majorent le risque d'hypercalcémie sous calcium ; surveillance accrue. À l'inverse, </w:t>
      </w:r>
      <w:r>
        <w:rPr>
          <w:b/>
        </w:rPr>
        <w:t>les diurétiques de l'anse</w:t>
      </w:r>
      <w:r>
        <w:t xml:space="preserve"> (furosémide, bumétanide) augmentent la calciurie et réduisent le risque d'hypercalcémie, ce qui explique leur utilisation dans l'hypercalcémie maligne. </w:t>
      </w:r>
      <w:r>
        <w:rPr>
          <w:b/>
        </w:rPr>
        <w:t>Avec les quinolones, le fer, le zinc et la lévothyroxine</w:t>
      </w:r>
      <w:r>
        <w:t xml:space="preserve">, l'espacement de 2 heures est un principe général pour tout cation divalent. Enfin, </w:t>
      </w:r>
      <w:r>
        <w:rPr>
          <w:b/>
        </w:rPr>
        <w:t>avec les antibiotiques fluorés et la ciprofloxacine IV</w:t>
      </w:r>
      <w:r>
        <w:t>, aucune interaction systémique mais le risque de précipitation in vitro en cas de mélange dans la même tubulure.</w:t>
      </w:r>
    </w:p>
    <w:p>
      <w:pPr>
        <w:pStyle w:val="Heading4"/>
      </w:pPr>
      <w:r>
        <w:t>5. Grossesse et allaitement (CRAT)</w:t>
      </w:r>
    </w:p>
    <w:p>
      <w:r>
        <w:t xml:space="preserve">Selon le CRAT (Centre de Renseignements sur les Agents Tératogènes), le calcium est </w:t>
      </w:r>
      <w:r>
        <w:rPr>
          <w:b/>
        </w:rPr>
        <w:t>utilisable à tous les trimestres de la grossesse</w:t>
      </w:r>
      <w:r>
        <w:t xml:space="preserve"> et constitue même une supplémentation recommandée en cas d'apports alimentaires insuffisants, en fin de grossesse (3e trimestre) où les besoins fœtaux atteignent 200–300 mg/j, et chez la femme allaitante (pertes lactées 300–400 mg/j). Les apports nutritionnels conseillés pendant la grossesse sont de 1 000 mg/j (1 200 mg/j chez l'adolescente enceinte) et pendant l'allaitement de 1 000–1 200 mg/j, à associer systématiquement à 800–1 000 UI/j de vitamine D3 (cholécalciférol). Le carbonate de calcium est le sel de référence pendant la grossesse en raison de son innocuité fœtale et de son action antiacide accessoire utile en cas de pyrosis gravidique (1 000 mg/j en deux prises au cours des repas, sans dépasser 2 500 mg/j d'apport total).</w:t>
      </w:r>
    </w:p>
    <w:p>
      <w:r>
        <w:t>Le pidolate de calcium et le bromo-galactogluconate sont également utilisables pendant la grossesse et l'allaitement sans effet tératogène documenté. Le gluconate et le chlorure de calcium IV sont réservés à l'urgence obstétricale (hypocalcémie aiguë post-thyroidectomie chez la femme enceinte, hyperkaliémie menaçante, intoxication par inhibiteur calcique ou bêta-bloquant durant la grossesse) ; l'administration IV lente sous monitoring ECG et tensionnel est impérative, sans contre-indication au cours du travail. L'allaitement est possible sous calcium, le calcium étant un composant physiologique normal du lait maternel ; la supplémentation maternelle n'augmente pas significativement la concentration lactée mais prévient la déminéralisation maternelle. À noter que le calcium traverse le placenta via un transporteur actif placentaire (PMCA1), et qu'une hypercalcémie maternelle peut entraîner une hypercalcémie néonatale avec hypoplasie parathyroïdienne néonatale (hypocalcémie paradoxale post-natale) — d'où l'importance de ne pas dépasser les doses recommandées.</w:t>
      </w:r>
    </w:p>
    <w:p>
      <w:pPr>
        <w:pStyle w:val="Heading4"/>
      </w:pPr>
      <w:r>
        <w:t>6. Posologie et mode d'administration</w:t>
      </w:r>
    </w:p>
    <w:p>
      <w:r/>
      <w:r>
        <w:rPr>
          <w:b/>
        </w:rPr>
        <w:t>Supplémentation orale (carbonate, pidolate, bromo-galactogluconate) :</w:t>
      </w:r>
      <w:r/>
    </w:p>
    <w:p>
      <w:pPr>
        <w:pStyle w:val="ListBullet"/>
      </w:pPr>
      <w:r>
        <w:t>Adulte et sujet âgé : 500 à 1 000 mg de calcium élément par jour, en une ou deux prises, de préférence au cours des repas pour optimiser l'absorption acide-dépendante du carbonate.</w:t>
      </w:r>
    </w:p>
    <w:p>
      <w:pPr>
        <w:pStyle w:val="ListBullet"/>
      </w:pPr>
      <w:r>
        <w:t>Femme enceinte (3e trimestre) et allaitante : 1 000 à 1 200 mg/jour, toujours associés à 800–1 000 UI/j de vitamine D3.</w:t>
      </w:r>
    </w:p>
    <w:p>
      <w:pPr>
        <w:pStyle w:val="ListBullet"/>
      </w:pPr>
      <w:r>
        <w:t>Enfant (pidolate sirop ou comprimé) : 25 à 50 mg/kg/jour de calcium élément en deux prises, sans dépasser 1 g/jour chez l'enfant de moins de 10 ans.</w:t>
      </w:r>
    </w:p>
    <w:p>
      <w:pPr>
        <w:pStyle w:val="ListBullet"/>
      </w:pPr>
      <w:r>
        <w:t>Ostéoporose post-ménopausique ou cortisonique : 1 000 à 1 200 mg/jour associés à la vitamine D, en complément des bisphosphonates ou du ranelate de strontium ; ne pas dépasser 2 000 mg/j d'apport total (alimentaire + médicamenteux) en raison du risque de syndrome de Burnett et de lithiase rénale.</w:t>
      </w:r>
    </w:p>
    <w:p>
      <w:r/>
      <w:r>
        <w:rPr>
          <w:b/>
        </w:rPr>
        <w:t>Antiacide (carbonate) :</w:t>
      </w:r>
      <w:r>
        <w:t xml:space="preserve"> 500 mg à 1 g par prise, à renouveler si nécessaire, jusqu'à 6–7 g/jour maximum (RENNIE : 1 à 2 comprimés à croquer après chaque repas et au coucher, maximum 10 comprimés/jour). L'usage prolongé d'antiacide contenant du calcium expose au syndrome de Burnett et impose une surveillance biologique en cas de traitement &gt; 2 semaines.</w:t>
      </w:r>
    </w:p>
    <w:p>
      <w:r/>
      <w:r>
        <w:rPr>
          <w:b/>
        </w:rPr>
        <w:t>Urgence IV (gluconate 10 % = 100 mg/mL = 0,225 mmol Ca/mL ; chlorure 10 % = 100 mg/mL = 0,68 mmol Ca/mL) :</w:t>
      </w:r>
      <w:r/>
    </w:p>
    <w:p>
      <w:pPr>
        <w:pStyle w:val="ListBullet"/>
      </w:pPr>
      <w:r>
        <w:t>Adulte : 1 à 2 ampoules de 10 mL de gluconate de calcium 10 % (soit 90 à 180 mg de calcium élément, soit 2,25 à 4,5 mmol) à passer lentement en 5 à 10 min sous surveillance ECG.</w:t>
      </w:r>
    </w:p>
    <w:p>
      <w:pPr>
        <w:pStyle w:val="ListBullet"/>
      </w:pPr>
      <w:r>
        <w:t>Enfant : 0,5 mL/kg de gluconate 10 %, soit 50 mg/kg, en perfusion lente stricte (≤ 1 à 2 mL/min) sous monitoring cardiaque.</w:t>
      </w:r>
    </w:p>
    <w:p>
      <w:pPr>
        <w:pStyle w:val="ListBullet"/>
      </w:pPr>
      <w:r>
        <w:t>Ne pas dépasser la vitesse de perfusion de 1,5 mL/min chez l'adulte (risque d'arythmie, de flush et de sensation de chaleur).</w:t>
      </w:r>
    </w:p>
    <w:p>
      <w:pPr>
        <w:pStyle w:val="ListBullet"/>
      </w:pPr>
      <w:r>
        <w:t>Intoxication par inhibiteur calcique : 10 à 20 mL de gluconate 10 % IV, à renouveler toutes les 10–20 min jusqu'à obtention d'une réponse hémodynamique, jusqu'à 30–60 mL au total, voire perfusion d'entretien 0,5–2 mL/kg/h.</w:t>
      </w:r>
    </w:p>
    <w:p>
      <w:pPr>
        <w:pStyle w:val="ListBullet"/>
      </w:pPr>
      <w:r>
        <w:t>Hyperkaliémie menaçante (ECG : ondes T tentées, élargissement QRS, troubles du rythme) : 10 mL de gluconate 10 % IV en 2–5 min, effet en 1–3 min, durée 30–60 min, à associer à insulinoglucose et kayexalate.</w:t>
      </w:r>
    </w:p>
    <w:p>
      <w:pPr>
        <w:pStyle w:val="Heading4"/>
      </w:pPr>
      <w:r>
        <w:t>7. Formes galéniques disponibles</w:t>
      </w:r>
    </w:p>
    <w:p>
      <w:r>
        <w:t xml:space="preserve">Le marché algérien propose une diversité remarquable de formes galéniques pour le calcium, reflétant les besoins variables selon l'âge, la pathologie et le contexte clinique. </w:t>
      </w:r>
      <w:r>
        <w:rPr>
          <w:b/>
        </w:rPr>
        <w:t>Comprimés à croquer</w:t>
      </w:r>
      <w:r>
        <w:t xml:space="preserve"> (RENNIE, RENNIE DEFLATINE, RENIBON) : association carbonate Ca-Mg, indiquée en antiacide, action rapide en 5 min, formule sans sucre disponible (RENNIE DEFLATINE avec diméticone antiflatulent). </w:t>
      </w:r>
      <w:r>
        <w:rPr>
          <w:b/>
        </w:rPr>
        <w:t>Comprimés à sucer</w:t>
      </w:r>
      <w:r>
        <w:t xml:space="preserve"> (CALCIMED, CALCIOS, CALCIUM BR, CALCIUM NOVAGENERICS, CALPEROS sécable, KALCITAB, OSSECAL, ADCAL, SEACAL, OROCAL) : carbonate de calcium 500 mg, indiqué en supplémentation chronique, forme stable à température ambiante, absorption lente sur 2–4 h. </w:t>
      </w:r>
      <w:r>
        <w:rPr>
          <w:b/>
        </w:rPr>
        <w:t>Comprimés effervescents</w:t>
      </w:r>
      <w:r>
        <w:t xml:space="preserve"> (CALCIBIONAT, CALCIBRO, CALBROLAXE, CALCIBRONAT comp., CALCIUM API, ENERGIVERSAL) : bromo-galactogluconate 2 g ou carbonate 500 mg, dissolution préalable dans un grand verre d'eau, absorption rapide en 15–30 min, tolérance digestive meilleure.</w:t>
      </w:r>
    </w:p>
    <w:p>
      <w:r/>
      <w:r>
        <w:rPr>
          <w:b/>
        </w:rPr>
        <w:t>Poudre pour suspension buvable en sachet-dose</w:t>
      </w:r>
      <w:r>
        <w:t xml:space="preserve"> (CALCIDOSE, CALCIUM HYSA 500, KINADYN CALCIUM, OSSECAL poudre, CALCIUM SANDOZ) : carbonate de calcium 500 mg élément, indication supplémentation chez l'adulte et l'enfant, facilite l'adaptation posologique et la prise chez le sujet âgé dysphagique. </w:t>
      </w:r>
      <w:r>
        <w:rPr>
          <w:b/>
        </w:rPr>
        <w:t>Sirop</w:t>
      </w:r>
      <w:r>
        <w:t xml:space="preserve"> (CALCIAL, CALCIFOR, ACTICAL sirop) : pidolate de calcium 67,5 mg/5 mL ou 10 %, forme pédiatrique de référence, goût agréable, dose cuillère-mesure de 5 mL, indiqué chez l'enfant en croissance, à la dentition, dans les terrains allergiques. </w:t>
      </w:r>
      <w:r>
        <w:rPr>
          <w:b/>
        </w:rPr>
        <w:t>Ampoule buvable</w:t>
      </w:r>
      <w:r>
        <w:t xml:space="preserve"> (ACTICAL amp. buv.) : pidolate de calcium 135 mg/10 mL, forme concentrée pour administration rapide en une prise, indiquée chez l'adulte et l'enfant &gt; 10 ans. </w:t>
      </w:r>
      <w:r>
        <w:rPr>
          <w:b/>
        </w:rPr>
        <w:t>Solution injectable IV</w:t>
      </w:r>
      <w:r>
        <w:t xml:space="preserve"> (CALCIUM CHLORURE Renaudin, CALCIBRONAT inj. Novartis, CALCIUM-MEDIFA) : formes hospitalières réservées à l'urgence cardiologique et métabolique, administrables en IV stricte lente sous monitoring ECG.</w:t>
      </w:r>
    </w:p>
    <w:p>
      <w:pPr>
        <w:pStyle w:val="Heading4"/>
      </w:pPr>
      <w:r>
        <w:t>8. Conseils au patient</w:t>
      </w:r>
    </w:p>
    <w:p>
      <w:r>
        <w:t xml:space="preserve">Au comptoir, le pharmacien doit transmettre plusieurs conseils structurés au patient sous calcium. </w:t>
      </w:r>
      <w:r>
        <w:rPr>
          <w:b/>
        </w:rPr>
        <w:t>Conseil n°1 — Modalités de prise</w:t>
      </w:r>
      <w:r>
        <w:t xml:space="preserve"> : pour le carbonate de calcium, prendre au cours des repas (l'acide gastrique est nécessaire à la solubilisation) ; pour le pidolate ou le bromo-galactogluconate, la prise est indifférente (hors repas possible). </w:t>
      </w:r>
      <w:r>
        <w:rPr>
          <w:b/>
        </w:rPr>
        <w:t>Conseil n°2 — Co-prescription vitamine D</w:t>
      </w:r>
      <w:r>
        <w:t xml:space="preserve"> : s'assurer que le patient reçoit parallèlement une supplémentation en vitamine D3 (800–1 000 UI/j) ; sans vitamine D, l'absorption intestinale du calcium est réduite à 10–15 %. </w:t>
      </w:r>
      <w:r>
        <w:rPr>
          <w:b/>
        </w:rPr>
        <w:t>Conseil n°3 — Hydratation</w:t>
      </w:r>
      <w:r>
        <w:t xml:space="preserve"> : boire au moins 1,5 L d'eau par jour pour prévenir la lithiase rénale calcique et faciliter l'élimination urinaire. </w:t>
      </w:r>
      <w:r>
        <w:rPr>
          <w:b/>
        </w:rPr>
        <w:t>Conseil n°4 — Espacement des autres médicaments</w:t>
      </w:r>
      <w:r>
        <w:t xml:space="preserve"> : prendre le calcium à au moins 2 heures de distance des tétracyclines, fluoroquinolones, bisphosphonates, lévothyroxine et fer oral. </w:t>
      </w:r>
      <w:r>
        <w:rPr>
          <w:b/>
        </w:rPr>
        <w:t>Conseil n°5 — Surveillance biologique</w:t>
      </w:r>
      <w:r>
        <w:t xml:space="preserve"> : prévoir un bilan sanguin (calcémie, créatininémie, phosphorémie) et une calciurie des 24 heures après 3 mois de traitement prolongé, puis tous les 6 mois.</w:t>
      </w:r>
    </w:p>
    <w:p>
      <w:r/>
      <w:r>
        <w:rPr>
          <w:b/>
        </w:rPr>
        <w:t>Conseil n°6 — Alimentation</w:t>
      </w:r>
      <w:r>
        <w:t xml:space="preserve"> : ne pas dépasser 2 000 mg/j d'apport total calcium (alimentaire + médicamenteux) chez l'adulte sain, 2 500 mg/j chez la femme enceinte ; éviter l'excès de produits laitiers associés à des antiacides carbonatés (lait-alkali syndrome). </w:t>
      </w:r>
      <w:r>
        <w:rPr>
          <w:b/>
        </w:rPr>
        <w:t>Conseil n°7 — Forme galénique</w:t>
      </w:r>
      <w:r>
        <w:t xml:space="preserve"> : chez l'enfant, préférer le sirop de pidolate (CALCIAL, CALCIFOR) ; chez la femme enceinte, le carbonate en comprimé (CALPEROS, OSSECAL) ; chez le sujet âgé dénutri, la poudre en sachet-dose (CALCIDOSE, KINADYN CALCIUM). </w:t>
      </w:r>
      <w:r>
        <w:rPr>
          <w:b/>
        </w:rPr>
        <w:t>Conseil n°8 — Effets indésirables digestifs</w:t>
      </w:r>
      <w:r>
        <w:t xml:space="preserve"> : en cas de constipation sous carbonate, boire davantage et consommer des fibres ; en cas de diarrhée sous pidolate, réduire la dose. </w:t>
      </w:r>
      <w:r>
        <w:rPr>
          <w:b/>
        </w:rPr>
        <w:t>Conseil n°9 — Conservation</w:t>
      </w:r>
      <w:r>
        <w:t xml:space="preserve"> : conserver à température ambiante, à l'abri de l'humidité (carbonate hygroscopique), ne pas congeler le sirop. </w:t>
      </w:r>
      <w:r>
        <w:rPr>
          <w:b/>
        </w:rPr>
        <w:t>Conseil n°10 — Signes d'alerte</w:t>
      </w:r>
      <w:r>
        <w:t xml:space="preserve"> : en cas de polyurie-polydipsie, asthénie, vomissements, troubles de la conscience, consulter en urgence (syndrome de Burnett). </w:t>
      </w:r>
      <w:r>
        <w:rPr>
          <w:b/>
        </w:rPr>
        <w:t>Conseil n°11 — Grossesse et allaitement</w:t>
      </w:r>
      <w:r>
        <w:t xml:space="preserve"> : ne pas arrêter le calcium sans avis médical, mais ne pas dépasser la dose prescrite. </w:t>
      </w:r>
      <w:r>
        <w:rPr>
          <w:b/>
        </w:rPr>
        <w:t>Conseil n°12 — Activité physique</w:t>
      </w:r>
      <w:r>
        <w:t xml:space="preserve"> : exercice en charge (marche 30 min/j) indispensable à la fixation osseuse.</w:t>
      </w:r>
    </w:p>
    <w:p>
      <w:pPr>
        <w:pStyle w:val="Heading4"/>
      </w:pPr>
      <w:r>
        <w:t>9. Pièges du comptoir</w:t>
      </w:r>
    </w:p>
    <w:p>
      <w:r>
        <w:t xml:space="preserve">Plusieurs pièges guettent le pharmacien d'officine face à une prescription de calcium. </w:t>
      </w:r>
      <w:r>
        <w:rPr>
          <w:b/>
        </w:rPr>
        <w:t>Piège n°1 — Confusion calcium élément / sel de calcium</w:t>
      </w:r>
      <w:r>
        <w:t xml:space="preserve"> : une prescription de « calcium 500 mg » peut désigner 500 mg de carbonate (= 200 mg Ca élément) ou 500 mg de Ca élément (= 1 250 mg de carbonate) ; il faut toujours vérifier l'unité et le sel. </w:t>
      </w:r>
      <w:r>
        <w:rPr>
          <w:b/>
        </w:rPr>
        <w:t>Piège n°2 — Patient sous IPP</w:t>
      </w:r>
      <w:r>
        <w:t xml:space="preserve"> : le carbonate de calcium est mal absorbé sous oméprazole ou ésoméprazole ; conseiller la prise au repas (et non à jeun) ou proposer un autre sel (citrate non disponible, pidolate). </w:t>
      </w:r>
      <w:r>
        <w:rPr>
          <w:b/>
        </w:rPr>
        <w:t>Piège n°3 — Patient sous thyroxine</w:t>
      </w:r>
      <w:r>
        <w:t xml:space="preserve"> : le calcium réduit l'absorption de la lévothyroxine de 30 % ; espacer de 4 heures, idéalement T4 le matin à jeun et calcium le midi. </w:t>
      </w:r>
      <w:r>
        <w:rPr>
          <w:b/>
        </w:rPr>
        <w:t>Piège n°4 — Co-prescription bisphosphonate</w:t>
      </w:r>
      <w:r>
        <w:t xml:space="preserve"> : jamais en même temps ; le bisphosphonate à jeun à jeun le matin 30 min avant le petit-déjeuner, le calcium à midi ou au soir. </w:t>
      </w:r>
      <w:r>
        <w:rPr>
          <w:b/>
        </w:rPr>
        <w:t>Piège n°5 — Femme enceinte sous antiacide à haute dose</w:t>
      </w:r>
      <w:r>
        <w:t xml:space="preserve"> : syndrome de Burnett possible, alerter le prescripteur si &gt; 4 g/j de carbonate au-delà de 2 semaines. </w:t>
      </w:r>
      <w:r>
        <w:rPr>
          <w:b/>
        </w:rPr>
        <w:t>Piège n°6 — Patient sous diurétique thiazidique</w:t>
      </w:r>
      <w:r>
        <w:t xml:space="preserve"> : risque d'hypercalcémie majoré, surveillance calcémie mensuelle.</w:t>
      </w:r>
    </w:p>
    <w:p>
      <w:r/>
      <w:r>
        <w:rPr>
          <w:b/>
        </w:rPr>
        <w:t>Piège n°7 — Patient avec antécédent lithiase calcique</w:t>
      </w:r>
      <w:r>
        <w:t xml:space="preserve"> : éviter les fortes doses, surveiller calciurie, alcaliniser les urines (citrate de potassium si disponible). </w:t>
      </w:r>
      <w:r>
        <w:rPr>
          <w:b/>
        </w:rPr>
        <w:t>Piège n°8 — Patient digitalisé</w:t>
      </w:r>
      <w:r>
        <w:t xml:space="preserve"> : calcium IV contre-indiqué sans surveillance ECG, calcium oral possible avec contrôle digoxinémie. </w:t>
      </w:r>
      <w:r>
        <w:rPr>
          <w:b/>
        </w:rPr>
        <w:t>Piège n°9 — Insuffisant rénal</w:t>
      </w:r>
      <w:r>
        <w:t xml:space="preserve"> : adaptation posologique impérative (DFG &lt; 30 mL/min : réduire de 50 %), risque de calcifications vasculaires et d'hyperphosphatémie aggravée. </w:t>
      </w:r>
      <w:r>
        <w:rPr>
          <w:b/>
        </w:rPr>
        <w:t>Piège n°10 — Substitution de spécialité</w:t>
      </w:r>
      <w:r>
        <w:t xml:space="preserve"> : attention aux équivalences pidolate ↔ carbonate ↔ bromo-galactogluconate : la teneur en Ca élément varie du simple au double. </w:t>
      </w:r>
      <w:r>
        <w:rPr>
          <w:b/>
        </w:rPr>
        <w:t>Piège n°11 — Forme IV</w:t>
      </w:r>
      <w:r>
        <w:t xml:space="preserve"> : ne jamais administrer le chlorure de calcium dans une veine périphérique de petit calibre (nécrose tissulaire en cas d'extravasation) ; préférer le gluconate, voie centrale si perfusion prolongée. </w:t>
      </w:r>
      <w:r>
        <w:rPr>
          <w:b/>
        </w:rPr>
        <w:t>Piège n°12 — Patient âgé dénutri</w:t>
      </w:r>
      <w:r>
        <w:t xml:space="preserve"> : le calcium seul ne suffit pas, ajouter vitamine D, protéines et verticalisation. </w:t>
      </w:r>
      <w:r>
        <w:rPr>
          <w:b/>
        </w:rPr>
        <w:t>Piège n°13 — Consommation parallèle d'automédication antiacide</w:t>
      </w:r>
      <w:r>
        <w:t xml:space="preserve"> : multiplier les sources (RENNIE + CALCIBIONAT + poudre) conduit à des doses cumulées toxiques, demander au patient de rapporter tous ses flacons. </w:t>
      </w:r>
      <w:r>
        <w:rPr>
          <w:b/>
        </w:rPr>
        <w:t>Piège n°14 — Patient sous quinolone ou tétracycline</w:t>
      </w:r>
      <w:r>
        <w:t xml:space="preserve"> : l'interaction est souvent méconnue et conduit à un échec antibiotique.</w:t>
      </w:r>
    </w:p>
    <w:p>
      <w:pPr>
        <w:pStyle w:val="Heading2"/>
      </w:pPr>
      <w:r>
        <w:t>163.2 Sous-classe : Minéraux — Magnésium</w:t>
      </w:r>
    </w:p>
    <w:p>
      <w:r>
        <w:t>Le magnésium est le quatrième cation de l'organisme par ordre d'abondance et le deuxième cation intracellulaire après le potassium, avec un pool corporel total de 25 à 30 g chez l'adulte, dont 50 à 60 % stockés dans l'os, 25 à 30 % dans le muscle et 10 à 15 % dans les autres tissus mous. Seul 1 % du magnésium circule dans le compartiment extracellulaire, dont la magnésémie normale est de 0,75 à 0,95 mmol/L. Le magnésium est un cofacteur obligatoire de plus de 300 enzymes : kinases (hexokinase, créatinine kinase, pyruvate kinase), phosphatases (alcaline, acide), enzymes du métabolisme énergétique (ATP synthase), de la réplication de l'ADN (ADN polymérase), de la synthèse protéique, de la neurotransmission (neuromodulateur du récepteur NMDA en bloquant le canal ionique) et de la contractilité musculaire (compétition avec le calcium au niveau des filaments d'actomyosine). Le magnésium est également essentiel à la fonction mitochondriale (stabilisation des membranes et de l'ATP-Mg complexe), à la régulation glycémique (tyrosine kinase du récepteur de l'insuline), à la neurotransmission inhibitrice GABAergique et à l'équilibre électrolytique (cotransporteur Na-K-2Cl, canal ROMK).</w:t>
      </w:r>
    </w:p>
    <w:p>
      <w:r>
        <w:t>Les besoins quotidiens sont estimés à 6 mg/kg/j chez l'adulte (soit 350–400 mg/j chez l'homme, 280–300 mg/j chez la femme, 320 mg/j chez la femme enceinte et allaitante). Les sources alimentaires principales sont les oléagineux (amandes, noix, noisettes), les légumineuses (haricots, lentilles), les céréales complètes, les légumes verts (chlorophylle = chélate du magnésium), le cacao et les eaux minérales riches en magnésium (Hépar, Contrex). Les carences sont fréquentes en cas de dénutrition, d'alcoolisme chronique, de diarrhée chronique, de diurétiques de l'anse, d'inhibiteurs de la pompe à protons prolongés, de diabète déséquilibré et chez la femme enceinte. Les signes cliniques de carence magnésienne associent crampes musculaires, fasciculations, tétanie latente, asthénie, irritabilité, troubles du sommeil, cephalées, vertiges, anxiété, palpitations, allongement de l'espace QT à l'ECG. La correction se fait par les sels oraux (pidolate, lactate, citrate, aspartate, oxyde, hydroxyde, carbonate) ou par le sulfate de magnésium IV en urgence (tachycardie ventriculaire torsade de pointes, éclampsie).</w:t>
      </w:r>
    </w:p>
    <w:p>
      <w:pPr>
        <w:pStyle w:val="Heading3"/>
      </w:pPr>
      <w:r>
        <w:t>163.2.1 DCI : Magnésium (pidolate, lactate, sulfate, oxyde, aspartate)</w:t>
      </w:r>
    </w:p>
    <w:p>
      <w:r/>
      <w:r>
        <w:rPr>
          <w:b/>
        </w:rPr>
        <w:t>Liste des catégories pharmaco-thérapeutiques :</w:t>
      </w:r>
      <w:r>
        <w:t xml:space="preserve"> Minéraux et électrolytes ; Magnésium thérapeutique ; Cofacteur enzymatique ; Neuromodulateur ; Tocolytique (sulfate IV) ; Antiarythmique (sulfate IV torsade de pointes) ; Prévention de l'éclampsie (sulfate IV).</w:t>
      </w:r>
    </w:p>
    <w:p>
      <w:r>
        <w:t>Le magnésium, élément alcalino-terreux de masse atomique 24,31, est disponible en thérapeutique sous cinq sels principaux : pidolate (per os, forme liquide de référence en Algérie), lactate (per os, souvent associé au citrate), sulfate (voie IV ou IM en urgence obstétricale et cardiologique), oxyde (per os galénique sec, capsule) et aspartate (per os galénique sec, gélule). Les sels hydrosolubles (pidolate, aspartate, lactate, citrate) ont une biodisponibilité orale supérieure (40–50 %) aux sels insolubles (oxyde 20 %, carbonate 10 %), mais l'oxyde a une teneur en Mg élément plus élevée (60 % contre 6–12 % pour le pidolate). Le sulfate de magnésium heptahydraté reste la forme injectable de référence dans l'éclampsie, la torsade de pointes et l'hypomagnésémie sévère.</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PYROMAG</w:t>
            </w:r>
          </w:p>
        </w:tc>
        <w:tc>
          <w:tcPr>
            <w:tcW w:type="dxa" w:w="1559"/>
          </w:tcPr>
          <w:p>
            <w:r>
              <w:rPr>
                <w:sz w:val="20"/>
              </w:rPr>
              <w:t>Laboratoire Arab Pharm</w:t>
            </w:r>
          </w:p>
        </w:tc>
        <w:tc>
          <w:tcPr>
            <w:tcW w:type="dxa" w:w="1559"/>
          </w:tcPr>
          <w:p>
            <w:r>
              <w:rPr>
                <w:sz w:val="20"/>
              </w:rPr>
              <w:t>Solution buvable, pidolate de magnésium 0,15 g/mL (15 %) = 750 mg/5 mL (12,2 mg Mg/mL)</w:t>
            </w:r>
          </w:p>
        </w:tc>
        <w:tc>
          <w:tcPr>
            <w:tcW w:type="dxa" w:w="1559"/>
          </w:tcPr>
          <w:p>
            <w:r>
              <w:rPr>
                <w:sz w:val="20"/>
              </w:rPr>
              <w:t>Boîte de 20 ampoules de 10 mL</w:t>
            </w:r>
          </w:p>
        </w:tc>
        <w:tc>
          <w:tcPr>
            <w:tcW w:type="dxa" w:w="1559"/>
          </w:tcPr>
          <w:p>
            <w:r>
              <w:rPr>
                <w:sz w:val="20"/>
              </w:rPr>
              <w:t>—</w:t>
            </w:r>
          </w:p>
        </w:tc>
        <w:tc>
          <w:tcPr>
            <w:tcW w:type="dxa" w:w="1559"/>
          </w:tcPr>
          <w:p>
            <w:r>
              <w:rPr>
                <w:sz w:val="20"/>
              </w:rPr>
              <w:t>Actif</w:t>
            </w:r>
          </w:p>
        </w:tc>
      </w:tr>
      <w:tr>
        <w:tc>
          <w:tcPr>
            <w:tcW w:type="dxa" w:w="1559"/>
          </w:tcPr>
          <w:p>
            <w:r>
              <w:rPr>
                <w:sz w:val="20"/>
              </w:rPr>
              <w:t>TONIMAG</w:t>
            </w:r>
          </w:p>
        </w:tc>
        <w:tc>
          <w:tcPr>
            <w:tcW w:type="dxa" w:w="1559"/>
          </w:tcPr>
          <w:p>
            <w:r>
              <w:rPr>
                <w:sz w:val="20"/>
              </w:rPr>
              <w:t>Laboratoire Pharmacien Mehalla (LPM)</w:t>
            </w:r>
          </w:p>
        </w:tc>
        <w:tc>
          <w:tcPr>
            <w:tcW w:type="dxa" w:w="1559"/>
          </w:tcPr>
          <w:p>
            <w:r>
              <w:rPr>
                <w:sz w:val="20"/>
              </w:rPr>
              <w:t>Ampoule buvable, pidolate de magnésium 1,5 mg/5 mL</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MEGAMAG</w:t>
            </w:r>
          </w:p>
        </w:tc>
        <w:tc>
          <w:tcPr>
            <w:tcW w:type="dxa" w:w="1559"/>
          </w:tcPr>
          <w:p>
            <w:r>
              <w:rPr>
                <w:sz w:val="20"/>
              </w:rPr>
              <w:t>Mayoly Pharma France</w:t>
            </w:r>
          </w:p>
        </w:tc>
        <w:tc>
          <w:tcPr>
            <w:tcW w:type="dxa" w:w="1559"/>
          </w:tcPr>
          <w:p>
            <w:r>
              <w:rPr>
                <w:sz w:val="20"/>
              </w:rPr>
              <w:t>Gélule, aspartate de magnésium dihydraté 400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ACTIMAG</w:t>
            </w:r>
          </w:p>
        </w:tc>
        <w:tc>
          <w:tcPr>
            <w:tcW w:type="dxa" w:w="1559"/>
          </w:tcPr>
          <w:p>
            <w:r>
              <w:rPr>
                <w:sz w:val="20"/>
              </w:rPr>
              <w:t>Laboratoire Algérien du Médicament</w:t>
            </w:r>
          </w:p>
        </w:tc>
        <w:tc>
          <w:tcPr>
            <w:tcW w:type="dxa" w:w="1559"/>
          </w:tcPr>
          <w:p>
            <w:r>
              <w:rPr>
                <w:sz w:val="20"/>
              </w:rPr>
              <w:t>Sirop, pidolate de magnésium 15 % (0,75 g/5 mL)</w:t>
            </w:r>
          </w:p>
        </w:tc>
        <w:tc>
          <w:tcPr>
            <w:tcW w:type="dxa" w:w="1559"/>
          </w:tcPr>
          <w:p>
            <w:r>
              <w:rPr>
                <w:sz w:val="20"/>
              </w:rPr>
              <w:t>Flacon de 200 mL</w:t>
            </w:r>
          </w:p>
        </w:tc>
        <w:tc>
          <w:tcPr>
            <w:tcW w:type="dxa" w:w="1559"/>
          </w:tcPr>
          <w:p>
            <w:r>
              <w:rPr>
                <w:sz w:val="20"/>
              </w:rPr>
              <w:t>—</w:t>
            </w:r>
          </w:p>
        </w:tc>
        <w:tc>
          <w:tcPr>
            <w:tcW w:type="dxa" w:w="1559"/>
          </w:tcPr>
          <w:p>
            <w:r>
              <w:rPr>
                <w:sz w:val="20"/>
              </w:rPr>
              <w:t>Actif</w:t>
            </w:r>
          </w:p>
        </w:tc>
      </w:tr>
      <w:tr>
        <w:tc>
          <w:tcPr>
            <w:tcW w:type="dxa" w:w="1559"/>
          </w:tcPr>
          <w:p>
            <w:r>
              <w:rPr>
                <w:sz w:val="20"/>
              </w:rPr>
              <w:t>ISOMAG</w:t>
            </w:r>
          </w:p>
        </w:tc>
        <w:tc>
          <w:tcPr>
            <w:tcW w:type="dxa" w:w="1559"/>
          </w:tcPr>
          <w:p>
            <w:r>
              <w:rPr>
                <w:sz w:val="20"/>
              </w:rPr>
              <w:t>Isopharm Algérie</w:t>
            </w:r>
          </w:p>
        </w:tc>
        <w:tc>
          <w:tcPr>
            <w:tcW w:type="dxa" w:w="1559"/>
          </w:tcPr>
          <w:p>
            <w:r>
              <w:rPr>
                <w:sz w:val="20"/>
              </w:rPr>
              <w:t>Solution buvable, pidolate de magnésium 15 % (0,15 g/mL)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MAGNE</w:t>
            </w:r>
          </w:p>
        </w:tc>
        <w:tc>
          <w:tcPr>
            <w:tcW w:type="dxa" w:w="1559"/>
          </w:tcPr>
          <w:p>
            <w:r>
              <w:rPr>
                <w:sz w:val="20"/>
              </w:rPr>
              <w:t>SARL Groupe Santé</w:t>
            </w:r>
          </w:p>
        </w:tc>
        <w:tc>
          <w:tcPr>
            <w:tcW w:type="dxa" w:w="1559"/>
          </w:tcPr>
          <w:p>
            <w:r>
              <w:rPr>
                <w:sz w:val="20"/>
              </w:rPr>
              <w:t>Sirop, pidolate de magnésium 15 % (0,75 g/5 mL)</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PIDOMAG</w:t>
            </w:r>
          </w:p>
        </w:tc>
        <w:tc>
          <w:tcPr>
            <w:tcW w:type="dxa" w:w="1559"/>
          </w:tcPr>
          <w:p>
            <w:r>
              <w:rPr>
                <w:sz w:val="20"/>
              </w:rPr>
              <w:t>KPMA Biotic</w:t>
            </w:r>
          </w:p>
        </w:tc>
        <w:tc>
          <w:tcPr>
            <w:tcW w:type="dxa" w:w="1559"/>
          </w:tcPr>
          <w:p>
            <w:r>
              <w:rPr>
                <w:sz w:val="20"/>
              </w:rPr>
              <w:t>Sirop 15 %, pidolate de magnésium 122 mg/mL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VITAMAG (sirop)</w:t>
            </w:r>
          </w:p>
        </w:tc>
        <w:tc>
          <w:tcPr>
            <w:tcW w:type="dxa" w:w="1559"/>
          </w:tcPr>
          <w:p>
            <w:r>
              <w:rPr>
                <w:sz w:val="20"/>
              </w:rPr>
              <w:t>LAD Pharma</w:t>
            </w:r>
          </w:p>
        </w:tc>
        <w:tc>
          <w:tcPr>
            <w:tcW w:type="dxa" w:w="1559"/>
          </w:tcPr>
          <w:p>
            <w:r>
              <w:rPr>
                <w:sz w:val="20"/>
              </w:rPr>
              <w:t>Solution buvable en flacon, pidolate de magnésium 61 mg/5 mL (soit 0,75 g/5 mL ou 15 %)</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VITAMAG (amp.)</w:t>
            </w:r>
          </w:p>
        </w:tc>
        <w:tc>
          <w:tcPr>
            <w:tcW w:type="dxa" w:w="1559"/>
          </w:tcPr>
          <w:p>
            <w:r>
              <w:rPr>
                <w:sz w:val="20"/>
              </w:rPr>
              <w:t>LAD Pharma</w:t>
            </w:r>
          </w:p>
        </w:tc>
        <w:tc>
          <w:tcPr>
            <w:tcW w:type="dxa" w:w="1559"/>
          </w:tcPr>
          <w:p>
            <w:r>
              <w:rPr>
                <w:sz w:val="20"/>
              </w:rPr>
              <w:t>Solution buvable en ampoules, pidolate de magnésium 127 mg/5 mL (1,5 g/5 mL)</w:t>
            </w:r>
          </w:p>
        </w:tc>
        <w:tc>
          <w:tcPr>
            <w:tcW w:type="dxa" w:w="1559"/>
          </w:tcPr>
          <w:p>
            <w:r>
              <w:rPr>
                <w:sz w:val="20"/>
              </w:rPr>
              <w:t>Boîte de 30 ampoules de 5 mL</w:t>
            </w:r>
          </w:p>
        </w:tc>
        <w:tc>
          <w:tcPr>
            <w:tcW w:type="dxa" w:w="1559"/>
          </w:tcPr>
          <w:p>
            <w:r>
              <w:rPr>
                <w:sz w:val="20"/>
              </w:rPr>
              <w:t>—</w:t>
            </w:r>
          </w:p>
        </w:tc>
        <w:tc>
          <w:tcPr>
            <w:tcW w:type="dxa" w:w="1559"/>
          </w:tcPr>
          <w:p>
            <w:r>
              <w:rPr>
                <w:sz w:val="20"/>
              </w:rPr>
              <w:t>Actif</w:t>
            </w:r>
          </w:p>
        </w:tc>
      </w:tr>
      <w:tr>
        <w:tc>
          <w:tcPr>
            <w:tcW w:type="dxa" w:w="1559"/>
          </w:tcPr>
          <w:p>
            <w:r>
              <w:rPr>
                <w:sz w:val="20"/>
              </w:rPr>
              <w:t>MAGNO SANOL</w:t>
            </w:r>
          </w:p>
        </w:tc>
        <w:tc>
          <w:tcPr>
            <w:tcW w:type="dxa" w:w="1559"/>
          </w:tcPr>
          <w:p>
            <w:r>
              <w:rPr>
                <w:sz w:val="20"/>
              </w:rPr>
              <w:t>Schwarz Pharma</w:t>
            </w:r>
          </w:p>
        </w:tc>
        <w:tc>
          <w:tcPr>
            <w:tcW w:type="dxa" w:w="1559"/>
          </w:tcPr>
          <w:p>
            <w:r>
              <w:rPr>
                <w:sz w:val="20"/>
              </w:rPr>
              <w:t>Gélule, oxyde de magnésium 250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O MAG</w:t>
            </w:r>
          </w:p>
        </w:tc>
        <w:tc>
          <w:tcPr>
            <w:tcW w:type="dxa" w:w="1559"/>
          </w:tcPr>
          <w:p>
            <w:r>
              <w:rPr>
                <w:sz w:val="20"/>
              </w:rPr>
              <w:t>Biogalenic</w:t>
            </w:r>
          </w:p>
        </w:tc>
        <w:tc>
          <w:tcPr>
            <w:tcW w:type="dxa" w:w="1559"/>
          </w:tcPr>
          <w:p>
            <w:r>
              <w:rPr>
                <w:sz w:val="20"/>
              </w:rPr>
              <w:t>Gélule, oxyde de magnésium 250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KINADYN MG</w:t>
            </w:r>
          </w:p>
        </w:tc>
        <w:tc>
          <w:tcPr>
            <w:tcW w:type="dxa" w:w="1559"/>
          </w:tcPr>
          <w:p>
            <w:r>
              <w:rPr>
                <w:sz w:val="20"/>
              </w:rPr>
              <w:t>Biopharm</w:t>
            </w:r>
          </w:p>
        </w:tc>
        <w:tc>
          <w:tcPr>
            <w:tcW w:type="dxa" w:w="1559"/>
          </w:tcPr>
          <w:p>
            <w:r>
              <w:rPr>
                <w:sz w:val="20"/>
              </w:rPr>
              <w:t>Poudre pour solution buvable, carbonate de magnésium 3 mg/sachet</w:t>
            </w:r>
          </w:p>
        </w:tc>
        <w:tc>
          <w:tcPr>
            <w:tcW w:type="dxa" w:w="1559"/>
          </w:tcPr>
          <w:p>
            <w:r>
              <w:rPr>
                <w:sz w:val="20"/>
              </w:rPr>
              <w:t>Boîte de 20</w:t>
            </w:r>
          </w:p>
        </w:tc>
        <w:tc>
          <w:tcPr>
            <w:tcW w:type="dxa" w:w="1559"/>
          </w:tcPr>
          <w:p>
            <w:r>
              <w:rPr>
                <w:sz w:val="20"/>
              </w:rPr>
              <w:t>—</w:t>
            </w:r>
          </w:p>
        </w:tc>
        <w:tc>
          <w:tcPr>
            <w:tcW w:type="dxa" w:w="1559"/>
          </w:tcPr>
          <w:p>
            <w:r>
              <w:rPr>
                <w:sz w:val="20"/>
              </w:rPr>
              <w:t>Actif</w:t>
            </w:r>
          </w:p>
        </w:tc>
      </w:tr>
      <w:tr>
        <w:tc>
          <w:tcPr>
            <w:tcW w:type="dxa" w:w="1559"/>
          </w:tcPr>
          <w:p>
            <w:r>
              <w:rPr>
                <w:sz w:val="20"/>
              </w:rPr>
              <w:t>LAXEL</w:t>
            </w:r>
          </w:p>
        </w:tc>
        <w:tc>
          <w:tcPr>
            <w:tcW w:type="dxa" w:w="1559"/>
          </w:tcPr>
          <w:p>
            <w:r>
              <w:rPr>
                <w:sz w:val="20"/>
              </w:rPr>
              <w:t>HYSA SARL</w:t>
            </w:r>
          </w:p>
        </w:tc>
        <w:tc>
          <w:tcPr>
            <w:tcW w:type="dxa" w:w="1559"/>
          </w:tcPr>
          <w:p>
            <w:r>
              <w:rPr>
                <w:sz w:val="20"/>
              </w:rPr>
              <w:t>Poudre orale en sachet, hydroxyde de magnésium 4,970 g/5 g</w:t>
            </w:r>
          </w:p>
        </w:tc>
        <w:tc>
          <w:tcPr>
            <w:tcW w:type="dxa" w:w="1559"/>
          </w:tcPr>
          <w:p>
            <w:r>
              <w:rPr>
                <w:sz w:val="20"/>
              </w:rPr>
              <w:t>Boîte de 14 sachets de 5 g</w:t>
            </w:r>
          </w:p>
        </w:tc>
        <w:tc>
          <w:tcPr>
            <w:tcW w:type="dxa" w:w="1559"/>
          </w:tcPr>
          <w:p>
            <w:r>
              <w:rPr>
                <w:sz w:val="20"/>
              </w:rPr>
              <w:t>—</w:t>
            </w:r>
          </w:p>
        </w:tc>
        <w:tc>
          <w:tcPr>
            <w:tcW w:type="dxa" w:w="1559"/>
          </w:tcPr>
          <w:p>
            <w:r>
              <w:rPr>
                <w:sz w:val="20"/>
              </w:rPr>
              <w:t>Non renouvelable</w:t>
            </w:r>
          </w:p>
        </w:tc>
      </w:tr>
      <w:tr>
        <w:tc>
          <w:tcPr>
            <w:tcW w:type="dxa" w:w="1559"/>
          </w:tcPr>
          <w:p>
            <w:r>
              <w:rPr>
                <w:sz w:val="20"/>
              </w:rPr>
              <w:t>PIMAG</w:t>
            </w:r>
          </w:p>
        </w:tc>
        <w:tc>
          <w:tcPr>
            <w:tcW w:type="dxa" w:w="1559"/>
          </w:tcPr>
          <w:p>
            <w:r>
              <w:rPr>
                <w:sz w:val="20"/>
              </w:rPr>
              <w:t>Laboratoire Pharmaceutique Algérien (LPA)</w:t>
            </w:r>
          </w:p>
        </w:tc>
        <w:tc>
          <w:tcPr>
            <w:tcW w:type="dxa" w:w="1559"/>
          </w:tcPr>
          <w:p>
            <w:r>
              <w:rPr>
                <w:sz w:val="20"/>
              </w:rPr>
              <w:t>Solution buvable, pidolate de magnésium 1,5 g/10 mL</w:t>
            </w:r>
          </w:p>
        </w:tc>
        <w:tc>
          <w:tcPr>
            <w:tcW w:type="dxa" w:w="1559"/>
          </w:tcPr>
          <w:p>
            <w:r>
              <w:rPr>
                <w:sz w:val="20"/>
              </w:rPr>
              <w:t>Boîte de 10</w:t>
            </w:r>
          </w:p>
        </w:tc>
        <w:tc>
          <w:tcPr>
            <w:tcW w:type="dxa" w:w="1559"/>
          </w:tcPr>
          <w:p>
            <w:r>
              <w:rPr>
                <w:sz w:val="20"/>
              </w:rPr>
              <w:t>—</w:t>
            </w:r>
          </w:p>
        </w:tc>
        <w:tc>
          <w:tcPr>
            <w:tcW w:type="dxa" w:w="1559"/>
          </w:tcPr>
          <w:p>
            <w:r>
              <w:rPr>
                <w:sz w:val="20"/>
              </w:rPr>
              <w:t>Non renouvelable</w:t>
            </w:r>
          </w:p>
        </w:tc>
      </w:tr>
      <w:tr>
        <w:tc>
          <w:tcPr>
            <w:tcW w:type="dxa" w:w="1559"/>
          </w:tcPr>
          <w:p>
            <w:r>
              <w:rPr>
                <w:sz w:val="20"/>
              </w:rPr>
              <w:t>ENERMAG (amp.)</w:t>
            </w:r>
          </w:p>
        </w:tc>
        <w:tc>
          <w:tcPr>
            <w:tcW w:type="dxa" w:w="1559"/>
          </w:tcPr>
          <w:p>
            <w:r>
              <w:rPr>
                <w:sz w:val="20"/>
              </w:rPr>
              <w:t>Groupe Saidal</w:t>
            </w:r>
          </w:p>
        </w:tc>
        <w:tc>
          <w:tcPr>
            <w:tcW w:type="dxa" w:w="1559"/>
          </w:tcPr>
          <w:p>
            <w:r>
              <w:rPr>
                <w:sz w:val="20"/>
              </w:rPr>
              <w:t>Solution buvable, pidolate de magnésium 1,5 g/10 mL</w:t>
            </w:r>
          </w:p>
        </w:tc>
        <w:tc>
          <w:tcPr>
            <w:tcW w:type="dxa" w:w="1559"/>
          </w:tcPr>
          <w:p>
            <w:r>
              <w:rPr>
                <w:sz w:val="20"/>
              </w:rPr>
              <w:t>Boîte de 20 ampoules autocassables</w:t>
            </w:r>
          </w:p>
        </w:tc>
        <w:tc>
          <w:tcPr>
            <w:tcW w:type="dxa" w:w="1559"/>
          </w:tcPr>
          <w:p>
            <w:r>
              <w:rPr>
                <w:sz w:val="20"/>
              </w:rPr>
              <w:t>—</w:t>
            </w:r>
          </w:p>
        </w:tc>
        <w:tc>
          <w:tcPr>
            <w:tcW w:type="dxa" w:w="1559"/>
          </w:tcPr>
          <w:p>
            <w:r>
              <w:rPr>
                <w:sz w:val="20"/>
              </w:rPr>
              <w:t>Non renouvelable</w:t>
            </w:r>
          </w:p>
        </w:tc>
      </w:tr>
      <w:tr>
        <w:tc>
          <w:tcPr>
            <w:tcW w:type="dxa" w:w="1559"/>
          </w:tcPr>
          <w:p>
            <w:r>
              <w:rPr>
                <w:sz w:val="20"/>
              </w:rPr>
              <w:t>ENERMAG (sirop)</w:t>
            </w:r>
          </w:p>
        </w:tc>
        <w:tc>
          <w:tcPr>
            <w:tcW w:type="dxa" w:w="1559"/>
          </w:tcPr>
          <w:p>
            <w:r>
              <w:rPr>
                <w:sz w:val="20"/>
              </w:rPr>
              <w:t>Groupe Saidal</w:t>
            </w:r>
          </w:p>
        </w:tc>
        <w:tc>
          <w:tcPr>
            <w:tcW w:type="dxa" w:w="1559"/>
          </w:tcPr>
          <w:p>
            <w:r>
              <w:rPr>
                <w:sz w:val="20"/>
              </w:rPr>
              <w:t>Sirop, pidolate de magnésium 15 % (1,5 g/10 mL)</w:t>
            </w:r>
          </w:p>
        </w:tc>
        <w:tc>
          <w:tcPr>
            <w:tcW w:type="dxa" w:w="1559"/>
          </w:tcPr>
          <w:p>
            <w:r>
              <w:rPr>
                <w:sz w:val="20"/>
              </w:rPr>
              <w:t>Flacon de 125 mL</w:t>
            </w:r>
          </w:p>
        </w:tc>
        <w:tc>
          <w:tcPr>
            <w:tcW w:type="dxa" w:w="1559"/>
          </w:tcPr>
          <w:p>
            <w:r>
              <w:rPr>
                <w:sz w:val="20"/>
              </w:rPr>
              <w:t>—</w:t>
            </w:r>
          </w:p>
        </w:tc>
        <w:tc>
          <w:tcPr>
            <w:tcW w:type="dxa" w:w="1559"/>
          </w:tcPr>
          <w:p>
            <w:r>
              <w:rPr>
                <w:sz w:val="20"/>
              </w:rPr>
              <w:t>Non renouvelable</w:t>
            </w:r>
          </w:p>
        </w:tc>
      </w:tr>
      <w:tr>
        <w:tc>
          <w:tcPr>
            <w:tcW w:type="dxa" w:w="1559"/>
          </w:tcPr>
          <w:p>
            <w:r>
              <w:rPr>
                <w:sz w:val="20"/>
              </w:rPr>
              <w:t>MAGNESIUM SULFATE</w:t>
            </w:r>
          </w:p>
        </w:tc>
        <w:tc>
          <w:tcPr>
            <w:tcW w:type="dxa" w:w="1559"/>
          </w:tcPr>
          <w:p>
            <w:r>
              <w:rPr>
                <w:sz w:val="20"/>
              </w:rPr>
              <w:t>Renaudin</w:t>
            </w:r>
          </w:p>
        </w:tc>
        <w:tc>
          <w:tcPr>
            <w:tcW w:type="dxa" w:w="1559"/>
          </w:tcPr>
          <w:p>
            <w:r>
              <w:rPr>
                <w:sz w:val="20"/>
              </w:rPr>
              <w:t>Solution injectable, sulfate de magnésium 15 %</w:t>
            </w:r>
          </w:p>
        </w:tc>
        <w:tc>
          <w:tcPr>
            <w:tcW w:type="dxa" w:w="1559"/>
          </w:tcPr>
          <w:p>
            <w:r>
              <w:rPr>
                <w:sz w:val="20"/>
              </w:rPr>
              <w:t>Boîte de 100 ampoules de 10 mL</w:t>
            </w:r>
          </w:p>
        </w:tc>
        <w:tc>
          <w:tcPr>
            <w:tcW w:type="dxa" w:w="1559"/>
          </w:tcPr>
          <w:p>
            <w:r>
              <w:rPr>
                <w:sz w:val="20"/>
              </w:rPr>
              <w:t>—</w:t>
            </w:r>
          </w:p>
        </w:tc>
        <w:tc>
          <w:tcPr>
            <w:tcW w:type="dxa" w:w="1559"/>
          </w:tcPr>
          <w:p>
            <w:r>
              <w:rPr>
                <w:sz w:val="20"/>
              </w:rPr>
              <w:t>Non renouvelable</w:t>
            </w:r>
          </w:p>
        </w:tc>
      </w:tr>
      <w:tr>
        <w:tc>
          <w:tcPr>
            <w:tcW w:type="dxa" w:w="1559"/>
          </w:tcPr>
          <w:p>
            <w:r>
              <w:rPr>
                <w:sz w:val="20"/>
              </w:rPr>
              <w:t>MAG 2</w:t>
            </w:r>
          </w:p>
        </w:tc>
        <w:tc>
          <w:tcPr>
            <w:tcW w:type="dxa" w:w="1559"/>
          </w:tcPr>
          <w:p>
            <w:r>
              <w:rPr>
                <w:sz w:val="20"/>
              </w:rPr>
              <w:t>Rhône Poulenc Rorer Théraplix</w:t>
            </w:r>
          </w:p>
        </w:tc>
        <w:tc>
          <w:tcPr>
            <w:tcW w:type="dxa" w:w="1559"/>
          </w:tcPr>
          <w:p>
            <w:r>
              <w:rPr>
                <w:sz w:val="20"/>
              </w:rPr>
              <w:t>Ampoule buvable, pidolate de magnésium 1,5 g/10 mL</w:t>
            </w:r>
          </w:p>
        </w:tc>
        <w:tc>
          <w:tcPr>
            <w:tcW w:type="dxa" w:w="1559"/>
          </w:tcPr>
          <w:p>
            <w:r>
              <w:rPr>
                <w:sz w:val="20"/>
              </w:rPr>
              <w:t>Boîte de 30 ampoules de 10 mL</w:t>
            </w:r>
          </w:p>
        </w:tc>
        <w:tc>
          <w:tcPr>
            <w:tcW w:type="dxa" w:w="1559"/>
          </w:tcPr>
          <w:p>
            <w:r>
              <w:rPr>
                <w:sz w:val="20"/>
              </w:rPr>
              <w:t>—</w:t>
            </w:r>
          </w:p>
        </w:tc>
        <w:tc>
          <w:tcPr>
            <w:tcW w:type="dxa" w:w="1559"/>
          </w:tcPr>
          <w:p>
            <w:r>
              <w:rPr>
                <w:sz w:val="20"/>
              </w:rPr>
              <w:t>Retiré</w:t>
            </w:r>
          </w:p>
        </w:tc>
      </w:tr>
      <w:tr>
        <w:tc>
          <w:tcPr>
            <w:tcW w:type="dxa" w:w="1559"/>
          </w:tcPr>
          <w:p>
            <w:r>
              <w:rPr>
                <w:sz w:val="20"/>
              </w:rPr>
              <w:t>PIDOLATE DE MAGNESIUM RATIOPHARM</w:t>
            </w:r>
          </w:p>
        </w:tc>
        <w:tc>
          <w:tcPr>
            <w:tcW w:type="dxa" w:w="1559"/>
          </w:tcPr>
          <w:p>
            <w:r>
              <w:rPr>
                <w:sz w:val="20"/>
              </w:rPr>
              <w:t>Lafon Ratiopharm</w:t>
            </w:r>
          </w:p>
        </w:tc>
        <w:tc>
          <w:tcPr>
            <w:tcW w:type="dxa" w:w="1559"/>
          </w:tcPr>
          <w:p>
            <w:r>
              <w:rPr>
                <w:sz w:val="20"/>
              </w:rPr>
              <w:t>Solution buvable, pidolate de magnésium 1,5 g %</w:t>
            </w:r>
          </w:p>
        </w:tc>
        <w:tc>
          <w:tcPr>
            <w:tcW w:type="dxa" w:w="1559"/>
          </w:tcPr>
          <w:p>
            <w:r>
              <w:rPr>
                <w:sz w:val="20"/>
              </w:rPr>
              <w:t>Boîte de 30</w:t>
            </w:r>
          </w:p>
        </w:tc>
        <w:tc>
          <w:tcPr>
            <w:tcW w:type="dxa" w:w="1559"/>
          </w:tcPr>
          <w:p>
            <w:r>
              <w:rPr>
                <w:sz w:val="20"/>
              </w:rPr>
              <w:t>—</w:t>
            </w:r>
          </w:p>
        </w:tc>
        <w:tc>
          <w:tcPr>
            <w:tcW w:type="dxa" w:w="1559"/>
          </w:tcPr>
          <w:p>
            <w:r>
              <w:rPr>
                <w:sz w:val="20"/>
              </w:rPr>
              <w:t>Retiré</w:t>
            </w:r>
          </w:p>
        </w:tc>
      </w:tr>
      <w:tr>
        <w:tc>
          <w:tcPr>
            <w:tcW w:type="dxa" w:w="1559"/>
          </w:tcPr>
          <w:p>
            <w:r>
              <w:rPr>
                <w:sz w:val="20"/>
              </w:rPr>
              <w:t>MAG+</w:t>
            </w:r>
          </w:p>
        </w:tc>
        <w:tc>
          <w:tcPr>
            <w:tcW w:type="dxa" w:w="1559"/>
          </w:tcPr>
          <w:p>
            <w:r>
              <w:rPr>
                <w:sz w:val="20"/>
              </w:rPr>
              <w:t>KRG Pharma</w:t>
            </w:r>
          </w:p>
        </w:tc>
        <w:tc>
          <w:tcPr>
            <w:tcW w:type="dxa" w:w="1559"/>
          </w:tcPr>
          <w:p>
            <w:r>
              <w:rPr>
                <w:sz w:val="20"/>
              </w:rPr>
              <w:t>Sirop, pidolate de magnésium 15 % (1,5 g/10 mL)</w:t>
            </w:r>
          </w:p>
        </w:tc>
        <w:tc>
          <w:tcPr>
            <w:tcW w:type="dxa" w:w="1559"/>
          </w:tcPr>
          <w:p>
            <w:r>
              <w:rPr>
                <w:sz w:val="20"/>
              </w:rPr>
              <w:t>Flacon de 200 mL</w:t>
            </w:r>
          </w:p>
        </w:tc>
        <w:tc>
          <w:tcPr>
            <w:tcW w:type="dxa" w:w="1559"/>
          </w:tcPr>
          <w:p>
            <w:r>
              <w:rPr>
                <w:sz w:val="20"/>
              </w:rPr>
              <w:t>—</w:t>
            </w:r>
          </w:p>
        </w:tc>
        <w:tc>
          <w:tcPr>
            <w:tcW w:type="dxa" w:w="1559"/>
          </w:tcPr>
          <w:p>
            <w:r>
              <w:rPr>
                <w:sz w:val="20"/>
              </w:rPr>
              <w:t>Retiré</w:t>
            </w:r>
          </w:p>
        </w:tc>
      </w:tr>
      <w:tr>
        <w:tc>
          <w:tcPr>
            <w:tcW w:type="dxa" w:w="1559"/>
          </w:tcPr>
          <w:p>
            <w:r>
              <w:rPr>
                <w:sz w:val="20"/>
              </w:rPr>
              <w:t>OROMAG</w:t>
            </w:r>
          </w:p>
        </w:tc>
        <w:tc>
          <w:tcPr>
            <w:tcW w:type="dxa" w:w="1559"/>
          </w:tcPr>
          <w:p>
            <w:r>
              <w:rPr>
                <w:sz w:val="20"/>
              </w:rPr>
              <w:t>Theramex</w:t>
            </w:r>
          </w:p>
        </w:tc>
        <w:tc>
          <w:tcPr>
            <w:tcW w:type="dxa" w:w="1559"/>
          </w:tcPr>
          <w:p>
            <w:r>
              <w:rPr>
                <w:sz w:val="20"/>
              </w:rPr>
              <w:t>Comprimé à sucer, lactate Mg dihydraté 1078 mg + citrate Mg 125 mg (= 120 mg Mg élément)</w:t>
            </w:r>
          </w:p>
        </w:tc>
        <w:tc>
          <w:tcPr>
            <w:tcW w:type="dxa" w:w="1559"/>
          </w:tcPr>
          <w:p>
            <w:r>
              <w:rPr>
                <w:sz w:val="20"/>
              </w:rPr>
              <w:t>Boîte de 30</w:t>
            </w:r>
          </w:p>
        </w:tc>
        <w:tc>
          <w:tcPr>
            <w:tcW w:type="dxa" w:w="1559"/>
          </w:tcPr>
          <w:p>
            <w:r>
              <w:rPr>
                <w:sz w:val="20"/>
              </w:rPr>
              <w:t>—</w:t>
            </w:r>
          </w:p>
        </w:tc>
        <w:tc>
          <w:tcPr>
            <w:tcW w:type="dxa" w:w="1559"/>
          </w:tcPr>
          <w:p>
            <w:r>
              <w:rPr>
                <w:sz w:val="20"/>
              </w:rPr>
              <w:t>Retiré</w:t>
            </w:r>
          </w:p>
        </w:tc>
      </w:tr>
    </w:tbl>
    <w:p/>
    <w:p>
      <w:r/>
      <w:r>
        <w:rPr>
          <w:b/>
        </w:rPr>
        <w:t>Remarque :</w:t>
      </w:r>
      <w:r>
        <w:t xml:space="preserve"> La nomenclature algérienne ne contient pas, à la date d'avril 2026, de spécialité de sulfate de magnésium à statut « actif » pour la voie injectable ; l'urgence obstétricale (éclampsie) et cardiologique (torsade de pointes) impose un approvisionnement par importation ou par fabrication hospitalière. Le chlorure de magnésium buvable, parfois proposé en automédication, n'est pas enregistré comme spécialité pharmaceutique en Algérie.</w:t>
      </w:r>
    </w:p>
    <w:p>
      <w:pPr>
        <w:pStyle w:val="Heading4"/>
      </w:pPr>
      <w:r>
        <w:t>1. Mécanisme d'action</w:t>
      </w:r>
    </w:p>
    <w:p>
      <w:r>
        <w:t xml:space="preserve">Le magnésium thérapeutique agit par quatre mécanismes principaux. </w:t>
      </w:r>
      <w:r>
        <w:rPr>
          <w:b/>
        </w:rPr>
        <w:t>Premièrement, cofacteur enzymatique universel</w:t>
      </w:r>
      <w:r>
        <w:t xml:space="preserve"> : le magnésium complexe l'ATP sous forme Mg-ATP, substrat obligatoire de toutes les kinases, ATPases et synthétases. Plus de 300 enzymes sont magnésio-dépendantes : hexokinase et phosphofructokinase (glycolyse), pyruvate kinase, créatinine kinase, ATPase Na⁺/K⁺ (pompe sodium), ATPase Ca²⁺ (pompe calcium sarcoplasmique), adenylate cyclase, guanylate cyclase, kinases des récepteurs à activité tyrosine kinase (insuline, EGF, PDGF), enzymes de la réplication (ADN polymérase, primase, hélicase) et de la transcription (ARN polymérase). Le magnésium stabilise également les ribosomes et les membranes mitochondriales.</w:t>
      </w:r>
    </w:p>
    <w:p>
      <w:r/>
      <w:r>
        <w:rPr>
          <w:b/>
        </w:rPr>
        <w:t>Deuxièmement, neuromodulateur du récepteur NMDA</w:t>
      </w:r>
      <w:r>
        <w:t xml:space="preserve"> : le magnésium bloque le canal du récepteur NMDA (N-méthyl-D-aspartate) glutamatergique au repos, à l'état de « blocage voltage-dépendant » : la dépolarisation neuronale lève ce blocage et permet l'entrée du calcium activant. La carence en magnésium lève le blocage NMDA au repos, entraînant une hyperexcitabilité neuronale, une libération excessive de glutamate, une excitotoxicité et potentiellement des convulsions. Le magnésium potentialise également l'effet inhibiteur du GABA en facilitant la liaison du GABA à son récepteur GABA-A et en inhibant la libération de neurotransmetteurs excitateurs (glutamate, aspartate). </w:t>
      </w:r>
      <w:r>
        <w:rPr>
          <w:b/>
        </w:rPr>
        <w:t>Troisièmement, compétition calcium-magnésium au niveau musculaire</w:t>
      </w:r>
      <w:r>
        <w:t xml:space="preserve"> : le magnésium inhibe compétitivement l'entrée du calcium dans la cellule musculaire lisse par les canaux calciques voltage-dépendants, d'où un effet vasodilatateur, tocolytique (relaxation utérine) et antiarythmique. </w:t>
      </w:r>
      <w:r>
        <w:rPr>
          <w:b/>
        </w:rPr>
        <w:t>Quatrièmement, stabilisant de membrane cardiaque</w:t>
      </w:r>
      <w:r>
        <w:t xml:space="preserve"> : le magnésium allonge la durée du potentiel d'action, ralentit la conduction auriculo-ventriculaire et supprime les déclenchements automatiques ectopiques (post-dépolarisations tardives à l'origine des torsades de pointes).</w:t>
      </w:r>
    </w:p>
    <w:p>
      <w:r>
        <w:t>Dans l'éclampsie, le sulfate de magnésium est supérieur au diazépam et à la phénytoïne dans la prévention des récidives convulsives, par son action sur le récepteur NMDA, la libération d'endothéline et la vasodilatation cérébrale. Dans la torsade de pointes, le magnésium IV supprime les post-dépolarisations tardives par un mécanisme Na/K-ATPasique. Dans la tétanie et les crampes musculaires, le magnésium rétablit le rapport Ca/Mg intracellulaire et inhibe les contractions tetaniques.</w:t>
      </w:r>
    </w:p>
    <w:p>
      <w:pPr>
        <w:pStyle w:val="Heading4"/>
      </w:pPr>
      <w:r>
        <w:t>2. Profil pharmacocinétique</w:t>
      </w:r>
    </w:p>
    <w:p>
      <w:r>
        <w:t>L'absorption intestinale du magnésium oral est saturable, passive (paracellulaire, 80 %) et active (transcellulaire via TRPM6 et TRPM7, 20 %), avec une fraction absorbée de 30 à 50 % selon le statut magnésien (plus élevée en cas de carence). Les sels hydrosolubles (pidolate, aspartate, lactate, citrate) ont une biodisponibilité supérieure (40–50 %) aux sels insolubles (oxyde 20 %, carbonate 10 %, hydroxyde 15 %). La prise au cours du repas augmente l'absorption (effet trophique sur la vidange gastrique). Le pic de magnésémie est atteint en 2 à 4 heures. Le pool corporel total est de 25 g, dont 99 % intracellulaire (os 50–60 %, muscle 25–30 %, autres tissus 10–15 %) et 1 % extracellulaire (sang, LCR).</w:t>
      </w:r>
    </w:p>
    <w:p>
      <w:r>
        <w:t>La magnésémie normale est de 0,75 à 0,95 mmol/L (1,5 à 2,0 mEq/L ou 1,8 à 2,4 mg/dL). Le magnésium circule sous trois formes : ionisée Mg²⁺ biologiquement active (55 %), liée aux protéines (albumine 30 %), complexée à l'anion (15 %). L'élimination est essentiellement rénale (95 %), filtrée puis réabsorbée à 90 % dans la branche ascendante large de Henle (cotransporteur NKCC2 sensible aux diurétiques de l'anse) et dans le canal collecteur (TRPM6). Une magnésurie &gt; 4 mmol/24 h traduit une fuite rénale. Le magnésium traverse le placenta (surtout au 3e trimestre) et est excrété dans le lait maternel (30–50 mg/j en période d'allaitement exclusif). La demi-vie plasmatique est courte (30–60 min après IV), imposant une perfusion continue en obstétrique. Le sulfate de magnésium IV agit en 1 à 2 minutes, avec une durée d'action de 30 minutes, d'où la necessity d'une perfusion d'entretien (1–2 g/h).</w:t>
      </w:r>
    </w:p>
    <w:p>
      <w:pPr>
        <w:pStyle w:val="Heading4"/>
      </w:pPr>
      <w:r>
        <w:t>3. Prévention des effets indésirables</w:t>
      </w:r>
    </w:p>
    <w:p>
      <w:r>
        <w:t xml:space="preserve">La prévention des effets indésirables du magnésium repose sur cinq piliers. </w:t>
      </w:r>
      <w:r>
        <w:rPr>
          <w:b/>
        </w:rPr>
        <w:t>Premièrement, évaluation de la fonction rénale avant tout traitement prolongé ou IV</w:t>
      </w:r>
      <w:r>
        <w:t xml:space="preserve"> : le magnésium est éliminé à 95 % par le rein, et l'insuffisance rénale chronique (DFG &lt; 30 mL/min) expose à une hypermagnésémie cumulative toxique (dépression neuromusculaire, hyporéflexie, bradycardie, hypotension, arrêt respiratoire). En cas d'IRC, réduire la dose orale de 50 % et la dose IV de 75 %, surveiller les réflexes ostéotendineux toutes les 4 heures. </w:t>
      </w:r>
      <w:r>
        <w:rPr>
          <w:b/>
        </w:rPr>
        <w:t>Deuxièmement, surveillance clinique sous sulfate IV</w:t>
      </w:r>
      <w:r>
        <w:t xml:space="preserve"> : contrôle des réflexes ostéotendineux (ROT) toutes les 4 heures (la disparition des ROT est le signe précoce d'hypermagnésémie), fréquence respiratoire (risque de dépression respiratoire si FR &lt; 12/min), tension artérielle (hypotension), état de conscience. Une magnésémie plasmatique doit être mesurée toutes les 6 heures en perfusion continue.</w:t>
      </w:r>
    </w:p>
    <w:p>
      <w:r/>
      <w:r>
        <w:rPr>
          <w:b/>
        </w:rPr>
        <w:t>Troisièmement, disponibilité de l'antidote</w:t>
      </w:r>
      <w:r>
        <w:t xml:space="preserve"> : le gluconate de calcium (ou chlorure de calcium) IV 10 %, 10 mL en 3–5 min, antagonise immédiatement l'effet dépresseur neuromusculaire et cardiaque du magnésium ; à conserver au chevet du patient sous sulfate IV. </w:t>
      </w:r>
      <w:r>
        <w:rPr>
          <w:b/>
        </w:rPr>
        <w:t>Quatrièmement, prévention des effets digestifs oraux</w:t>
      </w:r>
      <w:r>
        <w:t xml:space="preserve"> : le pidolate et l'oxyde peuvent induire une diarrhée osmotique et une dyspepsie ; prendre au cours du repas, fractionner les doses (3 prises par jour), éviter l'association avec un autre sel minéral chélatant. </w:t>
      </w:r>
      <w:r>
        <w:rPr>
          <w:b/>
        </w:rPr>
        <w:t>Cinquièmement, prévention de l'hypotension sous IV</w:t>
      </w:r>
      <w:r>
        <w:t xml:space="preserve"> : administrer le sulfate IV en perfusion lente (≤ 1 g/min en bolus, perfusion d'entretien 1–2 g/h), surveiller la TA toutes les 15 min, à disposition de cristalloïdes en cas d'hypotension. Enfin, chez la femme enceinte sous sulfate pour éclampsie, surveiller le rythme cardiaque fœtal (risque de bradycardie fœtale) et le tonus utérin (tocolyse excessive).</w:t>
      </w:r>
    </w:p>
    <w:p>
      <w:pPr>
        <w:pStyle w:val="Heading4"/>
      </w:pPr>
      <w:r>
        <w:t>4. Interactions médicamenteuses</w:t>
      </w:r>
    </w:p>
    <w:p>
      <w:r>
        <w:t xml:space="preserve">Le magnésium présente plusieurs interactions médicamenteuses cliniquement significatives. </w:t>
      </w:r>
      <w:r>
        <w:rPr>
          <w:b/>
        </w:rPr>
        <w:t>Avec les aminosides</w:t>
      </w:r>
      <w:r>
        <w:t xml:space="preserve"> (gentamicine, amikacine, nétilmicine) : potentialisation du bloc neuromusculaire (les aminosides inhibent la libération présynaptique d'acétylcholine), avec risque de curarisation prolongée et d'apnée ; surveillance en période péri-opératoire, éviter l'association ou réduire la dose de magnésium. </w:t>
      </w:r>
      <w:r>
        <w:rPr>
          <w:b/>
        </w:rPr>
        <w:t>Avec les curares dépolarisants (succinylcholine) et non dépolarisants (rocuronium, vecuronium)</w:t>
      </w:r>
      <w:r>
        <w:t xml:space="preserve"> : le magnésium potentialise le bloc neuromusculaire, allongeant la durée d'action du curare ; ajuster la dose d'anesthésique et monitorer la curarisation. </w:t>
      </w:r>
      <w:r>
        <w:rPr>
          <w:b/>
        </w:rPr>
        <w:t>Avec les IEC et les antagonistes des récepteurs de l'angiotensine II</w:t>
      </w:r>
      <w:r>
        <w:t xml:space="preserve"> : potentialisation de l'effet hypotenseur, risque d'hypotension et d'hyperkaliémie (surtout chez l'insuffisant rénal).</w:t>
      </w:r>
    </w:p>
    <w:p>
      <w:r/>
      <w:r>
        <w:rPr>
          <w:b/>
        </w:rPr>
        <w:t>Avec la digoxine</w:t>
      </w:r>
      <w:r>
        <w:t xml:space="preserve"> : le magnésium potentialise l'effet antiarythmique mais peut interagir avec la digoxinémie ; surveillance ECG et digoxinémie. </w:t>
      </w:r>
      <w:r>
        <w:rPr>
          <w:b/>
        </w:rPr>
        <w:t>Avec les diurétiques de l'anse</w:t>
      </w:r>
      <w:r>
        <w:t xml:space="preserve"> (furosémide, bumétanide) et </w:t>
      </w:r>
      <w:r>
        <w:rPr>
          <w:b/>
        </w:rPr>
        <w:t>thiazidiques</w:t>
      </w:r>
      <w:r>
        <w:t xml:space="preserve"> (hydrochlorothiazide) : fuite urinaire de magnésium, hypomagnésémie chronique, justifiant une supplémentation systématique. </w:t>
      </w:r>
      <w:r>
        <w:rPr>
          <w:b/>
        </w:rPr>
        <w:t>Avec les inhibiteurs de la pompe à protons</w:t>
      </w:r>
      <w:r>
        <w:t xml:space="preserve"> (oméprazole, ésoméprazole, pantoprazole) au long cours (≥ 1 an) : hypomagnésémie sévère par malabsorption intestinale (inhibition des transporteurs TRPM6/7), justifiant un dosage de magnésémie tous les 6 mois. </w:t>
      </w:r>
      <w:r>
        <w:rPr>
          <w:b/>
        </w:rPr>
        <w:t>Avec les quinolones, tétracyclines, fer oral</w:t>
      </w:r>
      <w:r>
        <w:t xml:space="preserve"> : chélation intestinale identique au calcium, espacer de 2 heures. </w:t>
      </w:r>
      <w:r>
        <w:rPr>
          <w:b/>
        </w:rPr>
        <w:t>Avec les biphosphonates</w:t>
      </w:r>
      <w:r>
        <w:t xml:space="preserve"> : espacer de 2 heures (chelation). </w:t>
      </w:r>
      <w:r>
        <w:rPr>
          <w:b/>
        </w:rPr>
        <w:t>Avec les dépresseurs du SNC</w:t>
      </w:r>
      <w:r>
        <w:t xml:space="preserve"> (benzodiazépines, opioïdes, neuroleptiques) : potentialisation de la sédation. Enfin, en anesthésie, </w:t>
      </w:r>
      <w:r>
        <w:rPr>
          <w:b/>
        </w:rPr>
        <w:t>le sulfate de magnésium IV réduit les besoins en agents anesthésiques halogénés (sevoflurane, desflurane) et en propofol</w:t>
      </w:r>
      <w:r>
        <w:t xml:space="preserve"> d'environ 30 %.</w:t>
      </w:r>
    </w:p>
    <w:p>
      <w:pPr>
        <w:pStyle w:val="Heading4"/>
      </w:pPr>
      <w:r>
        <w:t>5. Grossesse et allaitement (CRAT)</w:t>
      </w:r>
    </w:p>
    <w:p>
      <w:r>
        <w:t xml:space="preserve">Selon le CRAT, le magnésium oral (pidolate, oxyde, aspartate, lactate, citrate) est </w:t>
      </w:r>
      <w:r>
        <w:rPr>
          <w:b/>
        </w:rPr>
        <w:t>utilisable à tous les trimestres de la grossesse</w:t>
      </w:r>
      <w:r>
        <w:t xml:space="preserve"> et constitue une supplémentation recommandée en cas de carence documentée ou de besoins accrus (3e trimestre, allaitement, grossesse gémellaire, terrain à risque prééclampsique). Les besoins augmentent de 30 à 50 % pendant la grossesse (apports nutritionnels conseillés 400 mg/j), justifiant une supplémentation si les apports alimentaires sont insuffisants. Le pidolate de magnésium est le sel de référence pendant la grossesse en raison de sa bonne tolérance digestive et de son innocuité fœtale documentée. Les doses recommandées sont de 5 à 10 mg/kg/j de magnésium élément, soit 300 à 600 mg/j de pidolate de magnésium (1 à 2 ampoules buvables de 10 mL par jour, ou 1 à 2 cuillères-mesure de sirop).</w:t>
      </w:r>
    </w:p>
    <w:p>
      <w:r>
        <w:t>Le sulfate de magnésium IV est le traitement de référence de l'éclampsie (protocole Pritchard : 4 g IV lente en 20 min puis 1 g/h en perfusion continue, ou protocole Zuspan : 6 g IV en 20 min puis 2 g/h) et de la prévention secondaire chez la femme à haut risque (hypertension gravidique sévère, prééclampsie). Le sulfate de magnésium IV traverse la barrière fœto-placentaire, peut induire une hypotonie néonatale, une dépression respiratoire et une hyporéflexie si la perfusion maternelle est prolongée ou immédiatement avant l'accouchement ; la surveillance néonatale immédiate (score d'Apgar, FR, réflexes) est indispensable. Cependant, le bénéfice maternel et fœtal dans l'éclampsie est largement supérieur au risque, et le sulfate de magnésium est recommandé par l'OMS comme traitement de choix (grade A).</w:t>
      </w:r>
    </w:p>
    <w:p>
      <w:r>
        <w:t>L'allaitement est possible sous magnésium oral (composant physiologique normal du lait maternel, 30–50 mg/j excrétés) ; sous sulfate IV en post-partum immédiat, surveillance néonatale (léthargie, hypotonie) les premières 24 heures. À noter que le magnésium est également utilisé en tocolyse (menace d'accouchement prématuré) à la dose de 4 à 6 g IV en 20 min puis 2 g/h, bien que cette indication soit discutée en raison de l'efficacité modeste et de la tolérance maternelle (flush, hypotension).</w:t>
      </w:r>
    </w:p>
    <w:p>
      <w:pPr>
        <w:pStyle w:val="Heading4"/>
      </w:pPr>
      <w:r>
        <w:t>6. Posologie et mode d'administration</w:t>
      </w:r>
    </w:p>
    <w:p>
      <w:r/>
      <w:r>
        <w:rPr>
          <w:b/>
        </w:rPr>
        <w:t>Supplémentation orale (pidolate, aspartate, lactate, oxyde) :</w:t>
      </w:r>
      <w:r/>
    </w:p>
    <w:p>
      <w:pPr>
        <w:pStyle w:val="ListBullet"/>
      </w:pPr>
      <w:r>
        <w:t>Adulte et sujet âgé : 5 à 10 mg/kg/jour de magnésium élément, soit 300 à 600 mg/jour de magnésium élément, en 2 à 3 prises au cours des repas. En pratique, 1 à 2 ampoules buvables de pidolate 10 mL (PYROMAG, VITAMAG) par jour, ou 1 cuillère-mesure de sirop 5 mL (ACTIMAG, ISOMAG, MAGNE, PIDOMAG, VITAMAG) 2 à 3 fois par jour, ou 2 à 3 gélules d'oxyde 250 mg (MAGNO SANOL, O MAG) par jour, ou 1 gélule d'aspartate 400 mg (MEGAMAG) par jour.</w:t>
      </w:r>
    </w:p>
    <w:p>
      <w:pPr>
        <w:pStyle w:val="ListBullet"/>
      </w:pPr>
      <w:r>
        <w:t>Femme enceinte (3e trimestre) et allaitante : 400 à 600 mg/jour de magnésium élément.</w:t>
      </w:r>
    </w:p>
    <w:p>
      <w:pPr>
        <w:pStyle w:val="ListBullet"/>
      </w:pPr>
      <w:r>
        <w:t>Enfant : 5 mg/kg/jour de magnésium élément en 2 prises, sans dépasser 300 mg/jour chez l'enfant de moins de 10 ans.</w:t>
      </w:r>
    </w:p>
    <w:p>
      <w:pPr>
        <w:pStyle w:val="ListBullet"/>
      </w:pPr>
      <w:r>
        <w:t>Crampes musculaires nocturnes : 300 mg/jour le soir au coucher pendant 4 à 6 semaines.</w:t>
      </w:r>
    </w:p>
    <w:p>
      <w:pPr>
        <w:pStyle w:val="ListBullet"/>
      </w:pPr>
      <w:r>
        <w:t>Fibromyalgie, syndrome de fatigue chronique : 400–600 mg/jour en cures de 2 à 3 mois.</w:t>
      </w:r>
    </w:p>
    <w:p>
      <w:r/>
      <w:r>
        <w:rPr>
          <w:b/>
        </w:rPr>
        <w:t>Urgence IV (sulfate de magnésium, si disponible) :</w:t>
      </w:r>
      <w:r/>
    </w:p>
    <w:p>
      <w:pPr>
        <w:pStyle w:val="ListBullet"/>
      </w:pPr>
      <w:r>
        <w:t>Éclampsie (protocole Pritchard) : 4 g IV lente en 20 min (dilués dans 100 mL de G5%), puis 1 g/h en perfusion continue pendant 24 heures après la dernière convulsion.</w:t>
      </w:r>
    </w:p>
    <w:p>
      <w:pPr>
        <w:pStyle w:val="ListBullet"/>
      </w:pPr>
      <w:r>
        <w:t>Éclampsie (protocole Zuspan) : 6 g IV en 20 min, puis 2 g/h en perfusion continue pendant 24 heures.</w:t>
      </w:r>
    </w:p>
    <w:p>
      <w:pPr>
        <w:pStyle w:val="ListBullet"/>
      </w:pPr>
      <w:r>
        <w:t>Torsade de pointes : 2 g IV en 10 min (sous monitoring ECG), à renouveler si nécessaire, jusqu'à 4–6 g/24 h.</w:t>
      </w:r>
    </w:p>
    <w:p>
      <w:pPr>
        <w:pStyle w:val="ListBullet"/>
      </w:pPr>
      <w:r>
        <w:t>Hypomagnésémie sévère symptomatique : 2 g IV en 10 min, puis 1 g/h en perfusion continue pendant 24–48 h, surveillance magnésémie et ROT.</w:t>
      </w:r>
    </w:p>
    <w:p>
      <w:pPr>
        <w:pStyle w:val="ListBullet"/>
      </w:pPr>
      <w:r>
        <w:t>Tocolyse (menace d'accouchement prématuré) : 4 g IV en 20 min, puis 2 g/h pendant 12–24 h maximum.</w:t>
      </w:r>
    </w:p>
    <w:p>
      <w:pPr>
        <w:pStyle w:val="Heading4"/>
      </w:pPr>
      <w:r>
        <w:t>7. Formes galéniques disponibles</w:t>
      </w:r>
    </w:p>
    <w:p>
      <w:r>
        <w:t xml:space="preserve">Le marché algérien des spécialités magnésiennes est dominé par les formes liquides orales (sirop et ampoule buvable) en raison de la prévalence du pidolate. </w:t>
      </w:r>
      <w:r>
        <w:rPr>
          <w:b/>
        </w:rPr>
        <w:t>Solutions buvables en ampoules</w:t>
      </w:r>
      <w:r>
        <w:t xml:space="preserve"> (PYROMAG, TONIMAG, VITAMAG amp., PIMAG, ENERMAG amp., MAG 2) : pidolate de magnésium 0,15 g/mL (15 %) ou 1,5 g/10 mL, conditionnement en ampoules autocassables de 5 à 10 mL, à diluer dans un verre d'eau, prise rapide en une fois, indiqué chez l'adulte et l'enfant &gt; 10 ans. </w:t>
      </w:r>
      <w:r>
        <w:rPr>
          <w:b/>
        </w:rPr>
        <w:t>Sirop</w:t>
      </w:r>
      <w:r>
        <w:t xml:space="preserve"> (ACTIMAG, ISOMAG, MAGNE, PIDOMAG, VITAMAG sirop, ENERMAG sirop, MAG+) : pidolate de magnésium 15 %, flacon de 125 à 200 mL avec cuillère-mesure de 5 mL, indiqué en pédiatrie et chez le sujet âgé, goût agréable, dose adaptée au poids. </w:t>
      </w:r>
      <w:r>
        <w:rPr>
          <w:b/>
        </w:rPr>
        <w:t>Gélules</w:t>
      </w:r>
      <w:r>
        <w:t xml:space="preserve"> (MAGNO SANOL, O MAG, MEGAMAG) : oxyde de magnésium 250 mg ou aspartate de magnésium dihydraté 400 mg, conditionnement boîte de 30, indiqué chez l'adulte, galénique sec stable, sans goût métallique.</w:t>
      </w:r>
    </w:p>
    <w:p>
      <w:r/>
      <w:r>
        <w:rPr>
          <w:b/>
        </w:rPr>
        <w:t>Poudre pour solution buvable en sachet</w:t>
      </w:r>
      <w:r>
        <w:t xml:space="preserve"> (KINADYN MG, OROMAG, LAXEL) : carbonate de magnésium 3 mg/sachet, lactate+citrate 1078+125 mg (= 120 mg Mg élément) ou hydroxyde 4,97 g/5 g, indiqué en supplémentation ou en laxatif osmotique (hydroxyde de magnésium = lait de magnésie). </w:t>
      </w:r>
      <w:r>
        <w:rPr>
          <w:b/>
        </w:rPr>
        <w:t>Solution injectable</w:t>
      </w:r>
      <w:r>
        <w:t xml:space="preserve"> (MAGNESIUM SULFATE Renaudin) : sulfate de magnésium 15 %, ampoules de 10 mL, statut non renouvelable en Algérie à la date d'avril 2026 — l'urgence obstétricale (éclampsie) impose l'importation ou la fabrication hospitalière. À noter l'absence de spécialité algérienne de chlorure de magnésium buvable, parfois proposé en automédication populaire mais non enregistré comme médicament. Le marché algérien propose aussi des multivitamines-magnésium (non listés ici) relevant des compléments alimentaires plutôt que des médicaments.</w:t>
      </w:r>
    </w:p>
    <w:p>
      <w:pPr>
        <w:pStyle w:val="Heading4"/>
      </w:pPr>
      <w:r>
        <w:t>8. Conseils au patient</w:t>
      </w:r>
    </w:p>
    <w:p>
      <w:r>
        <w:t xml:space="preserve">Au comptoir, le pharmacien doit transmettre plusieurs conseils au patient sous magnésium. </w:t>
      </w:r>
      <w:r>
        <w:rPr>
          <w:b/>
        </w:rPr>
        <w:t>Conseil n°1 — Modalités de prise</w:t>
      </w:r>
      <w:r>
        <w:t xml:space="preserve"> : pour le pidolate en ampoule ou sirop, diluer dans un grand verre d'eau, prendre au cours du repas ; pour l'oxyde ou l'aspartate en gélule, avaler avec un grand verre d'eau pendant le repas. </w:t>
      </w:r>
      <w:r>
        <w:rPr>
          <w:b/>
        </w:rPr>
        <w:t>Conseil n°2 — Fractionnement des doses</w:t>
      </w:r>
      <w:r>
        <w:t xml:space="preserve"> : mieux vaut 3 petites doses qu'une grande dose unique (meilleure absorption saturable, moindre effet diarrhéique). </w:t>
      </w:r>
      <w:r>
        <w:rPr>
          <w:b/>
        </w:rPr>
        <w:t>Conseil n°3 — Durée du traitement</w:t>
      </w:r>
      <w:r>
        <w:t xml:space="preserve"> : une cure de magnésium dure typiquement 1 à 3 mois, à renouveler selon la clinique ; éviter le traitement au long cours sans surveillance biologique (magnésémie annuelle). </w:t>
      </w:r>
      <w:r>
        <w:rPr>
          <w:b/>
        </w:rPr>
        <w:t>Conseil n°4 — Alimentation riche en magnésium</w:t>
      </w:r>
      <w:r>
        <w:t xml:space="preserve"> : amandes, noix, cacao, légumes verts, céréales complètes, eaux minérales riches en Mg (Hépar, Contrex) — la supplémentation ne remplace pas une alimentation équilibrée.</w:t>
      </w:r>
    </w:p>
    <w:p>
      <w:r/>
      <w:r>
        <w:rPr>
          <w:b/>
        </w:rPr>
        <w:t>Conseil n°5 — Effets indésirables digestifs</w:t>
      </w:r>
      <w:r>
        <w:t xml:space="preserve"> : en cas de diarrhée, réduire la dose ou passer au sirop (mieux toléré) ; en cas de constipation, l'oxyde peut être utilisé à visée laxative légère. </w:t>
      </w:r>
      <w:r>
        <w:rPr>
          <w:b/>
        </w:rPr>
        <w:t>Conseil n°6 — Surveillance sous traitement IV</w:t>
      </w:r>
      <w:r>
        <w:t xml:space="preserve"> : en milieu hospitalier, le patient doit signaler immédiatement tout flush, sensation de chaleur, somnolence, faiblesse musculaire, difficulté respiratoire (signes d'hypermagnésémie). </w:t>
      </w:r>
      <w:r>
        <w:rPr>
          <w:b/>
        </w:rPr>
        <w:t>Conseil n°7 — Association avec calcium et vitamine D</w:t>
      </w:r>
      <w:r>
        <w:t xml:space="preserve"> : souvent prescrits ensemble en post-ménopause, sans interaction notable ; surveiller la calciurie et la magnésurie si traitement prolongé. </w:t>
      </w:r>
      <w:r>
        <w:rPr>
          <w:b/>
        </w:rPr>
        <w:t>Conseil n°8 — Grossesse et allaitement</w:t>
      </w:r>
      <w:r>
        <w:t xml:space="preserve"> : ne pas arrêter le magnésium pendant la grossesse sans avis médical ; surveiller les réflexes du nouveau-né si la mère a reçu du sulfate IV. </w:t>
      </w:r>
      <w:r>
        <w:rPr>
          <w:b/>
        </w:rPr>
        <w:t>Conseil n°9 — Conservation</w:t>
      </w:r>
      <w:r>
        <w:t xml:space="preserve"> : conserver à température ambiante, à l'abri de la lumière, bien fermer le flacon de sirop après usage (risque de contamination microbienne). </w:t>
      </w:r>
      <w:r>
        <w:rPr>
          <w:b/>
        </w:rPr>
        <w:t>Conseil n°10 — Interaction avec IPP au long cours</w:t>
      </w:r>
      <w:r>
        <w:t xml:space="preserve"> : signaler au médecin si le patient prend de l'oméprazole depuis plus d'un an (hypomagnésémie de malabsorption). </w:t>
      </w:r>
      <w:r>
        <w:rPr>
          <w:b/>
        </w:rPr>
        <w:t>Conseil n°11 — Activité physique</w:t>
      </w:r>
      <w:r>
        <w:t xml:space="preserve"> : le magnésium améliore la récupération musculaire après l'effort, mais ne remplace pas l'échauffement ni l'hydratation. </w:t>
      </w:r>
      <w:r>
        <w:rPr>
          <w:b/>
        </w:rPr>
        <w:t>Conseil n°12 — Crampes nocturnes</w:t>
      </w:r>
      <w:r>
        <w:t xml:space="preserve"> : prendre la dose du soir au coucher, étirer les muscles avant le sommeil.</w:t>
      </w:r>
    </w:p>
    <w:p>
      <w:pPr>
        <w:pStyle w:val="Heading4"/>
      </w:pPr>
      <w:r>
        <w:t>9. Pièges du comptoir</w:t>
      </w:r>
    </w:p>
    <w:p>
      <w:r>
        <w:t xml:space="preserve">Plusieurs pièges guettent le pharmacien d'officine face à une prescription de magnésium. </w:t>
      </w:r>
      <w:r>
        <w:rPr>
          <w:b/>
        </w:rPr>
        <w:t>Piège n°1 — Confusion pidolate ↔ oxyde ↔ aspartate</w:t>
      </w:r>
      <w:r>
        <w:t xml:space="preserve"> : la teneur en Mg élément varie considérablement (pidolate 6 %, oxyde 60 %, aspartate 7 %) ; toujours vérifier la prescription et l'unité (mg de sel ou mg de Mg élément). </w:t>
      </w:r>
      <w:r>
        <w:rPr>
          <w:b/>
        </w:rPr>
        <w:t>Piège n°2 — Patient sous IPP</w:t>
      </w:r>
      <w:r>
        <w:t xml:space="preserve"> : le pidolate reste absorbable, mais l'hypomagnésémie peut être profonde en cas d'IPP &gt; 1 an, demander un dosage sanguin. </w:t>
      </w:r>
      <w:r>
        <w:rPr>
          <w:b/>
        </w:rPr>
        <w:t>Piège n°3 — Insuffisant rénal chronique</w:t>
      </w:r>
      <w:r>
        <w:t xml:space="preserve"> : risque d'hypermagnésémie cumulative toxique, contre-indication relative aux fortes doses orales et absolue aux doses IV non adaptées ; réduire la dose de 50 % si DFG 30–60, de 75 % si DFG &lt; 30. </w:t>
      </w:r>
      <w:r>
        <w:rPr>
          <w:b/>
        </w:rPr>
        <w:t>Piège n°4 — Femme enceinte sous sulfate IV</w:t>
      </w:r>
      <w:r>
        <w:t xml:space="preserve"> : surveiller ROT, FR, TA, et avoir du gluconate de calcium à disposition comme antidote. </w:t>
      </w:r>
      <w:r>
        <w:rPr>
          <w:b/>
        </w:rPr>
        <w:t>Piège n°5 — Patient sous diurétique de l'anse</w:t>
      </w:r>
      <w:r>
        <w:t xml:space="preserve"> : fuite urinaire majeure, justifiant une supplémentation systématique 400 mg/j.</w:t>
      </w:r>
    </w:p>
    <w:p>
      <w:r/>
      <w:r>
        <w:rPr>
          <w:b/>
        </w:rPr>
        <w:t>Piège n°6 — Patient sous aminoside</w:t>
      </w:r>
      <w:r>
        <w:t xml:space="preserve"> : risque de bloc neuromusculaire, surtout en période péri-opératoire ; éviter l'association ou réduire la dose. </w:t>
      </w:r>
      <w:r>
        <w:rPr>
          <w:b/>
        </w:rPr>
        <w:t>Piège n°7 — Patient sous biphosphonate, quinolone, tétracycline, fer</w:t>
      </w:r>
      <w:r>
        <w:t xml:space="preserve"> : chélation intestinale, espacer de 2 heures. </w:t>
      </w:r>
      <w:r>
        <w:rPr>
          <w:b/>
        </w:rPr>
        <w:t>Piège n°8 — Substitution de spécialité</w:t>
      </w:r>
      <w:r>
        <w:t xml:space="preserve"> : attention aux équivalences entre pidolate sirop (15 %), pidolate ampoule (1,5 g/10 mL) et oxyde gélule (250 mg) — la teneur en Mg élément diffère. </w:t>
      </w:r>
      <w:r>
        <w:rPr>
          <w:b/>
        </w:rPr>
        <w:t>Piège n°9 — Patient avec diarrhée chronique</w:t>
      </w:r>
      <w:r>
        <w:t xml:space="preserve"> : aggravation possible sous pidolate, préférer l'aspartate en gélule. </w:t>
      </w:r>
      <w:r>
        <w:rPr>
          <w:b/>
        </w:rPr>
        <w:t>Piège n°10 — Automédication par chlorure de magnésium</w:t>
      </w:r>
      <w:r>
        <w:t xml:space="preserve"> : solution préparée artisanalement à partir de nigari, dose imprécise, risque de surdosage ; orienter vers une spécialité enregistrée. </w:t>
      </w:r>
      <w:r>
        <w:rPr>
          <w:b/>
        </w:rPr>
        <w:t>Piège n°11 — Patiente enceinte et syndrome prémenstruel</w:t>
      </w:r>
      <w:r>
        <w:t xml:space="preserve"> : le magnésium est efficace dans le syndrome prémenstruel et la mastodynie cyclique (400 mg/j en phase lutéale), sans contre-indication. </w:t>
      </w:r>
      <w:r>
        <w:rPr>
          <w:b/>
        </w:rPr>
        <w:t>Piège n°12 — Patient sportif</w:t>
      </w:r>
      <w:r>
        <w:t xml:space="preserve"> : le magnésium améliore la récupération mais son effet ergogénique est marginal ; surveiller l'automédication à haute dose (risque d'hypermagnésémie avec diarrhée et hypotension). </w:t>
      </w:r>
      <w:r>
        <w:rPr>
          <w:b/>
        </w:rPr>
        <w:t>Piège n°13 — Forme IV indisponible</w:t>
      </w:r>
      <w:r>
        <w:t xml:space="preserve"> : en Algérie, le sulfate de magnésium IV n'est pas en statut actif en avril 2026, l'urgence obstétricale et cardiologique impose l'importation — connaître les circuits d'approvisionnement hospitaliers.</w:t>
      </w:r>
    </w:p>
    <w:p>
      <w:pPr>
        <w:pStyle w:val="Heading2"/>
      </w:pPr>
      <w:r>
        <w:t>163.3 Sous-classe : Minéraux — Fer</w:t>
      </w:r>
    </w:p>
    <w:p>
      <w:r>
        <w:t>Le fer est un oligoélément métallique de transition (symbole Fe, numéro atomique 26) essentiel à la vie, présent dans l'organisme à hauteur de 3 à 4 g chez l'adulte, dont 65 % sous forme d'hémoglobine (2,5 g), 10 % sous forme de myoglobine (300 mg), 5 % sous forme d'enzymes mitochondriales (cytochromes, catalase, péroxydases) et 20 % sous forme de réserve (ferritine tissulaire et hépatique 1 g, transferrine circulante 3 mg). Le fer alternant entre les états d'oxydation Fe²⁺ (ferreux) et Fe³⁺ (ferrique) est le cofacteur central du transport de l'oxygène (hémoglobine, myoglobine), du transport électronique mitochondrial (cytochromes a, b, c, complexe I-IV), de la détoxification des espèces réactives de l'oxygène (catalase, péroxydases), de la synthèse d'ADN (ribonucléotide réductase) et de nombreuses réactions d'oxydoréduction. La régulation homéostatique du fer est unique : il n'existe pas de mécanisme d'excrétion physiologique actif, et l'homéostasie repose exclusivement sur l'absorption intestinale régulée par l'hepcidine (peptide hépatique synthétisé en réponse à la réserve en fer et à l'inflammation, quiinternalise le transporteur ferroportine au pôle basolatéral de l'entérocyte et bloque la libération du fer vers le plasma). Une carence martiale provoque anémie microcytaire hypochrome, asthénie, pâleur, dyspnée, chute de cheveux, syndrome des jambes sans repos ; un surdosage provoque hémochromatose, cirrhose, cardiomyopathie, diabète bronze.</w:t>
      </w:r>
    </w:p>
    <w:p>
      <w:r>
        <w:t>Les besoins quotidiens en fer sont estimés à 1 mg/j chez l'homme et la femme ménopausée (compensation des pertes physiologiques sudorales et desquamatives), 2 mg/j chez la femme réglée (pertes menstruelles 30–60 mL/sang = 15–30 mg de fer), 3 mg/j chez la femme enceinte (3e trimestre, besoins fœtaux et placentaires 1 000 mg au total), 2 mg/j chez l'enfant en croissance. Les sources alimentaires principales sont la viande rouge (hème-fer, biodisponibilité 25 %), les légumineuses, les épinards, le boulgour et les céréales enrichies (fer non-hème, biodisponibilité 5–10 %). Les carences martiales sont extrêmement fréquentes en Algérie chez la femme réglée, la femme enceinte, l'enfant en croissance et le sujet âgé dénutri ; l'anémie ferriprive est un problème majeur de santé publique.</w:t>
      </w:r>
    </w:p>
    <w:p>
      <w:pPr>
        <w:pStyle w:val="Heading3"/>
      </w:pPr>
      <w:r>
        <w:t>163.3.1 DCI : Fer (sulfate, fumarate, polymaltose, saccharose)</w:t>
      </w:r>
    </w:p>
    <w:p>
      <w:r/>
      <w:r>
        <w:rPr>
          <w:b/>
        </w:rPr>
        <w:t>Liste des catégories pharmaco-thérapeutiques :</w:t>
      </w:r>
      <w:r>
        <w:t xml:space="preserve"> Minéraux et oligoéléments ; Fer thérapeutique ; Antianémique martial ; Prévention et traitement de la carence martiale ; Liste I pour les formes injectables (saccharose, carboxymaltose, polymaltose IV).</w:t>
      </w:r>
    </w:p>
    <w:p>
      <w:r>
        <w:t>Le fer, élément de transition de masse atomique 55,85, est disponible en thérapeutique sous quatre sels principaux : sulfate ferreux (per os, forme de référence historique, bon marché, biodisponibilité 10–15 %), fumarate ferreux (per os, mieux toléré que le sulfate, biodisponibilité équivalente), complexe hydroxyde ferrique-polymaltose (per os et IV/IM, fer ferrique Fe³⁺ complexé, mieux toléré, biodisponibilité 8–10 %), complexe hydroxyde ferrique-saccharose (voie IV stricte, perfusion lente, réservé à l'insuffisance rénale chronique dialysée et aux carences sévères). Le ferrédétate de sodium (Fer II complexé à l'EDTA), forme ancienne en sirop, reste disponible en Algérie. La carboxymaltose ferrique (FERINJECT) est une forme IV moderne permettant une injection unique de 1 g (dose totale). Le choix du sel repose sur la voie d'administration, la tolérance digestive, le degré de la carence, et le terrain (grossesse, IRC, intolérance orale, malabsorption).</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FEROLAM</w:t>
            </w:r>
          </w:p>
        </w:tc>
        <w:tc>
          <w:tcPr>
            <w:tcW w:type="dxa" w:w="1559"/>
          </w:tcPr>
          <w:p>
            <w:r>
              <w:rPr>
                <w:sz w:val="20"/>
              </w:rPr>
              <w:t>Laboratoire Algérien du Médicament</w:t>
            </w:r>
          </w:p>
        </w:tc>
        <w:tc>
          <w:tcPr>
            <w:tcW w:type="dxa" w:w="1559"/>
          </w:tcPr>
          <w:p>
            <w:r>
              <w:rPr>
                <w:sz w:val="20"/>
              </w:rPr>
              <w:t>Sirop, ferrédétate de sodium 4,75 g/100 mL</w:t>
            </w:r>
          </w:p>
        </w:tc>
        <w:tc>
          <w:tcPr>
            <w:tcW w:type="dxa" w:w="1559"/>
          </w:tcPr>
          <w:p>
            <w:r>
              <w:rPr>
                <w:sz w:val="20"/>
              </w:rPr>
              <w:t>Flacon de 125 mL</w:t>
            </w:r>
          </w:p>
        </w:tc>
        <w:tc>
          <w:tcPr>
            <w:tcW w:type="dxa" w:w="1559"/>
          </w:tcPr>
          <w:p>
            <w:r>
              <w:rPr>
                <w:sz w:val="20"/>
              </w:rPr>
              <w:t>Liste II</w:t>
            </w:r>
          </w:p>
        </w:tc>
        <w:tc>
          <w:tcPr>
            <w:tcW w:type="dxa" w:w="1559"/>
          </w:tcPr>
          <w:p>
            <w:r>
              <w:rPr>
                <w:sz w:val="20"/>
              </w:rPr>
              <w:t>Actif</w:t>
            </w:r>
          </w:p>
        </w:tc>
      </w:tr>
      <w:tr>
        <w:tc>
          <w:tcPr>
            <w:tcW w:type="dxa" w:w="1559"/>
          </w:tcPr>
          <w:p>
            <w:r>
              <w:rPr>
                <w:sz w:val="20"/>
              </w:rPr>
              <w:t>FERROMEX</w:t>
            </w:r>
          </w:p>
        </w:tc>
        <w:tc>
          <w:tcPr>
            <w:tcW w:type="dxa" w:w="1559"/>
          </w:tcPr>
          <w:p>
            <w:r>
              <w:rPr>
                <w:sz w:val="20"/>
              </w:rPr>
              <w:t>KPMA Biotic</w:t>
            </w:r>
          </w:p>
        </w:tc>
        <w:tc>
          <w:tcPr>
            <w:tcW w:type="dxa" w:w="1559"/>
          </w:tcPr>
          <w:p>
            <w:r>
              <w:rPr>
                <w:sz w:val="20"/>
              </w:rPr>
              <w:t>Sirop, ferrédétate de sodium 4,75 g/100 mL</w:t>
            </w:r>
          </w:p>
        </w:tc>
        <w:tc>
          <w:tcPr>
            <w:tcW w:type="dxa" w:w="1559"/>
          </w:tcPr>
          <w:p>
            <w:r>
              <w:rPr>
                <w:sz w:val="20"/>
              </w:rPr>
              <w:t>Flacon de 125 mL</w:t>
            </w:r>
          </w:p>
        </w:tc>
        <w:tc>
          <w:tcPr>
            <w:tcW w:type="dxa" w:w="1559"/>
          </w:tcPr>
          <w:p>
            <w:r>
              <w:rPr>
                <w:sz w:val="20"/>
              </w:rPr>
              <w:t>—</w:t>
            </w:r>
          </w:p>
        </w:tc>
        <w:tc>
          <w:tcPr>
            <w:tcW w:type="dxa" w:w="1559"/>
          </w:tcPr>
          <w:p>
            <w:r>
              <w:rPr>
                <w:sz w:val="20"/>
              </w:rPr>
              <w:t>Actif</w:t>
            </w:r>
          </w:p>
        </w:tc>
      </w:tr>
      <w:tr>
        <w:tc>
          <w:tcPr>
            <w:tcW w:type="dxa" w:w="1559"/>
          </w:tcPr>
          <w:p>
            <w:r>
              <w:rPr>
                <w:sz w:val="20"/>
              </w:rPr>
              <w:t>COSMOFER</w:t>
            </w:r>
          </w:p>
        </w:tc>
        <w:tc>
          <w:tcPr>
            <w:tcW w:type="dxa" w:w="1559"/>
          </w:tcPr>
          <w:p>
            <w:r>
              <w:rPr>
                <w:sz w:val="20"/>
              </w:rPr>
              <w:t>Pharmacosmos A/S</w:t>
            </w:r>
          </w:p>
        </w:tc>
        <w:tc>
          <w:tcPr>
            <w:tcW w:type="dxa" w:w="1559"/>
          </w:tcPr>
          <w:p>
            <w:r>
              <w:rPr>
                <w:sz w:val="20"/>
              </w:rPr>
              <w:t>Solution injectable IM/IV ou perfusion, hydroxyde ferrique polymaltose 50 mg/mL (100 mg/2 mL) fer ferrique</w:t>
            </w:r>
          </w:p>
        </w:tc>
        <w:tc>
          <w:tcPr>
            <w:tcW w:type="dxa" w:w="1559"/>
          </w:tcPr>
          <w:p>
            <w:r>
              <w:rPr>
                <w:sz w:val="20"/>
              </w:rPr>
              <w:t>Boîte de 5 ampoules de 2 mL</w:t>
            </w:r>
          </w:p>
        </w:tc>
        <w:tc>
          <w:tcPr>
            <w:tcW w:type="dxa" w:w="1559"/>
          </w:tcPr>
          <w:p>
            <w:r>
              <w:rPr>
                <w:sz w:val="20"/>
              </w:rPr>
              <w:t>—</w:t>
            </w:r>
          </w:p>
        </w:tc>
        <w:tc>
          <w:tcPr>
            <w:tcW w:type="dxa" w:w="1559"/>
          </w:tcPr>
          <w:p>
            <w:r>
              <w:rPr>
                <w:sz w:val="20"/>
              </w:rPr>
              <w:t>Actif</w:t>
            </w:r>
          </w:p>
        </w:tc>
      </w:tr>
      <w:tr>
        <w:tc>
          <w:tcPr>
            <w:tcW w:type="dxa" w:w="1559"/>
          </w:tcPr>
          <w:p>
            <w:r>
              <w:rPr>
                <w:sz w:val="20"/>
              </w:rPr>
              <w:t>FER 3+ (amp.)</w:t>
            </w:r>
          </w:p>
        </w:tc>
        <w:tc>
          <w:tcPr>
            <w:tcW w:type="dxa" w:w="1559"/>
          </w:tcPr>
          <w:p>
            <w:r>
              <w:rPr>
                <w:sz w:val="20"/>
              </w:rPr>
              <w:t>LAD Pharma</w:t>
            </w:r>
          </w:p>
        </w:tc>
        <w:tc>
          <w:tcPr>
            <w:tcW w:type="dxa" w:w="1559"/>
          </w:tcPr>
          <w:p>
            <w:r>
              <w:rPr>
                <w:sz w:val="20"/>
              </w:rPr>
              <w:t>Solution buvable en ampoules, hydroxyde ferrique polymaltose 20 mg/mL (100 mg/5 mL)</w:t>
            </w:r>
          </w:p>
        </w:tc>
        <w:tc>
          <w:tcPr>
            <w:tcW w:type="dxa" w:w="1559"/>
          </w:tcPr>
          <w:p>
            <w:r>
              <w:rPr>
                <w:sz w:val="20"/>
              </w:rPr>
              <w:t>Boîte de 30 ampoules de 5 mL</w:t>
            </w:r>
          </w:p>
        </w:tc>
        <w:tc>
          <w:tcPr>
            <w:tcW w:type="dxa" w:w="1559"/>
          </w:tcPr>
          <w:p>
            <w:r>
              <w:rPr>
                <w:sz w:val="20"/>
              </w:rPr>
              <w:t>—</w:t>
            </w:r>
          </w:p>
        </w:tc>
        <w:tc>
          <w:tcPr>
            <w:tcW w:type="dxa" w:w="1559"/>
          </w:tcPr>
          <w:p>
            <w:r>
              <w:rPr>
                <w:sz w:val="20"/>
              </w:rPr>
              <w:t>Actif</w:t>
            </w:r>
          </w:p>
        </w:tc>
      </w:tr>
      <w:tr>
        <w:tc>
          <w:tcPr>
            <w:tcW w:type="dxa" w:w="1559"/>
          </w:tcPr>
          <w:p>
            <w:r>
              <w:rPr>
                <w:sz w:val="20"/>
              </w:rPr>
              <w:t>FERROCURE</w:t>
            </w:r>
          </w:p>
        </w:tc>
        <w:tc>
          <w:tcPr>
            <w:tcW w:type="dxa" w:w="1559"/>
          </w:tcPr>
          <w:p>
            <w:r>
              <w:rPr>
                <w:sz w:val="20"/>
              </w:rPr>
              <w:t>EURL Genis Pharmaceutique</w:t>
            </w:r>
          </w:p>
        </w:tc>
        <w:tc>
          <w:tcPr>
            <w:tcW w:type="dxa" w:w="1559"/>
          </w:tcPr>
          <w:p>
            <w:r>
              <w:rPr>
                <w:sz w:val="20"/>
              </w:rPr>
              <w:t>Solution buvable en ampoules, hydroxyde ferrique polymaltose 20 mg/mL (100 mg/5 mL)</w:t>
            </w:r>
          </w:p>
        </w:tc>
        <w:tc>
          <w:tcPr>
            <w:tcW w:type="dxa" w:w="1559"/>
          </w:tcPr>
          <w:p>
            <w:r>
              <w:rPr>
                <w:sz w:val="20"/>
              </w:rPr>
              <w:t>Boîte de 20 ampoules de 5 mL</w:t>
            </w:r>
          </w:p>
        </w:tc>
        <w:tc>
          <w:tcPr>
            <w:tcW w:type="dxa" w:w="1559"/>
          </w:tcPr>
          <w:p>
            <w:r>
              <w:rPr>
                <w:sz w:val="20"/>
              </w:rPr>
              <w:t>—</w:t>
            </w:r>
          </w:p>
        </w:tc>
        <w:tc>
          <w:tcPr>
            <w:tcW w:type="dxa" w:w="1559"/>
          </w:tcPr>
          <w:p>
            <w:r>
              <w:rPr>
                <w:sz w:val="20"/>
              </w:rPr>
              <w:t>Actif</w:t>
            </w:r>
          </w:p>
        </w:tc>
      </w:tr>
      <w:tr>
        <w:tc>
          <w:tcPr>
            <w:tcW w:type="dxa" w:w="1559"/>
          </w:tcPr>
          <w:p>
            <w:r>
              <w:rPr>
                <w:sz w:val="20"/>
              </w:rPr>
              <w:t>GEOFER UNIDOSE</w:t>
            </w:r>
          </w:p>
        </w:tc>
        <w:tc>
          <w:tcPr>
            <w:tcW w:type="dxa" w:w="1559"/>
          </w:tcPr>
          <w:p>
            <w:r>
              <w:rPr>
                <w:sz w:val="20"/>
              </w:rPr>
              <w:t>Geopharm</w:t>
            </w:r>
          </w:p>
        </w:tc>
        <w:tc>
          <w:tcPr>
            <w:tcW w:type="dxa" w:w="1559"/>
          </w:tcPr>
          <w:p>
            <w:r>
              <w:rPr>
                <w:sz w:val="20"/>
              </w:rPr>
              <w:t>Solution buvable, hydroxyde ferrique polymaltose 20 mg/mL (100 mg/5 mL)</w:t>
            </w:r>
          </w:p>
        </w:tc>
        <w:tc>
          <w:tcPr>
            <w:tcW w:type="dxa" w:w="1559"/>
          </w:tcPr>
          <w:p>
            <w:r>
              <w:rPr>
                <w:sz w:val="20"/>
              </w:rPr>
              <w:t>Boîte de 10 flacons de 5 mL</w:t>
            </w:r>
          </w:p>
        </w:tc>
        <w:tc>
          <w:tcPr>
            <w:tcW w:type="dxa" w:w="1559"/>
          </w:tcPr>
          <w:p>
            <w:r>
              <w:rPr>
                <w:sz w:val="20"/>
              </w:rPr>
              <w:t>—</w:t>
            </w:r>
          </w:p>
        </w:tc>
        <w:tc>
          <w:tcPr>
            <w:tcW w:type="dxa" w:w="1559"/>
          </w:tcPr>
          <w:p>
            <w:r>
              <w:rPr>
                <w:sz w:val="20"/>
              </w:rPr>
              <w:t>Actif</w:t>
            </w:r>
          </w:p>
        </w:tc>
      </w:tr>
      <w:tr>
        <w:tc>
          <w:tcPr>
            <w:tcW w:type="dxa" w:w="1559"/>
          </w:tcPr>
          <w:p>
            <w:r>
              <w:rPr>
                <w:sz w:val="20"/>
              </w:rPr>
              <w:t>TRIFER (buv.)</w:t>
            </w:r>
          </w:p>
        </w:tc>
        <w:tc>
          <w:tcPr>
            <w:tcW w:type="dxa" w:w="1559"/>
          </w:tcPr>
          <w:p>
            <w:r>
              <w:rPr>
                <w:sz w:val="20"/>
              </w:rPr>
              <w:t>Abdi Ibrahim Remede Pharma</w:t>
            </w:r>
          </w:p>
        </w:tc>
        <w:tc>
          <w:tcPr>
            <w:tcW w:type="dxa" w:w="1559"/>
          </w:tcPr>
          <w:p>
            <w:r>
              <w:rPr>
                <w:sz w:val="20"/>
              </w:rPr>
              <w:t>Solution buvable, hydroxyde ferrique polymaltose 100 mg/5 mL fer élément</w:t>
            </w:r>
          </w:p>
        </w:tc>
        <w:tc>
          <w:tcPr>
            <w:tcW w:type="dxa" w:w="1559"/>
          </w:tcPr>
          <w:p>
            <w:r>
              <w:rPr>
                <w:sz w:val="20"/>
              </w:rPr>
              <w:t>Boîte de 10 flacons de 5 mL</w:t>
            </w:r>
          </w:p>
        </w:tc>
        <w:tc>
          <w:tcPr>
            <w:tcW w:type="dxa" w:w="1559"/>
          </w:tcPr>
          <w:p>
            <w:r>
              <w:rPr>
                <w:sz w:val="20"/>
              </w:rPr>
              <w:t>—</w:t>
            </w:r>
          </w:p>
        </w:tc>
        <w:tc>
          <w:tcPr>
            <w:tcW w:type="dxa" w:w="1559"/>
          </w:tcPr>
          <w:p>
            <w:r>
              <w:rPr>
                <w:sz w:val="20"/>
              </w:rPr>
              <w:t>Actif</w:t>
            </w:r>
          </w:p>
        </w:tc>
      </w:tr>
      <w:tr>
        <w:tc>
          <w:tcPr>
            <w:tcW w:type="dxa" w:w="1559"/>
          </w:tcPr>
          <w:p>
            <w:r>
              <w:rPr>
                <w:sz w:val="20"/>
              </w:rPr>
              <w:t>FERODAL (50 mg)</w:t>
            </w:r>
          </w:p>
        </w:tc>
        <w:tc>
          <w:tcPr>
            <w:tcW w:type="dxa" w:w="1559"/>
          </w:tcPr>
          <w:p>
            <w:r>
              <w:rPr>
                <w:sz w:val="20"/>
              </w:rPr>
              <w:t>Pharmidal NS</w:t>
            </w:r>
          </w:p>
        </w:tc>
        <w:tc>
          <w:tcPr>
            <w:tcW w:type="dxa" w:w="1559"/>
          </w:tcPr>
          <w:p>
            <w:r>
              <w:rPr>
                <w:sz w:val="20"/>
              </w:rPr>
              <w:t>Sirop, hydroxyde ferrique polymaltose 10 mg/mL (50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FERRUM HAUSMANN (sirop)</w:t>
            </w:r>
          </w:p>
        </w:tc>
        <w:tc>
          <w:tcPr>
            <w:tcW w:type="dxa" w:w="1559"/>
          </w:tcPr>
          <w:p>
            <w:r>
              <w:rPr>
                <w:sz w:val="20"/>
              </w:rPr>
              <w:t>Abdi Ibrahim</w:t>
            </w:r>
          </w:p>
        </w:tc>
        <w:tc>
          <w:tcPr>
            <w:tcW w:type="dxa" w:w="1559"/>
          </w:tcPr>
          <w:p>
            <w:r>
              <w:rPr>
                <w:sz w:val="20"/>
              </w:rPr>
              <w:t>Sirop, hydroxyde ferrique polymaltose 10 mg/mL (50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GEOFER (sirop)</w:t>
            </w:r>
          </w:p>
        </w:tc>
        <w:tc>
          <w:tcPr>
            <w:tcW w:type="dxa" w:w="1559"/>
          </w:tcPr>
          <w:p>
            <w:r>
              <w:rPr>
                <w:sz w:val="20"/>
              </w:rPr>
              <w:t>Geopharm</w:t>
            </w:r>
          </w:p>
        </w:tc>
        <w:tc>
          <w:tcPr>
            <w:tcW w:type="dxa" w:w="1559"/>
          </w:tcPr>
          <w:p>
            <w:r>
              <w:rPr>
                <w:sz w:val="20"/>
              </w:rPr>
              <w:t>Sirop, hydroxyde ferrique polymaltose 10 mg/mL (50 mg/5 mL)</w:t>
            </w:r>
          </w:p>
        </w:tc>
        <w:tc>
          <w:tcPr>
            <w:tcW w:type="dxa" w:w="1559"/>
          </w:tcPr>
          <w:p>
            <w:r>
              <w:rPr>
                <w:sz w:val="20"/>
              </w:rPr>
              <w:t>Flacon de 100 mL + cuillère-mesure</w:t>
            </w:r>
          </w:p>
        </w:tc>
        <w:tc>
          <w:tcPr>
            <w:tcW w:type="dxa" w:w="1559"/>
          </w:tcPr>
          <w:p>
            <w:r>
              <w:rPr>
                <w:sz w:val="20"/>
              </w:rPr>
              <w:t>—</w:t>
            </w:r>
          </w:p>
        </w:tc>
        <w:tc>
          <w:tcPr>
            <w:tcW w:type="dxa" w:w="1559"/>
          </w:tcPr>
          <w:p>
            <w:r>
              <w:rPr>
                <w:sz w:val="20"/>
              </w:rPr>
              <w:t>Actif</w:t>
            </w:r>
          </w:p>
        </w:tc>
      </w:tr>
      <w:tr>
        <w:tc>
          <w:tcPr>
            <w:tcW w:type="dxa" w:w="1559"/>
          </w:tcPr>
          <w:p>
            <w:r>
              <w:rPr>
                <w:sz w:val="20"/>
              </w:rPr>
              <w:t>KINADYN FER</w:t>
            </w:r>
          </w:p>
        </w:tc>
        <w:tc>
          <w:tcPr>
            <w:tcW w:type="dxa" w:w="1559"/>
          </w:tcPr>
          <w:p>
            <w:r>
              <w:rPr>
                <w:sz w:val="20"/>
              </w:rPr>
              <w:t>Biopharm</w:t>
            </w:r>
          </w:p>
        </w:tc>
        <w:tc>
          <w:tcPr>
            <w:tcW w:type="dxa" w:w="1559"/>
          </w:tcPr>
          <w:p>
            <w:r>
              <w:rPr>
                <w:sz w:val="20"/>
              </w:rPr>
              <w:t>Sirop, hydroxyde ferrique polymaltose 10 mg/mL (50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OROFER</w:t>
            </w:r>
          </w:p>
        </w:tc>
        <w:tc>
          <w:tcPr>
            <w:tcW w:type="dxa" w:w="1559"/>
          </w:tcPr>
          <w:p>
            <w:r>
              <w:rPr>
                <w:sz w:val="20"/>
              </w:rPr>
              <w:t>Inpha-Medis</w:t>
            </w:r>
          </w:p>
        </w:tc>
        <w:tc>
          <w:tcPr>
            <w:tcW w:type="dxa" w:w="1559"/>
          </w:tcPr>
          <w:p>
            <w:r>
              <w:rPr>
                <w:sz w:val="20"/>
              </w:rPr>
              <w:t>Sirop, hydroxyde ferrique polymaltose 10 mg/mL (50 mg/5 mL)</w:t>
            </w:r>
          </w:p>
        </w:tc>
        <w:tc>
          <w:tcPr>
            <w:tcW w:type="dxa" w:w="1559"/>
          </w:tcPr>
          <w:p>
            <w:r>
              <w:rPr>
                <w:sz w:val="20"/>
              </w:rPr>
              <w:t>Flacon de 100 mL + gobelet doseur</w:t>
            </w:r>
          </w:p>
        </w:tc>
        <w:tc>
          <w:tcPr>
            <w:tcW w:type="dxa" w:w="1559"/>
          </w:tcPr>
          <w:p>
            <w:r>
              <w:rPr>
                <w:sz w:val="20"/>
              </w:rPr>
              <w:t>—</w:t>
            </w:r>
          </w:p>
        </w:tc>
        <w:tc>
          <w:tcPr>
            <w:tcW w:type="dxa" w:w="1559"/>
          </w:tcPr>
          <w:p>
            <w:r>
              <w:rPr>
                <w:sz w:val="20"/>
              </w:rPr>
              <w:t>Actif</w:t>
            </w:r>
          </w:p>
        </w:tc>
      </w:tr>
      <w:tr>
        <w:tc>
          <w:tcPr>
            <w:tcW w:type="dxa" w:w="1559"/>
          </w:tcPr>
          <w:p>
            <w:r>
              <w:rPr>
                <w:sz w:val="20"/>
              </w:rPr>
              <w:t>POLYFER (sirop)</w:t>
            </w:r>
          </w:p>
        </w:tc>
        <w:tc>
          <w:tcPr>
            <w:tcW w:type="dxa" w:w="1559"/>
          </w:tcPr>
          <w:p>
            <w:r>
              <w:rPr>
                <w:sz w:val="20"/>
              </w:rPr>
              <w:t>SARL Groupe Santé</w:t>
            </w:r>
          </w:p>
        </w:tc>
        <w:tc>
          <w:tcPr>
            <w:tcW w:type="dxa" w:w="1559"/>
          </w:tcPr>
          <w:p>
            <w:r>
              <w:rPr>
                <w:sz w:val="20"/>
              </w:rPr>
              <w:t>Sirop, hydroxyde ferrique polymaltose 10 mg/mL (50 mg/5 mL)</w:t>
            </w:r>
          </w:p>
        </w:tc>
        <w:tc>
          <w:tcPr>
            <w:tcW w:type="dxa" w:w="1559"/>
          </w:tcPr>
          <w:p>
            <w:r>
              <w:rPr>
                <w:sz w:val="20"/>
              </w:rPr>
              <w:t>Flacon de 100 mL</w:t>
            </w:r>
          </w:p>
        </w:tc>
        <w:tc>
          <w:tcPr>
            <w:tcW w:type="dxa" w:w="1559"/>
          </w:tcPr>
          <w:p>
            <w:r>
              <w:rPr>
                <w:sz w:val="20"/>
              </w:rPr>
              <w:t>—</w:t>
            </w:r>
          </w:p>
        </w:tc>
        <w:tc>
          <w:tcPr>
            <w:tcW w:type="dxa" w:w="1559"/>
          </w:tcPr>
          <w:p>
            <w:r>
              <w:rPr>
                <w:sz w:val="20"/>
              </w:rPr>
              <w:t>Actif</w:t>
            </w:r>
          </w:p>
        </w:tc>
      </w:tr>
      <w:tr>
        <w:tc>
          <w:tcPr>
            <w:tcW w:type="dxa" w:w="1559"/>
          </w:tcPr>
          <w:p>
            <w:r>
              <w:rPr>
                <w:sz w:val="20"/>
              </w:rPr>
              <w:t>CAREFER (sirop)</w:t>
            </w:r>
          </w:p>
        </w:tc>
        <w:tc>
          <w:tcPr>
            <w:tcW w:type="dxa" w:w="1559"/>
          </w:tcPr>
          <w:p>
            <w:r>
              <w:rPr>
                <w:sz w:val="20"/>
              </w:rPr>
              <w:t>Biogalenic</w:t>
            </w:r>
          </w:p>
        </w:tc>
        <w:tc>
          <w:tcPr>
            <w:tcW w:type="dxa" w:w="1559"/>
          </w:tcPr>
          <w:p>
            <w:r>
              <w:rPr>
                <w:sz w:val="20"/>
              </w:rPr>
              <w:t>Sirop, hydroxyde ferrique polymaltose 10 mg/mL (50 mg/5 mL)</w:t>
            </w:r>
          </w:p>
        </w:tc>
        <w:tc>
          <w:tcPr>
            <w:tcW w:type="dxa" w:w="1559"/>
          </w:tcPr>
          <w:p>
            <w:r>
              <w:rPr>
                <w:sz w:val="20"/>
              </w:rPr>
              <w:t>Flacon de 100 mL</w:t>
            </w:r>
          </w:p>
        </w:tc>
        <w:tc>
          <w:tcPr>
            <w:tcW w:type="dxa" w:w="1559"/>
          </w:tcPr>
          <w:p>
            <w:r>
              <w:rPr>
                <w:sz w:val="20"/>
              </w:rPr>
              <w:t>—</w:t>
            </w:r>
          </w:p>
        </w:tc>
        <w:tc>
          <w:tcPr>
            <w:tcW w:type="dxa" w:w="1559"/>
          </w:tcPr>
          <w:p>
            <w:r>
              <w:rPr>
                <w:sz w:val="20"/>
              </w:rPr>
              <w:t>Actif</w:t>
            </w:r>
          </w:p>
        </w:tc>
      </w:tr>
      <w:tr>
        <w:tc>
          <w:tcPr>
            <w:tcW w:type="dxa" w:w="1559"/>
          </w:tcPr>
          <w:p>
            <w:r>
              <w:rPr>
                <w:sz w:val="20"/>
              </w:rPr>
              <w:t>SELOFER-50</w:t>
            </w:r>
          </w:p>
        </w:tc>
        <w:tc>
          <w:tcPr>
            <w:tcW w:type="dxa" w:w="1559"/>
          </w:tcPr>
          <w:p>
            <w:r>
              <w:rPr>
                <w:sz w:val="20"/>
              </w:rPr>
              <w:t>Abdi Ibrahim Remede Pharma</w:t>
            </w:r>
          </w:p>
        </w:tc>
        <w:tc>
          <w:tcPr>
            <w:tcW w:type="dxa" w:w="1559"/>
          </w:tcPr>
          <w:p>
            <w:r>
              <w:rPr>
                <w:sz w:val="20"/>
              </w:rPr>
              <w:t>Sirop, hydroxyde ferrique polymaltose 10 mg/mL (50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NEOFERON</w:t>
            </w:r>
          </w:p>
        </w:tc>
        <w:tc>
          <w:tcPr>
            <w:tcW w:type="dxa" w:w="1559"/>
          </w:tcPr>
          <w:p>
            <w:r>
              <w:rPr>
                <w:sz w:val="20"/>
              </w:rPr>
              <w:t>Neomedic</w:t>
            </w:r>
          </w:p>
        </w:tc>
        <w:tc>
          <w:tcPr>
            <w:tcW w:type="dxa" w:w="1559"/>
          </w:tcPr>
          <w:p>
            <w:r>
              <w:rPr>
                <w:sz w:val="20"/>
              </w:rPr>
              <w:t>Comprimé pelliculé, sulfate ferreux 80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TARDYFERON</w:t>
            </w:r>
          </w:p>
        </w:tc>
        <w:tc>
          <w:tcPr>
            <w:tcW w:type="dxa" w:w="1559"/>
          </w:tcPr>
          <w:p>
            <w:r>
              <w:rPr>
                <w:sz w:val="20"/>
              </w:rPr>
              <w:t>Pierre Fabre Médicament</w:t>
            </w:r>
          </w:p>
        </w:tc>
        <w:tc>
          <w:tcPr>
            <w:tcW w:type="dxa" w:w="1559"/>
          </w:tcPr>
          <w:p>
            <w:r>
              <w:rPr>
                <w:sz w:val="20"/>
              </w:rPr>
              <w:t>Comprimé pelliculé, sulfate ferreux 80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CAREFER (gouttes)</w:t>
            </w:r>
          </w:p>
        </w:tc>
        <w:tc>
          <w:tcPr>
            <w:tcW w:type="dxa" w:w="1559"/>
          </w:tcPr>
          <w:p>
            <w:r>
              <w:rPr>
                <w:sz w:val="20"/>
              </w:rPr>
              <w:t>Biogalenic</w:t>
            </w:r>
          </w:p>
        </w:tc>
        <w:tc>
          <w:tcPr>
            <w:tcW w:type="dxa" w:w="1559"/>
          </w:tcPr>
          <w:p>
            <w:r>
              <w:rPr>
                <w:sz w:val="20"/>
              </w:rPr>
              <w:t>Solution buvable en gouttes, hydroxyde ferrique polymaltose 50 mg/mL</w:t>
            </w:r>
          </w:p>
        </w:tc>
        <w:tc>
          <w:tcPr>
            <w:tcW w:type="dxa" w:w="1559"/>
          </w:tcPr>
          <w:p>
            <w:r>
              <w:rPr>
                <w:sz w:val="20"/>
              </w:rPr>
              <w:t>Flacon comptegouttes de 30 mL</w:t>
            </w:r>
          </w:p>
        </w:tc>
        <w:tc>
          <w:tcPr>
            <w:tcW w:type="dxa" w:w="1559"/>
          </w:tcPr>
          <w:p>
            <w:r>
              <w:rPr>
                <w:sz w:val="20"/>
              </w:rPr>
              <w:t>—</w:t>
            </w:r>
          </w:p>
        </w:tc>
        <w:tc>
          <w:tcPr>
            <w:tcW w:type="dxa" w:w="1559"/>
          </w:tcPr>
          <w:p>
            <w:r>
              <w:rPr>
                <w:sz w:val="20"/>
              </w:rPr>
              <w:t>Actif</w:t>
            </w:r>
          </w:p>
        </w:tc>
      </w:tr>
      <w:tr>
        <w:tc>
          <w:tcPr>
            <w:tcW w:type="dxa" w:w="1559"/>
          </w:tcPr>
          <w:p>
            <w:r>
              <w:rPr>
                <w:sz w:val="20"/>
              </w:rPr>
              <w:t>FERRUM HAUSMANN (gouttes)</w:t>
            </w:r>
          </w:p>
        </w:tc>
        <w:tc>
          <w:tcPr>
            <w:tcW w:type="dxa" w:w="1559"/>
          </w:tcPr>
          <w:p>
            <w:r>
              <w:rPr>
                <w:sz w:val="20"/>
              </w:rPr>
              <w:t>Abdi Ibrahim</w:t>
            </w:r>
          </w:p>
        </w:tc>
        <w:tc>
          <w:tcPr>
            <w:tcW w:type="dxa" w:w="1559"/>
          </w:tcPr>
          <w:p>
            <w:r>
              <w:rPr>
                <w:sz w:val="20"/>
              </w:rPr>
              <w:t>Solution buvable en gouttes, hydroxyde ferrique polymaltose 50 mg/mL</w:t>
            </w:r>
          </w:p>
        </w:tc>
        <w:tc>
          <w:tcPr>
            <w:tcW w:type="dxa" w:w="1559"/>
          </w:tcPr>
          <w:p>
            <w:r>
              <w:rPr>
                <w:sz w:val="20"/>
              </w:rPr>
              <w:t>Flacon comptegouttes de 30 mL</w:t>
            </w:r>
          </w:p>
        </w:tc>
        <w:tc>
          <w:tcPr>
            <w:tcW w:type="dxa" w:w="1559"/>
          </w:tcPr>
          <w:p>
            <w:r>
              <w:rPr>
                <w:sz w:val="20"/>
              </w:rPr>
              <w:t>—</w:t>
            </w:r>
          </w:p>
        </w:tc>
        <w:tc>
          <w:tcPr>
            <w:tcW w:type="dxa" w:w="1559"/>
          </w:tcPr>
          <w:p>
            <w:r>
              <w:rPr>
                <w:sz w:val="20"/>
              </w:rPr>
              <w:t>Actif</w:t>
            </w:r>
          </w:p>
        </w:tc>
      </w:tr>
      <w:tr>
        <w:tc>
          <w:tcPr>
            <w:tcW w:type="dxa" w:w="1559"/>
          </w:tcPr>
          <w:p>
            <w:r>
              <w:rPr>
                <w:sz w:val="20"/>
              </w:rPr>
              <w:t>NOVO FER</w:t>
            </w:r>
          </w:p>
        </w:tc>
        <w:tc>
          <w:tcPr>
            <w:tcW w:type="dxa" w:w="1559"/>
          </w:tcPr>
          <w:p>
            <w:r>
              <w:rPr>
                <w:sz w:val="20"/>
              </w:rPr>
              <w:t>SARL Novo Medis</w:t>
            </w:r>
          </w:p>
        </w:tc>
        <w:tc>
          <w:tcPr>
            <w:tcW w:type="dxa" w:w="1559"/>
          </w:tcPr>
          <w:p>
            <w:r>
              <w:rPr>
                <w:sz w:val="20"/>
              </w:rPr>
              <w:t>Comprimé à sucer, hydroxyde ferrique polymaltose 100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POLYFER (comprimé)</w:t>
            </w:r>
          </w:p>
        </w:tc>
        <w:tc>
          <w:tcPr>
            <w:tcW w:type="dxa" w:w="1559"/>
          </w:tcPr>
          <w:p>
            <w:r>
              <w:rPr>
                <w:sz w:val="20"/>
              </w:rPr>
              <w:t>SARL Groupe Santé</w:t>
            </w:r>
          </w:p>
        </w:tc>
        <w:tc>
          <w:tcPr>
            <w:tcW w:type="dxa" w:w="1559"/>
          </w:tcPr>
          <w:p>
            <w:r>
              <w:rPr>
                <w:sz w:val="20"/>
              </w:rPr>
              <w:t>Comprimé à sucer sécable, hydroxyde ferrique polymaltose 100 mg</w:t>
            </w:r>
          </w:p>
        </w:tc>
        <w:tc>
          <w:tcPr>
            <w:tcW w:type="dxa" w:w="1559"/>
          </w:tcPr>
          <w:p>
            <w:r>
              <w:rPr>
                <w:sz w:val="20"/>
              </w:rPr>
              <w:t>Boîte de 30</w:t>
            </w:r>
          </w:p>
        </w:tc>
        <w:tc>
          <w:tcPr>
            <w:tcW w:type="dxa" w:w="1559"/>
          </w:tcPr>
          <w:p>
            <w:r>
              <w:rPr>
                <w:sz w:val="20"/>
              </w:rPr>
              <w:t>—</w:t>
            </w:r>
          </w:p>
        </w:tc>
        <w:tc>
          <w:tcPr>
            <w:tcW w:type="dxa" w:w="1559"/>
          </w:tcPr>
          <w:p>
            <w:r>
              <w:rPr>
                <w:sz w:val="20"/>
              </w:rPr>
              <w:t>Actif</w:t>
            </w:r>
          </w:p>
        </w:tc>
      </w:tr>
      <w:tr>
        <w:tc>
          <w:tcPr>
            <w:tcW w:type="dxa" w:w="1559"/>
          </w:tcPr>
          <w:p>
            <w:r>
              <w:rPr>
                <w:sz w:val="20"/>
              </w:rPr>
              <w:t>FERODAL (100 mg)</w:t>
            </w:r>
          </w:p>
        </w:tc>
        <w:tc>
          <w:tcPr>
            <w:tcW w:type="dxa" w:w="1559"/>
          </w:tcPr>
          <w:p>
            <w:r>
              <w:rPr>
                <w:sz w:val="20"/>
              </w:rPr>
              <w:t>Pharmidal NS</w:t>
            </w:r>
          </w:p>
        </w:tc>
        <w:tc>
          <w:tcPr>
            <w:tcW w:type="dxa" w:w="1559"/>
          </w:tcPr>
          <w:p>
            <w:r>
              <w:rPr>
                <w:sz w:val="20"/>
              </w:rPr>
              <w:t>Sirop, hydroxyde ferrique polymaltose 100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GEOFER (100 mg)</w:t>
            </w:r>
          </w:p>
        </w:tc>
        <w:tc>
          <w:tcPr>
            <w:tcW w:type="dxa" w:w="1559"/>
          </w:tcPr>
          <w:p>
            <w:r>
              <w:rPr>
                <w:sz w:val="20"/>
              </w:rPr>
              <w:t>Geopharm</w:t>
            </w:r>
          </w:p>
        </w:tc>
        <w:tc>
          <w:tcPr>
            <w:tcW w:type="dxa" w:w="1559"/>
          </w:tcPr>
          <w:p>
            <w:r>
              <w:rPr>
                <w:sz w:val="20"/>
              </w:rPr>
              <w:t>Sirop, hydroxyde ferrique polymaltose 100 mg/5 mL</w:t>
            </w:r>
          </w:p>
        </w:tc>
        <w:tc>
          <w:tcPr>
            <w:tcW w:type="dxa" w:w="1559"/>
          </w:tcPr>
          <w:p>
            <w:r>
              <w:rPr>
                <w:sz w:val="20"/>
              </w:rPr>
              <w:t>Flacon de 100 mL</w:t>
            </w:r>
          </w:p>
        </w:tc>
        <w:tc>
          <w:tcPr>
            <w:tcW w:type="dxa" w:w="1559"/>
          </w:tcPr>
          <w:p>
            <w:r>
              <w:rPr>
                <w:sz w:val="20"/>
              </w:rPr>
              <w:t>—</w:t>
            </w:r>
          </w:p>
        </w:tc>
        <w:tc>
          <w:tcPr>
            <w:tcW w:type="dxa" w:w="1559"/>
          </w:tcPr>
          <w:p>
            <w:r>
              <w:rPr>
                <w:sz w:val="20"/>
              </w:rPr>
              <w:t>Actif</w:t>
            </w:r>
          </w:p>
        </w:tc>
      </w:tr>
      <w:tr>
        <w:tc>
          <w:tcPr>
            <w:tcW w:type="dxa" w:w="1559"/>
          </w:tcPr>
          <w:p>
            <w:r>
              <w:rPr>
                <w:sz w:val="20"/>
              </w:rPr>
              <w:t>OROFER PLUS</w:t>
            </w:r>
          </w:p>
        </w:tc>
        <w:tc>
          <w:tcPr>
            <w:tcW w:type="dxa" w:w="1559"/>
          </w:tcPr>
          <w:p>
            <w:r>
              <w:rPr>
                <w:sz w:val="20"/>
              </w:rPr>
              <w:t>Inpha-Medis</w:t>
            </w:r>
          </w:p>
        </w:tc>
        <w:tc>
          <w:tcPr>
            <w:tcW w:type="dxa" w:w="1559"/>
          </w:tcPr>
          <w:p>
            <w:r>
              <w:rPr>
                <w:sz w:val="20"/>
              </w:rPr>
              <w:t>Sirop, hydroxyde ferrique polymaltose 100 mg/5 mL</w:t>
            </w:r>
          </w:p>
        </w:tc>
        <w:tc>
          <w:tcPr>
            <w:tcW w:type="dxa" w:w="1559"/>
          </w:tcPr>
          <w:p>
            <w:r>
              <w:rPr>
                <w:sz w:val="20"/>
              </w:rPr>
              <w:t>Flacon de 100 mL</w:t>
            </w:r>
          </w:p>
        </w:tc>
        <w:tc>
          <w:tcPr>
            <w:tcW w:type="dxa" w:w="1559"/>
          </w:tcPr>
          <w:p>
            <w:r>
              <w:rPr>
                <w:sz w:val="20"/>
              </w:rPr>
              <w:t>—</w:t>
            </w:r>
          </w:p>
        </w:tc>
        <w:tc>
          <w:tcPr>
            <w:tcW w:type="dxa" w:w="1559"/>
          </w:tcPr>
          <w:p>
            <w:r>
              <w:rPr>
                <w:sz w:val="20"/>
              </w:rPr>
              <w:t>Actif</w:t>
            </w:r>
          </w:p>
        </w:tc>
      </w:tr>
      <w:tr>
        <w:tc>
          <w:tcPr>
            <w:tcW w:type="dxa" w:w="1559"/>
          </w:tcPr>
          <w:p>
            <w:r>
              <w:rPr>
                <w:sz w:val="20"/>
              </w:rPr>
              <w:t>SELOFER-100</w:t>
            </w:r>
          </w:p>
        </w:tc>
        <w:tc>
          <w:tcPr>
            <w:tcW w:type="dxa" w:w="1559"/>
          </w:tcPr>
          <w:p>
            <w:r>
              <w:rPr>
                <w:sz w:val="20"/>
              </w:rPr>
              <w:t>Abdi Ibrahim Remede Pharma</w:t>
            </w:r>
          </w:p>
        </w:tc>
        <w:tc>
          <w:tcPr>
            <w:tcW w:type="dxa" w:w="1559"/>
          </w:tcPr>
          <w:p>
            <w:r>
              <w:rPr>
                <w:sz w:val="20"/>
              </w:rPr>
              <w:t>Sirop, hydroxyde ferrique polymaltose 100 mg/5 mL</w:t>
            </w:r>
          </w:p>
        </w:tc>
        <w:tc>
          <w:tcPr>
            <w:tcW w:type="dxa" w:w="1559"/>
          </w:tcPr>
          <w:p>
            <w:r>
              <w:rPr>
                <w:sz w:val="20"/>
              </w:rPr>
              <w:t>Flacon de 150 mL</w:t>
            </w:r>
          </w:p>
        </w:tc>
        <w:tc>
          <w:tcPr>
            <w:tcW w:type="dxa" w:w="1559"/>
          </w:tcPr>
          <w:p>
            <w:r>
              <w:rPr>
                <w:sz w:val="20"/>
              </w:rPr>
              <w:t>—</w:t>
            </w:r>
          </w:p>
        </w:tc>
        <w:tc>
          <w:tcPr>
            <w:tcW w:type="dxa" w:w="1559"/>
          </w:tcPr>
          <w:p>
            <w:r>
              <w:rPr>
                <w:sz w:val="20"/>
              </w:rPr>
              <w:t>Actif</w:t>
            </w:r>
          </w:p>
        </w:tc>
      </w:tr>
      <w:tr>
        <w:tc>
          <w:tcPr>
            <w:tcW w:type="dxa" w:w="1559"/>
          </w:tcPr>
          <w:p>
            <w:r>
              <w:rPr>
                <w:sz w:val="20"/>
              </w:rPr>
              <w:t>FERINJECT</w:t>
            </w:r>
          </w:p>
        </w:tc>
        <w:tc>
          <w:tcPr>
            <w:tcW w:type="dxa" w:w="1559"/>
          </w:tcPr>
          <w:p>
            <w:r>
              <w:rPr>
                <w:sz w:val="20"/>
              </w:rPr>
              <w:t>Hikma Pharmaceuticals</w:t>
            </w:r>
          </w:p>
        </w:tc>
        <w:tc>
          <w:tcPr>
            <w:tcW w:type="dxa" w:w="1559"/>
          </w:tcPr>
          <w:p>
            <w:r>
              <w:rPr>
                <w:sz w:val="20"/>
              </w:rPr>
              <w:t>Solution injectable pour perfusion IV ou injection dans dialyseur, carboxymaltose ferrique 50 mg/mL</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ENCIFER</w:t>
            </w:r>
          </w:p>
        </w:tc>
        <w:tc>
          <w:tcPr>
            <w:tcW w:type="dxa" w:w="1559"/>
          </w:tcPr>
          <w:p>
            <w:r>
              <w:rPr>
                <w:sz w:val="20"/>
              </w:rPr>
              <w:t>Emcure Pharmaceuticals</w:t>
            </w:r>
          </w:p>
        </w:tc>
        <w:tc>
          <w:tcPr>
            <w:tcW w:type="dxa" w:w="1559"/>
          </w:tcPr>
          <w:p>
            <w:r>
              <w:rPr>
                <w:sz w:val="20"/>
              </w:rPr>
              <w:t>Solution injectable pour perfusion IV ou dialyseur, hydroxyde ferrique saccharose 20 mg/mL (100 mg/5 mL)</w:t>
            </w:r>
          </w:p>
        </w:tc>
        <w:tc>
          <w:tcPr>
            <w:tcW w:type="dxa" w:w="1559"/>
          </w:tcPr>
          <w:p>
            <w:r>
              <w:rPr>
                <w:sz w:val="20"/>
              </w:rPr>
              <w:t>Flacon de 5 mL</w:t>
            </w:r>
          </w:p>
        </w:tc>
        <w:tc>
          <w:tcPr>
            <w:tcW w:type="dxa" w:w="1559"/>
          </w:tcPr>
          <w:p>
            <w:r>
              <w:rPr>
                <w:sz w:val="20"/>
              </w:rPr>
              <w:t>—</w:t>
            </w:r>
          </w:p>
        </w:tc>
        <w:tc>
          <w:tcPr>
            <w:tcW w:type="dxa" w:w="1559"/>
          </w:tcPr>
          <w:p>
            <w:r>
              <w:rPr>
                <w:sz w:val="20"/>
              </w:rPr>
              <w:t>Actif</w:t>
            </w:r>
          </w:p>
        </w:tc>
      </w:tr>
      <w:tr>
        <w:tc>
          <w:tcPr>
            <w:tcW w:type="dxa" w:w="1559"/>
          </w:tcPr>
          <w:p>
            <w:r>
              <w:rPr>
                <w:sz w:val="20"/>
              </w:rPr>
              <w:t>FEROMAX</w:t>
            </w:r>
          </w:p>
        </w:tc>
        <w:tc>
          <w:tcPr>
            <w:tcW w:type="dxa" w:w="1559"/>
          </w:tcPr>
          <w:p>
            <w:r>
              <w:rPr>
                <w:sz w:val="20"/>
              </w:rPr>
              <w:t>Gulf Pharmaceutical Industries (Julphar)</w:t>
            </w:r>
          </w:p>
        </w:tc>
        <w:tc>
          <w:tcPr>
            <w:tcW w:type="dxa" w:w="1559"/>
          </w:tcPr>
          <w:p>
            <w:r>
              <w:rPr>
                <w:sz w:val="20"/>
              </w:rPr>
              <w:t>Solution injectable pour perfusion IV ou dialyseur, hydroxyde ferrique saccharose 20 mg/mL (100 mg/5 mL)</w:t>
            </w:r>
          </w:p>
        </w:tc>
        <w:tc>
          <w:tcPr>
            <w:tcW w:type="dxa" w:w="1559"/>
          </w:tcPr>
          <w:p>
            <w:r>
              <w:rPr>
                <w:sz w:val="20"/>
              </w:rPr>
              <w:t>Boîte de 5 ampoules de 5 mL</w:t>
            </w:r>
          </w:p>
        </w:tc>
        <w:tc>
          <w:tcPr>
            <w:tcW w:type="dxa" w:w="1559"/>
          </w:tcPr>
          <w:p>
            <w:r>
              <w:rPr>
                <w:sz w:val="20"/>
              </w:rPr>
              <w:t>Liste I</w:t>
            </w:r>
          </w:p>
        </w:tc>
        <w:tc>
          <w:tcPr>
            <w:tcW w:type="dxa" w:w="1559"/>
          </w:tcPr>
          <w:p>
            <w:r>
              <w:rPr>
                <w:sz w:val="20"/>
              </w:rPr>
              <w:t>Actif</w:t>
            </w:r>
          </w:p>
        </w:tc>
      </w:tr>
      <w:tr>
        <w:tc>
          <w:tcPr>
            <w:tcW w:type="dxa" w:w="1559"/>
          </w:tcPr>
          <w:p>
            <w:r>
              <w:rPr>
                <w:sz w:val="20"/>
              </w:rPr>
              <w:t>RAZIFER</w:t>
            </w:r>
          </w:p>
        </w:tc>
        <w:tc>
          <w:tcPr>
            <w:tcW w:type="dxa" w:w="1559"/>
          </w:tcPr>
          <w:p>
            <w:r>
              <w:rPr>
                <w:sz w:val="20"/>
              </w:rPr>
              <w:t>Les Laboratoires Frater Razes</w:t>
            </w:r>
          </w:p>
        </w:tc>
        <w:tc>
          <w:tcPr>
            <w:tcW w:type="dxa" w:w="1559"/>
          </w:tcPr>
          <w:p>
            <w:r>
              <w:rPr>
                <w:sz w:val="20"/>
              </w:rPr>
              <w:t>Solution injectable pour perfusion IV, hydroxyde ferrique saccharose 20 mg/mL (100 mg/5 mL)</w:t>
            </w:r>
          </w:p>
        </w:tc>
        <w:tc>
          <w:tcPr>
            <w:tcW w:type="dxa" w:w="1559"/>
          </w:tcPr>
          <w:p>
            <w:r>
              <w:rPr>
                <w:sz w:val="20"/>
              </w:rPr>
              <w:t>Boîte de 5 ampoules de 5 mL</w:t>
            </w:r>
          </w:p>
        </w:tc>
        <w:tc>
          <w:tcPr>
            <w:tcW w:type="dxa" w:w="1559"/>
          </w:tcPr>
          <w:p>
            <w:r>
              <w:rPr>
                <w:sz w:val="20"/>
              </w:rPr>
              <w:t>Liste I</w:t>
            </w:r>
          </w:p>
        </w:tc>
        <w:tc>
          <w:tcPr>
            <w:tcW w:type="dxa" w:w="1559"/>
          </w:tcPr>
          <w:p>
            <w:r>
              <w:rPr>
                <w:sz w:val="20"/>
              </w:rPr>
              <w:t>Actif</w:t>
            </w:r>
          </w:p>
        </w:tc>
      </w:tr>
      <w:tr>
        <w:tc>
          <w:tcPr>
            <w:tcW w:type="dxa" w:w="1559"/>
          </w:tcPr>
          <w:p>
            <w:r>
              <w:rPr>
                <w:sz w:val="20"/>
              </w:rPr>
              <w:t>VENOFER</w:t>
            </w:r>
          </w:p>
        </w:tc>
        <w:tc>
          <w:tcPr>
            <w:tcW w:type="dxa" w:w="1559"/>
          </w:tcPr>
          <w:p>
            <w:r>
              <w:rPr>
                <w:sz w:val="20"/>
              </w:rPr>
              <w:t>Vifor International</w:t>
            </w:r>
          </w:p>
        </w:tc>
        <w:tc>
          <w:tcPr>
            <w:tcW w:type="dxa" w:w="1559"/>
          </w:tcPr>
          <w:p>
            <w:r>
              <w:rPr>
                <w:sz w:val="20"/>
              </w:rPr>
              <w:t>Solution injectable pour perfusion IV ou dialyseur, hydroxyde ferrique saccharose 20 mg/mL (100 mg/5 mL)</w:t>
            </w:r>
          </w:p>
        </w:tc>
        <w:tc>
          <w:tcPr>
            <w:tcW w:type="dxa" w:w="1559"/>
          </w:tcPr>
          <w:p>
            <w:r>
              <w:rPr>
                <w:sz w:val="20"/>
              </w:rPr>
              <w:t>Boîte de 5 ampoules de 5 mL</w:t>
            </w:r>
          </w:p>
        </w:tc>
        <w:tc>
          <w:tcPr>
            <w:tcW w:type="dxa" w:w="1559"/>
          </w:tcPr>
          <w:p>
            <w:r>
              <w:rPr>
                <w:sz w:val="20"/>
              </w:rPr>
              <w:t>—</w:t>
            </w:r>
          </w:p>
        </w:tc>
        <w:tc>
          <w:tcPr>
            <w:tcW w:type="dxa" w:w="1559"/>
          </w:tcPr>
          <w:p>
            <w:r>
              <w:rPr>
                <w:sz w:val="20"/>
              </w:rPr>
              <w:t>Actif</w:t>
            </w:r>
          </w:p>
        </w:tc>
      </w:tr>
      <w:tr>
        <w:tc>
          <w:tcPr>
            <w:tcW w:type="dxa" w:w="1559"/>
          </w:tcPr>
          <w:p>
            <w:r>
              <w:rPr>
                <w:sz w:val="20"/>
              </w:rPr>
              <w:t>VIVFER</w:t>
            </w:r>
          </w:p>
        </w:tc>
        <w:tc>
          <w:tcPr>
            <w:tcW w:type="dxa" w:w="1559"/>
          </w:tcPr>
          <w:p>
            <w:r>
              <w:rPr>
                <w:sz w:val="20"/>
              </w:rPr>
              <w:t>Biothera</w:t>
            </w:r>
          </w:p>
        </w:tc>
        <w:tc>
          <w:tcPr>
            <w:tcW w:type="dxa" w:w="1559"/>
          </w:tcPr>
          <w:p>
            <w:r>
              <w:rPr>
                <w:sz w:val="20"/>
              </w:rPr>
              <w:t>Solution injectable IM/IV, hydroxyde ferrique saccharose 20 mg/mL (100 mg/5 mL)</w:t>
            </w:r>
          </w:p>
        </w:tc>
        <w:tc>
          <w:tcPr>
            <w:tcW w:type="dxa" w:w="1559"/>
          </w:tcPr>
          <w:p>
            <w:r>
              <w:rPr>
                <w:sz w:val="20"/>
              </w:rPr>
              <w:t>Boîte de 5 ampoules de 5 mL</w:t>
            </w:r>
          </w:p>
        </w:tc>
        <w:tc>
          <w:tcPr>
            <w:tcW w:type="dxa" w:w="1559"/>
          </w:tcPr>
          <w:p>
            <w:r>
              <w:rPr>
                <w:sz w:val="20"/>
              </w:rPr>
              <w:t>Liste I</w:t>
            </w:r>
          </w:p>
        </w:tc>
        <w:tc>
          <w:tcPr>
            <w:tcW w:type="dxa" w:w="1559"/>
          </w:tcPr>
          <w:p>
            <w:r>
              <w:rPr>
                <w:sz w:val="20"/>
              </w:rPr>
              <w:t>Actif</w:t>
            </w:r>
          </w:p>
        </w:tc>
      </w:tr>
      <w:tr>
        <w:tc>
          <w:tcPr>
            <w:tcW w:type="dxa" w:w="1559"/>
          </w:tcPr>
          <w:p>
            <w:r>
              <w:rPr>
                <w:sz w:val="20"/>
              </w:rPr>
              <w:t>FERACUR</w:t>
            </w:r>
          </w:p>
        </w:tc>
        <w:tc>
          <w:tcPr>
            <w:tcW w:type="dxa" w:w="1559"/>
          </w:tcPr>
          <w:p>
            <w:r>
              <w:rPr>
                <w:sz w:val="20"/>
              </w:rPr>
              <w:t>Groupe Saidal</w:t>
            </w:r>
          </w:p>
        </w:tc>
        <w:tc>
          <w:tcPr>
            <w:tcW w:type="dxa" w:w="1559"/>
          </w:tcPr>
          <w:p>
            <w:r>
              <w:rPr>
                <w:sz w:val="20"/>
              </w:rPr>
              <w:t>Sirop, ferrédétate de sodium 4,75 g/100 mL</w:t>
            </w:r>
          </w:p>
        </w:tc>
        <w:tc>
          <w:tcPr>
            <w:tcW w:type="dxa" w:w="1559"/>
          </w:tcPr>
          <w:p>
            <w:r>
              <w:rPr>
                <w:sz w:val="20"/>
              </w:rPr>
              <w:t>Flacon de 125 mL</w:t>
            </w:r>
          </w:p>
        </w:tc>
        <w:tc>
          <w:tcPr>
            <w:tcW w:type="dxa" w:w="1559"/>
          </w:tcPr>
          <w:p>
            <w:r>
              <w:rPr>
                <w:sz w:val="20"/>
              </w:rPr>
              <w:t>—</w:t>
            </w:r>
          </w:p>
        </w:tc>
        <w:tc>
          <w:tcPr>
            <w:tcW w:type="dxa" w:w="1559"/>
          </w:tcPr>
          <w:p>
            <w:r>
              <w:rPr>
                <w:sz w:val="20"/>
              </w:rPr>
              <w:t>Non renouvelable</w:t>
            </w:r>
          </w:p>
        </w:tc>
      </w:tr>
      <w:tr>
        <w:tc>
          <w:tcPr>
            <w:tcW w:type="dxa" w:w="1559"/>
          </w:tcPr>
          <w:p>
            <w:r>
              <w:rPr>
                <w:sz w:val="20"/>
              </w:rPr>
              <w:t>FERROSTRANE</w:t>
            </w:r>
          </w:p>
        </w:tc>
        <w:tc>
          <w:tcPr>
            <w:tcW w:type="dxa" w:w="1559"/>
          </w:tcPr>
          <w:p>
            <w:r>
              <w:rPr>
                <w:sz w:val="20"/>
              </w:rPr>
              <w:t>Pfizer Pharm Algérie</w:t>
            </w:r>
          </w:p>
        </w:tc>
        <w:tc>
          <w:tcPr>
            <w:tcW w:type="dxa" w:w="1559"/>
          </w:tcPr>
          <w:p>
            <w:r>
              <w:rPr>
                <w:sz w:val="20"/>
              </w:rPr>
              <w:t>Sirop, ferrédétate de sodium 4,75 g/100 mL</w:t>
            </w:r>
          </w:p>
        </w:tc>
        <w:tc>
          <w:tcPr>
            <w:tcW w:type="dxa" w:w="1559"/>
          </w:tcPr>
          <w:p>
            <w:r>
              <w:rPr>
                <w:sz w:val="20"/>
              </w:rPr>
              <w:t>Flacon de 125 mL</w:t>
            </w:r>
          </w:p>
        </w:tc>
        <w:tc>
          <w:tcPr>
            <w:tcW w:type="dxa" w:w="1559"/>
          </w:tcPr>
          <w:p>
            <w:r>
              <w:rPr>
                <w:sz w:val="20"/>
              </w:rPr>
              <w:t>—</w:t>
            </w:r>
          </w:p>
        </w:tc>
        <w:tc>
          <w:tcPr>
            <w:tcW w:type="dxa" w:w="1559"/>
          </w:tcPr>
          <w:p>
            <w:r>
              <w:rPr>
                <w:sz w:val="20"/>
              </w:rPr>
              <w:t>Non renouvelable</w:t>
            </w:r>
          </w:p>
        </w:tc>
      </w:tr>
      <w:tr>
        <w:tc>
          <w:tcPr>
            <w:tcW w:type="dxa" w:w="1559"/>
          </w:tcPr>
          <w:p>
            <w:r>
              <w:rPr>
                <w:sz w:val="20"/>
              </w:rPr>
              <w:t>FUMACUR</w:t>
            </w:r>
          </w:p>
        </w:tc>
        <w:tc>
          <w:tcPr>
            <w:tcW w:type="dxa" w:w="1559"/>
          </w:tcPr>
          <w:p>
            <w:r>
              <w:rPr>
                <w:sz w:val="20"/>
              </w:rPr>
              <w:t>Groupe Saidal</w:t>
            </w:r>
          </w:p>
        </w:tc>
        <w:tc>
          <w:tcPr>
            <w:tcW w:type="dxa" w:w="1559"/>
          </w:tcPr>
          <w:p>
            <w:r>
              <w:rPr>
                <w:sz w:val="20"/>
              </w:rPr>
              <w:t>Comprimé, fumarate ferreux 200 mg</w:t>
            </w:r>
          </w:p>
        </w:tc>
        <w:tc>
          <w:tcPr>
            <w:tcW w:type="dxa" w:w="1559"/>
          </w:tcPr>
          <w:p>
            <w:r>
              <w:rPr>
                <w:sz w:val="20"/>
              </w:rPr>
              <w:t>Boîte de 80</w:t>
            </w:r>
          </w:p>
        </w:tc>
        <w:tc>
          <w:tcPr>
            <w:tcW w:type="dxa" w:w="1559"/>
          </w:tcPr>
          <w:p>
            <w:r>
              <w:rPr>
                <w:sz w:val="20"/>
              </w:rPr>
              <w:t>—</w:t>
            </w:r>
          </w:p>
        </w:tc>
        <w:tc>
          <w:tcPr>
            <w:tcW w:type="dxa" w:w="1559"/>
          </w:tcPr>
          <w:p>
            <w:r>
              <w:rPr>
                <w:sz w:val="20"/>
              </w:rPr>
              <w:t>Non renouvelable</w:t>
            </w:r>
          </w:p>
        </w:tc>
      </w:tr>
      <w:tr>
        <w:tc>
          <w:tcPr>
            <w:tcW w:type="dxa" w:w="1559"/>
          </w:tcPr>
          <w:p>
            <w:r>
              <w:rPr>
                <w:sz w:val="20"/>
              </w:rPr>
              <w:t>FUMAFER (poudre)</w:t>
            </w:r>
          </w:p>
        </w:tc>
        <w:tc>
          <w:tcPr>
            <w:tcW w:type="dxa" w:w="1559"/>
          </w:tcPr>
          <w:p>
            <w:r>
              <w:rPr>
                <w:sz w:val="20"/>
              </w:rPr>
              <w:t>Sanofi Synthelabo</w:t>
            </w:r>
          </w:p>
        </w:tc>
        <w:tc>
          <w:tcPr>
            <w:tcW w:type="dxa" w:w="1559"/>
          </w:tcPr>
          <w:p>
            <w:r>
              <w:rPr>
                <w:sz w:val="20"/>
              </w:rPr>
              <w:t>Poudre orale, fumarate ferreux 100 mg/g</w:t>
            </w:r>
          </w:p>
        </w:tc>
        <w:tc>
          <w:tcPr>
            <w:tcW w:type="dxa" w:w="1559"/>
          </w:tcPr>
          <w:p>
            <w:r>
              <w:rPr>
                <w:sz w:val="20"/>
              </w:rPr>
              <w:t>Boîte de 50 g</w:t>
            </w:r>
          </w:p>
        </w:tc>
        <w:tc>
          <w:tcPr>
            <w:tcW w:type="dxa" w:w="1559"/>
          </w:tcPr>
          <w:p>
            <w:r>
              <w:rPr>
                <w:sz w:val="20"/>
              </w:rPr>
              <w:t>—</w:t>
            </w:r>
          </w:p>
        </w:tc>
        <w:tc>
          <w:tcPr>
            <w:tcW w:type="dxa" w:w="1559"/>
          </w:tcPr>
          <w:p>
            <w:r>
              <w:rPr>
                <w:sz w:val="20"/>
              </w:rPr>
              <w:t>Non renouvelable</w:t>
            </w:r>
          </w:p>
        </w:tc>
      </w:tr>
      <w:tr>
        <w:tc>
          <w:tcPr>
            <w:tcW w:type="dxa" w:w="1559"/>
          </w:tcPr>
          <w:p>
            <w:r>
              <w:rPr>
                <w:sz w:val="20"/>
              </w:rPr>
              <w:t>FERRO SANOL DUODENAL</w:t>
            </w:r>
          </w:p>
        </w:tc>
        <w:tc>
          <w:tcPr>
            <w:tcW w:type="dxa" w:w="1559"/>
          </w:tcPr>
          <w:p>
            <w:r>
              <w:rPr>
                <w:sz w:val="20"/>
              </w:rPr>
              <w:t>Schwarz Pharma</w:t>
            </w:r>
          </w:p>
        </w:tc>
        <w:tc>
          <w:tcPr>
            <w:tcW w:type="dxa" w:w="1559"/>
          </w:tcPr>
          <w:p>
            <w:r>
              <w:rPr>
                <w:sz w:val="20"/>
              </w:rPr>
              <w:t>Capsule à granules gastro-résistants, complexe Fe II-glycine sulfate 567,7 mg (= 100 mg Fe²⁺)</w:t>
            </w:r>
          </w:p>
        </w:tc>
        <w:tc>
          <w:tcPr>
            <w:tcW w:type="dxa" w:w="1559"/>
          </w:tcPr>
          <w:p>
            <w:r>
              <w:rPr>
                <w:sz w:val="20"/>
              </w:rPr>
              <w:t>Boîte de 50</w:t>
            </w:r>
          </w:p>
        </w:tc>
        <w:tc>
          <w:tcPr>
            <w:tcW w:type="dxa" w:w="1559"/>
          </w:tcPr>
          <w:p>
            <w:r>
              <w:rPr>
                <w:sz w:val="20"/>
              </w:rPr>
              <w:t>—</w:t>
            </w:r>
          </w:p>
        </w:tc>
        <w:tc>
          <w:tcPr>
            <w:tcW w:type="dxa" w:w="1559"/>
          </w:tcPr>
          <w:p>
            <w:r>
              <w:rPr>
                <w:sz w:val="20"/>
              </w:rPr>
              <w:t>Non renouvelable</w:t>
            </w:r>
          </w:p>
        </w:tc>
      </w:tr>
      <w:tr>
        <w:tc>
          <w:tcPr>
            <w:tcW w:type="dxa" w:w="1559"/>
          </w:tcPr>
          <w:p>
            <w:r>
              <w:rPr>
                <w:sz w:val="20"/>
              </w:rPr>
              <w:t>FEROFER</w:t>
            </w:r>
          </w:p>
        </w:tc>
        <w:tc>
          <w:tcPr>
            <w:tcW w:type="dxa" w:w="1559"/>
          </w:tcPr>
          <w:p>
            <w:r>
              <w:rPr>
                <w:sz w:val="20"/>
              </w:rPr>
              <w:t>LGPA</w:t>
            </w:r>
          </w:p>
        </w:tc>
        <w:tc>
          <w:tcPr>
            <w:tcW w:type="dxa" w:w="1559"/>
          </w:tcPr>
          <w:p>
            <w:r>
              <w:rPr>
                <w:sz w:val="20"/>
              </w:rPr>
              <w:t>Sirop, hydroxyde ferrique polymaltose 10 mg/mL (= 50 mg/5 mL) fer élément</w:t>
            </w:r>
          </w:p>
        </w:tc>
        <w:tc>
          <w:tcPr>
            <w:tcW w:type="dxa" w:w="1559"/>
          </w:tcPr>
          <w:p>
            <w:r>
              <w:rPr>
                <w:sz w:val="20"/>
              </w:rPr>
              <w:t>Flacon de 150 mL</w:t>
            </w:r>
          </w:p>
        </w:tc>
        <w:tc>
          <w:tcPr>
            <w:tcW w:type="dxa" w:w="1559"/>
          </w:tcPr>
          <w:p>
            <w:r>
              <w:rPr>
                <w:sz w:val="20"/>
              </w:rPr>
              <w:t>—</w:t>
            </w:r>
          </w:p>
        </w:tc>
        <w:tc>
          <w:tcPr>
            <w:tcW w:type="dxa" w:w="1559"/>
          </w:tcPr>
          <w:p>
            <w:r>
              <w:rPr>
                <w:sz w:val="20"/>
              </w:rPr>
              <w:t>Non renouvelable</w:t>
            </w:r>
          </w:p>
        </w:tc>
      </w:tr>
      <w:tr>
        <w:tc>
          <w:tcPr>
            <w:tcW w:type="dxa" w:w="1559"/>
          </w:tcPr>
          <w:p>
            <w:r>
              <w:rPr>
                <w:sz w:val="20"/>
              </w:rPr>
              <w:t>TIMOFEROL</w:t>
            </w:r>
          </w:p>
        </w:tc>
        <w:tc>
          <w:tcPr>
            <w:tcW w:type="dxa" w:w="1559"/>
          </w:tcPr>
          <w:p>
            <w:r>
              <w:rPr>
                <w:sz w:val="20"/>
              </w:rPr>
              <w:t>Pharmidal</w:t>
            </w:r>
          </w:p>
        </w:tc>
        <w:tc>
          <w:tcPr>
            <w:tcW w:type="dxa" w:w="1559"/>
          </w:tcPr>
          <w:p>
            <w:r>
              <w:rPr>
                <w:sz w:val="20"/>
              </w:rPr>
              <w:t>Gélules, sulfate ferreux 50 mg + acide ascorbique 30 mg</w:t>
            </w:r>
          </w:p>
        </w:tc>
        <w:tc>
          <w:tcPr>
            <w:tcW w:type="dxa" w:w="1559"/>
          </w:tcPr>
          <w:p>
            <w:r>
              <w:rPr>
                <w:sz w:val="20"/>
              </w:rPr>
              <w:t>Boîte de 24</w:t>
            </w:r>
          </w:p>
        </w:tc>
        <w:tc>
          <w:tcPr>
            <w:tcW w:type="dxa" w:w="1559"/>
          </w:tcPr>
          <w:p>
            <w:r>
              <w:rPr>
                <w:sz w:val="20"/>
              </w:rPr>
              <w:t>—</w:t>
            </w:r>
          </w:p>
        </w:tc>
        <w:tc>
          <w:tcPr>
            <w:tcW w:type="dxa" w:w="1559"/>
          </w:tcPr>
          <w:p>
            <w:r>
              <w:rPr>
                <w:sz w:val="20"/>
              </w:rPr>
              <w:t>Non renouvelable</w:t>
            </w:r>
          </w:p>
        </w:tc>
      </w:tr>
      <w:tr>
        <w:tc>
          <w:tcPr>
            <w:tcW w:type="dxa" w:w="1559"/>
          </w:tcPr>
          <w:p>
            <w:r>
              <w:rPr>
                <w:sz w:val="20"/>
              </w:rPr>
              <w:t>FERRO SANOL (gouttes)</w:t>
            </w:r>
          </w:p>
        </w:tc>
        <w:tc>
          <w:tcPr>
            <w:tcW w:type="dxa" w:w="1559"/>
          </w:tcPr>
          <w:p>
            <w:r>
              <w:rPr>
                <w:sz w:val="20"/>
              </w:rPr>
              <w:t>Schwarz Pharma</w:t>
            </w:r>
          </w:p>
        </w:tc>
        <w:tc>
          <w:tcPr>
            <w:tcW w:type="dxa" w:w="1559"/>
          </w:tcPr>
          <w:p>
            <w:r>
              <w:rPr>
                <w:sz w:val="20"/>
              </w:rPr>
              <w:t>Solution buvable en gouttes, complexe glycine sulfate ferreux 30 mg/mL Fe II</w:t>
            </w:r>
          </w:p>
        </w:tc>
        <w:tc>
          <w:tcPr>
            <w:tcW w:type="dxa" w:w="1559"/>
          </w:tcPr>
          <w:p>
            <w:r>
              <w:rPr>
                <w:sz w:val="20"/>
              </w:rPr>
              <w:t>Flacon de 30 mL</w:t>
            </w:r>
          </w:p>
        </w:tc>
        <w:tc>
          <w:tcPr>
            <w:tcW w:type="dxa" w:w="1559"/>
          </w:tcPr>
          <w:p>
            <w:r>
              <w:rPr>
                <w:sz w:val="20"/>
              </w:rPr>
              <w:t>—</w:t>
            </w:r>
          </w:p>
        </w:tc>
        <w:tc>
          <w:tcPr>
            <w:tcW w:type="dxa" w:w="1559"/>
          </w:tcPr>
          <w:p>
            <w:r>
              <w:rPr>
                <w:sz w:val="20"/>
              </w:rPr>
              <w:t>Non renouvelable</w:t>
            </w:r>
          </w:p>
        </w:tc>
      </w:tr>
      <w:tr>
        <w:tc>
          <w:tcPr>
            <w:tcW w:type="dxa" w:w="1559"/>
          </w:tcPr>
          <w:p>
            <w:r>
              <w:rPr>
                <w:sz w:val="20"/>
              </w:rPr>
              <w:t>INOFER</w:t>
            </w:r>
          </w:p>
        </w:tc>
        <w:tc>
          <w:tcPr>
            <w:tcW w:type="dxa" w:w="1559"/>
          </w:tcPr>
          <w:p>
            <w:r>
              <w:rPr>
                <w:sz w:val="20"/>
              </w:rPr>
              <w:t>Lisa Pharma</w:t>
            </w:r>
          </w:p>
        </w:tc>
        <w:tc>
          <w:tcPr>
            <w:tcW w:type="dxa" w:w="1559"/>
          </w:tcPr>
          <w:p>
            <w:r>
              <w:rPr>
                <w:sz w:val="20"/>
              </w:rPr>
              <w:t>Comprimé pelliculé, succinate ferreux 32,48 mg + acide succinique 100 mg</w:t>
            </w:r>
          </w:p>
        </w:tc>
        <w:tc>
          <w:tcPr>
            <w:tcW w:type="dxa" w:w="1559"/>
          </w:tcPr>
          <w:p>
            <w:r>
              <w:rPr>
                <w:sz w:val="20"/>
              </w:rPr>
              <w:t>Boîte de 30</w:t>
            </w:r>
          </w:p>
        </w:tc>
        <w:tc>
          <w:tcPr>
            <w:tcW w:type="dxa" w:w="1559"/>
          </w:tcPr>
          <w:p>
            <w:r>
              <w:rPr>
                <w:sz w:val="20"/>
              </w:rPr>
              <w:t>—</w:t>
            </w:r>
          </w:p>
        </w:tc>
        <w:tc>
          <w:tcPr>
            <w:tcW w:type="dxa" w:w="1559"/>
          </w:tcPr>
          <w:p>
            <w:r>
              <w:rPr>
                <w:sz w:val="20"/>
              </w:rPr>
              <w:t>Non renouvelable</w:t>
            </w:r>
          </w:p>
        </w:tc>
      </w:tr>
      <w:tr>
        <w:tc>
          <w:tcPr>
            <w:tcW w:type="dxa" w:w="1559"/>
          </w:tcPr>
          <w:p>
            <w:r>
              <w:rPr>
                <w:sz w:val="20"/>
              </w:rPr>
              <w:t>SELOFER-100 (comprimé)</w:t>
            </w:r>
          </w:p>
        </w:tc>
        <w:tc>
          <w:tcPr>
            <w:tcW w:type="dxa" w:w="1559"/>
          </w:tcPr>
          <w:p>
            <w:r>
              <w:rPr>
                <w:sz w:val="20"/>
              </w:rPr>
              <w:t>Remede Pharma</w:t>
            </w:r>
          </w:p>
        </w:tc>
        <w:tc>
          <w:tcPr>
            <w:tcW w:type="dxa" w:w="1559"/>
          </w:tcPr>
          <w:p>
            <w:r>
              <w:rPr>
                <w:sz w:val="20"/>
              </w:rPr>
              <w:t>Comprimé à sucer, hydroxyde ferrique polymaltose 100 mg (= 750 mg de complexe)</w:t>
            </w:r>
          </w:p>
        </w:tc>
        <w:tc>
          <w:tcPr>
            <w:tcW w:type="dxa" w:w="1559"/>
          </w:tcPr>
          <w:p>
            <w:r>
              <w:rPr>
                <w:sz w:val="20"/>
              </w:rPr>
              <w:t>Boîte de 30</w:t>
            </w:r>
          </w:p>
        </w:tc>
        <w:tc>
          <w:tcPr>
            <w:tcW w:type="dxa" w:w="1559"/>
          </w:tcPr>
          <w:p>
            <w:r>
              <w:rPr>
                <w:sz w:val="20"/>
              </w:rPr>
              <w:t>—</w:t>
            </w:r>
          </w:p>
        </w:tc>
        <w:tc>
          <w:tcPr>
            <w:tcW w:type="dxa" w:w="1559"/>
          </w:tcPr>
          <w:p>
            <w:r>
              <w:rPr>
                <w:sz w:val="20"/>
              </w:rPr>
              <w:t>Non renouvelable</w:t>
            </w:r>
          </w:p>
        </w:tc>
      </w:tr>
      <w:tr>
        <w:tc>
          <w:tcPr>
            <w:tcW w:type="dxa" w:w="1559"/>
          </w:tcPr>
          <w:p>
            <w:r>
              <w:rPr>
                <w:sz w:val="20"/>
              </w:rPr>
              <w:t>FER 3+ (buv., 125 mL)</w:t>
            </w:r>
          </w:p>
        </w:tc>
        <w:tc>
          <w:tcPr>
            <w:tcW w:type="dxa" w:w="1559"/>
          </w:tcPr>
          <w:p>
            <w:r>
              <w:rPr>
                <w:sz w:val="20"/>
              </w:rPr>
              <w:t>LAD</w:t>
            </w:r>
          </w:p>
        </w:tc>
        <w:tc>
          <w:tcPr>
            <w:tcW w:type="dxa" w:w="1559"/>
          </w:tcPr>
          <w:p>
            <w:r>
              <w:rPr>
                <w:sz w:val="20"/>
              </w:rPr>
              <w:t>Solution buvable, hydroxyde ferrique polymaltose 20 mg/mL (100 mg/5 mL)</w:t>
            </w:r>
          </w:p>
        </w:tc>
        <w:tc>
          <w:tcPr>
            <w:tcW w:type="dxa" w:w="1559"/>
          </w:tcPr>
          <w:p>
            <w:r>
              <w:rPr>
                <w:sz w:val="20"/>
              </w:rPr>
              <w:t>Flacon de 125 mL</w:t>
            </w:r>
          </w:p>
        </w:tc>
        <w:tc>
          <w:tcPr>
            <w:tcW w:type="dxa" w:w="1559"/>
          </w:tcPr>
          <w:p>
            <w:r>
              <w:rPr>
                <w:sz w:val="20"/>
              </w:rPr>
              <w:t>—</w:t>
            </w:r>
          </w:p>
        </w:tc>
        <w:tc>
          <w:tcPr>
            <w:tcW w:type="dxa" w:w="1559"/>
          </w:tcPr>
          <w:p>
            <w:r>
              <w:rPr>
                <w:sz w:val="20"/>
              </w:rPr>
              <w:t>Non renouvelable</w:t>
            </w:r>
          </w:p>
        </w:tc>
      </w:tr>
      <w:tr>
        <w:tc>
          <w:tcPr>
            <w:tcW w:type="dxa" w:w="1559"/>
          </w:tcPr>
          <w:p>
            <w:r>
              <w:rPr>
                <w:sz w:val="20"/>
              </w:rPr>
              <w:t>FERCROVIS</w:t>
            </w:r>
          </w:p>
        </w:tc>
        <w:tc>
          <w:tcPr>
            <w:tcW w:type="dxa" w:w="1559"/>
          </w:tcPr>
          <w:p>
            <w:r>
              <w:rPr>
                <w:sz w:val="20"/>
              </w:rPr>
              <w:t>Crovis Philcom</w:t>
            </w:r>
          </w:p>
        </w:tc>
        <w:tc>
          <w:tcPr>
            <w:tcW w:type="dxa" w:w="1559"/>
          </w:tcPr>
          <w:p>
            <w:r>
              <w:rPr>
                <w:sz w:val="20"/>
              </w:rPr>
              <w:t>Sirop, ferrédétate de sodium 47,5 mg/mL</w:t>
            </w:r>
          </w:p>
        </w:tc>
        <w:tc>
          <w:tcPr>
            <w:tcW w:type="dxa" w:w="1559"/>
          </w:tcPr>
          <w:p>
            <w:r>
              <w:rPr>
                <w:sz w:val="20"/>
              </w:rPr>
              <w:t>Flacon de 125 mL</w:t>
            </w:r>
          </w:p>
        </w:tc>
        <w:tc>
          <w:tcPr>
            <w:tcW w:type="dxa" w:w="1559"/>
          </w:tcPr>
          <w:p>
            <w:r>
              <w:rPr>
                <w:sz w:val="20"/>
              </w:rPr>
              <w:t>—</w:t>
            </w:r>
          </w:p>
        </w:tc>
        <w:tc>
          <w:tcPr>
            <w:tcW w:type="dxa" w:w="1559"/>
          </w:tcPr>
          <w:p>
            <w:r>
              <w:rPr>
                <w:sz w:val="20"/>
              </w:rPr>
              <w:t>Retiré</w:t>
            </w:r>
          </w:p>
        </w:tc>
      </w:tr>
      <w:tr>
        <w:tc>
          <w:tcPr>
            <w:tcW w:type="dxa" w:w="1559"/>
          </w:tcPr>
          <w:p>
            <w:r>
              <w:rPr>
                <w:sz w:val="20"/>
              </w:rPr>
              <w:t>FERODIUM</w:t>
            </w:r>
          </w:p>
        </w:tc>
        <w:tc>
          <w:tcPr>
            <w:tcW w:type="dxa" w:w="1559"/>
          </w:tcPr>
          <w:p>
            <w:r>
              <w:rPr>
                <w:sz w:val="20"/>
              </w:rPr>
              <w:t>LPA</w:t>
            </w:r>
          </w:p>
        </w:tc>
        <w:tc>
          <w:tcPr>
            <w:tcW w:type="dxa" w:w="1559"/>
          </w:tcPr>
          <w:p>
            <w:r>
              <w:rPr>
                <w:sz w:val="20"/>
              </w:rPr>
              <w:t>Sirop, ferrédétate de sodium 4,75 g/100 mL</w:t>
            </w:r>
          </w:p>
        </w:tc>
        <w:tc>
          <w:tcPr>
            <w:tcW w:type="dxa" w:w="1559"/>
          </w:tcPr>
          <w:p>
            <w:r>
              <w:rPr>
                <w:sz w:val="20"/>
              </w:rPr>
              <w:t>Flacon de 125 mL</w:t>
            </w:r>
          </w:p>
        </w:tc>
        <w:tc>
          <w:tcPr>
            <w:tcW w:type="dxa" w:w="1559"/>
          </w:tcPr>
          <w:p>
            <w:r>
              <w:rPr>
                <w:sz w:val="20"/>
              </w:rPr>
              <w:t>—</w:t>
            </w:r>
          </w:p>
        </w:tc>
        <w:tc>
          <w:tcPr>
            <w:tcW w:type="dxa" w:w="1559"/>
          </w:tcPr>
          <w:p>
            <w:r>
              <w:rPr>
                <w:sz w:val="20"/>
              </w:rPr>
              <w:t>Retiré</w:t>
            </w:r>
          </w:p>
        </w:tc>
      </w:tr>
      <w:tr>
        <w:tc>
          <w:tcPr>
            <w:tcW w:type="dxa" w:w="1559"/>
          </w:tcPr>
          <w:p>
            <w:r>
              <w:rPr>
                <w:sz w:val="20"/>
              </w:rPr>
              <w:t>FUMAFER (comprimé)</w:t>
            </w:r>
          </w:p>
        </w:tc>
        <w:tc>
          <w:tcPr>
            <w:tcW w:type="dxa" w:w="1559"/>
          </w:tcPr>
          <w:p>
            <w:r>
              <w:rPr>
                <w:sz w:val="20"/>
              </w:rPr>
              <w:t>Sanofi Synthelabo</w:t>
            </w:r>
          </w:p>
        </w:tc>
        <w:tc>
          <w:tcPr>
            <w:tcW w:type="dxa" w:w="1559"/>
          </w:tcPr>
          <w:p>
            <w:r>
              <w:rPr>
                <w:sz w:val="20"/>
              </w:rPr>
              <w:t>Comprimé pelliculé, fumarate ferreux 200 mg</w:t>
            </w:r>
          </w:p>
        </w:tc>
        <w:tc>
          <w:tcPr>
            <w:tcW w:type="dxa" w:w="1559"/>
          </w:tcPr>
          <w:p>
            <w:r>
              <w:rPr>
                <w:sz w:val="20"/>
              </w:rPr>
              <w:t>Boîte de 100</w:t>
            </w:r>
          </w:p>
        </w:tc>
        <w:tc>
          <w:tcPr>
            <w:tcW w:type="dxa" w:w="1559"/>
          </w:tcPr>
          <w:p>
            <w:r>
              <w:rPr>
                <w:sz w:val="20"/>
              </w:rPr>
              <w:t>—</w:t>
            </w:r>
          </w:p>
        </w:tc>
        <w:tc>
          <w:tcPr>
            <w:tcW w:type="dxa" w:w="1559"/>
          </w:tcPr>
          <w:p>
            <w:r>
              <w:rPr>
                <w:sz w:val="20"/>
              </w:rPr>
              <w:t>Retiré</w:t>
            </w:r>
          </w:p>
        </w:tc>
      </w:tr>
      <w:tr>
        <w:tc>
          <w:tcPr>
            <w:tcW w:type="dxa" w:w="1559"/>
          </w:tcPr>
          <w:p>
            <w:r>
              <w:rPr>
                <w:sz w:val="20"/>
              </w:rPr>
              <w:t>MALTOFER (inj.)</w:t>
            </w:r>
          </w:p>
        </w:tc>
        <w:tc>
          <w:tcPr>
            <w:tcW w:type="dxa" w:w="1559"/>
          </w:tcPr>
          <w:p>
            <w:r>
              <w:rPr>
                <w:sz w:val="20"/>
              </w:rPr>
              <w:t>Therabel Lucien Pharma</w:t>
            </w:r>
          </w:p>
        </w:tc>
        <w:tc>
          <w:tcPr>
            <w:tcW w:type="dxa" w:w="1559"/>
          </w:tcPr>
          <w:p>
            <w:r>
              <w:rPr>
                <w:sz w:val="20"/>
              </w:rPr>
              <w:t>Solution injectable, hydroxyde ferrique polymaltose 100 mg/2 mL</w:t>
            </w:r>
          </w:p>
        </w:tc>
        <w:tc>
          <w:tcPr>
            <w:tcW w:type="dxa" w:w="1559"/>
          </w:tcPr>
          <w:p>
            <w:r>
              <w:rPr>
                <w:sz w:val="20"/>
              </w:rPr>
              <w:t>Boîte de 5</w:t>
            </w:r>
          </w:p>
        </w:tc>
        <w:tc>
          <w:tcPr>
            <w:tcW w:type="dxa" w:w="1559"/>
          </w:tcPr>
          <w:p>
            <w:r>
              <w:rPr>
                <w:sz w:val="20"/>
              </w:rPr>
              <w:t>—</w:t>
            </w:r>
          </w:p>
        </w:tc>
        <w:tc>
          <w:tcPr>
            <w:tcW w:type="dxa" w:w="1559"/>
          </w:tcPr>
          <w:p>
            <w:r>
              <w:rPr>
                <w:sz w:val="20"/>
              </w:rPr>
              <w:t>Retiré</w:t>
            </w:r>
          </w:p>
        </w:tc>
      </w:tr>
      <w:tr>
        <w:tc>
          <w:tcPr>
            <w:tcW w:type="dxa" w:w="1559"/>
          </w:tcPr>
          <w:p>
            <w:r>
              <w:rPr>
                <w:sz w:val="20"/>
              </w:rPr>
              <w:t>FERRUM HAUSSMANN (inj.)</w:t>
            </w:r>
          </w:p>
        </w:tc>
        <w:tc>
          <w:tcPr>
            <w:tcW w:type="dxa" w:w="1559"/>
          </w:tcPr>
          <w:p>
            <w:r>
              <w:rPr>
                <w:sz w:val="20"/>
              </w:rPr>
              <w:t>Abdi Ibrahim</w:t>
            </w:r>
          </w:p>
        </w:tc>
        <w:tc>
          <w:tcPr>
            <w:tcW w:type="dxa" w:w="1559"/>
          </w:tcPr>
          <w:p>
            <w:r>
              <w:rPr>
                <w:sz w:val="20"/>
              </w:rPr>
              <w:t>Solution injectable, hydroxyde ferrique polymaltose 100 mg/2 mL fer élément</w:t>
            </w:r>
          </w:p>
        </w:tc>
        <w:tc>
          <w:tcPr>
            <w:tcW w:type="dxa" w:w="1559"/>
          </w:tcPr>
          <w:p>
            <w:r>
              <w:rPr>
                <w:sz w:val="20"/>
              </w:rPr>
              <w:t>Boîte de 5 ampoules de 2 mL</w:t>
            </w:r>
          </w:p>
        </w:tc>
        <w:tc>
          <w:tcPr>
            <w:tcW w:type="dxa" w:w="1559"/>
          </w:tcPr>
          <w:p>
            <w:r>
              <w:rPr>
                <w:sz w:val="20"/>
              </w:rPr>
              <w:t>—</w:t>
            </w:r>
          </w:p>
        </w:tc>
        <w:tc>
          <w:tcPr>
            <w:tcW w:type="dxa" w:w="1559"/>
          </w:tcPr>
          <w:p>
            <w:r>
              <w:rPr>
                <w:sz w:val="20"/>
              </w:rPr>
              <w:t>Retiré</w:t>
            </w:r>
          </w:p>
        </w:tc>
      </w:tr>
      <w:tr>
        <w:tc>
          <w:tcPr>
            <w:tcW w:type="dxa" w:w="1559"/>
          </w:tcPr>
          <w:p>
            <w:r>
              <w:rPr>
                <w:sz w:val="20"/>
              </w:rPr>
              <w:t>TRIFER (buv., 5 mL)</w:t>
            </w:r>
          </w:p>
        </w:tc>
        <w:tc>
          <w:tcPr>
            <w:tcW w:type="dxa" w:w="1559"/>
          </w:tcPr>
          <w:p>
            <w:r>
              <w:rPr>
                <w:sz w:val="20"/>
              </w:rPr>
              <w:t>Abdi Ibrahim</w:t>
            </w:r>
          </w:p>
        </w:tc>
        <w:tc>
          <w:tcPr>
            <w:tcW w:type="dxa" w:w="1559"/>
          </w:tcPr>
          <w:p>
            <w:r>
              <w:rPr>
                <w:sz w:val="20"/>
              </w:rPr>
              <w:t>Solution buvable, hydroxyde ferrique polymaltose 100 mg fer élément</w:t>
            </w:r>
          </w:p>
        </w:tc>
        <w:tc>
          <w:tcPr>
            <w:tcW w:type="dxa" w:w="1559"/>
          </w:tcPr>
          <w:p>
            <w:r>
              <w:rPr>
                <w:sz w:val="20"/>
              </w:rPr>
              <w:t>Boîte de 10 flacons de 5 mL</w:t>
            </w:r>
          </w:p>
        </w:tc>
        <w:tc>
          <w:tcPr>
            <w:tcW w:type="dxa" w:w="1559"/>
          </w:tcPr>
          <w:p>
            <w:r>
              <w:rPr>
                <w:sz w:val="20"/>
              </w:rPr>
              <w:t>—</w:t>
            </w:r>
          </w:p>
        </w:tc>
        <w:tc>
          <w:tcPr>
            <w:tcW w:type="dxa" w:w="1559"/>
          </w:tcPr>
          <w:p>
            <w:r>
              <w:rPr>
                <w:sz w:val="20"/>
              </w:rPr>
              <w:t>Retiré</w:t>
            </w:r>
          </w:p>
        </w:tc>
      </w:tr>
      <w:tr>
        <w:tc>
          <w:tcPr>
            <w:tcW w:type="dxa" w:w="1559"/>
          </w:tcPr>
          <w:p>
            <w:r>
              <w:rPr>
                <w:sz w:val="20"/>
              </w:rPr>
              <w:t>FER UCB</w:t>
            </w:r>
          </w:p>
        </w:tc>
        <w:tc>
          <w:tcPr>
            <w:tcW w:type="dxa" w:w="1559"/>
          </w:tcPr>
          <w:p>
            <w:r>
              <w:rPr>
                <w:sz w:val="20"/>
              </w:rPr>
              <w:t>LAD</w:t>
            </w:r>
          </w:p>
        </w:tc>
        <w:tc>
          <w:tcPr>
            <w:tcW w:type="dxa" w:w="1559"/>
          </w:tcPr>
          <w:p>
            <w:r>
              <w:rPr>
                <w:sz w:val="20"/>
              </w:rPr>
              <w:t>Solution buvable, chlorure ferreux tétrahydrate 50 mg/5 mL Fe II (= 178 mg/5 mL de sel)</w:t>
            </w:r>
          </w:p>
        </w:tc>
        <w:tc>
          <w:tcPr>
            <w:tcW w:type="dxa" w:w="1559"/>
          </w:tcPr>
          <w:p>
            <w:r>
              <w:rPr>
                <w:sz w:val="20"/>
              </w:rPr>
              <w:t>Boîte de 20 ampoules de 5 mL</w:t>
            </w:r>
          </w:p>
        </w:tc>
        <w:tc>
          <w:tcPr>
            <w:tcW w:type="dxa" w:w="1559"/>
          </w:tcPr>
          <w:p>
            <w:r>
              <w:rPr>
                <w:sz w:val="20"/>
              </w:rPr>
              <w:t>—</w:t>
            </w:r>
          </w:p>
        </w:tc>
        <w:tc>
          <w:tcPr>
            <w:tcW w:type="dxa" w:w="1559"/>
          </w:tcPr>
          <w:p>
            <w:r>
              <w:rPr>
                <w:sz w:val="20"/>
              </w:rPr>
              <w:t>Retiré</w:t>
            </w:r>
          </w:p>
        </w:tc>
      </w:tr>
      <w:tr>
        <w:tc>
          <w:tcPr>
            <w:tcW w:type="dxa" w:w="1559"/>
          </w:tcPr>
          <w:p>
            <w:r>
              <w:rPr>
                <w:sz w:val="20"/>
              </w:rPr>
              <w:t>FERSUCAL</w:t>
            </w:r>
          </w:p>
        </w:tc>
        <w:tc>
          <w:tcPr>
            <w:tcW w:type="dxa" w:w="1559"/>
          </w:tcPr>
          <w:p>
            <w:r>
              <w:rPr>
                <w:sz w:val="20"/>
              </w:rPr>
              <w:t>SOPHAL</w:t>
            </w:r>
          </w:p>
        </w:tc>
        <w:tc>
          <w:tcPr>
            <w:tcW w:type="dxa" w:w="1559"/>
          </w:tcPr>
          <w:p>
            <w:r>
              <w:rPr>
                <w:sz w:val="20"/>
              </w:rPr>
              <w:t>Solution injectable IV, hydroxyde ferrique saccharose 20 mg/mL (100 mg/5 mL) fer ferrique</w:t>
            </w:r>
          </w:p>
        </w:tc>
        <w:tc>
          <w:tcPr>
            <w:tcW w:type="dxa" w:w="1559"/>
          </w:tcPr>
          <w:p>
            <w:r>
              <w:rPr>
                <w:sz w:val="20"/>
              </w:rPr>
              <w:t>Boîte de 5 ampoules de 5 mL</w:t>
            </w:r>
          </w:p>
        </w:tc>
        <w:tc>
          <w:tcPr>
            <w:tcW w:type="dxa" w:w="1559"/>
          </w:tcPr>
          <w:p>
            <w:r>
              <w:rPr>
                <w:sz w:val="20"/>
              </w:rPr>
              <w:t>—</w:t>
            </w:r>
          </w:p>
        </w:tc>
        <w:tc>
          <w:tcPr>
            <w:tcW w:type="dxa" w:w="1559"/>
          </w:tcPr>
          <w:p>
            <w:r>
              <w:rPr>
                <w:sz w:val="20"/>
              </w:rPr>
              <w:t>Retiré</w:t>
            </w:r>
          </w:p>
        </w:tc>
      </w:tr>
      <w:tr>
        <w:tc>
          <w:tcPr>
            <w:tcW w:type="dxa" w:w="1559"/>
          </w:tcPr>
          <w:p>
            <w:r>
              <w:rPr>
                <w:sz w:val="20"/>
              </w:rPr>
              <w:t>TRIFEDYL</w:t>
            </w:r>
          </w:p>
        </w:tc>
        <w:tc>
          <w:tcPr>
            <w:tcW w:type="dxa" w:w="1559"/>
          </w:tcPr>
          <w:p>
            <w:r>
              <w:rPr>
                <w:sz w:val="20"/>
              </w:rPr>
              <w:t>Biorem</w:t>
            </w:r>
          </w:p>
        </w:tc>
        <w:tc>
          <w:tcPr>
            <w:tcW w:type="dxa" w:w="1559"/>
          </w:tcPr>
          <w:p>
            <w:r>
              <w:rPr>
                <w:sz w:val="20"/>
              </w:rPr>
              <w:t>Comprimé à croquer, hydroxyde ferrique polymaltose 100 mg fer ferrique</w:t>
            </w:r>
          </w:p>
        </w:tc>
        <w:tc>
          <w:tcPr>
            <w:tcW w:type="dxa" w:w="1559"/>
          </w:tcPr>
          <w:p>
            <w:r>
              <w:rPr>
                <w:sz w:val="20"/>
              </w:rPr>
              <w:t>Boîte de 30</w:t>
            </w:r>
          </w:p>
        </w:tc>
        <w:tc>
          <w:tcPr>
            <w:tcW w:type="dxa" w:w="1559"/>
          </w:tcPr>
          <w:p>
            <w:r>
              <w:rPr>
                <w:sz w:val="20"/>
              </w:rPr>
              <w:t>—</w:t>
            </w:r>
          </w:p>
        </w:tc>
        <w:tc>
          <w:tcPr>
            <w:tcW w:type="dxa" w:w="1559"/>
          </w:tcPr>
          <w:p>
            <w:r>
              <w:rPr>
                <w:sz w:val="20"/>
              </w:rPr>
              <w:t>Retiré</w:t>
            </w:r>
          </w:p>
        </w:tc>
      </w:tr>
    </w:tbl>
    <w:p/>
    <w:p>
      <w:pPr>
        <w:pStyle w:val="Heading4"/>
      </w:pPr>
      <w:r>
        <w:t>1. Mécanisme d'action</w:t>
      </w:r>
    </w:p>
    <w:p>
      <w:r>
        <w:t xml:space="preserve">Le fer thérapeutique agit en restaurant les pools cellulaires de fer fonctionnel et de réserve, permettant la synthèse de l'hémoglobine, de la myoglobine et des enzymes fer-dépendantes. </w:t>
      </w:r>
      <w:r>
        <w:rPr>
          <w:b/>
        </w:rPr>
        <w:t>Le fer oral (sulfate, fumarate, polymaltose)</w:t>
      </w:r>
      <w:r>
        <w:t xml:space="preserve"> est absorbé au niveau du duodénum et du jéjunum proximal sous forme ferreuse Fe²⁺ (le fer ferrique Fe³⁺ doit être réduit en Fe²⁺ par la ferriréductase DCYTB apicale puis transporté par le divalent metal transporter DMT1). Le fer non-hème (sels ferreux, polymaltose) est absorbé à 5–15 % selon les réserves (régulation par hepcidine qui internalise la ferroportine basolatérale). Le fer hème (viande rouge) est absorbé à 25–35 % via un transporteur HCP1 spécifique.</w:t>
      </w:r>
    </w:p>
    <w:p>
      <w:r/>
      <w:r>
        <w:rPr>
          <w:b/>
        </w:rPr>
        <w:t>Le sulfate ferreux</w:t>
      </w:r>
      <w:r>
        <w:t xml:space="preserve"> libère le Fe²⁺ directement dans la lumière intestinale, rapidement absorbé mais avec des effets indésirables digestifs (gastralgies, nausées, constipation, selles noires) liés à la génération d'espèces réactives de l'oxygène et à l'irritation directe de la muqueuse. </w:t>
      </w:r>
      <w:r>
        <w:rPr>
          <w:b/>
        </w:rPr>
        <w:t>Le fumarate ferreux</w:t>
      </w:r>
      <w:r>
        <w:t xml:space="preserve"> a un profil similaire avec une tolérance légèrement supérieure. </w:t>
      </w:r>
      <w:r>
        <w:rPr>
          <w:b/>
        </w:rPr>
        <w:t>Le complexe hydroxyde ferrique-polymaltose</w:t>
      </w:r>
      <w:r>
        <w:t xml:space="preserve"> (fer ferrique Fe³⁺ complexé à un polymère de maltose) est absorbé par un mécanisme indépendant du DMT1, probablement par endocytose du complexe entier puis libération intracellulaire du fer ; sa biodisponibilité est équivalente à celle du sulfate ferreux mais avec une tolérance digestive nettement meilleure (absence d'irritation directe, libération lente). </w:t>
      </w:r>
      <w:r>
        <w:rPr>
          <w:b/>
        </w:rPr>
        <w:t>Le complexe hydroxyde ferrique-saccharose</w:t>
      </w:r>
      <w:r>
        <w:t xml:space="preserve"> est réservé à la voie IV stricte ; il est capté par les macrophages (foie, rate, moelle) via la transferrine puis libéré progressivement vers les précurseurs érythroïdes médullaires. </w:t>
      </w:r>
      <w:r>
        <w:rPr>
          <w:b/>
        </w:rPr>
        <w:t>La carboxymaltose ferrique</w:t>
      </w:r>
      <w:r>
        <w:t xml:space="preserve"> (FERINJECT) permet une injection unique de 1 g (dose totale de carence calculée par formule de Ganzoni) en une perfusion IV de 15 min, avec un profil de tolérance supérieur au saccharose (moins d'hypotension et de réactions allergiques).</w:t>
      </w:r>
    </w:p>
    <w:p>
      <w:r>
        <w:t>Le fer absorbé est transporté dans le plasma par la transferrine (glycoprotéine β-globuline synthétisée par le foie, capacité totale de fixation 330 μg/dL, saturation physiologique 20–45 %). Le fer est capté par les cellules via le récepteur de la transferrine 1 (TfR1) après reconnaissance du complexe Fe-transferrine, internalisé dans les endosomes (pH acide libère le fer), puis le fer est transporté dans la mitochondrie pour l'hème synthase et la ferritine pour la réserve. L'hémoglobine contient 4 atomes de fer par tétramère (2 α + 2 β), assurant le transport de 4 molécules d'O₂ par molécule d'Hb. La myoglobine musculaire contient 1 atome de fer par monomère, facilitant la diffusion de l'O₂ vers la mitochondrie. Les cytochromes a, b, c, le complexe I (NADH deshydrogénase), le complexe II (succinate deshydrogénase), le complexe III (cytochrome bc1), le complexe IV (cytochrome C oxydase) contiennent chacun des atomes de fer alternant Fe²⁺/Fe³⁺ pour la chaîne de transport électronique. La ribonucléotide réductase (synthèse d'ADN) et la catalase (détoxification du H₂O₂) sont également fer-dépendantes.</w:t>
      </w:r>
    </w:p>
    <w:p>
      <w:pPr>
        <w:pStyle w:val="Heading4"/>
      </w:pPr>
      <w:r>
        <w:t>2. Profil pharmacocinétique</w:t>
      </w:r>
    </w:p>
    <w:p>
      <w:r>
        <w:t>L'absorption du fer oral est régulée par l'hepcidine, peptide de 25 acides aminés synthétisé par le foie en réponse à la réserve en fer (via BMP6-SMAD) et à l'inflammation (via IL-6-JAK-STAT3). L'hepcidine se fixe à la ferroportine basolatérale des entérocytes, des macrophages et des hépatocytes, provoquant son internalisation et sa dégradation lysosomale, ce qui bloque la libération du fer vers le plasma. La fraction absorbée varie donc de 5 % (en cas de surcharge) à 35 % (en cas de carence profonde), avec une saturation à forte dose (d'où l'intérêt du fractionnement et de l'espacement des prises). Le pic d'absorption est atteint en 2–4 heures.</w:t>
      </w:r>
    </w:p>
    <w:p>
      <w:r>
        <w:t>La distribution tissulaire du fer est essentiellement médullaire (80 %, captation par les érythroblastes via TfR1), hépatique (10 %, réserve en ferritine), musculaire (5 %, myoglobine) et systémique (5 %, enzymes). La demi-vie plasmatique du fer-transferrine est de 60–90 minutes. La ferritine sérique (12–300 μg/L chez la femme, 15–400 μg/L chez l'homme) reflète la réserve tissulaire en fer (1 μg/L = 8–10 mg de fer stocké). Le coefficient de saturation de la transferrine (CST, normal 20–45 %) reflète le fer circulant fonctionnel. La demi-vie de l'hémoglobine est de 120 jours (renouvellement de 1 % par jour, soit 20 mg de fer recyclé par les macrophages spléniques et hépatiques via CD163+hème oxygénase-1). L'élimination du fer est impossible activement : seules les pertes physiologiques (sueur 1 mg/j, desquamation digestive 0,5 mg/j, menstruations 0,5–1 mg/j chez la femme réglée) permettent l'équilibre. Le fer injectable (saccharose, polymaltose, carboxymaltose) est capté par les macrophages du SRE (système réticulo-endothélial) en 24–48 heures, puis libéré progressivement vers la moelle sur plusieurs semaines.</w:t>
      </w:r>
    </w:p>
    <w:p>
      <w:pPr>
        <w:pStyle w:val="Heading4"/>
      </w:pPr>
      <w:r>
        <w:t>3. Prévention des effets indésirables</w:t>
      </w:r>
    </w:p>
    <w:p>
      <w:r>
        <w:t xml:space="preserve">La prévention des effets indésirables du fer repose sur six piliers. </w:t>
      </w:r>
      <w:r>
        <w:rPr>
          <w:b/>
        </w:rPr>
        <w:t>Premièrement, choix du sel adapté au terrain</w:t>
      </w:r>
      <w:r>
        <w:t xml:space="preserve"> : sulfate ferreux chez l'adulte non compliquant ; polymaltose chez l'enfant, la femme enceinte et le sujet intolerant au sulfate ; saccharose ou carboxymaltose IV en cas d'IRC, de malabsorption, d'intolérance orale ou de carence sévère nécessitant une recharge rapide. </w:t>
      </w:r>
      <w:r>
        <w:rPr>
          <w:b/>
        </w:rPr>
        <w:t>Deuxièmement, modalités de prise orale</w:t>
      </w:r>
      <w:r>
        <w:t xml:space="preserve"> : prendre à jeun (augmentation de 50 % de l'absorption) si possible, sinon au cours du repas en cas d'intolérance ; éviter le thé, le café, le calcium, les laitages dans l'heure qui précède (chélation des tanins et des phosphates) ; associer à la vitamine C (acide ascorbique 200–500 mg) qui potentialise l'absorption en réduisant le Fe³⁺ en Fe²⁺ et en chélatant le fer dans la lumière intestinale (cf. TIMOFEROL qui associe déjà fer + vitamine C).</w:t>
      </w:r>
    </w:p>
    <w:p>
      <w:r/>
      <w:r>
        <w:rPr>
          <w:b/>
        </w:rPr>
        <w:t>Troisièmement, surveillance biologique</w:t>
      </w:r>
      <w:r>
        <w:t xml:space="preserve"> : NFS et ferritine à J0, J14 (réticulocytes en pic), J30, J60, J90 (réponse thérapeutique attendue : augmentation de l'Hb de 1 g/dL en 3 semaines, de 2 g/dL en 6 semaines, normalisation de la ferritine en 3–6 mois). </w:t>
      </w:r>
      <w:r>
        <w:rPr>
          <w:b/>
        </w:rPr>
        <w:t>Quatrièmement, prévention de la toxicité digestive</w:t>
      </w:r>
      <w:r>
        <w:t xml:space="preserve"> : fractionner les doses (2 à 3 prises par jour au lieu d'une dose unique), commencer par dose réduite (50 mg/j) puis augmenter progressivement, privilégier le polymaltose (mieux toléré) chez le sujet à terrain digestif sensible. </w:t>
      </w:r>
      <w:r>
        <w:rPr>
          <w:b/>
        </w:rPr>
        <w:t>Cinquièmement, prévention du surdosage accidentel de l'enfant</w:t>
      </w:r>
      <w:r>
        <w:t xml:space="preserve"> : conditionner le fer sous-emballage de sécurité, ne jamais transvaser dans un flacon alimentaire, conserver hors de portée des enfants (le surdosage martial est la première cause de mortalité intoxicologique pédiatrique après 1 an — dose toxique 20 mg/kg, dose létale 60 mg/kg). </w:t>
      </w:r>
      <w:r>
        <w:rPr>
          <w:b/>
        </w:rPr>
        <w:t>Sixièmement, surveillance sous fer IV</w:t>
      </w:r>
      <w:r>
        <w:t xml:space="preserve"> : environnement médicalisé, surveillance tensionnelle et respiratoire pendant et 30 min après la perfusion, tests préalables (dose test pour saccharose si antécédent allergique), équipement de réanimation disponible, contre-indication stricte en cas d' hypersensibilité connue, d'infection active non traitée (le fer favorise la croissance bactérienne), d'hépato-pathologie décompensée. Enfin, ne pas administrer de fer IV en cas de cirrhose décompensée, d'insuffisance hépatocellulaire sévère ou de surcharge martiale préexistante (hémochromatose, thalassémie majeure).</w:t>
      </w:r>
    </w:p>
    <w:p>
      <w:pPr>
        <w:pStyle w:val="Heading4"/>
      </w:pPr>
      <w:r>
        <w:t>4. Interactions médicamenteuses</w:t>
      </w:r>
    </w:p>
    <w:p>
      <w:r>
        <w:t xml:space="preserve">Le fer présente plusieurs interactions médicamenteuses cliniquement significatives. </w:t>
      </w:r>
      <w:r>
        <w:rPr>
          <w:b/>
        </w:rPr>
        <w:t>Avec le calcium, le magnésium, l'aluminium</w:t>
      </w:r>
      <w:r>
        <w:t xml:space="preserve"> (antiacides, suppléments calciques) : chélation intestinale, réduction de l'absorption de 50 % ; espacer de 2 heures minimum. </w:t>
      </w:r>
      <w:r>
        <w:rPr>
          <w:b/>
        </w:rPr>
        <w:t>Avec les tétracyclines</w:t>
      </w:r>
      <w:r>
        <w:t xml:space="preserve"> (doxycycline, minocycline, lymécycline) : chélation réciproque, l'absorption des deux est réduite de 50–90 % ; espacer de 3 heures. </w:t>
      </w:r>
      <w:r>
        <w:rPr>
          <w:b/>
        </w:rPr>
        <w:t>Avec les fluoroquinolones</w:t>
      </w:r>
      <w:r>
        <w:t xml:space="preserve"> (ciprofloxacine, lévofloxacine, moxifloxacine) : chélation, réduction de 50 % de la biodisponibilité ; espacer de 2 heures. </w:t>
      </w:r>
      <w:r>
        <w:rPr>
          <w:b/>
        </w:rPr>
        <w:t>Avec la lévothyroxine</w:t>
      </w:r>
      <w:r>
        <w:t xml:space="preserve"> : réduction de l'absorption de la T4 de 30–40 % ; espacer de 4 heures minimum. </w:t>
      </w:r>
      <w:r>
        <w:rPr>
          <w:b/>
        </w:rPr>
        <w:t>Avec la pénicillamine, le méthylodopa, la levodopa</w:t>
      </w:r>
      <w:r>
        <w:t xml:space="preserve"> : chélation réduisant l'absorption de l'un et de l'autre ; espacer de 2 heures.</w:t>
      </w:r>
    </w:p>
    <w:p>
      <w:r/>
      <w:r>
        <w:rPr>
          <w:b/>
        </w:rPr>
        <w:t>Avec les IPP et les anti-H2</w:t>
      </w:r>
      <w:r>
        <w:t xml:space="preserve"> : réduction de l'absorption du sulfate ferreux (qui nécessite un pH gastrique acide pour se solubiliser), mais pas du polymaltose (absorption indépendante du pH) ; préférer le polymaltose sous IPP. </w:t>
      </w:r>
      <w:r>
        <w:rPr>
          <w:b/>
        </w:rPr>
        <w:t>Avec les inhibiteurs de l'absorption du fer</w:t>
      </w:r>
      <w:r>
        <w:t xml:space="preserve"> : thé (tanins), café, lait (calcium), son (phytates), œuf (phosvitine), épinards (oxalates) — espacer de 1 heure. </w:t>
      </w:r>
      <w:r>
        <w:rPr>
          <w:b/>
        </w:rPr>
        <w:t>Avec la vitamine C (acide ascorbique)</w:t>
      </w:r>
      <w:r>
        <w:t xml:space="preserve"> : potentialisation de l'absorption de 2 à 3 fois, d'où l'intérêt de l'association systématique (TIMOFEROL fer + vitamine C). </w:t>
      </w:r>
      <w:r>
        <w:rPr>
          <w:b/>
        </w:rPr>
        <w:t>Avec les hormones estroprogestatives</w:t>
      </w:r>
      <w:r>
        <w:t xml:space="preserve"> : pas d'interaction notable, mais la contraception orale augmente le risque de carence en fer par ménorragies. </w:t>
      </w:r>
      <w:r>
        <w:rPr>
          <w:b/>
        </w:rPr>
        <w:t>Avec les anticoagulants oraux</w:t>
      </w:r>
      <w:r>
        <w:t xml:space="preserve"> (AVK) : pas d'interaction directe, mais le fer corrige l'anémie qui peut aggraver le saignement. </w:t>
      </w:r>
      <w:r>
        <w:rPr>
          <w:b/>
        </w:rPr>
        <w:t>Avec les ACE et ARAII</w:t>
      </w:r>
      <w:r>
        <w:t xml:space="preserve"> : pas d'interaction directe, mais surveillance de la kaliémie (les IEC augmentent la kaliémie, l'anémie l'aggrave). Enfin, </w:t>
      </w:r>
      <w:r>
        <w:rPr>
          <w:b/>
        </w:rPr>
        <w:t>avec les injections de fer</w:t>
      </w:r>
      <w:r>
        <w:t xml:space="preserve"> : risque d'hypotension, de réactions anaphylactoïdes (surtout avec le dextran fer, non disponible en Algérie), d'hypophosphatémie (carboxymaltose, par augmentation de la FGF23), de pigmentation cutanée en cas d'extravasation (réservoirs dermiques de fer).</w:t>
      </w:r>
    </w:p>
    <w:p>
      <w:pPr>
        <w:pStyle w:val="Heading4"/>
      </w:pPr>
      <w:r>
        <w:t>5. Grossesse et allaitement (CRAT)</w:t>
      </w:r>
    </w:p>
    <w:p>
      <w:r>
        <w:t xml:space="preserve">Selon le CRAT, le fer oral (sulfate, fumarate, polymaltose, ferrédétate) est </w:t>
      </w:r>
      <w:r>
        <w:rPr>
          <w:b/>
        </w:rPr>
        <w:t>utilisable à tous les trimestres de la grossesse</w:t>
      </w:r>
      <w:r>
        <w:t xml:space="preserve"> et constitue une supplémentation systématique recommandée par l'OMS chez la femme enceinte (60 mg/j de fer élément + 400 μg d'acide folique, dès le 1er trimestre et jusqu'à 3 mois post-partum) en cas d'apports alimentaires insuffisants ou de carence documentée. Les besoins en fer augmentent considérablement au cours de la grossesse : 1 000 mg au total (700 mg pour le fœtus et le placenta, 300 mg pour l'expansion du volume maternel), soit 5 mg/j au 1er trimestre, 7 mg/j au 2e trimestre, 10 mg/j au 3e trimestre — largement supérieurs aux apports alimentaires. Une carence martiale est associée à un risque accru de prématurité, d'hypotrophie fœtale, de mortalité périnatale et de retard de développement psychomoteur de l'enfant.</w:t>
      </w:r>
    </w:p>
    <w:p>
      <w:r>
        <w:t>Le polymaltose ferrique est le sel de référence pendant la grossesse en raison de sa meilleure tolérance digestive (les nausées et vomissements gravidiques sont aggravés par le sulfate ferreux). La dose recommandée est de 100 mg/j de fer élément (1 comprimé à sucer NOVO FER, POLYFER comprimé, ou 10 mL de sirop SELOFER-100, FERODAL 100 mg, GEOFER 100 mg). Le sulfate ferreux (TARDYFERON, NEOFERON) est également utilisable à la dose de 80–160 mg/j, mais sa tolérance digestive est moins bonne (préférer le soir au coucher). Les IV de fer (saccharose, carboxymaltose) sont réservées au 2e et 3e trimestres en cas de carence sévère avec intolérance orale ou malabsorption ; le saccharose (VENOFER, FEROMAX) est utilisé pendant la grossesse avec un bon profil de tolérance, la carboxymaltose (FERINJECT) est utilisable au 2e trimestre et au-delà. L'allaitement est possible sous fer oral (l'excrétion lactée est minime, 0,3–1 mg/j), sans risque pour le nouveau-né ; sous fer IV, attendre 24–48 heures après la dernière perfusion pour reprendre l'allaitement (par prudence).</w:t>
      </w:r>
    </w:p>
    <w:p>
      <w:pPr>
        <w:pStyle w:val="Heading4"/>
      </w:pPr>
      <w:r>
        <w:t>6. Posologie et mode d'administration</w:t>
      </w:r>
    </w:p>
    <w:p>
      <w:r/>
      <w:r>
        <w:rPr>
          <w:b/>
        </w:rPr>
        <w:t>Fer oral (sulfate ferreux) :</w:t>
      </w:r>
      <w:r/>
    </w:p>
    <w:p>
      <w:pPr>
        <w:pStyle w:val="ListBullet"/>
      </w:pPr>
      <w:r>
        <w:t>Adulte : 100 à 200 mg/jour de fer élément, soit 1 à 2 comprimés pelliculés de TARDYFERON 80 mg ou NEOFERON 80 mg par jour, en une ou deux prises, à jeun si possible sinon au cours du repas en cas d'intolérance. Durée : 3 à 6 mois pour reconstituer les réserves (ferritine &gt; 50 μg/L).</w:t>
      </w:r>
    </w:p>
    <w:p>
      <w:pPr>
        <w:pStyle w:val="ListBullet"/>
      </w:pPr>
      <w:r>
        <w:t>Femme enceinte : 100 mg/jour de fer élément dès le 1er trimestre et jusqu'à 3 mois post-partum (en association à l'acide folique 400 μg/j).</w:t>
      </w:r>
    </w:p>
    <w:p>
      <w:pPr>
        <w:pStyle w:val="ListBullet"/>
      </w:pPr>
      <w:r>
        <w:t>Enfant &gt; 30 kg : 50 à 100 mg/jour de fer élément.</w:t>
      </w:r>
    </w:p>
    <w:p>
      <w:pPr>
        <w:pStyle w:val="ListBullet"/>
      </w:pPr>
      <w:r>
        <w:t>Enfant &lt; 30 kg : 3 mg/kg/jour de fer élément.</w:t>
      </w:r>
    </w:p>
    <w:p>
      <w:r/>
      <w:r>
        <w:rPr>
          <w:b/>
        </w:rPr>
        <w:t>Fer oral (polymaltose ferrique) :</w:t>
      </w:r>
      <w:r/>
    </w:p>
    <w:p>
      <w:pPr>
        <w:pStyle w:val="ListBullet"/>
      </w:pPr>
      <w:r>
        <w:t>Adulte : 100 à 200 mg/jour de fer élément, soit 1 à 2 comprimés à sucer NOVO FER 100 mg ou POLYFER 100 mg par jour, ou 10 à 20 mL de sirop SELOFER-100, FERODAL 100 mg, GEOFER 100 mg, OROFER PLUS par jour.</w:t>
      </w:r>
    </w:p>
    <w:p>
      <w:pPr>
        <w:pStyle w:val="ListBullet"/>
      </w:pPr>
      <w:r>
        <w:t>Enfant &gt; 6 ans et &lt; 30 kg : 50 mg/jour (5 mL de sirop 100 mg/5 mL ou 1 mL de gouttes 50 mg/mL).</w:t>
      </w:r>
    </w:p>
    <w:p>
      <w:pPr>
        <w:pStyle w:val="ListBullet"/>
      </w:pPr>
      <w:r>
        <w:t>Enfant &lt; 6 ans : 3 mg/kg/jour (gouttes : 1 goutte = 1,3 mg de fer ; 1 mL = 50 mg de fer ; dose selon poids).</w:t>
      </w:r>
    </w:p>
    <w:p>
      <w:pPr>
        <w:pStyle w:val="ListBullet"/>
      </w:pPr>
      <w:r>
        <w:t>Nourrisson (après 4 mois) : 2,5 à 5 mL de sirop 50 mg/5 mL par jour.</w:t>
      </w:r>
    </w:p>
    <w:p>
      <w:r/>
      <w:r>
        <w:rPr>
          <w:b/>
        </w:rPr>
        <w:t>Fer IV (saccharose, VENOFER) :</w:t>
      </w:r>
      <w:r/>
    </w:p>
    <w:p>
      <w:pPr>
        <w:pStyle w:val="ListBullet"/>
      </w:pPr>
      <w:r>
        <w:t>Dose totale calculée par formule de Ganzoni : Poids (kg) × (Hb cible − Hb actuelle) (g/dL) × 2,4 + réservoir martiale (500 mg si poids &lt; 35 kg, 1000 mg si poids ≥ 35 kg).</w:t>
      </w:r>
    </w:p>
    <w:p>
      <w:pPr>
        <w:pStyle w:val="ListBullet"/>
      </w:pPr>
      <w:r>
        <w:t>Adulte : 100 mg (5 mL) en perfusion IV lente de 15 min ou 200 mg (10 mL) en perfusion de 30 min, 2 à 3 fois par semaine, jusqu'à dose totale.</w:t>
      </w:r>
    </w:p>
    <w:p>
      <w:pPr>
        <w:pStyle w:val="ListBullet"/>
      </w:pPr>
      <w:r>
        <w:t>Insuffisant rénal dialysé : 100 mg (5 mL) en IV lente 5 min pendant les 10 premières minutes de dialyse, 2 à 3 fois par semaine.</w:t>
      </w:r>
    </w:p>
    <w:p>
      <w:pPr>
        <w:pStyle w:val="ListBullet"/>
      </w:pPr>
      <w:r>
        <w:t>Maximum par séance : 200 mg (10 mL), ne pas dépasser 7 mg/kg de poids corporel par séance.</w:t>
      </w:r>
    </w:p>
    <w:p>
      <w:r/>
      <w:r>
        <w:rPr>
          <w:b/>
        </w:rPr>
        <w:t>Fer IV (carboxymaltose, FERINJECT) :</w:t>
      </w:r>
      <w:r/>
    </w:p>
    <w:p>
      <w:pPr>
        <w:pStyle w:val="ListBullet"/>
      </w:pPr>
      <w:r>
        <w:t>Dose unique de 1 g (2 flacons de 10 mL = 500 mg chacun) en perfusion IV de 15 min, ou 1,5 g en perfusion de 30 min si carence sévère.</w:t>
      </w:r>
    </w:p>
    <w:p>
      <w:pPr>
        <w:pStyle w:val="ListBullet"/>
      </w:pPr>
      <w:r>
        <w:t>Réévaluation à J14 (NFS, ferritine), 2e injection de 1 g si nécessaire.</w:t>
      </w:r>
    </w:p>
    <w:p>
      <w:pPr>
        <w:pStyle w:val="ListBullet"/>
      </w:pPr>
      <w:r>
        <w:t>Dose totale maximale : 20 mg/kg soit 1 500 mg pour un adulte de 75 kg.</w:t>
      </w:r>
    </w:p>
    <w:p>
      <w:pPr>
        <w:pStyle w:val="Heading4"/>
      </w:pPr>
      <w:r>
        <w:t>7. Formes galéniques disponibles</w:t>
      </w:r>
    </w:p>
    <w:p>
      <w:r>
        <w:t xml:space="preserve">Le marché algérien propose une diversité remarquable de formes galéniques pour le fer, reflétant les besoins variables selon l'âge, le terrain et le contexte clinique. </w:t>
      </w:r>
      <w:r>
        <w:rPr>
          <w:b/>
        </w:rPr>
        <w:t>Comprimés pelliculés</w:t>
      </w:r>
      <w:r>
        <w:t xml:space="preserve"> (NEOFERON, TARDYFERON) : sulfate ferreux 80 mg, indiqué chez l'adulte, conditionnement boîte de 30, action prolongée 12–24 h, indiqué dans l'anémie ferriprive modérée à sévère. </w:t>
      </w:r>
      <w:r>
        <w:rPr>
          <w:b/>
        </w:rPr>
        <w:t>Comprimés à sucer</w:t>
      </w:r>
      <w:r>
        <w:t xml:space="preserve"> (NOVO FER, POLYFER comprimé, SELOFER-100 comprimé, TRIFEDYL) : hydroxyde ferrique polymaltose 100 mg, indiqué chez l'adulte et l'enfant &gt; 6 ans, tolérance digestive meilleure que le sulfate. </w:t>
      </w:r>
      <w:r>
        <w:rPr>
          <w:b/>
        </w:rPr>
        <w:t>Capsules gastro-résistantes</w:t>
      </w:r>
      <w:r>
        <w:t xml:space="preserve"> (FERRO SANOL DUODENAL) : complexe Fe II-glycine sulfate 100 mg, libération duodénale, tolérance gastrique améliorée. </w:t>
      </w:r>
      <w:r>
        <w:rPr>
          <w:b/>
        </w:rPr>
        <w:t>Gélules</w:t>
      </w:r>
      <w:r>
        <w:t xml:space="preserve"> (TIMOFEROL, INOFER) : sulfate ferreux 50 mg + acide ascorbique 30 mg (TIMOFEROL), succinate ferreux 32,48 mg + acide succinique 100 mg (INOFER), association à un potentialisateur d'absorption.</w:t>
      </w:r>
    </w:p>
    <w:p>
      <w:r/>
      <w:r>
        <w:rPr>
          <w:b/>
        </w:rPr>
        <w:t>Sirop</w:t>
      </w:r>
      <w:r>
        <w:t xml:space="preserve"> (FEROLAM, FERROMEX, FERACUR, FERROSTRANE : ferrédétate 4,75 g/100 mL ; FERODAL, FERRUM HAUSMANN, GEOFER, KINADYN FER, OROFER, POLYFER, CAREFER, SELOFER-50 : polymaltose 50 mg/5 mL ; FERODAL 100, GEOFER 100, OROFER PLUS, SELOFER-100 : polymaltose 100 mg/5 mL) : forme pédiatrique de référence, dose cuillère-mesure de 5 mL, goût agréable. </w:t>
      </w:r>
      <w:r>
        <w:rPr>
          <w:b/>
        </w:rPr>
        <w:t>Solution buvable en ampoules</w:t>
      </w:r>
      <w:r>
        <w:t xml:space="preserve"> (FER 3+, FERROCURE, GEOFER UNIDOSE, TRIFER) : polymaltose 100 mg/5 mL en ampoule unitaire, prise rapide en une fois, indiquée chez l'adulte et l'enfant &gt; 10 ans. </w:t>
      </w:r>
      <w:r>
        <w:rPr>
          <w:b/>
        </w:rPr>
        <w:t>Solution buvable en gouttes</w:t>
      </w:r>
      <w:r>
        <w:t xml:space="preserve"> (CAREFER gouttes, FERRUM HAUSMANN gouttes, FERRO SANOL) : polymaltose 50 mg/mL, flacon comptegouttes de 30 mL, indiquée chez le nourrisson et le jeune enfant (1 goutte = 1,3 mg de fer élément). </w:t>
      </w:r>
      <w:r>
        <w:rPr>
          <w:b/>
        </w:rPr>
        <w:t>Poudre orale</w:t>
      </w:r>
      <w:r>
        <w:t xml:space="preserve"> (FUMAFER poudre) : fumarate ferreux 100 mg/g, conditionnement en boîte de 50 g, forme économique. </w:t>
      </w:r>
      <w:r>
        <w:rPr>
          <w:b/>
        </w:rPr>
        <w:t>Solution injectable IV</w:t>
      </w:r>
      <w:r>
        <w:t xml:space="preserve"> (COSMOFER, FERINJECT, ENCIFER, FEROMAX, RAZIFER, VENOFER, VIVFER, MALTOFER inj., FERRUM HAUSSMANN inj., FERSUCAL) : réservée à l'usage hospitalier en cas de carence sévère, d'IRC, de malabsorption ou d'intolérance orale.</w:t>
      </w:r>
    </w:p>
    <w:p>
      <w:pPr>
        <w:pStyle w:val="Heading4"/>
      </w:pPr>
      <w:r>
        <w:t>8. Conseils au patient</w:t>
      </w:r>
    </w:p>
    <w:p>
      <w:r>
        <w:t xml:space="preserve">Au comptoir, le pharmacien doit transmettre plusieurs conseils au patient sous fer. </w:t>
      </w:r>
      <w:r>
        <w:rPr>
          <w:b/>
        </w:rPr>
        <w:t>Conseil n°1 — Modalités de prise</w:t>
      </w:r>
      <w:r>
        <w:t xml:space="preserve"> : prendre à jeun (1 heure avant le petit-déjeuner) si possible, sinon au cours du repas en cas d'intolérance ; éviter le thé, le café, le lait, le son, le jus d'orange enrichi en calcium dans l'heure qui précède ou qui suit. </w:t>
      </w:r>
      <w:r>
        <w:rPr>
          <w:b/>
        </w:rPr>
        <w:t>Conseil n°2 — Fractionnement</w:t>
      </w:r>
      <w:r>
        <w:t xml:space="preserve"> : mieux vaut 2 petites doses qu'une grande dose unique (meilleure absorption saturable, moindre effet digestif). </w:t>
      </w:r>
      <w:r>
        <w:rPr>
          <w:b/>
        </w:rPr>
        <w:t>Conseil n°3 — Coloration des selles</w:t>
      </w:r>
      <w:r>
        <w:t xml:space="preserve"> : les selles deviennent noires sous fer oral (ion ferrique non absorbé), c'est normal, sans gravité, ne pas confondre avec méléna. </w:t>
      </w:r>
      <w:r>
        <w:rPr>
          <w:b/>
        </w:rPr>
        <w:t>Conseil n°4 — Effets indésirables digestifs</w:t>
      </w:r>
      <w:r>
        <w:t xml:space="preserve"> : en cas de nausées, gastralgies, constipation, réduire la dose, passer au polymaltose (mieux toléré), augmenter l'hydratation et les fibres. </w:t>
      </w:r>
      <w:r>
        <w:rPr>
          <w:b/>
        </w:rPr>
        <w:t>Conseil n°5 — Vitamine C</w:t>
      </w:r>
      <w:r>
        <w:t xml:space="preserve"> : associer 200–500 mg d'acide ascorbique (orange, kiwi, vitamine C) pour potentialiser l'absorption.</w:t>
      </w:r>
    </w:p>
    <w:p>
      <w:r/>
      <w:r>
        <w:rPr>
          <w:b/>
        </w:rPr>
        <w:t>Conseil n°6 — Surveillance biologique</w:t>
      </w:r>
      <w:r>
        <w:t xml:space="preserve"> : NFS et ferritine à J0, J30, J90 ; augmentation attendue de l'Hb de 1 g/dL en 3 semaines, de 2 g/dL en 6 semaines. Si pas de réponse à J30, rechercher une cause (malabsorption, saignement occulte, inflammation, thalassémie). </w:t>
      </w:r>
      <w:r>
        <w:rPr>
          <w:b/>
        </w:rPr>
        <w:t>Conseil n°7 — Durée du traitement</w:t>
      </w:r>
      <w:r>
        <w:t xml:space="preserve"> : 3 à 6 mois pour reconstituer les réserves (ferritine &gt; 50 μg/L) ; ne pas arrêter au premier retour à la normale de l'Hb. </w:t>
      </w:r>
      <w:r>
        <w:rPr>
          <w:b/>
        </w:rPr>
        <w:t>Conseil n°8 — Conservation</w:t>
      </w:r>
      <w:r>
        <w:t xml:space="preserve"> : tenir hors de portée des enfants (surdosage martial mortel chez l'enfant, dose toxique 20 mg/kg, dose létale 60 mg/kg) ; conserver à température ambiante, à l'abri de l'humidité. </w:t>
      </w:r>
      <w:r>
        <w:rPr>
          <w:b/>
        </w:rPr>
        <w:t>Conseil n°9 — Femme enceinte</w:t>
      </w:r>
      <w:r>
        <w:t xml:space="preserve"> : ne pas arrêter le fer pendant la grossesse sans avis médical ; préférer le polymaltose (mieux toléré) en cas de nausées. </w:t>
      </w:r>
      <w:r>
        <w:rPr>
          <w:b/>
        </w:rPr>
        <w:t>Conseil n°10 — Forme IV</w:t>
      </w:r>
      <w:r>
        <w:t xml:space="preserve"> : en milieu hospitalier, signaler immédiatement tout flush, sensation de chaleur, vertige, dyspnée, douleur thoracique (réaction anaphylactoïde). </w:t>
      </w:r>
      <w:r>
        <w:rPr>
          <w:b/>
        </w:rPr>
        <w:t>Conseil n°11 — Alimentation riche en fer</w:t>
      </w:r>
      <w:r>
        <w:t xml:space="preserve"> : viande rouge, foie, boudin, légumineuses, épinards, céréales complètes — la supplémentation ne remplace pas une alimentation équilibrée. </w:t>
      </w:r>
      <w:r>
        <w:rPr>
          <w:b/>
        </w:rPr>
        <w:t>Conseil n°12 — Sportif</w:t>
      </w:r>
      <w:r>
        <w:t xml:space="preserve"> : le fer améliore la performance aérobie en cas de carence documentée, mais ne pas supplémenter sans dosage préalable (risque de surcharge). </w:t>
      </w:r>
      <w:r>
        <w:rPr>
          <w:b/>
        </w:rPr>
        <w:t>Conseil n°13 — Don de sang</w:t>
      </w:r>
      <w:r>
        <w:t xml:space="preserve"> : attendre 3 mois après le dernier don pour reconstituer les réserves ; supplémentation systématique chez les donneurs réguliers. </w:t>
      </w:r>
      <w:r>
        <w:rPr>
          <w:b/>
        </w:rPr>
        <w:t>Conseil n°14 — Dentisterie</w:t>
      </w:r>
      <w:r>
        <w:t xml:space="preserve"> : en cas de prise de sirop ou de gouttes, rincer la bouche après la prise (risque de coloration de l'émail dentaire).</w:t>
      </w:r>
    </w:p>
    <w:p>
      <w:pPr>
        <w:pStyle w:val="Heading4"/>
      </w:pPr>
      <w:r>
        <w:t>9. Pièges du comptoir</w:t>
      </w:r>
    </w:p>
    <w:p>
      <w:r>
        <w:t xml:space="preserve">Plusieurs pièges guettent le pharmacien d'officine face à une prescription de fer. </w:t>
      </w:r>
      <w:r>
        <w:rPr>
          <w:b/>
        </w:rPr>
        <w:t>Piège n°1 — Confusion sel de fer / fer élément</w:t>
      </w:r>
      <w:r>
        <w:t xml:space="preserve"> : 200 mg de sulfate ferreux = 65 mg de fer élément ; 100 mg de polymaltose = 100 mg de fer élément ; 80 mg de sulfate ferreux TARDYFERON = 80 mg de fer élément (formulation en fer élément) ; toujours vérifier la prescription et l'unité. </w:t>
      </w:r>
      <w:r>
        <w:rPr>
          <w:b/>
        </w:rPr>
        <w:t>Piège n°2 — Patient sous IPP</w:t>
      </w:r>
      <w:r>
        <w:t xml:space="preserve"> : le sulfate ferreux est mal absorbé sous oméprazole (pH gastrique moins acide), préférer le polymaltose (absorption indépendante du pH). </w:t>
      </w:r>
      <w:r>
        <w:rPr>
          <w:b/>
        </w:rPr>
        <w:t>Piège n°3 — Patient sous thyroxine</w:t>
      </w:r>
      <w:r>
        <w:t xml:space="preserve"> : le fer réduit l'absorption de la T4 de 30–40 % ; espacer de 4 heures, idéalement T4 le matin à jeun et fer le midi. </w:t>
      </w:r>
      <w:r>
        <w:rPr>
          <w:b/>
        </w:rPr>
        <w:t>Piège n°4 — Femme enceinte et polymaltose</w:t>
      </w:r>
      <w:r>
        <w:t xml:space="preserve"> : préférer le polymaltose au sulfate ferreux pendant la grossesse (meilleure tolérance digestive). </w:t>
      </w:r>
      <w:r>
        <w:rPr>
          <w:b/>
        </w:rPr>
        <w:t>Piège n°5 — Insuffisant rénal chronique dialysé</w:t>
      </w:r>
      <w:r>
        <w:t xml:space="preserve"> : fer oral souvent inefficace en raison de l'inflammation chronique et de l'hepcidine élevée ; recours au fer IV systématique (VENOFER, FERINJECT).</w:t>
      </w:r>
    </w:p>
    <w:p>
      <w:r/>
      <w:r>
        <w:rPr>
          <w:b/>
        </w:rPr>
        <w:t>Piège n°6 — Pas de réponse thérapeutique à J30</w:t>
      </w:r>
      <w:r>
        <w:t xml:space="preserve"> : rechercher une cause (saignement occulte digestif, malabsorption, syndrome inflammatoire, thalassémie, carence associée en vitamine B12 ou folates) avant d'augmenter la dose. </w:t>
      </w:r>
      <w:r>
        <w:rPr>
          <w:b/>
        </w:rPr>
        <w:t>Piège n°7 — Sédation d'automédication</w:t>
      </w:r>
      <w:r>
        <w:t xml:space="preserve"> : un patient qui prend du fer sans dosage préalable risque de surcharge martiale si mutation hémochromatose (C282Y homozygote, fréquence 0,5 % de la population nord-européenne) ; ne pas délivrer de fer sans prescription médicale. </w:t>
      </w:r>
      <w:r>
        <w:rPr>
          <w:b/>
        </w:rPr>
        <w:t>Piège n°8 — Forme IV</w:t>
      </w:r>
      <w:r>
        <w:t xml:space="preserve"> : ne jamais administrer le fer IV en IM (saccharose, carboxymaltose) ; respecter la vitesse de perfusion (15 min pour 100 mg de saccharose, 15 min pour 1 g de carboxymaltose) ; avoir une trousse de réanimation disponible. </w:t>
      </w:r>
      <w:r>
        <w:rPr>
          <w:b/>
        </w:rPr>
        <w:t>Piège n°9 — Enfant et surdosage</w:t>
      </w:r>
      <w:r>
        <w:t xml:space="preserve"> : ne jamais transvaser le sirop de fer dans un flacon alimentaire, conserver dans l'emballage d'origine avec bouchon de sécurité ; en cas d'ingestion accidentelle &gt; 20 mg/kg, adresser en urgence aux urgences pédiatriques (antidote : déféroxamine IV). </w:t>
      </w:r>
      <w:r>
        <w:rPr>
          <w:b/>
        </w:rPr>
        <w:t>Piège n°10 — Patient sous quinolone ou tétracycline</w:t>
      </w:r>
      <w:r>
        <w:t xml:space="preserve"> : chélation, espacer de 2–3 heures. </w:t>
      </w:r>
      <w:r>
        <w:rPr>
          <w:b/>
        </w:rPr>
        <w:t>Piège n°11 — Thalassémie</w:t>
      </w:r>
      <w:r>
        <w:t xml:space="preserve"> : ne pas supplémenter en fer sans dosage de la ferritine (surcharge martiale préexistante). </w:t>
      </w:r>
      <w:r>
        <w:rPr>
          <w:b/>
        </w:rPr>
        <w:t>Piège n°12 — Inflammation</w:t>
      </w:r>
      <w:r>
        <w:t xml:space="preserve"> : la ferritine est un réactif de phase aiguë, élevée en cas d'inflammation ou d'infection, ne pas interpréter seule (associer CST et CRP) ; ne pas supplémenter en fer en phase aiguë inflammatoire. </w:t>
      </w:r>
      <w:r>
        <w:rPr>
          <w:b/>
        </w:rPr>
        <w:t>Piège n°13 — Formes retirées/non renouvelables</w:t>
      </w:r>
      <w:r>
        <w:t xml:space="preserve"> : un certain nombre de spécialités historiques (FERROSTRANE, FUMAFER, FERRO SANOL, INOFER, FERCROVIS, FERODIUM, MALTOFER inj., FERRUM HAUSSMANN inj., FERSUCAL, TRIFEDYL) ne sont plus disponibles ; orienter vers les formes actives équivalentes.</w:t>
      </w:r>
    </w:p>
    <w:p>
      <w:pPr>
        <w:pStyle w:val="Heading2"/>
      </w:pPr>
      <w:r>
        <w:t>163.4 Sous-classe : Minéraux — Potassium</w:t>
      </w:r>
    </w:p>
    <w:p>
      <w:r>
        <w:t>Le potassium est le cation intracellulaire majeur de l'organisme, avec un pool corporel total de 3 500 à 4 000 mmol (soit 140–160 g) chez l'adulte, dont 98 % intracellulaire (concentration intracellulaire 140–150 mmol/L) et 2 % extracellulaire (kaliémie 3,5–5,0 mmol/L). Le gradient de concentration K+ intra/extracellulaire est maintenu par la pompe Na⁺/K⁺-ATPase (3 Na⁺ sortent / 2 K⁺ entrent par cycle ATP) et conditionne le potentiel de repos membranaire (−70 à −90 mV) de toutes les cellules excitable : neurones, cellules musculaires (squelettique, lisse, cardiaque), cellules endocrines. Le potassium est essentiel à la conduction nerveuse (potentiel d'action), à la contraction musculaire (potentiel d'action musculaire), à la conduction et à la repolarisation cardiaque (phase 3 du potentiel d'action), à la sécrétion hormonale (insuline, aldostérone) et à l'équilibre acido-basique (échange H⁺/K⁺ à travers la membrane cellulaire). La régulation homéostatique est assurée par l'axe rénine-angiotensine-aldostérone (aldostérone = augmentation de l'excrétion urinaire de K+ par le canal ROMK), l'insuline (internalisation du K+ par stimulation de la pompe Na/K-ATPase), les catécholamines β2 (même effet), l'équilibre acido-basique (acidémie = sortie du K+ cellulaire, alcalémie = entrée du K+).</w:t>
      </w:r>
    </w:p>
    <w:p>
      <w:r>
        <w:t>L'hypokaliémie (&lt; 3,5 mmol/L) provoque asthénie, crampes, faiblesse musculaire, iléus paralytique, polyurie (néphrogénique), allongement du QT, ondes U à l'ECG, et favorise les arythmies ventriculaires (extrasystoles, torsade de pointes) surtout chez le sujet sous digitalique. L'hyperkaliémie (&gt; 5,0 mmol/L) provoque asthénie, paresthésies, paralysie ascendante, et troubles ECG : ondes T tentées (dôme), élargissement du QRS, allongement du PR, disparition de l'onde P, aspect de « QRST » fusionné, asystolie et fibrillation ventriculaire au-delà de 7 mmol/L. L'hyperkaliémie &gt; 6,5 mmol/L avec troubles ECG est une urgence vitale nécessitant l'administration IV de gluconate de calcium (antagoniste membranaire), insulinoglucose (internalisation cellulaire), salbutamol (β2 agoniste), bicarbonate de sodium (si acidose), kayexalate ou diurétiques de l'anse (élimination rénale), dialyse en dernière intention.</w:t>
      </w:r>
    </w:p>
    <w:p>
      <w:pPr>
        <w:pStyle w:val="Heading3"/>
      </w:pPr>
      <w:r>
        <w:t>163.4.1 DCI : Potassium (chlorure, gluconate)</w:t>
      </w:r>
    </w:p>
    <w:p>
      <w:r/>
      <w:r>
        <w:rPr>
          <w:b/>
        </w:rPr>
        <w:t>Liste des catégories pharmaco-thérapeutiques :</w:t>
      </w:r>
      <w:r>
        <w:t xml:space="preserve"> Minéraux et électrolytes ; Potassium thérapeutique ; Supplémentation potassique ; Urgence métabolique (hyperkaliémie — par antagonisation calcique, voir chapitre Calcium) ; Liste I pour les formes injectables à diluer (chlorure de potassium IV).</w:t>
      </w:r>
    </w:p>
    <w:p>
      <w:r>
        <w:t>Le potassium, élément alcalin de masse atomique 39,10, est disponible en thérapeutique sous deux sels principaux : chlorure de potassium (voie orale à libération prolongée, voie IV à diluer dans une perfusion) et gluconate de potassium (voie orale sirop). Le chlorure de potassium est la forme de référence car elle associe potassium et chlore (anion indispensable pour maintenir l'électroneutralité, surtout en cas de pertes digestives riches en HCl) ; il est utilisé en supplémentation orale et IV. Le gluconate de potassium est une forme orale alternative, mieux tolérée sur le plan digestif mais apportant moins de chlore (utile en cas d'alcalose hypochlorémique, déconseillé en cas de déshydratation hyponatrémique). D'autres sels de potassium existent dans la nomenclature internationale (bicarbonate, citrate, acétate, phosphate) mais ne sont pas disponibles comme spécialités enregistrées en Algérie à la date d'avril 2026. Le chlorure de potassium IV est l'une des molécules les plus dangereuses de la pharmacopée : une injection IV directe (non diluée, non lente) provoque un arrêt cardiaque en diastole par hyperkaliémie foudroyante — d'où sa classification en Liste I et son administration strictement en perfusion diluée et lente.</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CHLORURE DE POTASSIUM AGUETTANT</w:t>
            </w:r>
          </w:p>
        </w:tc>
        <w:tc>
          <w:tcPr>
            <w:tcW w:type="dxa" w:w="1559"/>
          </w:tcPr>
          <w:p>
            <w:r>
              <w:rPr>
                <w:sz w:val="20"/>
              </w:rPr>
              <w:t>Aguettant</w:t>
            </w:r>
          </w:p>
        </w:tc>
        <w:tc>
          <w:tcPr>
            <w:tcW w:type="dxa" w:w="1559"/>
          </w:tcPr>
          <w:p>
            <w:r>
              <w:rPr>
                <w:sz w:val="20"/>
              </w:rPr>
              <w:t>Solution injectable à diluer, chlorure de potassium 10 % (0,1 g/mL)</w:t>
            </w:r>
          </w:p>
        </w:tc>
        <w:tc>
          <w:tcPr>
            <w:tcW w:type="dxa" w:w="1559"/>
          </w:tcPr>
          <w:p>
            <w:r>
              <w:rPr>
                <w:sz w:val="20"/>
              </w:rPr>
              <w:t>Boîte de 50 ampoules de 20 mL</w:t>
            </w:r>
          </w:p>
        </w:tc>
        <w:tc>
          <w:tcPr>
            <w:tcW w:type="dxa" w:w="1559"/>
          </w:tcPr>
          <w:p>
            <w:r>
              <w:rPr>
                <w:sz w:val="20"/>
              </w:rPr>
              <w:t>—</w:t>
            </w:r>
          </w:p>
        </w:tc>
        <w:tc>
          <w:tcPr>
            <w:tcW w:type="dxa" w:w="1559"/>
          </w:tcPr>
          <w:p>
            <w:r>
              <w:rPr>
                <w:sz w:val="20"/>
              </w:rPr>
              <w:t>Actif</w:t>
            </w:r>
          </w:p>
        </w:tc>
      </w:tr>
      <w:tr>
        <w:tc>
          <w:tcPr>
            <w:tcW w:type="dxa" w:w="1559"/>
          </w:tcPr>
          <w:p>
            <w:r>
              <w:rPr>
                <w:sz w:val="20"/>
              </w:rPr>
              <w:t>KALIPACK</w:t>
            </w:r>
          </w:p>
        </w:tc>
        <w:tc>
          <w:tcPr>
            <w:tcW w:type="dxa" w:w="1559"/>
          </w:tcPr>
          <w:p>
            <w:r>
              <w:rPr>
                <w:sz w:val="20"/>
              </w:rPr>
              <w:t>Industries Medico-Chirurgicales (IMC)</w:t>
            </w:r>
          </w:p>
        </w:tc>
        <w:tc>
          <w:tcPr>
            <w:tcW w:type="dxa" w:w="1559"/>
          </w:tcPr>
          <w:p>
            <w:r>
              <w:rPr>
                <w:sz w:val="20"/>
              </w:rPr>
              <w:t>Solution injectable à diluer, chlorure de potassium 10 % (0,1 g/mL)</w:t>
            </w:r>
          </w:p>
        </w:tc>
        <w:tc>
          <w:tcPr>
            <w:tcW w:type="dxa" w:w="1559"/>
          </w:tcPr>
          <w:p>
            <w:r>
              <w:rPr>
                <w:sz w:val="20"/>
              </w:rPr>
              <w:t>Ampoules de 10 mL</w:t>
            </w:r>
          </w:p>
        </w:tc>
        <w:tc>
          <w:tcPr>
            <w:tcW w:type="dxa" w:w="1559"/>
          </w:tcPr>
          <w:p>
            <w:r>
              <w:rPr>
                <w:sz w:val="20"/>
              </w:rPr>
              <w:t>Liste I</w:t>
            </w:r>
          </w:p>
        </w:tc>
        <w:tc>
          <w:tcPr>
            <w:tcW w:type="dxa" w:w="1559"/>
          </w:tcPr>
          <w:p>
            <w:r>
              <w:rPr>
                <w:sz w:val="20"/>
              </w:rPr>
              <w:t>Actif</w:t>
            </w:r>
          </w:p>
        </w:tc>
      </w:tr>
      <w:tr>
        <w:tc>
          <w:tcPr>
            <w:tcW w:type="dxa" w:w="1559"/>
          </w:tcPr>
          <w:p>
            <w:r>
              <w:rPr>
                <w:sz w:val="20"/>
              </w:rPr>
              <w:t>GLUPOTAS</w:t>
            </w:r>
          </w:p>
        </w:tc>
        <w:tc>
          <w:tcPr>
            <w:tcW w:type="dxa" w:w="1559"/>
          </w:tcPr>
          <w:p>
            <w:r>
              <w:rPr>
                <w:sz w:val="20"/>
              </w:rPr>
              <w:t>Biogalenic</w:t>
            </w:r>
          </w:p>
        </w:tc>
        <w:tc>
          <w:tcPr>
            <w:tcW w:type="dxa" w:w="1559"/>
          </w:tcPr>
          <w:p>
            <w:r>
              <w:rPr>
                <w:sz w:val="20"/>
              </w:rPr>
              <w:t>Sirop, gluconate de potassium 15 % (0,15 g/mL)</w:t>
            </w:r>
          </w:p>
        </w:tc>
        <w:tc>
          <w:tcPr>
            <w:tcW w:type="dxa" w:w="1559"/>
          </w:tcPr>
          <w:p>
            <w:r>
              <w:rPr>
                <w:sz w:val="20"/>
              </w:rPr>
              <w:t>Flacon de 120 mL</w:t>
            </w:r>
          </w:p>
        </w:tc>
        <w:tc>
          <w:tcPr>
            <w:tcW w:type="dxa" w:w="1559"/>
          </w:tcPr>
          <w:p>
            <w:r>
              <w:rPr>
                <w:sz w:val="20"/>
              </w:rPr>
              <w:t>—</w:t>
            </w:r>
          </w:p>
        </w:tc>
        <w:tc>
          <w:tcPr>
            <w:tcW w:type="dxa" w:w="1559"/>
          </w:tcPr>
          <w:p>
            <w:r>
              <w:rPr>
                <w:sz w:val="20"/>
              </w:rPr>
              <w:t>Actif</w:t>
            </w:r>
          </w:p>
        </w:tc>
      </w:tr>
      <w:tr>
        <w:tc>
          <w:tcPr>
            <w:tcW w:type="dxa" w:w="1559"/>
          </w:tcPr>
          <w:p>
            <w:r>
              <w:rPr>
                <w:sz w:val="20"/>
              </w:rPr>
              <w:t>KALIGON</w:t>
            </w:r>
          </w:p>
        </w:tc>
        <w:tc>
          <w:tcPr>
            <w:tcW w:type="dxa" w:w="1559"/>
          </w:tcPr>
          <w:p>
            <w:r>
              <w:rPr>
                <w:sz w:val="20"/>
              </w:rPr>
              <w:t>Groupe Saidal</w:t>
            </w:r>
          </w:p>
        </w:tc>
        <w:tc>
          <w:tcPr>
            <w:tcW w:type="dxa" w:w="1559"/>
          </w:tcPr>
          <w:p>
            <w:r>
              <w:rPr>
                <w:sz w:val="20"/>
              </w:rPr>
              <w:t>Sirop, gluconate de potassium 15 %</w:t>
            </w:r>
          </w:p>
        </w:tc>
        <w:tc>
          <w:tcPr>
            <w:tcW w:type="dxa" w:w="1559"/>
          </w:tcPr>
          <w:p>
            <w:r>
              <w:rPr>
                <w:sz w:val="20"/>
              </w:rPr>
              <w:t>Flacon de 120 mL</w:t>
            </w:r>
          </w:p>
        </w:tc>
        <w:tc>
          <w:tcPr>
            <w:tcW w:type="dxa" w:w="1559"/>
          </w:tcPr>
          <w:p>
            <w:r>
              <w:rPr>
                <w:sz w:val="20"/>
              </w:rPr>
              <w:t>—</w:t>
            </w:r>
          </w:p>
        </w:tc>
        <w:tc>
          <w:tcPr>
            <w:tcW w:type="dxa" w:w="1559"/>
          </w:tcPr>
          <w:p>
            <w:r>
              <w:rPr>
                <w:sz w:val="20"/>
              </w:rPr>
              <w:t>Actif</w:t>
            </w:r>
          </w:p>
        </w:tc>
      </w:tr>
      <w:tr>
        <w:tc>
          <w:tcPr>
            <w:tcW w:type="dxa" w:w="1559"/>
          </w:tcPr>
          <w:p>
            <w:r>
              <w:rPr>
                <w:sz w:val="20"/>
              </w:rPr>
              <w:t>KALIGON SANS SUCRE</w:t>
            </w:r>
          </w:p>
        </w:tc>
        <w:tc>
          <w:tcPr>
            <w:tcW w:type="dxa" w:w="1559"/>
          </w:tcPr>
          <w:p>
            <w:r>
              <w:rPr>
                <w:sz w:val="20"/>
              </w:rPr>
              <w:t>Groupe Saidal</w:t>
            </w:r>
          </w:p>
        </w:tc>
        <w:tc>
          <w:tcPr>
            <w:tcW w:type="dxa" w:w="1559"/>
          </w:tcPr>
          <w:p>
            <w:r>
              <w:rPr>
                <w:sz w:val="20"/>
              </w:rPr>
              <w:t>Solution buvable, gluconate de potassium 15 %</w:t>
            </w:r>
          </w:p>
        </w:tc>
        <w:tc>
          <w:tcPr>
            <w:tcW w:type="dxa" w:w="1559"/>
          </w:tcPr>
          <w:p>
            <w:r>
              <w:rPr>
                <w:sz w:val="20"/>
              </w:rPr>
              <w:t>Flacon de 120 mL</w:t>
            </w:r>
          </w:p>
        </w:tc>
        <w:tc>
          <w:tcPr>
            <w:tcW w:type="dxa" w:w="1559"/>
          </w:tcPr>
          <w:p>
            <w:r>
              <w:rPr>
                <w:sz w:val="20"/>
              </w:rPr>
              <w:t>—</w:t>
            </w:r>
          </w:p>
        </w:tc>
        <w:tc>
          <w:tcPr>
            <w:tcW w:type="dxa" w:w="1559"/>
          </w:tcPr>
          <w:p>
            <w:r>
              <w:rPr>
                <w:sz w:val="20"/>
              </w:rPr>
              <w:t>Actif</w:t>
            </w:r>
          </w:p>
        </w:tc>
      </w:tr>
      <w:tr>
        <w:tc>
          <w:tcPr>
            <w:tcW w:type="dxa" w:w="1559"/>
          </w:tcPr>
          <w:p>
            <w:r>
              <w:rPr>
                <w:sz w:val="20"/>
              </w:rPr>
              <w:t>K-PLUS</w:t>
            </w:r>
          </w:p>
        </w:tc>
        <w:tc>
          <w:tcPr>
            <w:tcW w:type="dxa" w:w="1559"/>
          </w:tcPr>
          <w:p>
            <w:r>
              <w:rPr>
                <w:sz w:val="20"/>
              </w:rPr>
              <w:t>Algerian Generics Development Pharma (AGD Pharma)</w:t>
            </w:r>
          </w:p>
        </w:tc>
        <w:tc>
          <w:tcPr>
            <w:tcW w:type="dxa" w:w="1559"/>
          </w:tcPr>
          <w:p>
            <w:r>
              <w:rPr>
                <w:sz w:val="20"/>
              </w:rPr>
              <w:t>Sirop, gluconate de potassium 15 %</w:t>
            </w:r>
          </w:p>
        </w:tc>
        <w:tc>
          <w:tcPr>
            <w:tcW w:type="dxa" w:w="1559"/>
          </w:tcPr>
          <w:p>
            <w:r>
              <w:rPr>
                <w:sz w:val="20"/>
              </w:rPr>
              <w:t>Flacon de 200 mL</w:t>
            </w:r>
          </w:p>
        </w:tc>
        <w:tc>
          <w:tcPr>
            <w:tcW w:type="dxa" w:w="1559"/>
          </w:tcPr>
          <w:p>
            <w:r>
              <w:rPr>
                <w:sz w:val="20"/>
              </w:rPr>
              <w:t>—</w:t>
            </w:r>
          </w:p>
        </w:tc>
        <w:tc>
          <w:tcPr>
            <w:tcW w:type="dxa" w:w="1559"/>
          </w:tcPr>
          <w:p>
            <w:r>
              <w:rPr>
                <w:sz w:val="20"/>
              </w:rPr>
              <w:t>Actif</w:t>
            </w:r>
          </w:p>
        </w:tc>
      </w:tr>
      <w:tr>
        <w:tc>
          <w:tcPr>
            <w:tcW w:type="dxa" w:w="1559"/>
          </w:tcPr>
          <w:p>
            <w:r>
              <w:rPr>
                <w:sz w:val="20"/>
              </w:rPr>
              <w:t>MUTI-BIC 3 MMOL/L POTASSIUM</w:t>
            </w:r>
          </w:p>
        </w:tc>
        <w:tc>
          <w:tcPr>
            <w:tcW w:type="dxa" w:w="1559"/>
          </w:tcPr>
          <w:p>
            <w:r>
              <w:rPr>
                <w:sz w:val="20"/>
              </w:rPr>
              <w:t>Fresenius Medical Care Deutschland</w:t>
            </w:r>
          </w:p>
        </w:tc>
        <w:tc>
          <w:tcPr>
            <w:tcW w:type="dxa" w:w="1559"/>
          </w:tcPr>
          <w:p>
            <w:r>
              <w:rPr>
                <w:sz w:val="20"/>
              </w:rPr>
              <w:t>Solution pour hémofiltration, chlorure de K 0,2237 g/L + chlorure de Ca 6,136 g/L + chlorure de Mg 2,940 g/L + glucose 0,2205 g/L + bicarbonate Na 1,100 g/L + chlorure Na 0,1017 g/L (après reconstitution)</w:t>
            </w:r>
          </w:p>
        </w:tc>
        <w:tc>
          <w:tcPr>
            <w:tcW w:type="dxa" w:w="1559"/>
          </w:tcPr>
          <w:p>
            <w:r>
              <w:rPr>
                <w:sz w:val="20"/>
              </w:rPr>
              <w:t>Poches de 5 L bi-compartimentées</w:t>
            </w:r>
          </w:p>
        </w:tc>
        <w:tc>
          <w:tcPr>
            <w:tcW w:type="dxa" w:w="1559"/>
          </w:tcPr>
          <w:p>
            <w:r>
              <w:rPr>
                <w:sz w:val="20"/>
              </w:rPr>
              <w:t>Liste I</w:t>
            </w:r>
          </w:p>
        </w:tc>
        <w:tc>
          <w:tcPr>
            <w:tcW w:type="dxa" w:w="1559"/>
          </w:tcPr>
          <w:p>
            <w:r>
              <w:rPr>
                <w:sz w:val="20"/>
              </w:rPr>
              <w:t>Actif</w:t>
            </w:r>
          </w:p>
        </w:tc>
      </w:tr>
      <w:tr>
        <w:tc>
          <w:tcPr>
            <w:tcW w:type="dxa" w:w="1559"/>
          </w:tcPr>
          <w:p>
            <w:r>
              <w:rPr>
                <w:sz w:val="20"/>
              </w:rPr>
              <w:t>PERMANGANATE DE POTASSIUM</w:t>
            </w:r>
          </w:p>
        </w:tc>
        <w:tc>
          <w:tcPr>
            <w:tcW w:type="dxa" w:w="1559"/>
          </w:tcPr>
          <w:p>
            <w:r>
              <w:rPr>
                <w:sz w:val="20"/>
              </w:rPr>
              <w:t>Bio-Galenic</w:t>
            </w:r>
          </w:p>
        </w:tc>
        <w:tc>
          <w:tcPr>
            <w:tcW w:type="dxa" w:w="1559"/>
          </w:tcPr>
          <w:p>
            <w:r>
              <w:rPr>
                <w:sz w:val="20"/>
              </w:rPr>
              <w:t>Comprimé sécable, permanganate de potassium 250 mg</w:t>
            </w:r>
          </w:p>
        </w:tc>
        <w:tc>
          <w:tcPr>
            <w:tcW w:type="dxa" w:w="1559"/>
          </w:tcPr>
          <w:p>
            <w:r>
              <w:rPr>
                <w:sz w:val="20"/>
              </w:rPr>
              <w:t>Tube de 20</w:t>
            </w:r>
          </w:p>
        </w:tc>
        <w:tc>
          <w:tcPr>
            <w:tcW w:type="dxa" w:w="1559"/>
          </w:tcPr>
          <w:p>
            <w:r>
              <w:rPr>
                <w:sz w:val="20"/>
              </w:rPr>
              <w:t>—</w:t>
            </w:r>
          </w:p>
        </w:tc>
        <w:tc>
          <w:tcPr>
            <w:tcW w:type="dxa" w:w="1559"/>
          </w:tcPr>
          <w:p>
            <w:r>
              <w:rPr>
                <w:sz w:val="20"/>
              </w:rPr>
              <w:t>Non renouvelable</w:t>
            </w:r>
          </w:p>
        </w:tc>
      </w:tr>
      <w:tr>
        <w:tc>
          <w:tcPr>
            <w:tcW w:type="dxa" w:w="1559"/>
          </w:tcPr>
          <w:p>
            <w:r>
              <w:rPr>
                <w:sz w:val="20"/>
              </w:rPr>
              <w:t>CHLORURE DE POTSSIUM</w:t>
            </w:r>
          </w:p>
        </w:tc>
        <w:tc>
          <w:tcPr>
            <w:tcW w:type="dxa" w:w="1559"/>
          </w:tcPr>
          <w:p>
            <w:r>
              <w:rPr>
                <w:sz w:val="20"/>
              </w:rPr>
              <w:t>Unimed</w:t>
            </w:r>
          </w:p>
        </w:tc>
        <w:tc>
          <w:tcPr>
            <w:tcW w:type="dxa" w:w="1559"/>
          </w:tcPr>
          <w:p>
            <w:r>
              <w:rPr>
                <w:sz w:val="20"/>
              </w:rPr>
              <w:t>Solution injectable IV, chlorure de potassium 10 %</w:t>
            </w:r>
          </w:p>
        </w:tc>
        <w:tc>
          <w:tcPr>
            <w:tcW w:type="dxa" w:w="1559"/>
          </w:tcPr>
          <w:p>
            <w:r>
              <w:rPr>
                <w:sz w:val="20"/>
              </w:rPr>
              <w:t>Boîte de 100 ampoules de 10 mL</w:t>
            </w:r>
          </w:p>
        </w:tc>
        <w:tc>
          <w:tcPr>
            <w:tcW w:type="dxa" w:w="1559"/>
          </w:tcPr>
          <w:p>
            <w:r>
              <w:rPr>
                <w:sz w:val="20"/>
              </w:rPr>
              <w:t>—</w:t>
            </w:r>
          </w:p>
        </w:tc>
        <w:tc>
          <w:tcPr>
            <w:tcW w:type="dxa" w:w="1559"/>
          </w:tcPr>
          <w:p>
            <w:r>
              <w:rPr>
                <w:sz w:val="20"/>
              </w:rPr>
              <w:t>Non renouvelable</w:t>
            </w:r>
          </w:p>
        </w:tc>
      </w:tr>
      <w:tr>
        <w:tc>
          <w:tcPr>
            <w:tcW w:type="dxa" w:w="1559"/>
          </w:tcPr>
          <w:p>
            <w:r>
              <w:rPr>
                <w:sz w:val="20"/>
              </w:rPr>
              <w:t>POTASSIUM GLUCONATE</w:t>
            </w:r>
          </w:p>
        </w:tc>
        <w:tc>
          <w:tcPr>
            <w:tcW w:type="dxa" w:w="1559"/>
          </w:tcPr>
          <w:p>
            <w:r>
              <w:rPr>
                <w:sz w:val="20"/>
              </w:rPr>
              <w:t>Renaudin</w:t>
            </w:r>
          </w:p>
        </w:tc>
        <w:tc>
          <w:tcPr>
            <w:tcW w:type="dxa" w:w="1559"/>
          </w:tcPr>
          <w:p>
            <w:r>
              <w:rPr>
                <w:sz w:val="20"/>
              </w:rPr>
              <w:t>Solution injectable, gluconate de potassium 5 %</w:t>
            </w:r>
          </w:p>
        </w:tc>
        <w:tc>
          <w:tcPr>
            <w:tcW w:type="dxa" w:w="1559"/>
          </w:tcPr>
          <w:p>
            <w:r>
              <w:rPr>
                <w:sz w:val="20"/>
              </w:rPr>
              <w:t>Boîte de 100 ampoules de 10 mL</w:t>
            </w:r>
          </w:p>
        </w:tc>
        <w:tc>
          <w:tcPr>
            <w:tcW w:type="dxa" w:w="1559"/>
          </w:tcPr>
          <w:p>
            <w:r>
              <w:rPr>
                <w:sz w:val="20"/>
              </w:rPr>
              <w:t>—</w:t>
            </w:r>
          </w:p>
        </w:tc>
        <w:tc>
          <w:tcPr>
            <w:tcW w:type="dxa" w:w="1559"/>
          </w:tcPr>
          <w:p>
            <w:r>
              <w:rPr>
                <w:sz w:val="20"/>
              </w:rPr>
              <w:t>Non renouvelable</w:t>
            </w:r>
          </w:p>
        </w:tc>
      </w:tr>
      <w:tr>
        <w:tc>
          <w:tcPr>
            <w:tcW w:type="dxa" w:w="1559"/>
          </w:tcPr>
          <w:p>
            <w:r>
              <w:rPr>
                <w:sz w:val="20"/>
              </w:rPr>
              <w:t>BIONOLYTE G5</w:t>
            </w:r>
          </w:p>
        </w:tc>
        <w:tc>
          <w:tcPr>
            <w:tcW w:type="dxa" w:w="1559"/>
          </w:tcPr>
          <w:p>
            <w:r>
              <w:rPr>
                <w:sz w:val="20"/>
              </w:rPr>
              <w:t>Fresenius Kabi France</w:t>
            </w:r>
          </w:p>
        </w:tc>
        <w:tc>
          <w:tcPr>
            <w:tcW w:type="dxa" w:w="1559"/>
          </w:tcPr>
          <w:p>
            <w:r>
              <w:rPr>
                <w:sz w:val="20"/>
              </w:rPr>
              <w:t>Solution pour perfusion IV, chlorure de K 0,2 g + chlorure de Na 0,4 g + glucose 5 g/100 mL</w:t>
            </w:r>
          </w:p>
        </w:tc>
        <w:tc>
          <w:tcPr>
            <w:tcW w:type="dxa" w:w="1559"/>
          </w:tcPr>
          <w:p>
            <w:r>
              <w:rPr>
                <w:sz w:val="20"/>
              </w:rPr>
              <w:t>Flacon de 500 mL</w:t>
            </w:r>
          </w:p>
        </w:tc>
        <w:tc>
          <w:tcPr>
            <w:tcW w:type="dxa" w:w="1559"/>
          </w:tcPr>
          <w:p>
            <w:r>
              <w:rPr>
                <w:sz w:val="20"/>
              </w:rPr>
              <w:t>—</w:t>
            </w:r>
          </w:p>
        </w:tc>
        <w:tc>
          <w:tcPr>
            <w:tcW w:type="dxa" w:w="1559"/>
          </w:tcPr>
          <w:p>
            <w:r>
              <w:rPr>
                <w:sz w:val="20"/>
              </w:rPr>
              <w:t>Non renouvelable</w:t>
            </w:r>
          </w:p>
        </w:tc>
      </w:tr>
      <w:tr>
        <w:tc>
          <w:tcPr>
            <w:tcW w:type="dxa" w:w="1559"/>
          </w:tcPr>
          <w:p>
            <w:r>
              <w:rPr>
                <w:sz w:val="20"/>
              </w:rPr>
              <w:t>NOVA-K</w:t>
            </w:r>
          </w:p>
        </w:tc>
        <w:tc>
          <w:tcPr>
            <w:tcW w:type="dxa" w:w="1559"/>
          </w:tcPr>
          <w:p>
            <w:r>
              <w:rPr>
                <w:sz w:val="20"/>
              </w:rPr>
              <w:t>Nova Argentia</w:t>
            </w:r>
          </w:p>
        </w:tc>
        <w:tc>
          <w:tcPr>
            <w:tcW w:type="dxa" w:w="1559"/>
          </w:tcPr>
          <w:p>
            <w:r>
              <w:rPr>
                <w:sz w:val="20"/>
              </w:rPr>
              <w:t>Comprimé, permanganate de potassium 250 mg</w:t>
            </w:r>
          </w:p>
        </w:tc>
        <w:tc>
          <w:tcPr>
            <w:tcW w:type="dxa" w:w="1559"/>
          </w:tcPr>
          <w:p>
            <w:r>
              <w:rPr>
                <w:sz w:val="20"/>
              </w:rPr>
              <w:t>Boîte de 25</w:t>
            </w:r>
          </w:p>
        </w:tc>
        <w:tc>
          <w:tcPr>
            <w:tcW w:type="dxa" w:w="1559"/>
          </w:tcPr>
          <w:p>
            <w:r>
              <w:rPr>
                <w:sz w:val="20"/>
              </w:rPr>
              <w:t>—</w:t>
            </w:r>
          </w:p>
        </w:tc>
        <w:tc>
          <w:tcPr>
            <w:tcW w:type="dxa" w:w="1559"/>
          </w:tcPr>
          <w:p>
            <w:r>
              <w:rPr>
                <w:sz w:val="20"/>
              </w:rPr>
              <w:t>Retiré</w:t>
            </w:r>
          </w:p>
        </w:tc>
      </w:tr>
      <w:tr>
        <w:tc>
          <w:tcPr>
            <w:tcW w:type="dxa" w:w="1559"/>
          </w:tcPr>
          <w:p>
            <w:r>
              <w:rPr>
                <w:sz w:val="20"/>
              </w:rPr>
              <w:t>KALEORID LP 600 mg</w:t>
            </w:r>
          </w:p>
        </w:tc>
        <w:tc>
          <w:tcPr>
            <w:tcW w:type="dxa" w:w="1559"/>
          </w:tcPr>
          <w:p>
            <w:r>
              <w:rPr>
                <w:sz w:val="20"/>
              </w:rPr>
              <w:t>LEO</w:t>
            </w:r>
          </w:p>
        </w:tc>
        <w:tc>
          <w:tcPr>
            <w:tcW w:type="dxa" w:w="1559"/>
          </w:tcPr>
          <w:p>
            <w:r>
              <w:rPr>
                <w:sz w:val="20"/>
              </w:rPr>
              <w:t>Comprimé à libération prolongée, chlorure de potassium 600 mg</w:t>
            </w:r>
          </w:p>
        </w:tc>
        <w:tc>
          <w:tcPr>
            <w:tcW w:type="dxa" w:w="1559"/>
          </w:tcPr>
          <w:p>
            <w:r>
              <w:rPr>
                <w:sz w:val="20"/>
              </w:rPr>
              <w:t>Boîte de 30</w:t>
            </w:r>
          </w:p>
        </w:tc>
        <w:tc>
          <w:tcPr>
            <w:tcW w:type="dxa" w:w="1559"/>
          </w:tcPr>
          <w:p>
            <w:r>
              <w:rPr>
                <w:sz w:val="20"/>
              </w:rPr>
              <w:t>—</w:t>
            </w:r>
          </w:p>
        </w:tc>
        <w:tc>
          <w:tcPr>
            <w:tcW w:type="dxa" w:w="1559"/>
          </w:tcPr>
          <w:p>
            <w:r>
              <w:rPr>
                <w:sz w:val="20"/>
              </w:rPr>
              <w:t>Retiré</w:t>
            </w:r>
          </w:p>
        </w:tc>
      </w:tr>
      <w:tr>
        <w:tc>
          <w:tcPr>
            <w:tcW w:type="dxa" w:w="1559"/>
          </w:tcPr>
          <w:p>
            <w:r>
              <w:rPr>
                <w:sz w:val="20"/>
              </w:rPr>
              <w:t>KALEORID LP 1000 mg</w:t>
            </w:r>
          </w:p>
        </w:tc>
        <w:tc>
          <w:tcPr>
            <w:tcW w:type="dxa" w:w="1559"/>
          </w:tcPr>
          <w:p>
            <w:r>
              <w:rPr>
                <w:sz w:val="20"/>
              </w:rPr>
              <w:t>LEO</w:t>
            </w:r>
          </w:p>
        </w:tc>
        <w:tc>
          <w:tcPr>
            <w:tcW w:type="dxa" w:w="1559"/>
          </w:tcPr>
          <w:p>
            <w:r>
              <w:rPr>
                <w:sz w:val="20"/>
              </w:rPr>
              <w:t>Comprimé à libération prolongée, chlorure de potassium 1000 mg</w:t>
            </w:r>
          </w:p>
        </w:tc>
        <w:tc>
          <w:tcPr>
            <w:tcW w:type="dxa" w:w="1559"/>
          </w:tcPr>
          <w:p>
            <w:r>
              <w:rPr>
                <w:sz w:val="20"/>
              </w:rPr>
              <w:t>Boîte de 30</w:t>
            </w:r>
          </w:p>
        </w:tc>
        <w:tc>
          <w:tcPr>
            <w:tcW w:type="dxa" w:w="1559"/>
          </w:tcPr>
          <w:p>
            <w:r>
              <w:rPr>
                <w:sz w:val="20"/>
              </w:rPr>
              <w:t>—</w:t>
            </w:r>
          </w:p>
        </w:tc>
        <w:tc>
          <w:tcPr>
            <w:tcW w:type="dxa" w:w="1559"/>
          </w:tcPr>
          <w:p>
            <w:r>
              <w:rPr>
                <w:sz w:val="20"/>
              </w:rPr>
              <w:t>Retiré</w:t>
            </w:r>
          </w:p>
        </w:tc>
      </w:tr>
    </w:tbl>
    <w:p/>
    <w:p>
      <w:r/>
      <w:r>
        <w:rPr>
          <w:b/>
        </w:rPr>
        <w:t>Remarque n°1 :</w:t>
      </w:r>
      <w:r>
        <w:t xml:space="preserve"> Le permanganate de potassium (NOVA-K, PERMANGANATE DE POTASSIUM) n'est PAS un supplément potassique mais un antiseptique local oxydant à usage externe (bains bouche, lavages cutanés, bains siège). Il ne doit jamais être absorbé per os (toxicité caustique, méthémoglobinémie). Sa présence dans la nomenclature « potassium » est due au cation mais relève fonctionnellement des antiseptiques.</w:t>
      </w:r>
    </w:p>
    <w:p>
      <w:r/>
      <w:r>
        <w:rPr>
          <w:b/>
        </w:rPr>
        <w:t>Remarque n°2 :</w:t>
      </w:r>
      <w:r>
        <w:t xml:space="preserve"> Les solutions pour perfusion et hémofiltration (MUTI-BIC, BIONOLYTE G5) ne sont pas des suppléments potassiques isolés mais des solutés de réanimation contenant du potassium parmi d'autres électrolytes. La prescription dépend du bilan hydroélectrolytique du patient.</w:t>
      </w:r>
    </w:p>
    <w:p>
      <w:r/>
      <w:r>
        <w:rPr>
          <w:b/>
        </w:rPr>
        <w:t>Remarque n°3 :</w:t>
      </w:r>
      <w:r>
        <w:t xml:space="preserve"> À la date d'avril 2026, il n'existe plus de spécialité active de chlorure de potassium LP (comprimé à libération prolongée) en Algérie — la spécialité historique KALEORID LP (LEO) est retirée du marché. La supplémentation potassique orale se fait principalement par le gluconate de potassium en sirop (GLUPOTAS, KALIGON, K-PLUS). Cette situation expose au risque d'observance réduite (effet caustique du sirop sur l'émail dentaire, goût métallique) et limite les options thérapeutiques chez le patient sous diurétique hypokaliémisant au long cours.</w:t>
      </w:r>
    </w:p>
    <w:p>
      <w:pPr>
        <w:pStyle w:val="Heading4"/>
      </w:pPr>
      <w:r>
        <w:t>1. Mécanisme d'action</w:t>
      </w:r>
    </w:p>
    <w:p>
      <w:r>
        <w:t>Le potassium thérapeutique agit en restaurant le pool intracellulaire de K+ et le gradient de concentration K+ intra/extracellulaire, indispensable au potentiel de repos membranaire de toutes les cellules excitables. Le K+ maintient, en association avec le Na+ extracellulaire et la pompe Na⁺/K⁺-ATPase, la différence de potentiel électrique à travers la membrane plasmique (potentiel de repos −70 à −90 mV selon le type cellulaire). Ce potentiel de repos conditionne l'excitabilité neuronale (initiation du potentiel d'action lorsque le seuil de dépolarisation est atteint), musculaire (couplage excitation-contraction via le canal calcique voltage-dépendant), et cardiaque (phases 0 à 4 du potentiel d'action ventriculaire : phase 0 dépolarisation rapide par entrée Na+, phase 1 repolarisation précoce par sortie K+, phase 2 plateau par entrée Ca²⁺ et sortie K+, phase 3 repolarisation par sortie K+ retardée, phase 4 potentiel de repos).</w:t>
      </w:r>
    </w:p>
    <w:p>
      <w:r>
        <w:t>Le potassium exerce en outre un effet vasodilatateur direct (relaxation des cellules musculaires lisses vasculaires par hyperpolarisation), un effet inhibiteur de la rénine sécrétée par l'appareil juxtaglomérulaire (rétrocontrôle négatif), un effet facilitateurr de la sécrétion d'aldostérone par la zone glomérulée de la surrénale (rétrocontrôle positif, stimulation via l'angiotensine II et la kaliémie directe), un effet insulinosécréteur (le K+ stimule la libération d'insuline par les cellules β des îlots de Langerhans) et un effet alcalinisant (échange H⁺/K⁺ à travers la membrane cellulaire en cas d'acidose). L'hypokaliémie réduit l'excitabilité membranaire (hyperpolarisation), provoque une diminution de la force musculaire, une diminution de la motilité digestive (iléus), un ralentissement de la conduction cardiaque (allongement du QT, ondes U, troubles du rythme ventriculaire) et une aptitude accrue à la toxicité digitalique (la digoxine inhibe la pompe Na/K-ATPase ; l'hypokaliémie potentialise cet effet). L'hyperkaliémie dépolarise la membrane, ralentit la conduction (élargissement du QRS, allongement du PR, disparition de l'onde P), et provoque à terme une asystolie ou une fibrillation ventriculaire. Le chlorure de potassium oral LP permet une libération lente du K+ dans le tube digestif, évitant les pics de kaliémie et l'irritation gastrique. Le chlorure de potassium IV doit être administré en perfusion lente et diluée pour éviter l'hyperkaliémie foudroyante (arrêt cardiaque).</w:t>
      </w:r>
    </w:p>
    <w:p>
      <w:pPr>
        <w:pStyle w:val="Heading4"/>
      </w:pPr>
      <w:r>
        <w:t>2. Profil pharmacocinétique</w:t>
      </w:r>
    </w:p>
    <w:p>
      <w:r>
        <w:t>L'absorption intestinale du potassium oral est quasi complète (90 %), passive et active (transporteurs NKCC1, KCC, channels Kir). Le pic kaliémique est atteint en 1 à 2 heures pour le sirop de gluconate, en 4 à 6 heures pour le comprimé LP de chlorure (forme à éviter chez le patient à transit rapide ou à gastroparésie). La distribution tissulaire du potassium est essentiellement intracellulaire (98 % du pool corporel), avec un équilibre entre les compartiments intra- et extracellulaire régulé par la pompe Na⁺/K⁺-ATPase, l'insuline, les catécholamines β2 et l'équilibre acido-basique (l'acidémie sort le K+ des cellules en échange H⁺/K⁺, l'alcalémie l'internalise). La kaliémie ne reflète qu'imparfaitement le pool corporel total (2 % extracellulaire) : une kaliémie normale peut coexister avec une déplétion intracellulaire majeure (par exemple en alcalose respiratoire).</w:t>
      </w:r>
    </w:p>
    <w:p>
      <w:r>
        <w:t>L'élimination du potassium est principalement rénale (90 %), filtrée puis sécrétée au niveau du tube distal et du canal collecteur par les cellules principales via le canal ROMK (régulé par l'aldostérone). L'excrétion fécale représente 10 % (augmentée en cas de diarrhée). La kaliurie normale est de 40 à 100 mmol/24 h. Une kaliurie &lt; 20 mmol/24 h en cas d'hypokaliémie traduit une déplétion extracellulaire/rénale (fuite rénale). Une kaliurie &gt; 30 mmol/24 h en cas d'hypokaliémie traduit une fuite rénale (diurétiques, hyperaldostéronisme, syndrome de Bartter, syndrome de Gitelman). La demi-vie plasmatique du potassium est très courte (30 minutes après IV), imposant une perfusion continue en cas de supplémentation IV. Le potassium traverse le placenta et est excrété dans le lait maternel (concentration lactée 13–15 mmol/L). La régulation de la kaliémie fait intervenir plusieurs systèmes : rénine-angiotensine-aldostérone (augmentation de l'excrétion urinaire de K+), insuline (internalisation cellulaire), catécholamines β2 (internalisation), équilibre acido-basique (acidémie sort le K+), et la pompe Na/K-ATPase elle-même.</w:t>
      </w:r>
    </w:p>
    <w:p>
      <w:pPr>
        <w:pStyle w:val="Heading4"/>
      </w:pPr>
      <w:r>
        <w:t>3. Prévention des effets indésirables</w:t>
      </w:r>
    </w:p>
    <w:p>
      <w:r>
        <w:t xml:space="preserve">La prévention des effets indésirables du potassium repose sur cinq piliers. </w:t>
      </w:r>
      <w:r>
        <w:rPr>
          <w:b/>
        </w:rPr>
        <w:t>Premièrement, évaluation de la kaliémie et de la fonction rénale avant tout traitement</w:t>
      </w:r>
      <w:r>
        <w:t xml:space="preserve"> : le potassium IV est contre-indiqué en cas d'hyperkaliémie (&gt; 5,0 mmol/L), d'insuffisance rénale aiguë ou chronique (DFG &lt; 30 mL/min), de déshydratation extracellulaire, de bloc auriculo-ventriculaire non équipé, et de traitement par IEC/ARAII/diurétiques épargneurs de potassium (amiloride, spironolactone, éplérénone) sans surveillance rapprochée. </w:t>
      </w:r>
      <w:r>
        <w:rPr>
          <w:b/>
        </w:rPr>
        <w:t>Deuxièmement, surveillance ECG et kaliémie sous IV</w:t>
      </w:r>
      <w:r>
        <w:t xml:space="preserve"> : un ECG continu et une kaliémie toutes les 4 heures sont indispensables en perfusion IV ; ne pas dépasser 20 mmol/h de KCl IV (10 mL de KCl 10 % = 13,4 mmol) en perfusion périphérique, 40 mmol/h en perfusion centrale chez l'adulte en cas d'hypokaliémie sévère avec troubles ECG. </w:t>
      </w:r>
      <w:r>
        <w:rPr>
          <w:b/>
        </w:rPr>
        <w:t>Troisièmement, dilution obligatoire</w:t>
      </w:r>
      <w:r>
        <w:t xml:space="preserve"> : jamais d'injection IV directe de KCl ; diluer 1 g (10 mL de KCl 10 %) dans au moins 100 mL de G5 % ou de NaCl 0,9 %, à perfuser en 1 heure minimum. Une injection IV directe provoque un arrêt cardiaque en diastole par hyperkaliémie foudroyante.</w:t>
      </w:r>
    </w:p>
    <w:p>
      <w:r/>
      <w:r>
        <w:rPr>
          <w:b/>
        </w:rPr>
        <w:t>Quatrièmement, prévention des effets digestifs oraux</w:t>
      </w:r>
      <w:r>
        <w:t xml:space="preserve"> : le chlorure de potassium LP peut provoquer des ulcerations sténosantes de l'œsophage, de l'estomac ou du petit intestin (surtout chez le sujet âgé, en décubitus, en cas de sténose anatomique) ; prendre le comprimé LP en position assise ou debout, avec un grand verre d'eau, en respectant un jeûne pré-prandial de 30 min. Le sirop de gluconate doit être pris au cours du repas, en une fois diluée dans un verre d'eau, rincer la bouche après la prise (acidité, risque de lésion de l'émail). </w:t>
      </w:r>
      <w:r>
        <w:rPr>
          <w:b/>
        </w:rPr>
        <w:t>Cinquièmement, surveillance de la magnésémie</w:t>
      </w:r>
      <w:r>
        <w:t xml:space="preserve"> : l'hypomagnésémie fréquemment associée à l'hypokaliémie (par fuite tubulaire commune sous diurétiques) rend l'hypokaliémie réfractaire à toute supplémentation potassique tant que la magnésémie n'est pas corrigée. Toujours doser et corriger la magnésémie avant de conclure à une hypokaliémie réfractaire. Enfin, prévention de l'hyperkaliémie iatrogène : ne pas associer systématiquement potassium IV et IEC/ARAII/spironolactone, surveillance accrue chez le diabétique (hyporéninémie hypoaldostéronisme), chez l'insuffisant rénal chronique, chez le sujet âgé.</w:t>
      </w:r>
    </w:p>
    <w:p>
      <w:pPr>
        <w:pStyle w:val="Heading4"/>
      </w:pPr>
      <w:r>
        <w:t>4. Interactions médicamenteuses</w:t>
      </w:r>
    </w:p>
    <w:p>
      <w:r>
        <w:t xml:space="preserve">Le potassium présente de nombreuses interactions médicamenteuses à risque. </w:t>
      </w:r>
      <w:r>
        <w:rPr>
          <w:b/>
        </w:rPr>
        <w:t>Avec les diurétiques épargneurs de potassium</w:t>
      </w:r>
      <w:r>
        <w:t xml:space="preserve"> (amiloride, triamtérène, spironolactone, éplérénone) : majoration du risque d'hyperkaliémie, surtout chez l'insuffisant rénal et le diabétique ; association contre-indiquée ou sous surveillance stricte (kaliémie tous les 3 jours la première semaine, puis hebdomadaire). </w:t>
      </w:r>
      <w:r>
        <w:rPr>
          <w:b/>
        </w:rPr>
        <w:t>Avec les IEC</w:t>
      </w:r>
      <w:r>
        <w:t xml:space="preserve"> (énalapril, ramipril, périndopril) et </w:t>
      </w:r>
      <w:r>
        <w:rPr>
          <w:b/>
        </w:rPr>
        <w:t>les ARAII</w:t>
      </w:r>
      <w:r>
        <w:t xml:space="preserve"> (losartan, valsartan, telmisartan) : majoration du risque d'hyperkaliémie ; surveillance de la kaliémie à J7, J15, J30, puis tous les 3 mois. </w:t>
      </w:r>
      <w:r>
        <w:rPr>
          <w:b/>
        </w:rPr>
        <w:t>Avec les sartans + IEC associés</w:t>
      </w:r>
      <w:r>
        <w:t xml:space="preserve"> (sacubitril-valsartan) : même surveillance. </w:t>
      </w:r>
      <w:r>
        <w:rPr>
          <w:b/>
        </w:rPr>
        <w:t>Avec la digoxine</w:t>
      </w:r>
      <w:r>
        <w:t xml:space="preserve"> : l'hypokaliémie potentialise l'effet toxique de la digoxine (arythmies ventriculaires) ; maintenir la kaliémie &gt; 4,0 mmol/L chez le patient digitalisé.</w:t>
      </w:r>
    </w:p>
    <w:p>
      <w:r/>
      <w:r>
        <w:rPr>
          <w:b/>
        </w:rPr>
        <w:t>Avec les diurétiques de l'anse</w:t>
      </w:r>
      <w:r>
        <w:t xml:space="preserve"> (furosémide, bumétanide) et </w:t>
      </w:r>
      <w:r>
        <w:rPr>
          <w:b/>
        </w:rPr>
        <w:t>les thiazidiques</w:t>
      </w:r>
      <w:r>
        <w:t xml:space="preserve"> (hydrochlorothiazide, indapamide) : hypokaliémie induite, justifiant une supplémentation systématique en potassium (et magnésium). </w:t>
      </w:r>
      <w:r>
        <w:rPr>
          <w:b/>
        </w:rPr>
        <w:t>Avec les AINS</w:t>
      </w:r>
      <w:r>
        <w:t xml:space="preserve"> (ibuprofène, kétoprofène, naproxène) : réduction de la sécrétion de rénine, hyperkaliémie (surtout chez l'insuffisant rénal). </w:t>
      </w:r>
      <w:r>
        <w:rPr>
          <w:b/>
        </w:rPr>
        <w:t>Avec les bêta-bloquants</w:t>
      </w:r>
      <w:r>
        <w:t xml:space="preserve"> : discrète hyperkaliémie (blocage de l'internalisation cellulaire du K+ via les β2). </w:t>
      </w:r>
      <w:r>
        <w:rPr>
          <w:b/>
        </w:rPr>
        <w:t>Avec l'héparine</w:t>
      </w:r>
      <w:r>
        <w:t xml:space="preserve"> (non fractionnée et de bas poids moléculaire) : inhibition de la synthèse d'aldostérone, hyperkaliémie possible. </w:t>
      </w:r>
      <w:r>
        <w:rPr>
          <w:b/>
        </w:rPr>
        <w:t>Avec la triméthoprime</w:t>
      </w:r>
      <w:r>
        <w:t xml:space="preserve"> (cotrimoxazole) : effet épargneur de potassium via inhibition du canal ENaC, hyperkaliémie possible. </w:t>
      </w:r>
      <w:r>
        <w:rPr>
          <w:b/>
        </w:rPr>
        <w:t>Avec les laxatifs stimulants</w:t>
      </w:r>
      <w:r>
        <w:t xml:space="preserve"> (séné, bisacodyl) : hypokaliémie par pertes digestives. </w:t>
      </w:r>
      <w:r>
        <w:rPr>
          <w:b/>
        </w:rPr>
        <w:t>Avec les corticoïdes</w:t>
      </w:r>
      <w:r>
        <w:t xml:space="preserve"> (prednisone, hydrocortisone) : effet minéralocorticoide favorisant l'hypokaliémie. Enfin, </w:t>
      </w:r>
      <w:r>
        <w:rPr>
          <w:b/>
        </w:rPr>
        <w:t>en cas d'association potassium IV et calcium IV</w:t>
      </w:r>
      <w:r>
        <w:t xml:space="preserve"> (en hyperkaliémie traitée par calcium antagoniste membranaire), attention à ne pas conclure à une inefficacité : le calcium ne modifie pas la kaliémie mais restaure le gradient électrochimique transmembranaire (effet membranaire, « gain de temps »).</w:t>
      </w:r>
    </w:p>
    <w:p>
      <w:pPr>
        <w:pStyle w:val="Heading4"/>
      </w:pPr>
      <w:r>
        <w:t>5. Grossesse et allaitement (CRAT)</w:t>
      </w:r>
    </w:p>
    <w:p>
      <w:r>
        <w:t xml:space="preserve">Selon le CRAT, le potassium oral (chlorure, gluconate) est </w:t>
      </w:r>
      <w:r>
        <w:rPr>
          <w:b/>
        </w:rPr>
        <w:t>utilisable à tous les trimestres de la grossesse</w:t>
      </w:r>
      <w:r>
        <w:t xml:space="preserve"> et constitue une supplémentation justifiée en cas d'hypokaliémie documentée (vomissements gravidiques sévères, hyperemesis gravidarum, diurétiques, corticothérapie). Les besoins physiologiques en potassium pendant la grossesse sont d'environ 80 mmol/j (4–5 g/j), couverts normalement par l'alimentation (fruits, légumes, viande). Une supplémentation de 30 à 60 mmol/j (1,2 à 2,4 g de KCl) est indiquée en cas de carence documentée. Le sirop de gluconate de potassium (GLUPOTAS, KALIGON) est préférable pendant la grossesse en raison de sa meilleure tolérance digestive (les comprimés LP de KCl peuvent provoquer des ulcerations gastriques aggravées par les nausées gravidiques).</w:t>
      </w:r>
    </w:p>
    <w:p>
      <w:r>
        <w:t>Le chlorure de potassium IV est réservé à l'urgence obstétricale (hypokaliémie sévère &lt; 2,5 mmol/L avec troubles ECG, hyperemesis gravidarum avec hypokaliémie menaçante). L'administration IV lente et diluée sous monitoring ECG continu et kaliémie toutes les 4 heures est impérative. L'allaitement est possible sous potassium oral (le potassium est un composant physiologique normal du lait maternel, 13–15 mmol/L) ; la supplémentation maternelle n'augmente pas significativement la concentration lactée mais prévient la déplétion maternelle en cas de pertes accrues (diurétiques, vomissements). À noter que la grossesse elle-même induit une physiologie particulière : la relaxation du muscle lisse gastrique et la constipation favorisent l'intolérance aux comprimés LP de KCl ; l'hyperemesis gravidarum expose à une hypokaliémie sévère par vomissements répétés ; l'éclampsie traitée par sulfate de magnésium IV expose à une déplétion potassique associée. La kaliémie maternelle doit être surveillée mensuellement en cas de traitement diurétique ou de corticothérapie pendant la grossesse.</w:t>
      </w:r>
    </w:p>
    <w:p>
      <w:pPr>
        <w:pStyle w:val="Heading4"/>
      </w:pPr>
      <w:r>
        <w:t>6. Posologie et mode d'administration</w:t>
      </w:r>
    </w:p>
    <w:p>
      <w:r/>
      <w:r>
        <w:rPr>
          <w:b/>
        </w:rPr>
        <w:t>Potassium oral (gluconate, sirop 15 %) :</w:t>
      </w:r>
      <w:r/>
    </w:p>
    <w:p>
      <w:pPr>
        <w:pStyle w:val="ListBullet"/>
      </w:pPr>
      <w:r>
        <w:t>Adulte : 1 à 3 cuillères-mesure de 5 mL par jour (KALIGON, GLUPOTAS, K-PLUS : 15 % = 0,15 g/mL), soit 0,75 à 2,25 g de gluconate de potassium par jour (= 1,5 à 4,5 mmol de K+/cuillère).</w:t>
      </w:r>
    </w:p>
    <w:p>
      <w:pPr>
        <w:pStyle w:val="ListBullet"/>
      </w:pPr>
      <w:r>
        <w:t>Femme enceinte : 1 à 2 cuillères-mesure de 5 mL par jour en cas d'hypokaliémie documentée.</w:t>
      </w:r>
    </w:p>
    <w:p>
      <w:pPr>
        <w:pStyle w:val="ListBullet"/>
      </w:pPr>
      <w:r>
        <w:t>Enfant &gt; 10 ans : 1 cuillère-mesure de 5 mL, 1 à 2 fois par jour.</w:t>
      </w:r>
    </w:p>
    <w:p>
      <w:pPr>
        <w:pStyle w:val="ListBullet"/>
      </w:pPr>
      <w:r>
        <w:t>Enfant &lt; 10 ans : 0,5 à 1 mmol/kg/jour en 2 à 3 prises, sans dépasser 2 g/j.</w:t>
      </w:r>
    </w:p>
    <w:p>
      <w:pPr>
        <w:pStyle w:val="ListBullet"/>
      </w:pPr>
      <w:r>
        <w:t>Sujet sous diurétique hypokaliémisant : 1 à 2 cuillères-mesure de 5 mL par jour en entretien, ajuster selon kaliémie.</w:t>
      </w:r>
    </w:p>
    <w:p>
      <w:r/>
      <w:r>
        <w:rPr>
          <w:b/>
        </w:rPr>
        <w:t>Potassium IV (chlorure 10 % = 100 mg/mL = 1,34 mmol/mL de K+) :</w:t>
      </w:r>
      <w:r/>
    </w:p>
    <w:p>
      <w:pPr>
        <w:pStyle w:val="ListBullet"/>
      </w:pPr>
      <w:r>
        <w:t>Adulte : 1 à 2 g de KCl (10 à 20 mL de KCl 10 % = 13,4 à 26,8 mmol de K+) à diluer dans 500 mL de G5 % ou de NaCl 0,9 %, en perfusion de 4 à 8 heures (≤ 20 mmol/h en périphérique, ≤ 40 mmol/h en centrale).</w:t>
      </w:r>
    </w:p>
    <w:p>
      <w:pPr>
        <w:pStyle w:val="ListBullet"/>
      </w:pPr>
      <w:r>
        <w:t>Enfant : 0,5 mmol/kg/h, à diluer en perfusion lente sous monitoring ECG.</w:t>
      </w:r>
    </w:p>
    <w:p>
      <w:pPr>
        <w:pStyle w:val="ListBullet"/>
      </w:pPr>
      <w:r>
        <w:t>Urgence (hypokaliémie sévère &lt; 2,5 mmol/L avec troubles ECG) : 2 à 3 g de KCl (20 à 30 mL) en perfusion centrale stricte de 1 à 2 heures, sous monitoring ECG continu et kaliémie toutes les 2 heures.</w:t>
      </w:r>
    </w:p>
    <w:p>
      <w:pPr>
        <w:pStyle w:val="ListBullet"/>
      </w:pPr>
      <w:r>
        <w:t>Maximum absolu : 20 mmol/h en périphérique (10 mL KCl 10 %), 40 mmol/h en centrale ; ne jamais injecter en IV directe.</w:t>
      </w:r>
    </w:p>
    <w:p>
      <w:r/>
      <w:r>
        <w:rPr>
          <w:b/>
        </w:rPr>
        <w:t>Potassium en perfusion continue (sujet de réanimation) :</w:t>
      </w:r>
      <w:r/>
    </w:p>
    <w:p>
      <w:pPr>
        <w:pStyle w:val="ListBullet"/>
      </w:pPr>
      <w:r>
        <w:t>Préparation : 3 à 4 g de KCl (30 à 40 mL de KCl 10 % = 40 à 53 mmol) dans 500 mL de G5 %, à perfuser en 8 à 12 heures, sous monitoring ECG et kaliémie toutes les 4 heures.</w:t>
      </w:r>
    </w:p>
    <w:p>
      <w:pPr>
        <w:pStyle w:val="Heading4"/>
      </w:pPr>
      <w:r>
        <w:t>7. Formes galéniques disponibles</w:t>
      </w:r>
    </w:p>
    <w:p>
      <w:r>
        <w:t xml:space="preserve">Le marché algérien propose plusieurs formes galéniques pour le potassium, mais avec une diversité limitée par rapport à d'autres pays (notamment, absence de comprimé LP actif en avril 2026). </w:t>
      </w:r>
      <w:r>
        <w:rPr>
          <w:b/>
        </w:rPr>
        <w:t>Sirop</w:t>
      </w:r>
      <w:r>
        <w:t xml:space="preserve"> (GLUPOTAS, KALIGON, KALIGON SANS SUCRE, K-PLUS) : gluconate de potassium 15 %, flacon de 120 à 200 mL avec cuillère-mesure de 5 mL, indiqué chez l'adulte et l'enfant, goût salé-métallique, prise au cours du repas, rincer la bouche après la prise. Forme de supplémentation orale de référence en Algérie en avril 2026 (les comprimés LP KALEORID étant retirés). </w:t>
      </w:r>
      <w:r>
        <w:rPr>
          <w:b/>
        </w:rPr>
        <w:t>Solution injectable à diluer</w:t>
      </w:r>
      <w:r>
        <w:t xml:space="preserve"> (CHLORURE DE POTASSIUM AGUETTANT, KALIPACK, CHLORURE DE POTASSIUM UNIMED) : chlorure de potassium 10 %, ampoules de 10 à 20 mL, réservées à l'usage hospitalier en perfusion IV diluée et lente sous monitoring ECG.</w:t>
      </w:r>
    </w:p>
    <w:p>
      <w:r/>
      <w:r>
        <w:rPr>
          <w:b/>
        </w:rPr>
        <w:t>Solution pour hémofiltration</w:t>
      </w:r>
      <w:r>
        <w:t xml:space="preserve"> (MUTI-BIC 3 mmol/L POTASSIUM) : solution bi-compartimentée pour hémodialfiltration contenant chlorure de K, chlorure de Ca, chlorure de Mg, glucose, bicarbonate de Na et chlorure de Na après reconstitution ; réservée à l'insuffisance rénale chronique dialysée. </w:t>
      </w:r>
      <w:r>
        <w:rPr>
          <w:b/>
        </w:rPr>
        <w:t>Solution pour perfusion</w:t>
      </w:r>
      <w:r>
        <w:t xml:space="preserve"> (BIONOLYTE G5) : soluté de réhydration contenant chlorure de K 0,2 g + chlorure de Na 0,4 g + glucose 5 g/100 mL, indiqué en réhydratation d'entretien. </w:t>
      </w:r>
      <w:r>
        <w:rPr>
          <w:b/>
        </w:rPr>
        <w:t>Comprimé sécable</w:t>
      </w:r>
      <w:r>
        <w:t xml:space="preserve"> (PERMANGANATE DE POTASSIUM, NOVA-K) : antiseptique local oxydant 250 mg, à dissoudre dans l'eau pour bains bouche, lavages cutanés, bains siège — ne jamais avaler (toxicité caustique). </w:t>
      </w:r>
      <w:r>
        <w:rPr>
          <w:b/>
        </w:rPr>
        <w:t>Comprimé à libération prolongée</w:t>
      </w:r>
      <w:r>
        <w:t xml:space="preserve"> (KALEORID LP 600 mg, 1000 mg, LEO) : forme de référence pour la supplémentation orale prolongée, mais retirée du marché algérien à la date d'avril 2026 — cette absence expose au risque d'observance réduite (effet caustique du sirop) et limite les options thérapeutiques chez le patient sous diurétique hypokaliémisant au long cours. À noter l'absence de spécialité algérienne de bicarbonate de potassium, citrate de potassium ou acétate de potassium, parfois nécessaires en cas d'alcalose hypochlorémique ou d'acidose tubulaire rénale.</w:t>
      </w:r>
    </w:p>
    <w:p>
      <w:pPr>
        <w:pStyle w:val="Heading4"/>
      </w:pPr>
      <w:r>
        <w:t>8. Conseils au patient</w:t>
      </w:r>
    </w:p>
    <w:p>
      <w:r>
        <w:t xml:space="preserve">Au comptoir, le pharmacien doit transmettre plusieurs conseils au patient sous potassium. </w:t>
      </w:r>
      <w:r>
        <w:rPr>
          <w:b/>
        </w:rPr>
        <w:t>Conseil n°1 — Modalités de prise</w:t>
      </w:r>
      <w:r>
        <w:t xml:space="preserve"> : pour le sirop de gluconate, diluer dans un grand verre d'eau, prendre au cours du repas, rincer la bouche après la prise (protection de l'émail dentaire) ; pour le comprimé LP (si disponible à l'importation), prendre en position assise ou debout avec un grand verre d'eau, ne pas s'allonger dans l'heure qui suit (risque d'ulcération œsophagienne). </w:t>
      </w:r>
      <w:r>
        <w:rPr>
          <w:b/>
        </w:rPr>
        <w:t>Conseil n°2 — Surveillance biologique</w:t>
      </w:r>
      <w:r>
        <w:t xml:space="preserve"> : kaliémie à J0, J7, J15, J30 puis tous les 3 mois ; en cas d'association à un diurétique épargneur de potassium ou à un IEC/ARAII, surveillance plus rapprochée (J3, J7, J15). </w:t>
      </w:r>
      <w:r>
        <w:rPr>
          <w:b/>
        </w:rPr>
        <w:t>Conseil n°3 — Alimentation riche en potassium</w:t>
      </w:r>
      <w:r>
        <w:t xml:space="preserve"> : banane, agrumes, kiwi, abricot sec, légumes verts, tomate, pomme de terre, viande, poisson — la supplémentation ne remplace pas une alimentation équilibrée.</w:t>
      </w:r>
    </w:p>
    <w:p>
      <w:r/>
      <w:r>
        <w:rPr>
          <w:b/>
        </w:rPr>
        <w:t>Conseil n°4 — Éviter les substituts de sel riches en potassium</w:t>
      </w:r>
      <w:r>
        <w:t xml:space="preserve"> : si le patient est sous diurétique épargneur de potassium, IEC, ARAII ou insuffisant rénal, les substituts de sel (KCl) sont contre-indiqués (hyperkaliémie). </w:t>
      </w:r>
      <w:r>
        <w:rPr>
          <w:b/>
        </w:rPr>
        <w:t>Conseil n°5 — Signes d'hypokaliémie</w:t>
      </w:r>
      <w:r>
        <w:t xml:space="preserve"> : crampes, faiblesse musculaire, polyurie, palpitations — consulter pour dosage. </w:t>
      </w:r>
      <w:r>
        <w:rPr>
          <w:b/>
        </w:rPr>
        <w:t>Conseil n°6 — Signes d'hyperkaliémie</w:t>
      </w:r>
      <w:r>
        <w:t xml:space="preserve"> : asthénie, paresthésies, paralysie, palpitations — urgence médicale. </w:t>
      </w:r>
      <w:r>
        <w:rPr>
          <w:b/>
        </w:rPr>
        <w:t>Conseil n°7 — Patient sous diurétique</w:t>
      </w:r>
      <w:r>
        <w:t xml:space="preserve"> : surveiller la kaliémie, la natrémie et la tension artérielle, ne pas arrêter le diurétique sans avis médical. </w:t>
      </w:r>
      <w:r>
        <w:rPr>
          <w:b/>
        </w:rPr>
        <w:t>Conseil n°8 — Patient sous digitalique</w:t>
      </w:r>
      <w:r>
        <w:t xml:space="preserve"> : maintenir la kaliémie &gt; 4,0 mmol/L (risque d'arythmie ventriculaire). </w:t>
      </w:r>
      <w:r>
        <w:rPr>
          <w:b/>
        </w:rPr>
        <w:t>Conseil n°9 — Forme IV</w:t>
      </w:r>
      <w:r>
        <w:t xml:space="preserve"> : en milieu hospitalier, signaler immédiatement tout flush, douleur au point de perfusion, sensation de chaleur (risque d'extravasation nécrosante), palpitations, dyspnée. </w:t>
      </w:r>
      <w:r>
        <w:rPr>
          <w:b/>
        </w:rPr>
        <w:t>Conseil n°10 — Conservation</w:t>
      </w:r>
      <w:r>
        <w:t xml:space="preserve"> : conserver à température ambiante, à l'abri de la lumière, bien fermer le flacon de sirop après usage (risque de contamination microbienne). </w:t>
      </w:r>
      <w:r>
        <w:rPr>
          <w:b/>
        </w:rPr>
        <w:t>Conseil n°11 — Grossesse et allaitement</w:t>
      </w:r>
      <w:r>
        <w:t xml:space="preserve"> : ne pas arrêter le potassium sans avis médical, surveillance kaliémique mensuelle. </w:t>
      </w:r>
      <w:r>
        <w:rPr>
          <w:b/>
        </w:rPr>
        <w:t>Conseil n°12 — Sport et hydratation</w:t>
      </w:r>
      <w:r>
        <w:t xml:space="preserve"> : en cas d'effort physique prolongé avec sudation, l'alimentation suffit à compenser les pertes potassiques ; ne pas supplémenter sans dosage préalable.</w:t>
      </w:r>
    </w:p>
    <w:p>
      <w:pPr>
        <w:pStyle w:val="Heading4"/>
      </w:pPr>
      <w:r>
        <w:t>9. Pièges du comptoir</w:t>
      </w:r>
    </w:p>
    <w:p>
      <w:r>
        <w:t xml:space="preserve">Plusieurs pièges guettent le pharmacien d'officine face à une prescription de potassium. </w:t>
      </w:r>
      <w:r>
        <w:rPr>
          <w:b/>
        </w:rPr>
        <w:t>Piège n°1 — Confusion permanganate / chlorure de potassium</w:t>
      </w:r>
      <w:r>
        <w:t xml:space="preserve"> : le permanganate de potassium (PERMANGANATE DE POTASSIUM, NOVA-K) est un antiseptique local, jamais un supplément potassique ; vérifier l'indication avant délivrance. </w:t>
      </w:r>
      <w:r>
        <w:rPr>
          <w:b/>
        </w:rPr>
        <w:t>Piège n°2 — Patient sous diurétique épargneur de potassium</w:t>
      </w:r>
      <w:r>
        <w:t xml:space="preserve"> : association contre-indiquée sans surveillance rapprochée, risque d'hyperkaliémie mortelle. </w:t>
      </w:r>
      <w:r>
        <w:rPr>
          <w:b/>
        </w:rPr>
        <w:t>Piège n°3 — Patient insuffisant rénal chronique</w:t>
      </w:r>
      <w:r>
        <w:t xml:space="preserve"> : contre-indication relative aux suppléments potassiques, surveillance accrue. </w:t>
      </w:r>
      <w:r>
        <w:rPr>
          <w:b/>
        </w:rPr>
        <w:t>Piège n°4 — Patient sous IEC/ARAII</w:t>
      </w:r>
      <w:r>
        <w:t xml:space="preserve"> : surveillance kaliémie à J7, J15, J30 puis tous les 3 mois ; risque d'hyperkaliémie majoré si association à un supplément de potassium.</w:t>
      </w:r>
    </w:p>
    <w:p>
      <w:r/>
      <w:r>
        <w:rPr>
          <w:b/>
        </w:rPr>
        <w:t>Piège n°5 — Hypokaliémie réfractaire</w:t>
      </w:r>
      <w:r>
        <w:t xml:space="preserve"> : toujours doser la magnésémie (une hypomagnésémie associée rend l'hypokaliémie réfractaire), le bilan acido-basique (acidose tubulaire rénale, alcalose métabolique) et le statut thyroïdien (hyperthyroïdie). </w:t>
      </w:r>
      <w:r>
        <w:rPr>
          <w:b/>
        </w:rPr>
        <w:t>Piège n°6 — Forme IV non diluée</w:t>
      </w:r>
      <w:r>
        <w:t xml:space="preserve"> : erreur fatale d'administration IV directe de KCl ; toujours diluer dans 100 à 500 mL de soluté, perfusion lente (≤ 20 mmol/h périphérique, ≤ 40 mmol/h centrale), monitoring ECG. </w:t>
      </w:r>
      <w:r>
        <w:rPr>
          <w:b/>
        </w:rPr>
        <w:t>Piège n°7 — Forme IV en IM</w:t>
      </w:r>
      <w:r>
        <w:t xml:space="preserve"> : jamais d'injection IM de KCl (nécrose tissulaire). </w:t>
      </w:r>
      <w:r>
        <w:rPr>
          <w:b/>
        </w:rPr>
        <w:t>Piège n°8 — Sujet âgé sous comprimé LP</w:t>
      </w:r>
      <w:r>
        <w:t xml:space="preserve"> : risque d'ulcération œsophagienne/gastrique (sténose, ralentissement du transit), préférer le sirop de gluconate. </w:t>
      </w:r>
      <w:r>
        <w:rPr>
          <w:b/>
        </w:rPr>
        <w:t>Piège n°9 — Patient sous digitalique</w:t>
      </w:r>
      <w:r>
        <w:t xml:space="preserve"> : risque de toxicité digitalique majoré en cas d'hypokaliémie, maintenir K+ &gt; 4,0 mmol/L. </w:t>
      </w:r>
      <w:r>
        <w:rPr>
          <w:b/>
        </w:rPr>
        <w:t>Piège n°10 — Patient sous corticoïde au long cours</w:t>
      </w:r>
      <w:r>
        <w:t xml:space="preserve"> : hypokaliémie et rétention hydrosodée, surveillance accrue. </w:t>
      </w:r>
      <w:r>
        <w:rPr>
          <w:b/>
        </w:rPr>
        <w:t>Piège n°11 — Femme enceinte sous diurétique</w:t>
      </w:r>
      <w:r>
        <w:t xml:space="preserve"> : surveillance kaliémique mensuelle, supplémentation adaptée. </w:t>
      </w:r>
      <w:r>
        <w:rPr>
          <w:b/>
        </w:rPr>
        <w:t>Piège n°12 — Forme LP retirée du marché</w:t>
      </w:r>
      <w:r>
        <w:t xml:space="preserve"> : KALEORID LP n'est plus disponible en Algérie depuis avril 2026 ; le patient sous diurétique au long cours doit être orienté vers le sirop de gluconate (KALIGON, GLUPOTAS, K-PLUS) avec une observance et une surveillance accrues. </w:t>
      </w:r>
      <w:r>
        <w:rPr>
          <w:b/>
        </w:rPr>
        <w:t>Piège n°13 — Substituts de sel</w:t>
      </w:r>
      <w:r>
        <w:t xml:space="preserve"> : les sels de régime riches en potassium (KCl) sont contre-indiqués chez le patient sous IEC, ARAII, diurétique épargneur de potassium ou insuffisant rénal.</w:t>
      </w:r>
    </w:p>
    <w:p>
      <w:pPr>
        <w:pStyle w:val="Heading2"/>
      </w:pPr>
      <w:r>
        <w:t>163.5 Sous-classe : Minéraux — Fluor</w:t>
      </w:r>
    </w:p>
    <w:p>
      <w:r>
        <w:t>Le fluor est un halogène de symbole F, numéro atomique 9, présent dans l'organisme à l'état de traces (2–3 g chez l'adulte), principalement concentré dans les tissus minéralisés (émail dentaire, dentine, os). Le fluor n'est pas un élément essentiel au sens strict (aucune maladie de carence spécifique documentée), mais il exerce un effet prophylactique majeur contre la carie dentaire en intégrant la structure cristalline de l'hydroxyapatite [Ca₁₀(PO₄)₆(OH)₂] pour former la fluoroapatite [Ca₁₀(PO₄)₆F₂], plus résistante à la déminéralisation acide. L'ion fluorure F⁻ remplace les ions OH⁻ dans le réseau cristallin de l'hydroxyapatite, réduisant la solubilité de l'émail en milieu acide (pH &lt; 5,5) et inhibant la croissance des bactéries cariogènes (Streptococcus mutans, Lactobacillus) par inhibition de la pyruvate deshydrogénase et de l'ATPase F1Fo bactérienne. Le fluor est également utilisé à haute dose dans l'ostéoporose sévère (fluorure de sodium 50 mg/j, non disponible en Algérie) pour stimuler la formation osseuse ostéoblastique (action mitogène sur les ostéoblastes), mais cette indication est discutée en raison du risque de fluorose osseuse.</w:t>
      </w:r>
    </w:p>
    <w:p>
      <w:r>
        <w:t>Les sources alimentaires principales de fluor sont l'eau de boissance (concentration variable selon les régions : 0,1 à 5 mg/L), le thé (10 à 100 mg/kg), les poissons de mer, les légumes cultivés sur sols fluorés. Les besoins quotidiens sont estimés à 0,05 mg/kg/jour chez l'enfant (soit 0,7 à 2 mg/j selon l'âge) et 1,5 à 4 mg/j chez l'adulte. La fluoration de l'eau de boisson à la concentration optimale de 0,7 à 1,2 mg/L est recommandée par l'OMS comme mesure de santé publique de prévention de la carie dentaire, mais n'est pas appliquée en Algérie où l'eau de distribution naturelle est généralement pauvre en fluor (&lt; 0,3 mg/L). La supplémentation médicamenteuse par fluorure de sodium en comprimés à croquer ou à sucer (FLURIDENT, DENFLUOR) est indiquée chez l'enfant en croissance (de 6 mois à 16 ans) en cas d'eau de boissance pauvre en fluor et de terrain carieux.</w:t>
      </w:r>
    </w:p>
    <w:p>
      <w:pPr>
        <w:pStyle w:val="Heading3"/>
      </w:pPr>
      <w:r>
        <w:t>163.5.1 DCI : Fluor (fluorure de sodium)</w:t>
      </w:r>
    </w:p>
    <w:p>
      <w:r/>
      <w:r>
        <w:rPr>
          <w:b/>
        </w:rPr>
        <w:t>Liste des catégories pharmaco-thérapeutiques :</w:t>
      </w:r>
      <w:r>
        <w:t xml:space="preserve"> Minéraux et oligoéléments ; Fluor thérapeutique ; Prévention de la carie dentaire ; Minéralisation osseuse (hautes doses, hors AMM Algérie) ; Liste libre (complément alimentaire).</w:t>
      </w:r>
    </w:p>
    <w:p>
      <w:r>
        <w:t>Le fluor, élément halogène de masse atomique 19,00, est disponible en thérapeutique sous une seule forme orale : le fluorure de sodium (NaF), en comprimés à croquer ou à sucer, dosés à 0,75 mg ou 1 mg de fluorure. La supplémentation est indiquée chez l'enfant en croissance de 6 mois à 16 ans, en cas d'eau de boissance pauvre en fluor (&lt; 0,3 mg/L) et de risque carieux élevé. La posologie est adaptée à l'âge et à la concentration de fluor dans l'eau de boissance. Le fluorure de sodium à haute dose (50 mg/j) est utilisé dans l'ostéoporose sévère dans certains pays, mais cette indication n'est pas disponible en Algérie. Les composés fluorés à visée thérapeutique non carieuse (fluorouracile = anticancéreux, fluorométholone = corticoïde ophtalmique, flunarizine = antimigraineux, fluoxétine = antidépresseur) ne contiennent pas d'ion fluorure libre et n'ont aucune activité de prévention de la carie.</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FLURIDENT</w:t>
            </w:r>
          </w:p>
        </w:tc>
        <w:tc>
          <w:tcPr>
            <w:tcW w:type="dxa" w:w="1559"/>
          </w:tcPr>
          <w:p>
            <w:r>
              <w:rPr>
                <w:sz w:val="20"/>
              </w:rPr>
              <w:t>El Kendi Pharmaceuticals Manufacturing Company</w:t>
            </w:r>
          </w:p>
        </w:tc>
        <w:tc>
          <w:tcPr>
            <w:tcW w:type="dxa" w:w="1559"/>
          </w:tcPr>
          <w:p>
            <w:r>
              <w:rPr>
                <w:sz w:val="20"/>
              </w:rPr>
              <w:t>Comprimé à croquer, fluorure de sodium 1 mg</w:t>
            </w:r>
          </w:p>
        </w:tc>
        <w:tc>
          <w:tcPr>
            <w:tcW w:type="dxa" w:w="1559"/>
          </w:tcPr>
          <w:p>
            <w:r>
              <w:rPr>
                <w:sz w:val="20"/>
              </w:rPr>
              <w:t>Boîte de 120</w:t>
            </w:r>
          </w:p>
        </w:tc>
        <w:tc>
          <w:tcPr>
            <w:tcW w:type="dxa" w:w="1559"/>
          </w:tcPr>
          <w:p>
            <w:r>
              <w:rPr>
                <w:sz w:val="20"/>
              </w:rPr>
              <w:t>—</w:t>
            </w:r>
          </w:p>
        </w:tc>
        <w:tc>
          <w:tcPr>
            <w:tcW w:type="dxa" w:w="1559"/>
          </w:tcPr>
          <w:p>
            <w:r>
              <w:rPr>
                <w:sz w:val="20"/>
              </w:rPr>
              <w:t>Non renouvelable</w:t>
            </w:r>
          </w:p>
        </w:tc>
      </w:tr>
      <w:tr>
        <w:tc>
          <w:tcPr>
            <w:tcW w:type="dxa" w:w="1559"/>
          </w:tcPr>
          <w:p>
            <w:r>
              <w:rPr>
                <w:sz w:val="20"/>
              </w:rPr>
              <w:t>DENFLUOR (1 mg)</w:t>
            </w:r>
          </w:p>
        </w:tc>
        <w:tc>
          <w:tcPr>
            <w:tcW w:type="dxa" w:w="1559"/>
          </w:tcPr>
          <w:p>
            <w:r>
              <w:rPr>
                <w:sz w:val="20"/>
              </w:rPr>
              <w:t>Solupharm</w:t>
            </w:r>
          </w:p>
        </w:tc>
        <w:tc>
          <w:tcPr>
            <w:tcW w:type="dxa" w:w="1559"/>
          </w:tcPr>
          <w:p>
            <w:r>
              <w:rPr>
                <w:sz w:val="20"/>
              </w:rPr>
              <w:t>Comprimé aromatisé à sucer, fluorure de sodium 1 mg</w:t>
            </w:r>
          </w:p>
        </w:tc>
        <w:tc>
          <w:tcPr>
            <w:tcW w:type="dxa" w:w="1559"/>
          </w:tcPr>
          <w:p>
            <w:r>
              <w:rPr>
                <w:sz w:val="20"/>
              </w:rPr>
              <w:t>Boîte de 60</w:t>
            </w:r>
          </w:p>
        </w:tc>
        <w:tc>
          <w:tcPr>
            <w:tcW w:type="dxa" w:w="1559"/>
          </w:tcPr>
          <w:p>
            <w:r>
              <w:rPr>
                <w:sz w:val="20"/>
              </w:rPr>
              <w:t>—</w:t>
            </w:r>
          </w:p>
        </w:tc>
        <w:tc>
          <w:tcPr>
            <w:tcW w:type="dxa" w:w="1559"/>
          </w:tcPr>
          <w:p>
            <w:r>
              <w:rPr>
                <w:sz w:val="20"/>
              </w:rPr>
              <w:t>Retiré</w:t>
            </w:r>
          </w:p>
        </w:tc>
      </w:tr>
      <w:tr>
        <w:tc>
          <w:tcPr>
            <w:tcW w:type="dxa" w:w="1559"/>
          </w:tcPr>
          <w:p>
            <w:r>
              <w:rPr>
                <w:sz w:val="20"/>
              </w:rPr>
              <w:t>DENFLUOR (0,75 mg)</w:t>
            </w:r>
          </w:p>
        </w:tc>
        <w:tc>
          <w:tcPr>
            <w:tcW w:type="dxa" w:w="1559"/>
          </w:tcPr>
          <w:p>
            <w:r>
              <w:rPr>
                <w:sz w:val="20"/>
              </w:rPr>
              <w:t>Solupharm SARL</w:t>
            </w:r>
          </w:p>
        </w:tc>
        <w:tc>
          <w:tcPr>
            <w:tcW w:type="dxa" w:w="1559"/>
          </w:tcPr>
          <w:p>
            <w:r>
              <w:rPr>
                <w:sz w:val="20"/>
              </w:rPr>
              <w:t>Comprimé aromatisé sec à sucer, fluorure de sodium 0,75 mg</w:t>
            </w:r>
          </w:p>
        </w:tc>
        <w:tc>
          <w:tcPr>
            <w:tcW w:type="dxa" w:w="1559"/>
          </w:tcPr>
          <w:p>
            <w:r>
              <w:rPr>
                <w:sz w:val="20"/>
              </w:rPr>
              <w:t>Boîte de 60</w:t>
            </w:r>
          </w:p>
        </w:tc>
        <w:tc>
          <w:tcPr>
            <w:tcW w:type="dxa" w:w="1559"/>
          </w:tcPr>
          <w:p>
            <w:r>
              <w:rPr>
                <w:sz w:val="20"/>
              </w:rPr>
              <w:t>—</w:t>
            </w:r>
          </w:p>
        </w:tc>
        <w:tc>
          <w:tcPr>
            <w:tcW w:type="dxa" w:w="1559"/>
          </w:tcPr>
          <w:p>
            <w:r>
              <w:rPr>
                <w:sz w:val="20"/>
              </w:rPr>
              <w:t>Retiré</w:t>
            </w:r>
          </w:p>
        </w:tc>
      </w:tr>
    </w:tbl>
    <w:p/>
    <w:p>
      <w:r/>
      <w:r>
        <w:rPr>
          <w:b/>
        </w:rPr>
        <w:t>Remarque n°1 — Statut du marché algérien :</w:t>
      </w:r>
      <w:r>
        <w:t xml:space="preserve"> À la date d'avril 2026, le marché algérien du fluor thérapeutique est en situation de pénurie critique. La seule spécialité disponible (FLURIDENT 1 mg, El Kendi) est en statut « non renouvelable » (probablement en attente de renouvellement d'AMM ou en cours de reformulation). Les deux autres spécialités historiques (DENFLUOR 1 mg et 0,75 mg, Solupharm) sont retirées du marché. Cette situation expose à un défaut de prévention de la carie dentaire chez l'enfant, et le recours à l'importation de fluorure de sodium (Zymafluor® en France, etc.) est parfois nécessaire.</w:t>
      </w:r>
    </w:p>
    <w:p>
      <w:r/>
      <w:r>
        <w:rPr>
          <w:b/>
        </w:rPr>
        <w:t>Remarque n°2 — Composés fluorés non concernés :</w:t>
      </w:r>
      <w:r>
        <w:t xml:space="preserve"> Les autres spécialités de la nomenclature algérienne contenant le terme « fluor » dans la DCI ou le nom commercial ne sont PAS des suppléments fluorés et relèvent d'autres classes pharmacologiques : FLUOROURACILE (UTORAL, FLUOROURACIL Therabel) = anticancéreux antimétabolite (pyrimidine fluorée inhibant la thymidylate synthase) ; FLUOROMETHOLONE (FLULIX, OPTIF JAM, FLUCON) = corticoïde ophtalmique ; FLUOROMETHOLONE/CROMOGLYCATE DE SODIUM (OPTIF PLUS) = association corticoïde + anti-allergique ophtalmique ; FLUORESCEINE SODIQUE FAURE = colorant diagnostique ophtalmologique. Le pharmacien doit absolument distinguer ces molécules nonfluor-thérapeutiques du véritable fluorure de sodium utilisé en prévention de la carie.</w:t>
      </w:r>
    </w:p>
    <w:p>
      <w:pPr>
        <w:pStyle w:val="Heading4"/>
      </w:pPr>
      <w:r>
        <w:t>1. Mécanisme d'action</w:t>
      </w:r>
    </w:p>
    <w:p>
      <w:r>
        <w:t xml:space="preserve">Le fluor thérapeutique agit par trois mécanismes complémentaires sur la prévention de la carie dentaire. </w:t>
      </w:r>
      <w:r>
        <w:rPr>
          <w:b/>
        </w:rPr>
        <w:t>Premièrement, incorporation dans le réseau cristallin de l'hydroxyapatite</w:t>
      </w:r>
      <w:r>
        <w:t xml:space="preserve"> : l'ion fluorure F⁻ remplace les ions hydroxydes OH⁻ dans le réseau cristallin de l'hydroxyapatite [Ca₁₀(PO₄)₆(OH)₂] de l'émail dentaire, formant la fluoroapatite [Ca₁₀(PO₄)₆F₂]. Cette substitution modifie les propriétés physico-chimiques du cristal : la fluoroapatite est moins soluble en milieu acide (pH critique de solubilité abaissé de 5,5 à 4,5), plus dure, plus dense et plus résistante à l'attaque bactérienne acide. L'incorporation du fluor dans l'émail se fait principalement pendant la phase de minéralisation (pendant la formation de la dent, c'est-à-dire pendant l'enfance et l'adolescence), mais aussi après l'éruption dentaire par contact topique (bains de bouche fluorés, dentifrices fluorés).</w:t>
      </w:r>
    </w:p>
    <w:p>
      <w:r/>
      <w:r>
        <w:rPr>
          <w:b/>
        </w:rPr>
        <w:t>Deuxièmement, inhibition de la déminéralisation et promotion de la reminéralisation</w:t>
      </w:r>
      <w:r>
        <w:t xml:space="preserve"> : le fluor présent en faible concentration (0,03 à 10 ppm) dans la plaque dentaire et la salive inhibe la déminéralisation de l'émail en milieu acide en captant les ions H+ et en formant HF, et favorise la reminéralisation en attirant le calcium et le phosphate vers la surface de l'émail déminéralisé. Le fluor catalyse également la formation de fluorapatite à partir de l'hydroxyapatite déminéralisée, accélérant la cicatrisation des lésions carieuses débutantes (taches blanches). </w:t>
      </w:r>
      <w:r>
        <w:rPr>
          <w:b/>
        </w:rPr>
        <w:t>Troisièmement, inhibition du métabolisme bactérien</w:t>
      </w:r>
      <w:r>
        <w:t xml:space="preserve"> : à concentration plus élevée (≥ 10 ppm), le fluor pénètre dans les bactéries cariogènes (Streptococcus mutans, Lactobacillus acidophilus) et inhibe deux enzymes clés : la pyruvate deshydrogénase (blocage de la voie glycolytique bactérienne = inhibition de la production d'acide lactique) et l'ATPase F1Fo membranaire (altération du pH intrabactérien, inhibition de la croissance). Cet effet antibactérien est majeur à concentration topique élevée (bains de bouche, gels fluorés à 0,5 à 2 %).</w:t>
      </w:r>
    </w:p>
    <w:p>
      <w:r>
        <w:t>Dans l'ostéoporose (à haute dose, 50 mg/j de fluorure de sodium), le fluor stimule la formation osseuse ostéoblastique par action mitogène directe (activation de la tyrosine kinase des ostéoblastes, augmentation de la prolifération cellulaire) et incorporation dans le réseau cristallin osseux. Cependant, le tissu osseux formé sous fluor est de qualité mécanique inférieure (fluorose osseuse : ostéomalacie, fractures atypiques de la diaphyse fémorale), ce qui explique que cette indication soit discutée et non disponible en Algérie.</w:t>
      </w:r>
    </w:p>
    <w:p>
      <w:pPr>
        <w:pStyle w:val="Heading4"/>
      </w:pPr>
      <w:r>
        <w:t>2. Profil pharmacocinétique</w:t>
      </w:r>
    </w:p>
    <w:p>
      <w:r>
        <w:t>L'absorption intestinale du fluorure de sodium oral est quasi complète (90–95 %), principalement au niveau de l'estomac (pH gastrique acide, formation de HF absorbable). Le pic de fluorémie est atteint en 30 à 60 minutes. Le fluor absorbé est distribué dans tous les tissus, avec une affinité particulière pour les tissus minéralisés (émail, dentine, os) où il s'incorpore au réseau cristallin de l'hydroxyapatite. La concentration dans la salive et la plaque dentaire est faible (0,01 à 0,1 ppm) mais suffisante pour exercer un effet anti-carie topique continu. Le fluor traverse la barrière placentaire et est excrété dans le lait maternel (concentration lactée 5 à 10 μg/L, soit 0,5 à 1 mg/j en allaitement exclusif).</w:t>
      </w:r>
    </w:p>
    <w:p>
      <w:r>
        <w:t>L'élimination du fluor est principalement rénale (50–60 %), filtrée puis réabsorbée proportionnellement à la natriurèse. La clearance du fluor est proportionnelle au débit de filtration glomérulaire (DFG). La demi-vie plasmatique est de 2 à 9 heures. Le fluor non éliminé par voie rénale est stocké dans les tissus minéralisés (os, dents), avec une demi-vie très longue (années). La fluorurie normale est de 0,5 à 1,5 mg/24 h. Une fluorurie &gt; 4 mg/24 h traduit une surcharge. La fluorémie normale est de 0,01 à 0,2 mg/L. Une fluorémie &gt; 0,5 mg/L traduit une fluorose chronique. Le fluor absorbé oral est partiellement éliminé dans la salive et le suc gastrique (cycle entéro-salivaire), exerçant un effet topique continu sur les dents. La prise de calcium, d'aluminium ou de magnésium au moment de l'ingestion réduit l'absorption du fluor (chélation), d'où la recommandation de prendre le fluor à distance des produits laitiers et des antiacides.</w:t>
      </w:r>
    </w:p>
    <w:p>
      <w:pPr>
        <w:pStyle w:val="Heading4"/>
      </w:pPr>
      <w:r>
        <w:t>3. Prévention des effets indésirables</w:t>
      </w:r>
    </w:p>
    <w:p>
      <w:r>
        <w:t xml:space="preserve">La prévention des effets indésirables du fluor repose sur quatre piliers. </w:t>
      </w:r>
      <w:r>
        <w:rPr>
          <w:b/>
        </w:rPr>
        <w:t>Premièrement, respect strict de la posologie adaptée à l'âge et à la concentration de fluor dans l'eau de boissance</w:t>
      </w:r>
      <w:r>
        <w:t xml:space="preserve"> : la supplémentation n'est indiquée que si l'eau de boissance contient &lt; 0,3 mg/L de fluor. Si l'eau contient &gt; 0,7 mg/L, la supplémentation est contre-indiquée (risque de fluorose dentaire). Entre 0,3 et 0,7 mg/L, la supplémentation est réduite de moitié. La posologie est : 0,25 mg/j de 6 mois à 2 ans ; 0,50 mg/j de 2 à 3 ans ; 1 mg/j de 3 à 16 ans (en cas d'eau &lt; 0,3 mg/L). Un surdosage chronique (≥ 2 mg/j pendant la formation dentaire) provoque une fluorose dentaire : taches blanches opaques, puis taches brunes, puis hypoplasie de l'émail avec atteinte esthétique et fragilité dentaire.</w:t>
      </w:r>
    </w:p>
    <w:p>
      <w:r/>
      <w:r>
        <w:rPr>
          <w:b/>
        </w:rPr>
        <w:t>Deuxièmement, prévention de la fluorose osseuse</w:t>
      </w:r>
      <w:r>
        <w:t xml:space="preserve"> : à très haute dose chronique (≥ 10 mg/j pendant plusieurs années, comme observé dans certaines régions indiennes ou chinoises où l'eau contient &gt; 10 mg/L de fluor), le fluor s'accumule dans l'os et provoque une ostéosclérose douloureuse avec calcification des ligaments, limitation de la mobilité, atteinte neurologique par compression médullaire. Cette fluorose osseuse n'est pas observée aux doses thérapeutiques (1 mg/j), mais impose de respecter strictement la posologie. </w:t>
      </w:r>
      <w:r>
        <w:rPr>
          <w:b/>
        </w:rPr>
        <w:t>Troisièmement, surveillance de la source hydrique</w:t>
      </w:r>
      <w:r>
        <w:t xml:space="preserve"> : identifier la concentration de fluor dans l'eau de boissance (eau de distribution, eau de source, eau minérale) avant de prescrire un supplément fluoré ; éviter les doubles sources (eau fluorée + supplément + dentifrice fluoré ingéré). Les eaux minérales riches en fluor (Hépar 0,3 mg/L, Vichy Célestins 0,9 mg/L, St Yorre 0,9 mg/L) sont à éviter chez l'enfant sous supplément fluoré. </w:t>
      </w:r>
      <w:r>
        <w:rPr>
          <w:b/>
        </w:rPr>
        <w:t>Quatrièmement, prévention de la toxicité aiguë</w:t>
      </w:r>
      <w:r>
        <w:t xml:space="preserve"> : à dose massive (≥ 5 mg/kg en une prise, soit 35 mg chez un enfant de 7 kg), le fluor provoque une intoxication aiguë : nausées, vomissements, douleurs abdominales, diarrhée, hypocalcémie (chélation du calcium sanguin), hypomagnésémie, hyperkaliémie, défaillance cardiaque, convulsions, coma. L'antidote est le gluconate de calcium IV (10 mL à 10 %) et le chlorure de calcium gastrique (1 g dans 1 L d'eau à boire pour précipiter le fluor en CaF₂ non absorbable). Enfin, vérifier que l'enfant n'avale pas systématiquement son dentifrice fluoré (risque de surdosage cumulatif), limiter la quantité de dentifrice à un pois (0,25 mg de fluor) chez l'enfant de moins de 6 ans, surveiller la pratique du brossage.</w:t>
      </w:r>
    </w:p>
    <w:p>
      <w:pPr>
        <w:pStyle w:val="Heading4"/>
      </w:pPr>
      <w:r>
        <w:t>4. Interactions médicamenteuses</w:t>
      </w:r>
    </w:p>
    <w:p>
      <w:r>
        <w:t xml:space="preserve">Le fluor présente peu d'interactions médicamenteuses systémiques en raison de la dose très faible (1 mg/j). Cependant, plusieurs interactions sont à connaître. </w:t>
      </w:r>
      <w:r>
        <w:rPr>
          <w:b/>
        </w:rPr>
        <w:t>Avec le calcium</w:t>
      </w:r>
      <w:r>
        <w:t xml:space="preserve"> (laitages, suppléments calciques) : le calcium chélate le fluor dans la lumière intestinale en formant du fluorure de calcium (CaF₂) insoluble, réduisant l'absorption du fluor de 50 à 80 % ; prendre le fluor à distance des laitages (au moins 1 heure avant ou 2 heures après). </w:t>
      </w:r>
      <w:r>
        <w:rPr>
          <w:b/>
        </w:rPr>
        <w:t>Avec l'aluminium</w:t>
      </w:r>
      <w:r>
        <w:t xml:space="preserve"> (antiacides aluminum-magnésiens, sucralfate) : l'aluminium chélate le fluor de manière similaire, réduisant l'absorption de 50 % ; espacer de 2 heures. </w:t>
      </w:r>
      <w:r>
        <w:rPr>
          <w:b/>
        </w:rPr>
        <w:t>Avec le magnésium</w:t>
      </w:r>
      <w:r>
        <w:t xml:space="preserve"> (suppléments magnésiens) : même chélation, espacer de 2 heures. </w:t>
      </w:r>
      <w:r>
        <w:rPr>
          <w:b/>
        </w:rPr>
        <w:t>Avec les IPP</w:t>
      </w:r>
      <w:r>
        <w:t xml:space="preserve"> (oméprazole, ésoméprazole) : pas d'interaction directe avec le fluor oral, mais l'IPP modifie le pH gastrique et peut affecter l'absorption du fluor (en pratique, pas d'ajustement). </w:t>
      </w:r>
      <w:r>
        <w:rPr>
          <w:b/>
        </w:rPr>
        <w:t>Avec les anti-vitamines K et autres anticoagulants</w:t>
      </w:r>
      <w:r>
        <w:t xml:space="preserve"> : pas d'interaction notable. </w:t>
      </w:r>
      <w:r>
        <w:rPr>
          <w:b/>
        </w:rPr>
        <w:t>Avec les antibiotiques</w:t>
      </w:r>
      <w:r>
        <w:t xml:space="preserve"> (quinolones, tétracyclines) : chélation par le fluor à dose thérapeutique n'est pas documentée comme cliniquement significative (la dose de fluor est trop faible).</w:t>
      </w:r>
    </w:p>
    <w:p>
      <w:r>
        <w:t xml:space="preserve">À haute dose d'ostéoporose (50 mg/j de fluorure de sodium, non disponible en Algérie) : </w:t>
      </w:r>
      <w:r>
        <w:rPr>
          <w:b/>
        </w:rPr>
        <w:t>avec le calcium et la vitamine D</w:t>
      </w:r>
      <w:r>
        <w:t xml:space="preserve"> : association systématique pour prévenir l'ostéomalacie fluorotique (le fluor stimule la formation osseuse mais nécessite un substrat calcique). </w:t>
      </w:r>
      <w:r>
        <w:rPr>
          <w:b/>
        </w:rPr>
        <w:t>Avec les diurétiques de l'anse</w:t>
      </w:r>
      <w:r>
        <w:t xml:space="preserve"> : augmentation de la fluorurie, réduction du stockage osseux. </w:t>
      </w:r>
      <w:r>
        <w:rPr>
          <w:b/>
        </w:rPr>
        <w:t>Avec les AINS</w:t>
      </w:r>
      <w:r>
        <w:t xml:space="preserve"> : pas d'interaction notable. Enfin, à noter que les composés fluorés non thérapeutiques (fluorouracile, flunarizine, fluoxétine) ont leurs propres interactions et ne partagent pas celles du fluorure de sodium.</w:t>
      </w:r>
    </w:p>
    <w:p>
      <w:pPr>
        <w:pStyle w:val="Heading4"/>
      </w:pPr>
      <w:r>
        <w:t>5. Grossesse et allaitement (CRAT)</w:t>
      </w:r>
    </w:p>
    <w:p>
      <w:r>
        <w:t xml:space="preserve">Selon le CRAT, le fluorure de sodium à dose thérapeutique (1 mg/j) est </w:t>
      </w:r>
      <w:r>
        <w:rPr>
          <w:b/>
        </w:rPr>
        <w:t>utilisable pendant la grossesse et l'allaitement</w:t>
      </w:r>
      <w:r>
        <w:t xml:space="preserve"> sans risque pour le fœtus ou le nouveau-né. Cependant, la supplémentation fluorée n'est pas recommandée pendant la grossesse car le bénéfice pour le fœtus (prévention de la carie des dents temporaires et permanentes) est discuté, et le passage transplacentaire du fluor est limité. La supplémentation maternelle n'augmente pas significativement la concentration lactée (5–10 μg/L, soit 0,5–1 mg/j en allaitement exclusif), et la concentration lactée reste bien en deçà du seuil toxique. Le fluor contenu dans l'eau de boissance et les dentifrices fluorés utilisés par la mère reste la source principale d'exposition.</w:t>
      </w:r>
    </w:p>
    <w:p>
      <w:r>
        <w:t>Chez l'enfant, la supplémentation fluorée est indiquée à partir de 6 mois (âge d'éruption de la première dent) et jusqu'à 16 ans (âge de minéralisation complète de la dent permanente). Le CRAT recommande l'évaluation de la concentration de fluor dans l'eau de boissance avant toute prescription, et le respect strict de la posologie adaptée à l'âge et à la concentration hydrique. La supplémentation est contre-indiquée en cas d'eau de boissance contenant &gt; 0,7 mg/L de fluor (risque de fluorose dentaire). À noter que la supplémentation fluorée chez la femme enceinte ou allaitante est inutile pour la prévention de la carie du nourrisson (le fluor ne passe pas en quantité suffisante dans le lait maternel, et la dent du nourrisson n'est pas encore éruptée in utero) ; la prévention de la carie chez le nourrisson passe par l'hygiène buccodentaire (brossage avec dentifrice fluoré adapté dès l'éruption de la première dent, à dose « trace » = 1 petit pois) et par une alimentation équilibrée pauvre en sucres.</w:t>
      </w:r>
    </w:p>
    <w:p>
      <w:pPr>
        <w:pStyle w:val="Heading4"/>
      </w:pPr>
      <w:r>
        <w:t>6. Posologie et mode d'administration</w:t>
      </w:r>
    </w:p>
    <w:p>
      <w:r/>
      <w:r>
        <w:rPr>
          <w:b/>
        </w:rPr>
        <w:t>Supplémentation orale (fluorure de sodium) selon l'âge et la concentration de fluor dans l'eau de boissance :</w:t>
      </w:r>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Âge</w:t>
            </w:r>
          </w:p>
        </w:tc>
        <w:tc>
          <w:tcPr>
            <w:tcW w:type="dxa" w:w="2339"/>
          </w:tcPr>
          <w:p>
            <w:r>
              <w:rPr>
                <w:b/>
                <w:sz w:val="20"/>
              </w:rPr>
              <w:t>Eau &lt; 0,3 mg/L</w:t>
            </w:r>
          </w:p>
        </w:tc>
        <w:tc>
          <w:tcPr>
            <w:tcW w:type="dxa" w:w="2339"/>
          </w:tcPr>
          <w:p>
            <w:r>
              <w:rPr>
                <w:b/>
                <w:sz w:val="20"/>
              </w:rPr>
              <w:t>Eau 0,3–0,7 mg/L</w:t>
            </w:r>
          </w:p>
        </w:tc>
        <w:tc>
          <w:tcPr>
            <w:tcW w:type="dxa" w:w="2339"/>
          </w:tcPr>
          <w:p>
            <w:r>
              <w:rPr>
                <w:b/>
                <w:sz w:val="20"/>
              </w:rPr>
              <w:t>Eau &gt; 0,7 mg/L</w:t>
            </w:r>
          </w:p>
        </w:tc>
      </w:tr>
      <w:tr>
        <w:tc>
          <w:tcPr>
            <w:tcW w:type="dxa" w:w="2339"/>
          </w:tcPr>
          <w:p>
            <w:r>
              <w:rPr>
                <w:sz w:val="20"/>
              </w:rPr>
              <w:t>6 mois – 2 ans</w:t>
            </w:r>
          </w:p>
        </w:tc>
        <w:tc>
          <w:tcPr>
            <w:tcW w:type="dxa" w:w="2339"/>
          </w:tcPr>
          <w:p>
            <w:r>
              <w:rPr>
                <w:sz w:val="20"/>
              </w:rPr>
              <w:t>0,25 mg/j</w:t>
            </w:r>
          </w:p>
        </w:tc>
        <w:tc>
          <w:tcPr>
            <w:tcW w:type="dxa" w:w="2339"/>
          </w:tcPr>
          <w:p>
            <w:r>
              <w:rPr>
                <w:sz w:val="20"/>
              </w:rPr>
              <w:t>0</w:t>
            </w:r>
          </w:p>
        </w:tc>
        <w:tc>
          <w:tcPr>
            <w:tcW w:type="dxa" w:w="2339"/>
          </w:tcPr>
          <w:p>
            <w:r>
              <w:rPr>
                <w:sz w:val="20"/>
              </w:rPr>
              <w:t>Contre-indiqué</w:t>
            </w:r>
          </w:p>
        </w:tc>
      </w:tr>
      <w:tr>
        <w:tc>
          <w:tcPr>
            <w:tcW w:type="dxa" w:w="2339"/>
          </w:tcPr>
          <w:p>
            <w:r>
              <w:rPr>
                <w:sz w:val="20"/>
              </w:rPr>
              <w:t>2 ans – 3 ans</w:t>
            </w:r>
          </w:p>
        </w:tc>
        <w:tc>
          <w:tcPr>
            <w:tcW w:type="dxa" w:w="2339"/>
          </w:tcPr>
          <w:p>
            <w:r>
              <w:rPr>
                <w:sz w:val="20"/>
              </w:rPr>
              <w:t>0,50 mg/j</w:t>
            </w:r>
          </w:p>
        </w:tc>
        <w:tc>
          <w:tcPr>
            <w:tcW w:type="dxa" w:w="2339"/>
          </w:tcPr>
          <w:p>
            <w:r>
              <w:rPr>
                <w:sz w:val="20"/>
              </w:rPr>
              <w:t>0,25 mg/j</w:t>
            </w:r>
          </w:p>
        </w:tc>
        <w:tc>
          <w:tcPr>
            <w:tcW w:type="dxa" w:w="2339"/>
          </w:tcPr>
          <w:p>
            <w:r>
              <w:rPr>
                <w:sz w:val="20"/>
              </w:rPr>
              <w:t>Contre-indiqué</w:t>
            </w:r>
          </w:p>
        </w:tc>
      </w:tr>
      <w:tr>
        <w:tc>
          <w:tcPr>
            <w:tcW w:type="dxa" w:w="2339"/>
          </w:tcPr>
          <w:p>
            <w:r>
              <w:rPr>
                <w:sz w:val="20"/>
              </w:rPr>
              <w:t>3 ans – 16 ans</w:t>
            </w:r>
          </w:p>
        </w:tc>
        <w:tc>
          <w:tcPr>
            <w:tcW w:type="dxa" w:w="2339"/>
          </w:tcPr>
          <w:p>
            <w:r>
              <w:rPr>
                <w:sz w:val="20"/>
              </w:rPr>
              <w:t>1 mg/j</w:t>
            </w:r>
          </w:p>
        </w:tc>
        <w:tc>
          <w:tcPr>
            <w:tcW w:type="dxa" w:w="2339"/>
          </w:tcPr>
          <w:p>
            <w:r>
              <w:rPr>
                <w:sz w:val="20"/>
              </w:rPr>
              <w:t>0,50 mg/j</w:t>
            </w:r>
          </w:p>
        </w:tc>
        <w:tc>
          <w:tcPr>
            <w:tcW w:type="dxa" w:w="2339"/>
          </w:tcPr>
          <w:p>
            <w:r>
              <w:rPr>
                <w:sz w:val="20"/>
              </w:rPr>
              <w:t>Contre-indiqué</w:t>
            </w:r>
          </w:p>
        </w:tc>
      </w:tr>
    </w:tbl>
    <w:p/>
    <w:p>
      <w:pPr>
        <w:pStyle w:val="ListBullet"/>
      </w:pPr>
      <w:r>
        <w:t>Pour FLURIDENT 1 mg : 1 comprimé à croquer par jour à 1 mg/j ; 1/2 comprimé à 0,5 mg/j ; 1/4 comprimé à 0,25 mg/j (à écraser et à dissoudre dans l'eau pour le nourrisson).</w:t>
      </w:r>
    </w:p>
    <w:p>
      <w:pPr>
        <w:pStyle w:val="ListBullet"/>
      </w:pPr>
      <w:r>
        <w:t>Mode d'administration : à croquer ou à sucer lentement (action systémique + topique locale), à distance des produits laitiers (1 heure avant ou 2 heures après), le soir au coucher après le brossage des dents pour optimiser l'effet topique nocturne (la salivation nocturne est réduite, ce qui augmente le temps de contact du fluor avec l'émail).</w:t>
      </w:r>
    </w:p>
    <w:p>
      <w:pPr>
        <w:pStyle w:val="ListBullet"/>
      </w:pPr>
      <w:r>
        <w:t>Durée : jusqu'à 16 ans (âge de minéralisation complète de la dent permanente).</w:t>
      </w:r>
    </w:p>
    <w:p>
      <w:r/>
      <w:r>
        <w:rPr>
          <w:b/>
        </w:rPr>
        <w:t>Forme topique (bains de bouche fluorés, gels fluorés, vernis fluorés) :</w:t>
      </w:r>
      <w:r>
        <w:t xml:space="preserve"> non disponibles comme spécialités enregistrées en Algérie à la date d'avril 2026, mais parfois préparées en officine (solution de fluorure de sodium 0,2 % pour bain de bouche hebdomadaire) ou importées (Elmex® gel, Fluocaril® bi-fluoré). Concentration usuelle : 0,05 % de fluorure de sodium pour bain de bouche quotidien, 0,2 % pour bain hebdomadaire, 1,23 % pour gel appliqué au cabinet dentaire.</w:t>
      </w:r>
    </w:p>
    <w:p>
      <w:r/>
      <w:r>
        <w:rPr>
          <w:b/>
        </w:rPr>
        <w:t>Forme pour ostéoporose (fluorure de sodium 50 mg/j) :</w:t>
      </w:r>
      <w:r>
        <w:t xml:space="preserve"> non disponible en Algérie, mais utilisée dans certains pays (France, États-Unis) dans l'ostéoporose sévère avec fractures vertébrales multiples, en association au calcium (1 g/j) et à la vitamine D (800 UI/j), sous surveillance de la densité osseuse et de la calcémie.</w:t>
      </w:r>
    </w:p>
    <w:p>
      <w:pPr>
        <w:pStyle w:val="Heading4"/>
      </w:pPr>
      <w:r>
        <w:t>7. Formes galéniques disponibles</w:t>
      </w:r>
    </w:p>
    <w:p>
      <w:r>
        <w:t xml:space="preserve">Le marché algérien des spécialités fluorées est extrêmement limité à la date d'avril 2026. </w:t>
      </w:r>
      <w:r>
        <w:rPr>
          <w:b/>
        </w:rPr>
        <w:t>Comprimés à croquer</w:t>
      </w:r>
      <w:r>
        <w:t xml:space="preserve"> (FLURIDENT 1 mg, El Kendi) : fluorure de sodium 1 mg, conditionnement en boîte de 120, indiqué chez l'enfant de 3 à 16 ans en cas d'eau &lt; 0,3 mg/L de fluor ; forme à croquer (action systémique + topique locale par libération progressive du fluor dans la salive), statut non renouvelable (probablement en attente de renouvellement d'AMM). </w:t>
      </w:r>
      <w:r>
        <w:rPr>
          <w:b/>
        </w:rPr>
        <w:t>Comprimés aromatisés à sucer</w:t>
      </w:r>
      <w:r>
        <w:t xml:space="preserve"> (DENFLUOR 1 mg, DENFLUOR 0,75 mg, Solupharm) : fluorure de sodium 1 mg ou 0,75 mg, conditionnement en boîte de 60, indiqués chez l'enfant selon la posologie adaptée à l'âge et à la concentration hydrique ; retirés du marché à la date d'avril 2026.</w:t>
      </w:r>
    </w:p>
    <w:p>
      <w:r>
        <w:t>À défaut de spécialités disponibles, le pharmacien peut orienter le patient vers les produits d'hygiène buccodentaire fluorés en vente libre : dentifrices fluorés (1000 à 1500 ppm de fluor chez l'adulte, 500 à 1000 ppm chez l'enfant de moins de 6 ans à dose « trace » = un petit pois), bains de bouche fluorés (à 0,05 % de fluorure de sodium quotidien), gels fluorés à 0,5 % (applications hebdomadaires). Les vernis fluorés à 5 % de fluorure de sodium (Fluor Protector®, Duraphat®) sont appliqués au cabinet dentaire tous les 6 mois chez l'enfant à haut risque carieux. À noter que les eaux minérales consommées en Algérie sont généralement pauvres en fluor (&lt; 0,3 mg/L), justifiant la supplémentation médicamenteuse chez l'enfant. Une alimentation pauvre en sucres, un brossage bi-quotidien avec un dentifrice fluoré adapté, et des visites régulières chez le dentiste (tous les 6 à 12 mois) restent les piliers de la prévention de la carie.</w:t>
      </w:r>
    </w:p>
    <w:p>
      <w:pPr>
        <w:pStyle w:val="Heading4"/>
      </w:pPr>
      <w:r>
        <w:t>8. Conseils au patient</w:t>
      </w:r>
    </w:p>
    <w:p>
      <w:r>
        <w:t xml:space="preserve">Au comptoir, le pharmacien doit transmettre plusieurs conseils au patient (ou aux parents) sous fluor. </w:t>
      </w:r>
      <w:r>
        <w:rPr>
          <w:b/>
        </w:rPr>
        <w:t>Conseil n°1 — Information sur l'eau de boissance</w:t>
      </w:r>
      <w:r>
        <w:t xml:space="preserve"> : vérifier la concentration de fluor dans l'eau de distribution (auprès de la société des eaux), l'eau de source ou l'eau minérale consommée à la maison ; la supplémentation n'est indiquée qu'en cas d'eau &lt; 0,3 mg/L. Les eaux minérales riches en fluor (Vichy Célestins, St Yorre, Hépar) sont à éviter chez l'enfant sous supplément fluoré. </w:t>
      </w:r>
      <w:r>
        <w:rPr>
          <w:b/>
        </w:rPr>
        <w:t>Conseil n°2 — Posologie stricte adaptée à l'âge</w:t>
      </w:r>
      <w:r>
        <w:t xml:space="preserve"> : ne pas dépasser la dose recommandée (fluorose dentaire), ne pas « doubler » la prise en cas d'oubli. </w:t>
      </w:r>
      <w:r>
        <w:rPr>
          <w:b/>
        </w:rPr>
        <w:t>Conseil n°3 — Modalités de prise</w:t>
      </w:r>
      <w:r>
        <w:t xml:space="preserve"> : à croquer ou à sucer lentement, le soir au coucher après le brossage des dents, à distance des laitages (1 heure avant ou 2 heures après). </w:t>
      </w:r>
      <w:r>
        <w:rPr>
          <w:b/>
        </w:rPr>
        <w:t>Conseil n°4 — Dentifrice fluoré</w:t>
      </w:r>
      <w:r>
        <w:t xml:space="preserve"> : utiliser un dentifrice fluoré adapté à l'âge (500 ppm chez l'enfant &lt; 6 ans, 1000–1500 ppm chez l'enfant &gt; 6 ans et l'adulte), en quantité « trace » (un petit pois) chez l'enfant &lt; 6 ans pour éviter l'ingestion excessive.</w:t>
      </w:r>
    </w:p>
    <w:p>
      <w:r/>
      <w:r>
        <w:rPr>
          <w:b/>
        </w:rPr>
        <w:t>Conseil n°5 — Hygiène buccodentaire</w:t>
      </w:r>
      <w:r>
        <w:t xml:space="preserve"> : brossage bi-quotidien (matin et soir), utilisation de fil dentaire, bains de bouche fluorés en complément, visites régulières chez le dentiste tous les 6 à 12 mois. </w:t>
      </w:r>
      <w:r>
        <w:rPr>
          <w:b/>
        </w:rPr>
        <w:t>Conseil n°6 — Alimentation</w:t>
      </w:r>
      <w:r>
        <w:t xml:space="preserve"> : limiter les sucres (bonbons, sodas, jus de fruits industriels), privilégier les aliments carioprotecteurs (fromage, légumes croquants), éviter le grignotage entre les repas. </w:t>
      </w:r>
      <w:r>
        <w:rPr>
          <w:b/>
        </w:rPr>
        <w:t>Conseil n°7 — Conservation</w:t>
      </w:r>
      <w:r>
        <w:t xml:space="preserve"> : conserver à température ambiante, à l'abri de l'humidité, hors de portée des enfants (surdosage accidentel potentiellement grave). </w:t>
      </w:r>
      <w:r>
        <w:rPr>
          <w:b/>
        </w:rPr>
        <w:t>Conseil n°8 — Signes de fluorose</w:t>
      </w:r>
      <w:r>
        <w:t xml:space="preserve"> : taches blanches opaques sur les dents, puis taches brunes — consulter le dentiste. </w:t>
      </w:r>
      <w:r>
        <w:rPr>
          <w:b/>
        </w:rPr>
        <w:t>Conseil n°9 — Signes d'intoxication aiguë</w:t>
      </w:r>
      <w:r>
        <w:t xml:space="preserve"> : nausées, vomissements, douleurs abdominales après ingestion massive — urgence médicale, antidote = gluconate de calcium IV + chlorure de calcium gastrique. </w:t>
      </w:r>
      <w:r>
        <w:rPr>
          <w:b/>
        </w:rPr>
        <w:t>Conseil n°10 — Patient sous calcium ou antiacide</w:t>
      </w:r>
      <w:r>
        <w:t xml:space="preserve"> : espacer de 2 heures (chélation). </w:t>
      </w:r>
      <w:r>
        <w:rPr>
          <w:b/>
        </w:rPr>
        <w:t>Conseil n°11 — Patient sous IPP</w:t>
      </w:r>
      <w:r>
        <w:t xml:space="preserve"> : pas d'interaction notable à dose thérapeutique. </w:t>
      </w:r>
      <w:r>
        <w:rPr>
          <w:b/>
        </w:rPr>
        <w:t>Conseil n°12 — Patiente enceinte ou allaitante</w:t>
      </w:r>
      <w:r>
        <w:t xml:space="preserve"> : pas de supplémentation fluorée systématique (inutile), privilégier une alimentation équilibrée et l'hygiène buccodentaire. </w:t>
      </w:r>
      <w:r>
        <w:rPr>
          <w:b/>
        </w:rPr>
        <w:t>Conseil n°13 — Forme non disponible</w:t>
      </w:r>
      <w:r>
        <w:t xml:space="preserve"> : en cas d'indisponibilité de FLURIDENT (non renouvelable) ou DENFLUOR (retiré), orienter vers les dentifrices fluorés et les bains de bouche fluorés, et informer le médecin prescripteur pour approvisionnement alternatif (importation).</w:t>
      </w:r>
    </w:p>
    <w:p>
      <w:pPr>
        <w:pStyle w:val="Heading4"/>
      </w:pPr>
      <w:r>
        <w:t>9. Pièges du comptoir</w:t>
      </w:r>
    </w:p>
    <w:p>
      <w:r>
        <w:t xml:space="preserve">Plusieurs pièges guettent le pharmacien d'officine face à une prescription de fluor. </w:t>
      </w:r>
      <w:r>
        <w:rPr>
          <w:b/>
        </w:rPr>
        <w:t>Piège n°1 — Confusion fluor / composés fluorés non thérapeutiques</w:t>
      </w:r>
      <w:r>
        <w:t xml:space="preserve"> : ne pas confondre le fluorure de sodium (FLURIDENT, DENFLUOR) avec le fluorouracile (anticancéreux), la fluorométholone (corticoïde ophtalmique), la fluorescéine (colorant diagnostique), la flunarizine (antimigraineux), la fluoxétine (antidépresseur) ; vérifier l'indication avant délivrance. </w:t>
      </w:r>
      <w:r>
        <w:rPr>
          <w:b/>
        </w:rPr>
        <w:t>Piège n°2 — Patient sans dosage de l'eau de boissance</w:t>
      </w:r>
      <w:r>
        <w:t xml:space="preserve"> : ne pas délivrer le fluor sans connaître la concentration en fluor de l'eau consommée ; risquez de fluorose si &gt; 0,7 mg/L. </w:t>
      </w:r>
      <w:r>
        <w:rPr>
          <w:b/>
        </w:rPr>
        <w:t>Piège n°3 — Patient avec eau minérale riche en fluor</w:t>
      </w:r>
      <w:r>
        <w:t xml:space="preserve"> : les eaux Vichy Célestins, St Yorre, Hépar contiennent 0,3 à 0,9 mg/L de fluor ; risque de surdosage si association à un supplément fluoré. </w:t>
      </w:r>
      <w:r>
        <w:rPr>
          <w:b/>
        </w:rPr>
        <w:t>Piège n°4 — Patient sous calcium ou antiacide</w:t>
      </w:r>
      <w:r>
        <w:t xml:space="preserve"> : chélation intestinale, espacer de 2 heures. </w:t>
      </w:r>
      <w:r>
        <w:rPr>
          <w:b/>
        </w:rPr>
        <w:t>Piège n°5 — Patient sous dentifrice fluoré ingéré</w:t>
      </w:r>
      <w:r>
        <w:t xml:space="preserve"> : l'enfant &lt; 6 ans peut avaler jusqu'à 50 % du dentifrice fluoré (risque de surdosage cumulatif) ; limiter la quantité de dentifrice à un petit pois, surveiller le brossage.</w:t>
      </w:r>
    </w:p>
    <w:p>
      <w:r/>
      <w:r>
        <w:rPr>
          <w:b/>
        </w:rPr>
        <w:t>Piège n°6 — Forme non disponible</w:t>
      </w:r>
      <w:r>
        <w:t xml:space="preserve"> : FLURIDENT est en statut non renouvelable et DENFLUOR est retiré du marché à la date d'avril 2026 ; informer le patient et le prescripteur, orienter vers les produits d'hygiène buccodentaire fluorés. </w:t>
      </w:r>
      <w:r>
        <w:rPr>
          <w:b/>
        </w:rPr>
        <w:t>Piège n°7 — Fluorose dentaire iatrogène</w:t>
      </w:r>
      <w:r>
        <w:t xml:space="preserve"> : taches blanches opaques, puis taches brunes sur les dents permanentes, suite à un surdosage chronique pendant l'enfance ; toujours respecter la posologie adaptée à l'âge et à la concentration hydrique. </w:t>
      </w:r>
      <w:r>
        <w:rPr>
          <w:b/>
        </w:rPr>
        <w:t>Piège n°8 — Intoxication aiguë pédiatrique</w:t>
      </w:r>
      <w:r>
        <w:t xml:space="preserve"> : un enfant de 10 kg peut absorber 35 mg de fluor (35 comprimés à 1 mg) en quelques minutes ; symptômes (vomissements, hypocalcémie, défaillance cardiaque) apparaissent dès 5 mg/kg ; conserver hors de portée des enfants, ne jamais transvaser dans un flacon alimentaire. </w:t>
      </w:r>
      <w:r>
        <w:rPr>
          <w:b/>
        </w:rPr>
        <w:t>Piège n°9 — Sédation d'automédication</w:t>
      </w:r>
      <w:r>
        <w:t xml:space="preserve"> : ne pas délivrer du fluor sans prescription médicale (risque de surdosage en cas d'eau déjà fluorée). </w:t>
      </w:r>
      <w:r>
        <w:rPr>
          <w:b/>
        </w:rPr>
        <w:t>Piège n°10 — Patient avec fluorose familiale</w:t>
      </w:r>
      <w:r>
        <w:t xml:space="preserve"> : antécédent de fluorose chez un membre de la famille, recherche de la concentration de fluor dans l'eau de puits ou de forage ; ne pas supplémenter. </w:t>
      </w:r>
      <w:r>
        <w:rPr>
          <w:b/>
        </w:rPr>
        <w:t>Piège n°11 — Patiente enceinte</w:t>
      </w:r>
      <w:r>
        <w:t xml:space="preserve"> : pas de supplémentation fluorée systématique (inutile pour le fœtus). </w:t>
      </w:r>
      <w:r>
        <w:rPr>
          <w:b/>
        </w:rPr>
        <w:t>Piège n°12 — Patient transplanté ou sous bisphosphonate</w:t>
      </w:r>
      <w:r>
        <w:t xml:space="preserve"> : pas de contre-indication spécifique, mais surveiller l'ostéonécrose de la mâchoire (le fluor à haute dose pourrait théoriquement l'aggraver, mais à dose prophylactique, pas de risque documenté). </w:t>
      </w:r>
      <w:r>
        <w:rPr>
          <w:b/>
        </w:rPr>
        <w:t>Piège n°13 — Confusion sel/fluor</w:t>
      </w:r>
      <w:r>
        <w:t xml:space="preserve"> : les substituts de sel riches en fluor (KCl) sont contre-indiqués chez l'insuffisant rénal, mais peuvent être une source additionnelle de fluor chez le patient sous régime sans sel ; vérifier la composition.</w:t>
      </w:r>
    </w:p>
    <w:p>
      <w:pPr>
        <w:pStyle w:val="Heading2"/>
      </w:pPr>
      <w:r>
        <w:t>163.6 Sous-classe : Minéraux — Iode</w:t>
      </w:r>
    </w:p>
    <w:p>
      <w:r>
        <w:t>L'iode est un halogène de symbole I, numéro atomique 53, présent dans l'organisme à l'état de traces (15–20 mg chez l'adulte), dont 70 à 80 % concentrés dans la thyroïde (10–15 mg) sous forme d'hormones thyroïdiennes (T3 = triiodothyronine, T4 = thyroxine) et d'iode organique de réserve (thyroglobuline). L'iode est un composant essentiel des hormones thyroïdiennes : T4 contient 4 atomes d'iode (65 % du poids moléculaire), T3 en contient 3 (58 %). Les hormones thyroïdiennes régulent le métabolisme de base (augmentation de la consommation d'O₂ et de la production de chaleur par stimulation de la pompe Na⁺/K⁺-ATPase), la croissance et le développement tissulaire (notamment cérébral pendant la période fœtale et néonatale), le métabolisme glucidique (glycogénolyse, néoglucogenèse), lipidique (lipolyse) et protéique (anabolisme), la fonction cardiaque (chronotrope positif, inotrope positif), la motilité digestive, et le turnover osseux. La carence iodée sévère provoque le goitre (hypertrophie thyroïdienne par hyperstimulation TSH), l'hypothyroïdie, le crétinisme endémique (retard mental sévère, surdité, troubles neurologiques) et la mortalité fœto-néonatale. L'excès iodé provoque le syndrome de Jod-Basedow (hyperthyroïdie déclenchée par une charge iodée chez un patient avec autonomie thyroïdienne préexistante, nodule, goitre multinodulaire, maladie de Basedow), l'hypothyroïdie iatrogène (effet Wolff-Chaikoff : inhibition aiguë de la synthèse des hormones thyroïdiennes par excès d'iode, réversible en 7–10 jours), et la thyroïdite iodée.</w:t>
      </w:r>
    </w:p>
    <w:p>
      <w:r>
        <w:t>Les besoins quotidiens en iode sont estimés à 90 μg/j chez l'enfant de 0 à 5 ans, 120 μg/j de 6 à 12 ans, 150 μg/j chez l'adolescent et l'adulte, 220 μg/j chez la femme enceinte, 290 μg/j chez la femme allaitante. Les sources alimentaires principales sont le poisson de mer (100–300 μg/100 g), les crustacés, les mollusques, les algues (kombu, wakame, nori : 1 000 à 8 000 μg/g), les produits laitiers (15–50 μg/100 g), les œufs (20–30 μg/100 g), et le sel iodé (20–50 μg/g de sel). L'iode est volatil et facilement oxydable, d'où la nécessité d'un apport quotidien régulier. La fluororation du sel en Algérie (sel iodé) a été mise en place comme mesure de santé publique depuis les années 1990, avec une concentration cible de 30 à 50 mg d'iode par kg de sel. La supplémentation médicamenteuse par iodure de potassium n'est pas enregistrée comme spécialité en Algérie à la date d'avril 2026 ; la solution de Lugol (iodure de potassium + iode en solution alcoolique ou aqueuse) est utilisée en préparation hospitalière pour l'hyperthyroïdie (syndrome de Jod-Basedow, thyroïdectomie). Les antiseptiques iodés (alcool iodé, solution de Betadine) sont disponibles mais ne sont pas des suppléments iodés systémiques.</w:t>
      </w:r>
    </w:p>
    <w:p>
      <w:pPr>
        <w:pStyle w:val="Heading3"/>
      </w:pPr>
      <w:r>
        <w:t>163.6.1 DCI : Iode (iodure de potassium, solution de Lugol)</w:t>
      </w:r>
    </w:p>
    <w:p>
      <w:r/>
      <w:r>
        <w:rPr>
          <w:b/>
        </w:rPr>
        <w:t>Liste des catégories pharmaco-thérapeutiques :</w:t>
      </w:r>
      <w:r>
        <w:t xml:space="preserve"> Minéraux et oligoéléments ; Iode thérapeutique ; Antiseptique local (alcool iodé) ; Pré-thyroidectomie (solution de Lugol) ; Traitement de l'hyperthyroïdie (iodure de potassium, solution de Lugol) ; Prévention de la carence iodée (sel iodé, suppléments).</w:t>
      </w:r>
    </w:p>
    <w:p>
      <w:r>
        <w:t>L'iode, élément halogène de masse atomique 126,90, est disponible en thérapeutique sous deux formes principales : l'iodure de potassium oral (supplémentation, traitement de l'hyperthyroïdie, pré-thyroidectomie) et la solution de Lugol (iodure de potassium + iode élémentaire en solution aqueuse, utilisée en pré-thyroidectomie et dans l'hyperthyroïdie sévère). La solution de Lugol forte (5 % d'iode et 10 % d'iodure de potassium) est préparée en officine ou à l'hôpital. Les antiseptiques iodés (alcool iodé à 1 %, solution iodée moussante) contiennent de l'iode mais ne sont pas destinés à un usage systémique ; leur application cutanée permet une absorption percutanée minime. La nomenclature algérienne ne contient pas, à la date d'avril 2026, de spécialité d'iodure de potassium en comprimé ou solution pour supplémentation systémique ; la carence iodée est prévenue par le sel iodé (mesure de santé publique) et par l'alimentation naturelle (poissons de mer, produits laitiers). La solution de Lugol est préparée en pharmacie hospitalière pour la pré-thyroidectomie (réduction de la vascularisation thyroïdienne avant chirurgie) et dans l'hyperthyroïdie sévère (effet Wolff-Chaikoff aigu).</w:t>
      </w:r>
    </w:p>
    <w:p>
      <w:r/>
      <w:r>
        <w:rPr>
          <w:b/>
        </w:rPr>
        <w:t>Spécialités algériennes disponibles — Tableau récapitulatif</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ALCOOL IODE 1 % RPP</w:t>
            </w:r>
          </w:p>
        </w:tc>
        <w:tc>
          <w:tcPr>
            <w:tcW w:type="dxa" w:w="1559"/>
          </w:tcPr>
          <w:p>
            <w:r>
              <w:rPr>
                <w:sz w:val="20"/>
              </w:rPr>
              <w:t>Riadh Pharm</w:t>
            </w:r>
          </w:p>
        </w:tc>
        <w:tc>
          <w:tcPr>
            <w:tcW w:type="dxa" w:w="1559"/>
          </w:tcPr>
          <w:p>
            <w:r>
              <w:rPr>
                <w:sz w:val="20"/>
              </w:rPr>
              <w:t>Solution hydroalcoolique pour application cutanée, iode bisublimé 1 % + alcool éthylique</w:t>
            </w:r>
          </w:p>
        </w:tc>
        <w:tc>
          <w:tcPr>
            <w:tcW w:type="dxa" w:w="1559"/>
          </w:tcPr>
          <w:p>
            <w:r>
              <w:rPr>
                <w:sz w:val="20"/>
              </w:rPr>
              <w:t>Flacon de 1 L</w:t>
            </w:r>
          </w:p>
        </w:tc>
        <w:tc>
          <w:tcPr>
            <w:tcW w:type="dxa" w:w="1559"/>
          </w:tcPr>
          <w:p>
            <w:r>
              <w:rPr>
                <w:sz w:val="20"/>
              </w:rPr>
              <w:t>—</w:t>
            </w:r>
          </w:p>
        </w:tc>
        <w:tc>
          <w:tcPr>
            <w:tcW w:type="dxa" w:w="1559"/>
          </w:tcPr>
          <w:p>
            <w:r>
              <w:rPr>
                <w:sz w:val="20"/>
              </w:rPr>
              <w:t>Actif</w:t>
            </w:r>
          </w:p>
        </w:tc>
      </w:tr>
      <w:tr>
        <w:tc>
          <w:tcPr>
            <w:tcW w:type="dxa" w:w="1559"/>
          </w:tcPr>
          <w:p>
            <w:r>
              <w:rPr>
                <w:sz w:val="20"/>
              </w:rPr>
              <w:t>ALCOOL IODEE 1 %</w:t>
            </w:r>
          </w:p>
        </w:tc>
        <w:tc>
          <w:tcPr>
            <w:tcW w:type="dxa" w:w="1559"/>
          </w:tcPr>
          <w:p>
            <w:r>
              <w:rPr>
                <w:sz w:val="20"/>
              </w:rPr>
              <w:t>Groupe Saïdal</w:t>
            </w:r>
          </w:p>
        </w:tc>
        <w:tc>
          <w:tcPr>
            <w:tcW w:type="dxa" w:w="1559"/>
          </w:tcPr>
          <w:p>
            <w:r>
              <w:rPr>
                <w:sz w:val="20"/>
              </w:rPr>
              <w:t>Solution pour application locale, iode bisublimé 1 % + alcool éthylique</w:t>
            </w:r>
          </w:p>
        </w:tc>
        <w:tc>
          <w:tcPr>
            <w:tcW w:type="dxa" w:w="1559"/>
          </w:tcPr>
          <w:p>
            <w:r>
              <w:rPr>
                <w:sz w:val="20"/>
              </w:rPr>
              <w:t>Flacon de 1 L</w:t>
            </w:r>
          </w:p>
        </w:tc>
        <w:tc>
          <w:tcPr>
            <w:tcW w:type="dxa" w:w="1559"/>
          </w:tcPr>
          <w:p>
            <w:r>
              <w:rPr>
                <w:sz w:val="20"/>
              </w:rPr>
              <w:t>—</w:t>
            </w:r>
          </w:p>
        </w:tc>
        <w:tc>
          <w:tcPr>
            <w:tcW w:type="dxa" w:w="1559"/>
          </w:tcPr>
          <w:p>
            <w:r>
              <w:rPr>
                <w:sz w:val="20"/>
              </w:rPr>
              <w:t>Non renouvelable</w:t>
            </w:r>
          </w:p>
        </w:tc>
      </w:tr>
      <w:tr>
        <w:tc>
          <w:tcPr>
            <w:tcW w:type="dxa" w:w="1559"/>
          </w:tcPr>
          <w:p>
            <w:r>
              <w:rPr>
                <w:sz w:val="20"/>
              </w:rPr>
              <w:t>HYSACRYL LAURYLEE</w:t>
            </w:r>
          </w:p>
        </w:tc>
        <w:tc>
          <w:tcPr>
            <w:tcW w:type="dxa" w:w="1559"/>
          </w:tcPr>
          <w:p>
            <w:r>
              <w:rPr>
                <w:sz w:val="20"/>
              </w:rPr>
              <w:t>HYSA SARL</w:t>
            </w:r>
          </w:p>
        </w:tc>
        <w:tc>
          <w:tcPr>
            <w:tcW w:type="dxa" w:w="1559"/>
          </w:tcPr>
          <w:p>
            <w:r>
              <w:rPr>
                <w:sz w:val="20"/>
              </w:rPr>
              <w:t>Solution moussante pour application cutanée, iode 1 % (détergent laurylé)</w:t>
            </w:r>
          </w:p>
        </w:tc>
        <w:tc>
          <w:tcPr>
            <w:tcW w:type="dxa" w:w="1559"/>
          </w:tcPr>
          <w:p>
            <w:r>
              <w:rPr>
                <w:sz w:val="20"/>
              </w:rPr>
              <w:t>Flacon de 500 mL</w:t>
            </w:r>
          </w:p>
        </w:tc>
        <w:tc>
          <w:tcPr>
            <w:tcW w:type="dxa" w:w="1559"/>
          </w:tcPr>
          <w:p>
            <w:r>
              <w:rPr>
                <w:sz w:val="20"/>
              </w:rPr>
              <w:t>—</w:t>
            </w:r>
          </w:p>
        </w:tc>
        <w:tc>
          <w:tcPr>
            <w:tcW w:type="dxa" w:w="1559"/>
          </w:tcPr>
          <w:p>
            <w:r>
              <w:rPr>
                <w:sz w:val="20"/>
              </w:rPr>
              <w:t>Non renouvelable</w:t>
            </w:r>
          </w:p>
        </w:tc>
      </w:tr>
    </w:tbl>
    <w:p/>
    <w:p>
      <w:r/>
      <w:r>
        <w:rPr>
          <w:b/>
        </w:rPr>
        <w:t>Remarque n°1 — Statut du marché algérien :</w:t>
      </w:r>
      <w:r>
        <w:t xml:space="preserve"> À la date d'avril 2026, il n'existe aucune spécialité active d'iodure de potassium oral ou de solution de Lugol enregistrée en Algérie. Les antiseptiques iodés pour application cutanée (ALCOOL IODE 1 % RPP) sont les seules formes disponibles, mais ils ne sont pas destinés à un usage systémique. La supplémentation iodée repose sur le sel iodé (mesure de santé publique) et l'alimentation naturelle. La solution de Lugol et l'iodure de potassium oral, lorsqu'ils sont nécessaires (pré-thyroidectomie, hyperthyroïdie sévère), sont préparés en pharmacie hospitalière ou importés.</w:t>
      </w:r>
    </w:p>
    <w:p>
      <w:r/>
      <w:r>
        <w:rPr>
          <w:b/>
        </w:rPr>
        <w:t>Remarque n°2 — Distinction usage antiseptique / systémique :</w:t>
      </w:r>
      <w:r>
        <w:t xml:space="preserve"> Les antiseptiques iodés (alcool iodé, solution de Betadine) contiennent de l'iode élémentaire (I₂) en solution alcoolique ou en solution aqueuse avec un détergent (povidone-iode). Leur usage est strictement externe (antisepsie cutanée pré-opératoire, désinfection des plaies). Une application cutanée étendue ou prolongée, surtout chez le nourrisson ou la femme enceinte, peut entraîner une absorption systémique d'iode et un risque d'hypothyroïdie iatrogène ou de thyrotoxicose (effet Wolff-Chaikoff ou syndrome de Jod-Basedow). Ne jamais appliquer d'antiseptique iodé sur une muqueuse étendue, une plaie profonde, une brûlure étendue, ou chez le nouveau-né (risque d'hypothyroïdie transitoire). L'iodure de potassium et la solution de Lugol sont des formes systémiques strictement réservées à l'usage médical prescrit.</w:t>
      </w:r>
    </w:p>
    <w:p>
      <w:pPr>
        <w:pStyle w:val="Heading4"/>
      </w:pPr>
      <w:r>
        <w:t>1. Mécanisme d'action</w:t>
      </w:r>
    </w:p>
    <w:p>
      <w:r>
        <w:t xml:space="preserve">L'iode thérapeutique agit par plusieurs mécanismes selon la dose et le contexte clinique. </w:t>
      </w:r>
      <w:r>
        <w:rPr>
          <w:b/>
        </w:rPr>
        <w:t>Premièrement, substrat de la synthèse des hormones thyroïdiennes</w:t>
      </w:r>
      <w:r>
        <w:t xml:space="preserve"> : l'iode alimentaire (iodure I⁻) est absorbé au niveau de l'intestin grêle, transporté dans le plasma, capté par la thyroïde via le symporteur Na⁺/I⁻ (NIS, sodium-iodide symporter) au pôle basolatéral des cellules thyroïdiennes. L'iodure est transporté activement contre le gradient de concentration (concentration intra-thyroïdienne 30 à 100 fois supérieure à la concentration plasmatique). L'iodure est oxydé en iode actif (I₂) par la thyroïde peroxydase (TPO) en présence de H₂O₂, puis lié aux résidus tyrosyle de la thyroglobuline pour former la monoiodotyrosine (MIT) et la diiodotyrosine (DIT). Le couplage de deux DIT forme la T4 (tétraiodothyronine), le couplage d'une MIT et d'une DIT forme la T3 (triiodothyronine). La thyroglobuline iodée est stockée dans la colloïde folliculaire. La libération des hormones thyroïdiennes se fait par endocytose de la thyroglobuline, fusion avec le lysosome, hydrolyse protéolytique, et libération de T4 (90 %) et T3 (10 %) dans la circulation. La conversion périphérique de T4 en T3 (active) est assurée par les déiodinases D1 (foie, rein), D2 (cerveau, hypophyse, muscle squelettique), D3 (placenta, cerveau fœtal, inactivation T4 → rT3).</w:t>
      </w:r>
    </w:p>
    <w:p>
      <w:r/>
      <w:r>
        <w:rPr>
          <w:b/>
        </w:rPr>
        <w:t>Deuxièmement, effet Wolff-Chaikoff (inhibition aiguë de la synthèse des hormones thyroïdiennes par excès d'iode)</w:t>
      </w:r>
      <w:r>
        <w:t xml:space="preserve"> : une charge iodée massive (≥ 2 mg en une prise) inhibe transitoirement la synthèse des hormones thyroïdiennes par inhibition de la thyroïde peroxydase (TPO), de la libération de T4/T3 par inhibition de l'endocytose de la thyroglobuline, et de la protéolyse lysosomale. Cet effet est maximal en 24–48 heures et se résout en 7–10 jours par « échappement au Wolff-Chaikoff » (down-régulation du NIS et adaptation enzymatique). C'est cet effet qui est utilisé dans la pré-thyroidectomie (réduction de la vascularisation et de la sécrétion hormonale thyroïdienne avant chirurgie) et dans l'hyperthyroïdie sévère (thyrotoxicose aiguë).</w:t>
      </w:r>
    </w:p>
    <w:p>
      <w:r/>
      <w:r>
        <w:rPr>
          <w:b/>
        </w:rPr>
        <w:t>Troisièmement, syndrome de Jod-Basedow (hyperthyroïdie déclenchée par charge iodée)</w:t>
      </w:r>
      <w:r>
        <w:t xml:space="preserve"> : chez un patient avec autonomie thyroïdienne préexistante (nodule thyroïdien autonome, goitre multinodulaire, maladie de Basedow non équilibrée), une charge iodée (cocktail iodé pour scanner, amiodarone, solution de Lugol, antiseptique iodé étendu) peut déclencher une hyperthyroïdie aiguë par synthèse excessive et incontrôlée de T4/T3 (le tissu autonome n'est plus soumis au rétrocontrôle négatif TSH). Le syndrome de Jod-Basedow est plus fréquent chez le sujet âgé et en zone de carence iodée endémique.</w:t>
      </w:r>
    </w:p>
    <w:p>
      <w:r/>
      <w:r>
        <w:rPr>
          <w:b/>
        </w:rPr>
        <w:t>Quatrièmement, effet antiseptique local</w:t>
      </w:r>
      <w:r>
        <w:t xml:space="preserve"> : l'iode élémentaire (I₂) en solution alcoolique ou aqueuse est un antiseptique puissant à large spectre (bactéricide, fongicide, virucide, sporicide) par oxydation des groupements thiol (-SH) des protéines et enzymes bactériennes, altération de la membrane cellulaire, inhibition de la synthèse d'ADN. L'action est rapide (30 secondes à 2 minutes) et prolongée (effet rémanent). La povidone-iode (Betadine) est un complexe iode-polyvinylpyrrolidone qui libère lentement l'iode actif, réduisant la toxicité locale. L'alcool iodé (1 % d'iode + 70 % d'éthanol) combine l'action oxydante de l'iode et l'action dénaturante de l'alcool.</w:t>
      </w:r>
    </w:p>
    <w:p>
      <w:pPr>
        <w:pStyle w:val="Heading4"/>
      </w:pPr>
      <w:r>
        <w:t>2. Profil pharmacocinétique</w:t>
      </w:r>
    </w:p>
    <w:p>
      <w:r>
        <w:t>L'absorption intestinale de l'iodure de potassium oral est quasi complète (90–100 %), passive et active au niveau de l'intestin grêle et de l'estomac. Le pic d'iodémie est atteint en 1 à 2 heures. L'iode absorbé est distribué dans tous les tissus, avec une affinité particulière pour la thyroïde (10–15 mg de pool thyroïdien) et les tissus sécréteurs (salivaire, gastrique, mammaire). Le transport thyroïdien se fait via le NIS (sodium-iodide symporter) au pôle basolatéral des cellules thyroïdiennes, avec un rapport concentration thyroïde/plasma de 30 à 100. La captation thyroïdienne est régulée par la TSH (augmentation) et par l'iode lui-même (rétrocontrôle négatif : effet Wolff-Chaikoff). La thyroïde fixe environ 30 à 50 % de l'iode absorbé en 24 heures (captation radioactive à 24 h : 10–30 % chez le sujet sain).</w:t>
      </w:r>
    </w:p>
    <w:p>
      <w:r>
        <w:t>L'iode traverse le placenta (surtout au 2e et 3e trimestres) et est excrété dans le lait maternel (concentration lactée 50–200 μg/L, soit 30–120 μg/j en allaitement exclusif, suffisant pour couvrir les besoins du nouveau-né). L'élimination de l'iode est principalement rénale (80–90 %), filtrée et sécrétée par le tube proximal. La clearance de l'iode est proportionnelle au débit de filtration glomérulaire (DFG). La demi-vie plasmatique est de 8 à 12 heures. Une iodurie &gt; 100 μg/L traduit un apport adéquat. L'OMS recommande une iodurie médiane de 100–199 μg/L chez l'adulte (150–249 μg/L chez la femme enceinte). Une iodurie &lt; 100 μg/L traduit une carence iodée, &lt; 50 μg/L une carence modérée, &lt; 20 μg/L une carence sévère. Une iodurie &gt; 300 μg/L traduit un excès iodé. L'application cutanée d'antiseptiques iodés (povidone-iode, alcool iodé) entraîne une absorption systémique d'environ 1 à 5 % de la dose appliquée, significative en cas d'application étendue (&gt; 20 % de la surface corporelle) ou prolongée (&gt; 7 jours), surtout chez le nourrisson et la femme enceinte.</w:t>
      </w:r>
    </w:p>
    <w:p>
      <w:pPr>
        <w:pStyle w:val="Heading4"/>
      </w:pPr>
      <w:r>
        <w:t>3. Prévention des effets indésirables</w:t>
      </w:r>
    </w:p>
    <w:p>
      <w:r>
        <w:t xml:space="preserve">La prévention des effets indésirables de l'iode repose sur cinq piliers. </w:t>
      </w:r>
      <w:r>
        <w:rPr>
          <w:b/>
        </w:rPr>
        <w:t>Premièrement, dépistage des patients à risque de syndrome de Jod-Basedow</w:t>
      </w:r>
      <w:r>
        <w:t xml:space="preserve"> avant toute charge iodée (cocktail iodé pour scanner, amiodarone, solution de Lugol, antiseptique iodé étendu) : sujet âgé &gt; 60 ans, antécédent de nodule thyroïdien, goitre multinodulaire, maladie de Basedow, thyroïdite de Hashimoto avec phase hyperthyroïdienne, femme en post-partum. Chez ces patients, vérifier le bilan thyroïdien (TSH, T4L, T3L) avant la charge iodée, et surveiller la TSH à J7, J15, J30 après la charge. </w:t>
      </w:r>
      <w:r>
        <w:rPr>
          <w:b/>
        </w:rPr>
        <w:t>Deuxièmement, prévention de l'hypothyroïdie iatrogène par effet Wolff-Chaikoff</w:t>
      </w:r>
      <w:r>
        <w:t xml:space="preserve"> : chez le nouveau-né et le nourrisson, éviter l'application étendue et prolongée d'antiseptiques iodés (povidone-iode sur brûlure étendue, alcool iodé en bain de bouche prolongé) ; surveiller la TSH néonatale à J3–J7. Chez la femme enceinte, éviter les antiseptiques iodés en application vaginale ou étendue (risque d'hypothyroïdie fœtale transitoire, de goitre fœtal).</w:t>
      </w:r>
    </w:p>
    <w:p>
      <w:r/>
      <w:r>
        <w:rPr>
          <w:b/>
        </w:rPr>
        <w:t>Troisièmement, prévention de la thyroïdite iodée</w:t>
      </w:r>
      <w:r>
        <w:t xml:space="preserve"> : une charge iodée massive peut déclencher une thyroïdite aiguë (inflammation thyroïdienne avec libération de T4/T3 et hyperthyroïdie transitoire), surtout chez le sujet avec thyroïdite autoimmune préexistante ; surveillance clinique et biologique (TSH, T4L, CRP) en cas de charge iodée récente. </w:t>
      </w:r>
      <w:r>
        <w:rPr>
          <w:b/>
        </w:rPr>
        <w:t>Quatrièmement, prévention de l'allergie à l'iode</w:t>
      </w:r>
      <w:r>
        <w:t xml:space="preserve"> : allergie vraie à l'iode (rash, urticaire, anaphylaxie) rare mais possible, contre-indiquant les antiseptiques iodés et les produits de contraste iodés ; rechercher les antécédents allergiques avant application d'antiseptique iodé. </w:t>
      </w:r>
      <w:r>
        <w:rPr>
          <w:b/>
        </w:rPr>
        <w:t>Cinquièmement, prévention de l'irritation locale</w:t>
      </w:r>
      <w:r>
        <w:t xml:space="preserve"> : l'alcool iodé est irritant cutané et muqueux, ne pas appliquer sur une plaie ouverte étendue, une muqueuse, une brûlure ; ne pas utiliser en bain de bouche prolongé (risque d'irritation gingivale et de pigmentation dentaire). Enfin, en cas de pré-thyroidectomie par solution de Lugol, surveiller la fonction thyroïdienne (TSH, T4L) toutes les 48 heures pendant le traitement (5–7 jours avant chirurgie), et avoir un traitement substitutif par lévothyroxine à disposition pour la post-opératoire (hypothyroïdie définitive après thyroidectomie totale).</w:t>
      </w:r>
    </w:p>
    <w:p>
      <w:pPr>
        <w:pStyle w:val="Heading4"/>
      </w:pPr>
      <w:r>
        <w:t>4. Interactions médicamenteuses</w:t>
      </w:r>
    </w:p>
    <w:p>
      <w:r>
        <w:t xml:space="preserve">L'iode présente plusieurs interactions médicamenteuses cliniquement significatives. </w:t>
      </w:r>
      <w:r>
        <w:rPr>
          <w:b/>
        </w:rPr>
        <w:t>Avec les antithyroïdiens de synthèse</w:t>
      </w:r>
      <w:r>
        <w:t xml:space="preserve"> (carbimazole, néomercazole, propylthiouracile) : l'iode potentialise l'effet antithyroïdien en bloquant la libération de T4/T3, mais peut aussi précipiter une hypothyroïdie si l'association n'est pas surveillée ; surveillance TSH mensuelle. </w:t>
      </w:r>
      <w:r>
        <w:rPr>
          <w:b/>
        </w:rPr>
        <w:t>Avec l'amiodarone</w:t>
      </w:r>
      <w:r>
        <w:t xml:space="preserve"> (antiarythmique riche en iode, 200 mg = 75 mg d'iode) : risque majeur de syndrome de Jod-Basedow ou d'hypothyroïdie iatrogène (jusqu'à 10 % des patients sous amiodarone), surveillance TSH à l'initiation puis tous les 6 mois. </w:t>
      </w:r>
      <w:r>
        <w:rPr>
          <w:b/>
        </w:rPr>
        <w:t>Avec les produits de contraste iodés</w:t>
      </w:r>
      <w:r>
        <w:t xml:space="preserve"> (cocktail iodé pour scanner, IRM, urographie) : risque de syndrome de Jod-Basedow chez le sujet à risque, vérifier la TSH avant et après l'examen. </w:t>
      </w:r>
      <w:r>
        <w:rPr>
          <w:b/>
        </w:rPr>
        <w:t>Avec le lithium</w:t>
      </w:r>
      <w:r>
        <w:t xml:space="preserve"> (sel psychiatrique) : potentialisation de l'effet goitrigène et hypothyroïdien (le lithium inhibe la libération de T4/T3), surveillance TSH tous les 6 mois.</w:t>
      </w:r>
    </w:p>
    <w:p>
      <w:r/>
      <w:r>
        <w:rPr>
          <w:b/>
        </w:rPr>
        <w:t>Avec les corticoïdes</w:t>
      </w:r>
      <w:r>
        <w:t xml:space="preserve"> (prednisone, hydrocortisone) à haute dose : inhibition de la conversion T4 → T3 et de la libération de T4/T3, utile dans la thyrotoxicose sévère (thyroïdectomie médicale). </w:t>
      </w:r>
      <w:r>
        <w:rPr>
          <w:b/>
        </w:rPr>
        <w:t>Avec les bêta-bloquants</w:t>
      </w:r>
      <w:r>
        <w:t xml:space="preserve"> (propranolol) à haute dose : inhibition de la conversion T4 → T3 (effet additif à l'iode). </w:t>
      </w:r>
      <w:r>
        <w:rPr>
          <w:b/>
        </w:rPr>
        <w:t>Avec la digoxine</w:t>
      </w:r>
      <w:r>
        <w:t xml:space="preserve"> : risque d'hyperdigitalisme en cas d'hypothyroïdie iatrogène (clairance réduite de la digoxine). </w:t>
      </w:r>
      <w:r>
        <w:rPr>
          <w:b/>
        </w:rPr>
        <w:t>Avec les anticoagulants oraux</w:t>
      </w:r>
      <w:r>
        <w:t xml:space="preserve"> (AVK) : risque de modification de l'INR en cas de dysthyroïdie (l'hyperthyroïdie augmente le métabolisme hépatique des AVK, l'hypothyroïdie le réduit). </w:t>
      </w:r>
      <w:r>
        <w:rPr>
          <w:b/>
        </w:rPr>
        <w:t>Avec la cholestyramine</w:t>
      </w:r>
      <w:r>
        <w:t xml:space="preserve"> et les résines échangeuses d'ions : diminution de l'absorption de la thyroxine (et potentiellement de l'iode) par chélation intestinale. </w:t>
      </w:r>
      <w:r>
        <w:rPr>
          <w:b/>
        </w:rPr>
        <w:t>Avec le sélénium</w:t>
      </w:r>
      <w:r>
        <w:t xml:space="preserve"> : cofacteur des déiodinases (D1, D2, D3), une carence en sélénium potentialise les effets de la carence iodée. Enfin, en cas d'application cutanée d'antiseptique iodé, éviter l'association avec la mercurochrome, l'eau oxygénée ou d'autres antiseptiques oxydants (inactivation mutuelle, risque de brûlure chimique).</w:t>
      </w:r>
    </w:p>
    <w:p>
      <w:pPr>
        <w:pStyle w:val="Heading4"/>
      </w:pPr>
      <w:r>
        <w:t>5. Grossesse et allaitement (CRAT)</w:t>
      </w:r>
    </w:p>
    <w:p>
      <w:r>
        <w:t xml:space="preserve">Selon le CRAT, l'iode est </w:t>
      </w:r>
      <w:r>
        <w:rPr>
          <w:b/>
        </w:rPr>
        <w:t>indispensable pendant la grossesse et l'allaitement</w:t>
      </w:r>
      <w:r>
        <w:t>, avec des besoins accrus (220 μg/j pendant la grossesse, 290 μg/j pendant l'allaitement, contre 150 μg/j chez l'adulte non enceinte) en raison du passage transplacentaire (synthèse des hormones thyroïdiennes fœtales à partir du 2e trimestre, la thyroïde fœtale étant fonctionnelle à 12–14 SA) et de l'excrétion lactée (le lait maternel est la seule source d'iode du nourrisson allaité). La carence iodée pendant la grossesse est associée à un risque accru de goitre fœtal, d'hypothyroïdie fœtale, de crétinisme endémique (retard mental sévère, surdité, anomalies neurologiques), de fausse couche, de mortinatalité et de retard de croissance.</w:t>
      </w:r>
    </w:p>
    <w:p>
      <w:r>
        <w:t>En Algérie, la supplémentation iodée pendant la grossesse repose sur le sel iodé (mesure de santé publique, concentration cible 30–50 mg/kg) et sur les multivitamines prénatales contenant de l'iode (150–220 μg/comprimé, parfois en association avec acide folique, fer, calcium). En cas de carence iodée documentée (iodurie &lt; 150 μg/L chez la femme enceinte), une supplémentation par iodure de potassium 150–200 μg/j est recommandée. À noter qu'il n'existe pas, à la date d'avril 2026, de spécialité algérienne d'iodure de potassium en comprimé à dose préventive ; la supplémentation se fait par le sel iodé, les multivitamines prénatales, et parfois par l'importation de spécialités étrangères. L'allaitement est possible et recommandé sous iode, le lait maternel étant la source principale d'iode du nourrisson (50–200 μg/L) ; la supplémentation maternelle par iodure de potassium 200–290 μg/j assure une concentration lactée adéquate. À noter que les antiseptiques iodés (povidone-iode) en application cutanée étendue ou vaginale pendant la grossesse sont contre-indiqués (risque d'hypothyroïdie fœtale transitoire, de goitre fœtal), et doivent être remplacés par la chlorhexidine en routine pré-opératoire chez la femme enceinte.</w:t>
      </w:r>
    </w:p>
    <w:p>
      <w:pPr>
        <w:pStyle w:val="Heading4"/>
      </w:pPr>
      <w:r>
        <w:t>6. Posologie et mode d'administration</w:t>
      </w:r>
    </w:p>
    <w:p>
      <w:r/>
      <w:r>
        <w:rPr>
          <w:b/>
        </w:rPr>
        <w:t>Supplémentation orale (iodure de potassium) — quand disponible :</w:t>
      </w:r>
      <w:r/>
    </w:p>
    <w:p>
      <w:pPr>
        <w:pStyle w:val="ListBullet"/>
      </w:pPr>
      <w:r>
        <w:t>Adulte : 150 μg/jour (apport nutritionnel conseillé).</w:t>
      </w:r>
    </w:p>
    <w:p>
      <w:pPr>
        <w:pStyle w:val="ListBullet"/>
      </w:pPr>
      <w:r>
        <w:t>Femme enceinte : 200–250 μg/jour (supplémentation systématique en cas d'apport alimentaire insuffisant).</w:t>
      </w:r>
    </w:p>
    <w:p>
      <w:pPr>
        <w:pStyle w:val="ListBullet"/>
      </w:pPr>
      <w:r>
        <w:t>Femme allaitante : 250–290 μg/jour.</w:t>
      </w:r>
    </w:p>
    <w:p>
      <w:pPr>
        <w:pStyle w:val="ListBullet"/>
      </w:pPr>
      <w:r>
        <w:t>Enfant de 0 à 5 ans : 90 μg/jour.</w:t>
      </w:r>
    </w:p>
    <w:p>
      <w:pPr>
        <w:pStyle w:val="ListBullet"/>
      </w:pPr>
      <w:r>
        <w:t>Enfant de 6 à 12 ans : 120 μg/jour.</w:t>
      </w:r>
    </w:p>
    <w:p>
      <w:pPr>
        <w:pStyle w:val="ListBullet"/>
      </w:pPr>
      <w:r>
        <w:t>Adolescent : 150 μg/jour.</w:t>
      </w:r>
    </w:p>
    <w:p>
      <w:r/>
      <w:r>
        <w:rPr>
          <w:b/>
        </w:rPr>
        <w:t>Pré-thyroidectomie (solution de Lugol forte, 5 % d'iode + 10 % d'iodure de potassium en solution aqueuse) :</w:t>
      </w:r>
      <w:r/>
    </w:p>
    <w:p>
      <w:pPr>
        <w:pStyle w:val="ListBullet"/>
      </w:pPr>
      <w:r>
        <w:t>Adulte : 5 gouttes × 3 fois/jour (soit ~30 mg d'iode élément/jour) pendant 10 à 14 jours avant la chirurgie.</w:t>
      </w:r>
    </w:p>
    <w:p>
      <w:pPr>
        <w:pStyle w:val="ListBullet"/>
      </w:pPr>
      <w:r>
        <w:t>Effet attendu : réduction de la vascularisation thyroïdienne (diminution du saignement peropératoire), inhibition de la synthèse de T4/T3 (effet Wolff-Chaikoff), diminution de la thyrotoxicose pré-opératoire.</w:t>
      </w:r>
    </w:p>
    <w:p>
      <w:r/>
      <w:r>
        <w:rPr>
          <w:b/>
        </w:rPr>
        <w:t>Hyperthyroïdie sévère (thyrotoxicose aiguë, thyroïdectomie médicale) :</w:t>
      </w:r>
      <w:r/>
    </w:p>
    <w:p>
      <w:pPr>
        <w:pStyle w:val="ListBullet"/>
      </w:pPr>
      <w:r>
        <w:t>Solution de Lugol : 5 à 10 gouttes × 3 fois/jour (30 à 60 mg d'iode/jour), en association avec un antithyroïdien de synthèse (carbimazole 30–60 mg/j) et un bêta-bloquant (propranolol 80–160 mg/j).</w:t>
      </w:r>
    </w:p>
    <w:p>
      <w:pPr>
        <w:pStyle w:val="ListBullet"/>
      </w:pPr>
      <w:r>
        <w:t>Effet attendu : inhibition aiguë de la synthèse et de la libération de T4/T3 en 24–48 heures.</w:t>
      </w:r>
    </w:p>
    <w:p>
      <w:r/>
      <w:r>
        <w:rPr>
          <w:b/>
        </w:rPr>
        <w:t>Antiseptique local (alcool iodé 1 %, povidone-iode) :</w:t>
      </w:r>
      <w:r/>
    </w:p>
    <w:p>
      <w:pPr>
        <w:pStyle w:val="ListBullet"/>
      </w:pPr>
      <w:r>
        <w:t>Application cutanée : 1 à 2 applications par jour sur la peau saine, en respectant un temps de contact de 30 secondes à 2 minutes.</w:t>
      </w:r>
    </w:p>
    <w:p>
      <w:pPr>
        <w:pStyle w:val="ListBullet"/>
      </w:pPr>
      <w:r>
        <w:t>Désinfection pré-opératoire : application unique large (champ opératoire), temps de contact 3 à 5 minutes avant le passage du bistouri.</w:t>
      </w:r>
    </w:p>
    <w:p>
      <w:pPr>
        <w:pStyle w:val="ListBullet"/>
      </w:pPr>
      <w:r>
        <w:t>Ne pas appliquer sur muqueuse, plaie ouverte étendue, brûlure, ou chez le nourrisson (absorption systémique, hypothyroïdie transitoire).</w:t>
      </w:r>
    </w:p>
    <w:p>
      <w:pPr>
        <w:pStyle w:val="Heading4"/>
      </w:pPr>
      <w:r>
        <w:t>7. Formes galéniques disponibles</w:t>
      </w:r>
    </w:p>
    <w:p>
      <w:r>
        <w:t xml:space="preserve">Le marché algérien de l'iode thérapeutique est extrêmement limité à la date d'avril 2026, en raison de l'absence de spécialité active d'iodure de potassium oral ou de solution de Lugol enregistrée. </w:t>
      </w:r>
      <w:r>
        <w:rPr>
          <w:b/>
        </w:rPr>
        <w:t>Solution hydroalcoolique pour application cutanée</w:t>
      </w:r>
      <w:r>
        <w:t xml:space="preserve"> (ALCOOL IODE 1 % RPP, Riadh Pharm) : iode bisublimé 1 % + alcool éthylique, flacon de 1 L, antiseptique local pour désinfection cutanée, statut actif. </w:t>
      </w:r>
      <w:r>
        <w:rPr>
          <w:b/>
        </w:rPr>
        <w:t>Solution pour application locale</w:t>
      </w:r>
      <w:r>
        <w:t xml:space="preserve"> (ALCOOL IODEE 1 %, Groupe Saïdal) : iode bisublimé 1 % + alcool éthylique, flacon de 1 L, antiseptique local, statut non renouvelable. </w:t>
      </w:r>
      <w:r>
        <w:rPr>
          <w:b/>
        </w:rPr>
        <w:t>Solution moussante pour application cutanée</w:t>
      </w:r>
      <w:r>
        <w:t xml:space="preserve"> (HYSACRYL LAURYLEE, HYSA SARL) : iode 1 % (détergent laurylé), flacon de 500 mL, antiseptique local moussant, statut non renouvelable.</w:t>
      </w:r>
    </w:p>
    <w:p>
      <w:r>
        <w:t xml:space="preserve">À défaut de spécialité systémique disponible, les besoins en iode thérapeutique sont couverts par : (1) </w:t>
      </w:r>
      <w:r>
        <w:rPr>
          <w:b/>
        </w:rPr>
        <w:t>le sel iodé</w:t>
      </w:r>
      <w:r>
        <w:t xml:space="preserve"> (mesure de santé publique, concentration 30–50 mg d'iode/kg de sel, disponible en grande distribution) ; (2) les </w:t>
      </w:r>
      <w:r>
        <w:rPr>
          <w:b/>
        </w:rPr>
        <w:t>multivitamines prénatales</w:t>
      </w:r>
      <w:r>
        <w:t xml:space="preserve"> contenant de l'iode (150–220 μg/comprimé, parfois en importation) ; (3) la </w:t>
      </w:r>
      <w:r>
        <w:rPr>
          <w:b/>
        </w:rPr>
        <w:t>solution de Lugol</w:t>
      </w:r>
      <w:r>
        <w:t xml:space="preserve"> préparée en pharmacie hospitalière (5 g d'iode + 10 g d'iodure de potassium + qsp 100 mL d'eau purifiée) pour la pré-thyroidectomie et l'hyperthyroïdie sévère ; (4) l'</w:t>
      </w:r>
      <w:r>
        <w:rPr>
          <w:b/>
        </w:rPr>
        <w:t>iodure de potassium en comprimé</w:t>
      </w:r>
      <w:r>
        <w:t xml:space="preserve"> importé (ZYMAFLUOR IODE en France, IODORA ailleurs) en cas de carence documentée ou de grossesse. À noter que les antiseptiques iodés pour application cutanée ne doivent jamais être utilisés comme source d'iode systémique (absorption aléatoire, risque d'effet Wolff-Chaikoff ou de syndrome de Jod-Basedow, et irritation locale).</w:t>
      </w:r>
    </w:p>
    <w:p>
      <w:pPr>
        <w:pStyle w:val="Heading4"/>
      </w:pPr>
      <w:r>
        <w:t>8. Conseils au patient</w:t>
      </w:r>
    </w:p>
    <w:p>
      <w:r>
        <w:t xml:space="preserve">Au comptoir, le pharmacien doit transmettre plusieurs conseils au patient (ou aux parents) sous iode. </w:t>
      </w:r>
      <w:r>
        <w:rPr>
          <w:b/>
        </w:rPr>
        <w:t>Conseil n°1 — Alimentation riche en iode</w:t>
      </w:r>
      <w:r>
        <w:t xml:space="preserve"> : consommer du poisson de mer 2 à 3 fois par semaine (100–300 μg/100 g), des crustacés, des mollusques, des algues (avec modération, risque de surcharge), des produits laitiers (15–50 μg/100 g), des œufs (20–30 μg/100 g), et utiliser du sel iodé pour la cuisson et l'assaisonnement (30 à 50 mg d'iode/kg de sel, soit 100 à 200 μg/j pour 3 à 5 g de sel/j). </w:t>
      </w:r>
      <w:r>
        <w:rPr>
          <w:b/>
        </w:rPr>
        <w:t>Conseil n°2 — Grossesse et allaitement</w:t>
      </w:r>
      <w:r>
        <w:t xml:space="preserve"> : surveiller l'apport iodé pendant la grossesse (besoins accrus 220 μg/j) et l'allaitement (290 μg/j), utiliser du sel iodé et des multivitamines prénatales contenant de l'iode. </w:t>
      </w:r>
      <w:r>
        <w:rPr>
          <w:b/>
        </w:rPr>
        <w:t>Conseil n°3 — Éviter les excès</w:t>
      </w:r>
      <w:r>
        <w:t xml:space="preserve"> : ne pas consommer d'algues en quantité excessive (risque de surcharge iodée, de syndrome de Jod-Basedow chez le sujet à risque), ne pas appliquer d'antiseptiques iodés de manière étendue ou prolongée. </w:t>
      </w:r>
      <w:r>
        <w:rPr>
          <w:b/>
        </w:rPr>
        <w:t>Conseil n°4 — Patient à risque (nodule, goitre, Basedow)</w:t>
      </w:r>
      <w:r>
        <w:t xml:space="preserve"> : prévenir le médecin en cas de charge iodée prévue (examen radiologique avec contraste iodé, amiodarone, antiseptique iodé étendu), surveillance TSH.</w:t>
      </w:r>
    </w:p>
    <w:p>
      <w:r/>
      <w:r>
        <w:rPr>
          <w:b/>
        </w:rPr>
        <w:t>Conseil n°5 — Antiseptiques iodés</w:t>
      </w:r>
      <w:r>
        <w:t xml:space="preserve"> : ne pas appliquer sur une muqueuse, une plaie ouverte étendue, une brûlure ; ne pas utiliser en bain de bouche prolongé ; ne pas utiliser chez le nourrisson sans avis médical. </w:t>
      </w:r>
      <w:r>
        <w:rPr>
          <w:b/>
        </w:rPr>
        <w:t>Conseil n°6 — Solution de Lugol</w:t>
      </w:r>
      <w:r>
        <w:t xml:space="preserve"> : en milieu hospitalier pour pré-thyroidectomie ou hyperthyroïdie sévère, respecter la posologie (5 gouttes × 3/j), surveiller la TSH et T4L toutes les 48 heures, signaler tout signe d'hyperthyroïdie (palpitations, tremblements, sueurs, diarrhée) ou d'hypothyroïdie (asthénie, frilosite, constipation). </w:t>
      </w:r>
      <w:r>
        <w:rPr>
          <w:b/>
        </w:rPr>
        <w:t>Conseil n°7 — Patient sous amiodarone</w:t>
      </w:r>
      <w:r>
        <w:t xml:space="preserve"> : surveillance TSH à l'initiation puis tous les 6 mois (risque de dysthyroïdie 10 %). </w:t>
      </w:r>
      <w:r>
        <w:rPr>
          <w:b/>
        </w:rPr>
        <w:t>Conseil n°8 — Patient sous antithyroïdien</w:t>
      </w:r>
      <w:r>
        <w:t xml:space="preserve"> : l'iode potentialise l'effet antithyroïdien, surveillance TSH mensuelle. </w:t>
      </w:r>
      <w:r>
        <w:rPr>
          <w:b/>
        </w:rPr>
        <w:t>Conseil n°9 — Conservation</w:t>
      </w:r>
      <w:r>
        <w:t xml:space="preserve"> : conserver l'alcool iodé à l'abri de la lumière et de la chaleur (i volatile), bien fermer le flacon, tenir hors de portée des enfants (toxicité caustique en cas d'ingestion). </w:t>
      </w:r>
      <w:r>
        <w:rPr>
          <w:b/>
        </w:rPr>
        <w:t>Conseil n°10 — Allergie à l'iode</w:t>
      </w:r>
      <w:r>
        <w:t xml:space="preserve"> : ne pas utiliser en cas d'antécédent d'allergie à l'iode ou aux produits de contraste iodés ; orienter vers la chlorhexidine comme antiseptique alternatif. </w:t>
      </w:r>
      <w:r>
        <w:rPr>
          <w:b/>
        </w:rPr>
        <w:t>Conseil n°11 — Femme enceinte et antiseptiques iodés</w:t>
      </w:r>
      <w:r>
        <w:t xml:space="preserve"> : éviter les antiseptiques iodés en application cutanée étendue, vaginale ou en bain de bouche prolongé ; préférer la chlorhexidine. </w:t>
      </w:r>
      <w:r>
        <w:rPr>
          <w:b/>
        </w:rPr>
        <w:t>Conseil n°12 — Nourrisson</w:t>
      </w:r>
      <w:r>
        <w:t xml:space="preserve"> : ne jamais appliquer d'antiseptique iodé sur la peau étendue du nourrisson (absorption systémique, hypothyroïdie transitoire, goitre) ; préférer la chlorhexidine aqueuse.</w:t>
      </w:r>
    </w:p>
    <w:p>
      <w:pPr>
        <w:pStyle w:val="Heading4"/>
      </w:pPr>
      <w:r>
        <w:t>9. Pièges du comptoir</w:t>
      </w:r>
    </w:p>
    <w:p>
      <w:r>
        <w:t xml:space="preserve">Plusieurs pièges guettent le pharmacien d'officine face à une prescription d'iode ou à une demande d'antiseptique iodé. </w:t>
      </w:r>
      <w:r>
        <w:rPr>
          <w:b/>
        </w:rPr>
        <w:t>Piège n°1 — Confusion antiseptique / supplément systémique</w:t>
      </w:r>
      <w:r>
        <w:t xml:space="preserve"> : l'alcool iodé (1 %) et la povidone-iode sont des antiseptiques locaux, jamais des suppléments iodés systémiques ; ne jamais proposer à un patient de consommer de l'alcool iodé pour supplémentation (toxicité caustique, absorption aléatoire). </w:t>
      </w:r>
      <w:r>
        <w:rPr>
          <w:b/>
        </w:rPr>
        <w:t>Piège n°2 — Patient sous amiodarone</w:t>
      </w:r>
      <w:r>
        <w:t xml:space="preserve"> : risque majeur de dysthyroïdie (10 % des cas), surveillance TSH systématique ; ne pas supplémenter en iode sans bilan thyroïdien préalable. </w:t>
      </w:r>
      <w:r>
        <w:rPr>
          <w:b/>
        </w:rPr>
        <w:t>Piège n°3 — Patient avec nodule thyroïdien ou goitre multinodulaire</w:t>
      </w:r>
      <w:r>
        <w:t xml:space="preserve"> : contre-indication relative à toute charge iodée (syndrome de Jod-Basedow) ; orienter vers l'endocrinologue. </w:t>
      </w:r>
      <w:r>
        <w:rPr>
          <w:b/>
        </w:rPr>
        <w:t>Piège n°4 — Patiente enceinte et antiseptique iodé</w:t>
      </w:r>
      <w:r>
        <w:t xml:space="preserve"> : éviter les antiseptiques iodés en application étendue ou prolongée (risque d'hypothyroïdie fœtale transitoire, de goitre fœtal) ; préférer la chlorhexidine.</w:t>
      </w:r>
    </w:p>
    <w:p>
      <w:r/>
      <w:r>
        <w:rPr>
          <w:b/>
        </w:rPr>
        <w:t>Piège n°5 — Nourrisson et antiseptique iodé</w:t>
      </w:r>
      <w:r>
        <w:t xml:space="preserve"> : ne jamais appliquer d'antiseptique iodé sur la peau étendue ou sur une muqueuse du nourrisson (absorption systémique, hypothyroïdie transitoire, goitre néonatal) ; préférer la chlorhexidine aqueuse. </w:t>
      </w:r>
      <w:r>
        <w:rPr>
          <w:b/>
        </w:rPr>
        <w:t>Piège n°6 — Patient allergique à l'iode</w:t>
      </w:r>
      <w:r>
        <w:t xml:space="preserve"> : allergie vraie rare mais possible, contre-indiquant les antiseptiques iodés et les produits de contraste iodés ; rechercher les antécédents. </w:t>
      </w:r>
      <w:r>
        <w:rPr>
          <w:b/>
        </w:rPr>
        <w:t>Piège n°7 — Forme systémique non disponible</w:t>
      </w:r>
      <w:r>
        <w:t xml:space="preserve"> : l'iodure de potassium oral et la solution de Lugol ne sont pas disponibles comme spécialités actives en Algérie à la date d'avril 2026 ; orienter vers les préparations hospitalières ou l'importation. </w:t>
      </w:r>
      <w:r>
        <w:rPr>
          <w:b/>
        </w:rPr>
        <w:t>Piège n°8 — Sédation d'automédication par algues</w:t>
      </w:r>
      <w:r>
        <w:t xml:space="preserve"> : les algues (kombu, wakame, nori) contiennent 1 000 à 8 000 μg/g d'iode, soit 50 à 400 fois les besoins quotidiens ; risque de surcharge iodée et de syndrome de Jod-Basedow ; informer le patient. </w:t>
      </w:r>
      <w:r>
        <w:rPr>
          <w:b/>
        </w:rPr>
        <w:t>Piège n°9 — Apport excessif en sel iodé</w:t>
      </w:r>
      <w:r>
        <w:t xml:space="preserve"> : le sel iodé à 50 mg/kg apporte 100 à 250 μg d'iode/j pour 2 à 5 g de sel/j, ce qui reste dans la fourchette physiologique ; mais la consommation excessive de sel (&gt; 10 g/j) augmente le risque cardiovasculaire sans bénéfice iodé supplémentaire. </w:t>
      </w:r>
      <w:r>
        <w:rPr>
          <w:b/>
        </w:rPr>
        <w:t>Piège n°10 — Patient sous lithium</w:t>
      </w:r>
      <w:r>
        <w:t xml:space="preserve"> : le lithium potentialise le goitre et l'hypothyroïdie, surveillance TSH tous les 6 mois ; ne pas supplémenter en iode sans surveillance thyroïdienne. </w:t>
      </w:r>
      <w:r>
        <w:rPr>
          <w:b/>
        </w:rPr>
        <w:t>Piège n°11 — Patient sous produit de contraste iodé</w:t>
      </w:r>
      <w:r>
        <w:t xml:space="preserve"> : risque de dysthyroïdie transitoire (syndrome de Jod-Basedow ou effet Wolff-Chaikoff) chez le sujet à risque ; surveillance TSH à J7, J15, J30 après l'examen. </w:t>
      </w:r>
      <w:r>
        <w:rPr>
          <w:b/>
        </w:rPr>
        <w:t>Piège n°12 — Conservation de l'alcool iodé</w:t>
      </w:r>
      <w:r>
        <w:t xml:space="preserve"> : l'iode est volatile, conserver le flacon bien fermé à l'abri de la lumière et de la chaleur ; un flacon ouvert depuis plus de 6 mois peut avoir perdu son activité antiseptique. </w:t>
      </w:r>
      <w:r>
        <w:rPr>
          <w:b/>
        </w:rPr>
        <w:t>Piège n°13 — Application sur plaie ouverte</w:t>
      </w:r>
      <w:r>
        <w:t xml:space="preserve"> : l'alcool iodé est irritant et ne doit pas être appliqué sur une plaie ouverte étendue ou une brûlure (toxicité systémique, retard de cicatrisation) ; préférer la povidone-iode diluée ou la chlorhexidine.</w:t>
      </w:r>
    </w:p>
    <w:p>
      <w:pPr>
        <w:pStyle w:val="Heading2"/>
      </w:pPr>
      <w:r>
        <w:t>163.7 Tableau comparatif synthétique des six DCI minéraux</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Paramètre</w:t>
            </w:r>
          </w:p>
        </w:tc>
        <w:tc>
          <w:tcPr>
            <w:tcW w:type="dxa" w:w="1336"/>
          </w:tcPr>
          <w:p>
            <w:r>
              <w:rPr>
                <w:b/>
                <w:sz w:val="20"/>
              </w:rPr>
              <w:t>Calcium</w:t>
            </w:r>
          </w:p>
        </w:tc>
        <w:tc>
          <w:tcPr>
            <w:tcW w:type="dxa" w:w="1336"/>
          </w:tcPr>
          <w:p>
            <w:r>
              <w:rPr>
                <w:b/>
                <w:sz w:val="20"/>
              </w:rPr>
              <w:t>Magnésium</w:t>
            </w:r>
          </w:p>
        </w:tc>
        <w:tc>
          <w:tcPr>
            <w:tcW w:type="dxa" w:w="1336"/>
          </w:tcPr>
          <w:p>
            <w:r>
              <w:rPr>
                <w:b/>
                <w:sz w:val="20"/>
              </w:rPr>
              <w:t>Fer</w:t>
            </w:r>
          </w:p>
        </w:tc>
        <w:tc>
          <w:tcPr>
            <w:tcW w:type="dxa" w:w="1336"/>
          </w:tcPr>
          <w:p>
            <w:r>
              <w:rPr>
                <w:b/>
                <w:sz w:val="20"/>
              </w:rPr>
              <w:t>Potassium</w:t>
            </w:r>
          </w:p>
        </w:tc>
        <w:tc>
          <w:tcPr>
            <w:tcW w:type="dxa" w:w="1336"/>
          </w:tcPr>
          <w:p>
            <w:r>
              <w:rPr>
                <w:b/>
                <w:sz w:val="20"/>
              </w:rPr>
              <w:t>Fluor</w:t>
            </w:r>
          </w:p>
        </w:tc>
        <w:tc>
          <w:tcPr>
            <w:tcW w:type="dxa" w:w="1336"/>
          </w:tcPr>
          <w:p>
            <w:r>
              <w:rPr>
                <w:b/>
                <w:sz w:val="20"/>
              </w:rPr>
              <w:t>Iode</w:t>
            </w:r>
          </w:p>
        </w:tc>
      </w:tr>
      <w:tr>
        <w:tc>
          <w:tcPr>
            <w:tcW w:type="dxa" w:w="1336"/>
          </w:tcPr>
          <w:p>
            <w:r>
              <w:rPr>
                <w:sz w:val="20"/>
              </w:rPr>
              <w:t>**Symbole / masse atomique**</w:t>
            </w:r>
          </w:p>
        </w:tc>
        <w:tc>
          <w:tcPr>
            <w:tcW w:type="dxa" w:w="1336"/>
          </w:tcPr>
          <w:p>
            <w:r>
              <w:rPr>
                <w:sz w:val="20"/>
              </w:rPr>
              <w:t>Ca / 40,08</w:t>
            </w:r>
          </w:p>
        </w:tc>
        <w:tc>
          <w:tcPr>
            <w:tcW w:type="dxa" w:w="1336"/>
          </w:tcPr>
          <w:p>
            <w:r>
              <w:rPr>
                <w:sz w:val="20"/>
              </w:rPr>
              <w:t>Mg / 24,31</w:t>
            </w:r>
          </w:p>
        </w:tc>
        <w:tc>
          <w:tcPr>
            <w:tcW w:type="dxa" w:w="1336"/>
          </w:tcPr>
          <w:p>
            <w:r>
              <w:rPr>
                <w:sz w:val="20"/>
              </w:rPr>
              <w:t>Fe / 55,85</w:t>
            </w:r>
          </w:p>
        </w:tc>
        <w:tc>
          <w:tcPr>
            <w:tcW w:type="dxa" w:w="1336"/>
          </w:tcPr>
          <w:p>
            <w:r>
              <w:rPr>
                <w:sz w:val="20"/>
              </w:rPr>
              <w:t>K / 39,10</w:t>
            </w:r>
          </w:p>
        </w:tc>
        <w:tc>
          <w:tcPr>
            <w:tcW w:type="dxa" w:w="1336"/>
          </w:tcPr>
          <w:p>
            <w:r>
              <w:rPr>
                <w:sz w:val="20"/>
              </w:rPr>
              <w:t>F / 19,00</w:t>
            </w:r>
          </w:p>
        </w:tc>
        <w:tc>
          <w:tcPr>
            <w:tcW w:type="dxa" w:w="1336"/>
          </w:tcPr>
          <w:p>
            <w:r>
              <w:rPr>
                <w:sz w:val="20"/>
              </w:rPr>
              <w:t>I / 126,90</w:t>
            </w:r>
          </w:p>
        </w:tc>
      </w:tr>
      <w:tr>
        <w:tc>
          <w:tcPr>
            <w:tcW w:type="dxa" w:w="1336"/>
          </w:tcPr>
          <w:p>
            <w:r>
              <w:rPr>
                <w:sz w:val="20"/>
              </w:rPr>
              <w:t>**Pool corporel adulte**</w:t>
            </w:r>
          </w:p>
        </w:tc>
        <w:tc>
          <w:tcPr>
            <w:tcW w:type="dxa" w:w="1336"/>
          </w:tcPr>
          <w:p>
            <w:r>
              <w:rPr>
                <w:sz w:val="20"/>
              </w:rPr>
              <w:t>1 200–1 400 g</w:t>
            </w:r>
          </w:p>
        </w:tc>
        <w:tc>
          <w:tcPr>
            <w:tcW w:type="dxa" w:w="1336"/>
          </w:tcPr>
          <w:p>
            <w:r>
              <w:rPr>
                <w:sz w:val="20"/>
              </w:rPr>
              <w:t>25–30 g</w:t>
            </w:r>
          </w:p>
        </w:tc>
        <w:tc>
          <w:tcPr>
            <w:tcW w:type="dxa" w:w="1336"/>
          </w:tcPr>
          <w:p>
            <w:r>
              <w:rPr>
                <w:sz w:val="20"/>
              </w:rPr>
              <w:t>3–4 g</w:t>
            </w:r>
          </w:p>
        </w:tc>
        <w:tc>
          <w:tcPr>
            <w:tcW w:type="dxa" w:w="1336"/>
          </w:tcPr>
          <w:p>
            <w:r>
              <w:rPr>
                <w:sz w:val="20"/>
              </w:rPr>
              <w:t>140–160 g</w:t>
            </w:r>
          </w:p>
        </w:tc>
        <w:tc>
          <w:tcPr>
            <w:tcW w:type="dxa" w:w="1336"/>
          </w:tcPr>
          <w:p>
            <w:r>
              <w:rPr>
                <w:sz w:val="20"/>
              </w:rPr>
              <w:t>2–3 g</w:t>
            </w:r>
          </w:p>
        </w:tc>
        <w:tc>
          <w:tcPr>
            <w:tcW w:type="dxa" w:w="1336"/>
          </w:tcPr>
          <w:p>
            <w:r>
              <w:rPr>
                <w:sz w:val="20"/>
              </w:rPr>
              <w:t>15–20 mg</w:t>
            </w:r>
          </w:p>
        </w:tc>
      </w:tr>
      <w:tr>
        <w:tc>
          <w:tcPr>
            <w:tcW w:type="dxa" w:w="1336"/>
          </w:tcPr>
          <w:p>
            <w:r>
              <w:rPr>
                <w:sz w:val="20"/>
              </w:rPr>
              <w:t>**Compartiment principal**</w:t>
            </w:r>
          </w:p>
        </w:tc>
        <w:tc>
          <w:tcPr>
            <w:tcW w:type="dxa" w:w="1336"/>
          </w:tcPr>
          <w:p>
            <w:r>
              <w:rPr>
                <w:sz w:val="20"/>
              </w:rPr>
              <w:t>Os (99 %)</w:t>
            </w:r>
          </w:p>
        </w:tc>
        <w:tc>
          <w:tcPr>
            <w:tcW w:type="dxa" w:w="1336"/>
          </w:tcPr>
          <w:p>
            <w:r>
              <w:rPr>
                <w:sz w:val="20"/>
              </w:rPr>
              <w:t>Os (50–60 %) + muscle (25–30 %)</w:t>
            </w:r>
          </w:p>
        </w:tc>
        <w:tc>
          <w:tcPr>
            <w:tcW w:type="dxa" w:w="1336"/>
          </w:tcPr>
          <w:p>
            <w:r>
              <w:rPr>
                <w:sz w:val="20"/>
              </w:rPr>
              <w:t>Hb (65 %) + ferritine (25 %)</w:t>
            </w:r>
          </w:p>
        </w:tc>
        <w:tc>
          <w:tcPr>
            <w:tcW w:type="dxa" w:w="1336"/>
          </w:tcPr>
          <w:p>
            <w:r>
              <w:rPr>
                <w:sz w:val="20"/>
              </w:rPr>
              <w:t>Intracellulaire (98 %)</w:t>
            </w:r>
          </w:p>
        </w:tc>
        <w:tc>
          <w:tcPr>
            <w:tcW w:type="dxa" w:w="1336"/>
          </w:tcPr>
          <w:p>
            <w:r>
              <w:rPr>
                <w:sz w:val="20"/>
              </w:rPr>
              <w:t>Émail + os</w:t>
            </w:r>
          </w:p>
        </w:tc>
        <w:tc>
          <w:tcPr>
            <w:tcW w:type="dxa" w:w="1336"/>
          </w:tcPr>
          <w:p>
            <w:r>
              <w:rPr>
                <w:sz w:val="20"/>
              </w:rPr>
              <w:t>Thyroïde (70–80 %)</w:t>
            </w:r>
          </w:p>
        </w:tc>
      </w:tr>
      <w:tr>
        <w:tc>
          <w:tcPr>
            <w:tcW w:type="dxa" w:w="1336"/>
          </w:tcPr>
          <w:p>
            <w:r>
              <w:rPr>
                <w:sz w:val="20"/>
              </w:rPr>
              <w:t>**Besoins quotidiens adulte**</w:t>
            </w:r>
          </w:p>
        </w:tc>
        <w:tc>
          <w:tcPr>
            <w:tcW w:type="dxa" w:w="1336"/>
          </w:tcPr>
          <w:p>
            <w:r>
              <w:rPr>
                <w:sz w:val="20"/>
              </w:rPr>
              <w:t>900–1 200 mg</w:t>
            </w:r>
          </w:p>
        </w:tc>
        <w:tc>
          <w:tcPr>
            <w:tcW w:type="dxa" w:w="1336"/>
          </w:tcPr>
          <w:p>
            <w:r>
              <w:rPr>
                <w:sz w:val="20"/>
              </w:rPr>
              <w:t>300–400 mg</w:t>
            </w:r>
          </w:p>
        </w:tc>
        <w:tc>
          <w:tcPr>
            <w:tcW w:type="dxa" w:w="1336"/>
          </w:tcPr>
          <w:p>
            <w:r>
              <w:rPr>
                <w:sz w:val="20"/>
              </w:rPr>
              <w:t>8–18 mg</w:t>
            </w:r>
          </w:p>
        </w:tc>
        <w:tc>
          <w:tcPr>
            <w:tcW w:type="dxa" w:w="1336"/>
          </w:tcPr>
          <w:p>
            <w:r>
              <w:rPr>
                <w:sz w:val="20"/>
              </w:rPr>
              <w:t>3–5 g (75–100 mmol)</w:t>
            </w:r>
          </w:p>
        </w:tc>
        <w:tc>
          <w:tcPr>
            <w:tcW w:type="dxa" w:w="1336"/>
          </w:tcPr>
          <w:p>
            <w:r>
              <w:rPr>
                <w:sz w:val="20"/>
              </w:rPr>
              <w:t>1,5–4 mg</w:t>
            </w:r>
          </w:p>
        </w:tc>
        <w:tc>
          <w:tcPr>
            <w:tcW w:type="dxa" w:w="1336"/>
          </w:tcPr>
          <w:p>
            <w:r>
              <w:rPr>
                <w:sz w:val="20"/>
              </w:rPr>
              <w:t>150 μg</w:t>
            </w:r>
          </w:p>
        </w:tc>
      </w:tr>
      <w:tr>
        <w:tc>
          <w:tcPr>
            <w:tcW w:type="dxa" w:w="1336"/>
          </w:tcPr>
          <w:p>
            <w:r>
              <w:rPr>
                <w:sz w:val="20"/>
              </w:rPr>
              <w:t>**Besoins femme enceinte**</w:t>
            </w:r>
          </w:p>
        </w:tc>
        <w:tc>
          <w:tcPr>
            <w:tcW w:type="dxa" w:w="1336"/>
          </w:tcPr>
          <w:p>
            <w:r>
              <w:rPr>
                <w:sz w:val="20"/>
              </w:rPr>
              <w:t>1 000–1 200 mg</w:t>
            </w:r>
          </w:p>
        </w:tc>
        <w:tc>
          <w:tcPr>
            <w:tcW w:type="dxa" w:w="1336"/>
          </w:tcPr>
          <w:p>
            <w:r>
              <w:rPr>
                <w:sz w:val="20"/>
              </w:rPr>
              <w:t>400 mg</w:t>
            </w:r>
          </w:p>
        </w:tc>
        <w:tc>
          <w:tcPr>
            <w:tcW w:type="dxa" w:w="1336"/>
          </w:tcPr>
          <w:p>
            <w:r>
              <w:rPr>
                <w:sz w:val="20"/>
              </w:rPr>
              <w:t>27 mg</w:t>
            </w:r>
          </w:p>
        </w:tc>
        <w:tc>
          <w:tcPr>
            <w:tcW w:type="dxa" w:w="1336"/>
          </w:tcPr>
          <w:p>
            <w:r>
              <w:rPr>
                <w:sz w:val="20"/>
              </w:rPr>
              <w:t>3–5 g</w:t>
            </w:r>
          </w:p>
        </w:tc>
        <w:tc>
          <w:tcPr>
            <w:tcW w:type="dxa" w:w="1336"/>
          </w:tcPr>
          <w:p>
            <w:r>
              <w:rPr>
                <w:sz w:val="20"/>
              </w:rPr>
              <w:t>1–4 mg</w:t>
            </w:r>
          </w:p>
        </w:tc>
        <w:tc>
          <w:tcPr>
            <w:tcW w:type="dxa" w:w="1336"/>
          </w:tcPr>
          <w:p>
            <w:r>
              <w:rPr>
                <w:sz w:val="20"/>
              </w:rPr>
              <w:t>220 μg</w:t>
            </w:r>
          </w:p>
        </w:tc>
      </w:tr>
      <w:tr>
        <w:tc>
          <w:tcPr>
            <w:tcW w:type="dxa" w:w="1336"/>
          </w:tcPr>
          <w:p>
            <w:r>
              <w:rPr>
                <w:sz w:val="20"/>
              </w:rPr>
              <w:t>**Sels disponibles**</w:t>
            </w:r>
          </w:p>
        </w:tc>
        <w:tc>
          <w:tcPr>
            <w:tcW w:type="dxa" w:w="1336"/>
          </w:tcPr>
          <w:p>
            <w:r>
              <w:rPr>
                <w:sz w:val="20"/>
              </w:rPr>
              <w:t>Carbonate, pidolate, gluconate, chlorure, bromo-galactogluconate</w:t>
            </w:r>
          </w:p>
        </w:tc>
        <w:tc>
          <w:tcPr>
            <w:tcW w:type="dxa" w:w="1336"/>
          </w:tcPr>
          <w:p>
            <w:r>
              <w:rPr>
                <w:sz w:val="20"/>
              </w:rPr>
              <w:t>Pidolate, lactate, aspartate, oxyde, sulfate, carbonate, hydroxyde</w:t>
            </w:r>
          </w:p>
        </w:tc>
        <w:tc>
          <w:tcPr>
            <w:tcW w:type="dxa" w:w="1336"/>
          </w:tcPr>
          <w:p>
            <w:r>
              <w:rPr>
                <w:sz w:val="20"/>
              </w:rPr>
              <w:t>Sulfate, fumarate, polymaltose, saccharose, carboxymaltose, ferrédétate</w:t>
            </w:r>
          </w:p>
        </w:tc>
        <w:tc>
          <w:tcPr>
            <w:tcW w:type="dxa" w:w="1336"/>
          </w:tcPr>
          <w:p>
            <w:r>
              <w:rPr>
                <w:sz w:val="20"/>
              </w:rPr>
              <w:t>Chlorure, gluconate</w:t>
            </w:r>
          </w:p>
        </w:tc>
        <w:tc>
          <w:tcPr>
            <w:tcW w:type="dxa" w:w="1336"/>
          </w:tcPr>
          <w:p>
            <w:r>
              <w:rPr>
                <w:sz w:val="20"/>
              </w:rPr>
              <w:t>Fluorure de sodium</w:t>
            </w:r>
          </w:p>
        </w:tc>
        <w:tc>
          <w:tcPr>
            <w:tcW w:type="dxa" w:w="1336"/>
          </w:tcPr>
          <w:p>
            <w:r>
              <w:rPr>
                <w:sz w:val="20"/>
              </w:rPr>
              <w:t>Iodure de potassium, solution de Lugol, antiseptiques iodés</w:t>
            </w:r>
          </w:p>
        </w:tc>
      </w:tr>
      <w:tr>
        <w:tc>
          <w:tcPr>
            <w:tcW w:type="dxa" w:w="1336"/>
          </w:tcPr>
          <w:p>
            <w:r>
              <w:rPr>
                <w:sz w:val="20"/>
              </w:rPr>
              <w:t>**Voie d'administration**</w:t>
            </w:r>
          </w:p>
        </w:tc>
        <w:tc>
          <w:tcPr>
            <w:tcW w:type="dxa" w:w="1336"/>
          </w:tcPr>
          <w:p>
            <w:r>
              <w:rPr>
                <w:sz w:val="20"/>
              </w:rPr>
              <w:t>PO, IV (gluconate, chlorure)</w:t>
            </w:r>
          </w:p>
        </w:tc>
        <w:tc>
          <w:tcPr>
            <w:tcW w:type="dxa" w:w="1336"/>
          </w:tcPr>
          <w:p>
            <w:r>
              <w:rPr>
                <w:sz w:val="20"/>
              </w:rPr>
              <w:t>PO, IV (sulfate)</w:t>
            </w:r>
          </w:p>
        </w:tc>
        <w:tc>
          <w:tcPr>
            <w:tcW w:type="dxa" w:w="1336"/>
          </w:tcPr>
          <w:p>
            <w:r>
              <w:rPr>
                <w:sz w:val="20"/>
              </w:rPr>
              <w:t>PO, IV/IM</w:t>
            </w:r>
          </w:p>
        </w:tc>
        <w:tc>
          <w:tcPr>
            <w:tcW w:type="dxa" w:w="1336"/>
          </w:tcPr>
          <w:p>
            <w:r>
              <w:rPr>
                <w:sz w:val="20"/>
              </w:rPr>
              <w:t>PO, IV (stricte)</w:t>
            </w:r>
          </w:p>
        </w:tc>
        <w:tc>
          <w:tcPr>
            <w:tcW w:type="dxa" w:w="1336"/>
          </w:tcPr>
          <w:p>
            <w:r>
              <w:rPr>
                <w:sz w:val="20"/>
              </w:rPr>
              <w:t>PO</w:t>
            </w:r>
          </w:p>
        </w:tc>
        <w:tc>
          <w:tcPr>
            <w:tcW w:type="dxa" w:w="1336"/>
          </w:tcPr>
          <w:p>
            <w:r>
              <w:rPr>
                <w:sz w:val="20"/>
              </w:rPr>
              <w:t>PO, topique</w:t>
            </w:r>
          </w:p>
        </w:tc>
      </w:tr>
      <w:tr>
        <w:tc>
          <w:tcPr>
            <w:tcW w:type="dxa" w:w="1336"/>
          </w:tcPr>
          <w:p>
            <w:r>
              <w:rPr>
                <w:sz w:val="20"/>
              </w:rPr>
              <w:t>**Biodisponibilité orale**</w:t>
            </w:r>
          </w:p>
        </w:tc>
        <w:tc>
          <w:tcPr>
            <w:tcW w:type="dxa" w:w="1336"/>
          </w:tcPr>
          <w:p>
            <w:r>
              <w:rPr>
                <w:sz w:val="20"/>
              </w:rPr>
              <w:t>20–40 %</w:t>
            </w:r>
          </w:p>
        </w:tc>
        <w:tc>
          <w:tcPr>
            <w:tcW w:type="dxa" w:w="1336"/>
          </w:tcPr>
          <w:p>
            <w:r>
              <w:rPr>
                <w:sz w:val="20"/>
              </w:rPr>
              <w:t>30–50 %</w:t>
            </w:r>
          </w:p>
        </w:tc>
        <w:tc>
          <w:tcPr>
            <w:tcW w:type="dxa" w:w="1336"/>
          </w:tcPr>
          <w:p>
            <w:r>
              <w:rPr>
                <w:sz w:val="20"/>
              </w:rPr>
              <w:t>5–15 % (hème 25–35 %)</w:t>
            </w:r>
          </w:p>
        </w:tc>
        <w:tc>
          <w:tcPr>
            <w:tcW w:type="dxa" w:w="1336"/>
          </w:tcPr>
          <w:p>
            <w:r>
              <w:rPr>
                <w:sz w:val="20"/>
              </w:rPr>
              <w:t>90 %</w:t>
            </w:r>
          </w:p>
        </w:tc>
        <w:tc>
          <w:tcPr>
            <w:tcW w:type="dxa" w:w="1336"/>
          </w:tcPr>
          <w:p>
            <w:r>
              <w:rPr>
                <w:sz w:val="20"/>
              </w:rPr>
              <w:t>90–95 %</w:t>
            </w:r>
          </w:p>
        </w:tc>
        <w:tc>
          <w:tcPr>
            <w:tcW w:type="dxa" w:w="1336"/>
          </w:tcPr>
          <w:p>
            <w:r>
              <w:rPr>
                <w:sz w:val="20"/>
              </w:rPr>
              <w:t>90–100 %</w:t>
            </w:r>
          </w:p>
        </w:tc>
      </w:tr>
      <w:tr>
        <w:tc>
          <w:tcPr>
            <w:tcW w:type="dxa" w:w="1336"/>
          </w:tcPr>
          <w:p>
            <w:r>
              <w:rPr>
                <w:sz w:val="20"/>
              </w:rPr>
              <w:t>**Régulation homéostatique**</w:t>
            </w:r>
          </w:p>
        </w:tc>
        <w:tc>
          <w:tcPr>
            <w:tcW w:type="dxa" w:w="1336"/>
          </w:tcPr>
          <w:p>
            <w:r>
              <w:rPr>
                <w:sz w:val="20"/>
              </w:rPr>
              <w:t>PTH, calcitriol, calcitonine</w:t>
            </w:r>
          </w:p>
        </w:tc>
        <w:tc>
          <w:tcPr>
            <w:tcW w:type="dxa" w:w="1336"/>
          </w:tcPr>
          <w:p>
            <w:r>
              <w:rPr>
                <w:sz w:val="20"/>
              </w:rPr>
              <w:t>Hepcidine-like (TRPM6/7), rein</w:t>
            </w:r>
          </w:p>
        </w:tc>
        <w:tc>
          <w:tcPr>
            <w:tcW w:type="dxa" w:w="1336"/>
          </w:tcPr>
          <w:p>
            <w:r>
              <w:rPr>
                <w:sz w:val="20"/>
              </w:rPr>
              <w:t>Hepcidine, ferroportine</w:t>
            </w:r>
          </w:p>
        </w:tc>
        <w:tc>
          <w:tcPr>
            <w:tcW w:type="dxa" w:w="1336"/>
          </w:tcPr>
          <w:p>
            <w:r>
              <w:rPr>
                <w:sz w:val="20"/>
              </w:rPr>
              <w:t>RAA, insuline, β2</w:t>
            </w:r>
          </w:p>
        </w:tc>
        <w:tc>
          <w:tcPr>
            <w:tcW w:type="dxa" w:w="1336"/>
          </w:tcPr>
          <w:p>
            <w:r>
              <w:rPr>
                <w:sz w:val="20"/>
              </w:rPr>
              <w:t>Rein (proportionnel DFG)</w:t>
            </w:r>
          </w:p>
        </w:tc>
        <w:tc>
          <w:tcPr>
            <w:tcW w:type="dxa" w:w="1336"/>
          </w:tcPr>
          <w:p>
            <w:r>
              <w:rPr>
                <w:sz w:val="20"/>
              </w:rPr>
              <w:t>NIS thyroïdien, TSH</w:t>
            </w:r>
          </w:p>
        </w:tc>
      </w:tr>
      <w:tr>
        <w:tc>
          <w:tcPr>
            <w:tcW w:type="dxa" w:w="1336"/>
          </w:tcPr>
          <w:p>
            <w:r>
              <w:rPr>
                <w:sz w:val="20"/>
              </w:rPr>
              <w:t>**Marqueur biologique clé**</w:t>
            </w:r>
          </w:p>
        </w:tc>
        <w:tc>
          <w:tcPr>
            <w:tcW w:type="dxa" w:w="1336"/>
          </w:tcPr>
          <w:p>
            <w:r>
              <w:rPr>
                <w:sz w:val="20"/>
              </w:rPr>
              <w:t>Calcémie (2,2–2,6 mmol/L), calciurie 24 h</w:t>
            </w:r>
          </w:p>
        </w:tc>
        <w:tc>
          <w:tcPr>
            <w:tcW w:type="dxa" w:w="1336"/>
          </w:tcPr>
          <w:p>
            <w:r>
              <w:rPr>
                <w:sz w:val="20"/>
              </w:rPr>
              <w:t>Magnésémie (0,75–0,95 mmol/L), magnésurie</w:t>
            </w:r>
          </w:p>
        </w:tc>
        <w:tc>
          <w:tcPr>
            <w:tcW w:type="dxa" w:w="1336"/>
          </w:tcPr>
          <w:p>
            <w:r>
              <w:rPr>
                <w:sz w:val="20"/>
              </w:rPr>
              <w:t>Ferritine (15–300 μg/L), CST (20–45 %)</w:t>
            </w:r>
          </w:p>
        </w:tc>
        <w:tc>
          <w:tcPr>
            <w:tcW w:type="dxa" w:w="1336"/>
          </w:tcPr>
          <w:p>
            <w:r>
              <w:rPr>
                <w:sz w:val="20"/>
              </w:rPr>
              <w:t>Kaliémie (3,5–5,0 mmol/L), kaliurie 24 h</w:t>
            </w:r>
          </w:p>
        </w:tc>
        <w:tc>
          <w:tcPr>
            <w:tcW w:type="dxa" w:w="1336"/>
          </w:tcPr>
          <w:p>
            <w:r>
              <w:rPr>
                <w:sz w:val="20"/>
              </w:rPr>
              <w:t>Fluorémie (0,01–0,2 mg/L), fluorurie 24 h</w:t>
            </w:r>
          </w:p>
        </w:tc>
        <w:tc>
          <w:tcPr>
            <w:tcW w:type="dxa" w:w="1336"/>
          </w:tcPr>
          <w:p>
            <w:r>
              <w:rPr>
                <w:sz w:val="20"/>
              </w:rPr>
              <w:t>TSH (0,4–4 mUI/L), T4L, iodurie 24 h</w:t>
            </w:r>
          </w:p>
        </w:tc>
      </w:tr>
      <w:tr>
        <w:tc>
          <w:tcPr>
            <w:tcW w:type="dxa" w:w="1336"/>
          </w:tcPr>
          <w:p>
            <w:r>
              <w:rPr>
                <w:sz w:val="20"/>
              </w:rPr>
              <w:t>**Mécanisme d'action principal**</w:t>
            </w:r>
          </w:p>
        </w:tc>
        <w:tc>
          <w:tcPr>
            <w:tcW w:type="dxa" w:w="1336"/>
          </w:tcPr>
          <w:p>
            <w:r>
              <w:rPr>
                <w:sz w:val="20"/>
              </w:rPr>
              <w:t>Minéralisation osseuse, contraction musculaire, coagulation</w:t>
            </w:r>
          </w:p>
        </w:tc>
        <w:tc>
          <w:tcPr>
            <w:tcW w:type="dxa" w:w="1336"/>
          </w:tcPr>
          <w:p>
            <w:r>
              <w:rPr>
                <w:sz w:val="20"/>
              </w:rPr>
              <w:t>Cofacteur 300+ enzymes, neuromodulateur NMDA, vasodilatateur</w:t>
            </w:r>
          </w:p>
        </w:tc>
        <w:tc>
          <w:tcPr>
            <w:tcW w:type="dxa" w:w="1336"/>
          </w:tcPr>
          <w:p>
            <w:r>
              <w:rPr>
                <w:sz w:val="20"/>
              </w:rPr>
              <w:t>Composant Hb, myoglobine, cytochromes, transport O₂</w:t>
            </w:r>
          </w:p>
        </w:tc>
        <w:tc>
          <w:tcPr>
            <w:tcW w:type="dxa" w:w="1336"/>
          </w:tcPr>
          <w:p>
            <w:r>
              <w:rPr>
                <w:sz w:val="20"/>
              </w:rPr>
              <w:t>Potentiel membrane, conduction cardiaque</w:t>
            </w:r>
          </w:p>
        </w:tc>
        <w:tc>
          <w:tcPr>
            <w:tcW w:type="dxa" w:w="1336"/>
          </w:tcPr>
          <w:p>
            <w:r>
              <w:rPr>
                <w:sz w:val="20"/>
              </w:rPr>
              <w:t>Incorporation hydroxyapatite → fluoroapatite</w:t>
            </w:r>
          </w:p>
        </w:tc>
        <w:tc>
          <w:tcPr>
            <w:tcW w:type="dxa" w:w="1336"/>
          </w:tcPr>
          <w:p>
            <w:r>
              <w:rPr>
                <w:sz w:val="20"/>
              </w:rPr>
              <w:t>Composant T3/T4, métabolisme énergétique</w:t>
            </w:r>
          </w:p>
        </w:tc>
      </w:tr>
      <w:tr>
        <w:tc>
          <w:tcPr>
            <w:tcW w:type="dxa" w:w="1336"/>
          </w:tcPr>
          <w:p>
            <w:r>
              <w:rPr>
                <w:sz w:val="20"/>
              </w:rPr>
              <w:t>**Indications principales**</w:t>
            </w:r>
          </w:p>
        </w:tc>
        <w:tc>
          <w:tcPr>
            <w:tcW w:type="dxa" w:w="1336"/>
          </w:tcPr>
          <w:p>
            <w:r>
              <w:rPr>
                <w:sz w:val="20"/>
              </w:rPr>
              <w:t>Supplémentation, ostéoporose, hypocalcémie, hyperkaliémie (IV)</w:t>
            </w:r>
          </w:p>
        </w:tc>
        <w:tc>
          <w:tcPr>
            <w:tcW w:type="dxa" w:w="1336"/>
          </w:tcPr>
          <w:p>
            <w:r>
              <w:rPr>
                <w:sz w:val="20"/>
              </w:rPr>
              <w:t>Carence, crampes, tétanie, éclampsie (IV), torsade de pointes</w:t>
            </w:r>
          </w:p>
        </w:tc>
        <w:tc>
          <w:tcPr>
            <w:tcW w:type="dxa" w:w="1336"/>
          </w:tcPr>
          <w:p>
            <w:r>
              <w:rPr>
                <w:sz w:val="20"/>
              </w:rPr>
              <w:t>Anémie ferriprive, IRC dialysée (IV)</w:t>
            </w:r>
          </w:p>
        </w:tc>
        <w:tc>
          <w:tcPr>
            <w:tcW w:type="dxa" w:w="1336"/>
          </w:tcPr>
          <w:p>
            <w:r>
              <w:rPr>
                <w:sz w:val="20"/>
              </w:rPr>
              <w:t>Hypokaliémie, diurétiques</w:t>
            </w:r>
          </w:p>
        </w:tc>
        <w:tc>
          <w:tcPr>
            <w:tcW w:type="dxa" w:w="1336"/>
          </w:tcPr>
          <w:p>
            <w:r>
              <w:rPr>
                <w:sz w:val="20"/>
              </w:rPr>
              <w:t>Prévention carie dentaire (enfant)</w:t>
            </w:r>
          </w:p>
        </w:tc>
        <w:tc>
          <w:tcPr>
            <w:tcW w:type="dxa" w:w="1336"/>
          </w:tcPr>
          <w:p>
            <w:r>
              <w:rPr>
                <w:sz w:val="20"/>
              </w:rPr>
              <w:t>Pré-thyroidectomie, hyperthyroïdie, antiseptique</w:t>
            </w:r>
          </w:p>
        </w:tc>
      </w:tr>
      <w:tr>
        <w:tc>
          <w:tcPr>
            <w:tcW w:type="dxa" w:w="1336"/>
          </w:tcPr>
          <w:p>
            <w:r>
              <w:rPr>
                <w:sz w:val="20"/>
              </w:rPr>
              <w:t>**Effet indésirable majeur**</w:t>
            </w:r>
          </w:p>
        </w:tc>
        <w:tc>
          <w:tcPr>
            <w:tcW w:type="dxa" w:w="1336"/>
          </w:tcPr>
          <w:p>
            <w:r>
              <w:rPr>
                <w:sz w:val="20"/>
              </w:rPr>
              <w:t>Syndrome de Burnett, hypercalcémie</w:t>
            </w:r>
          </w:p>
        </w:tc>
        <w:tc>
          <w:tcPr>
            <w:tcW w:type="dxa" w:w="1336"/>
          </w:tcPr>
          <w:p>
            <w:r>
              <w:rPr>
                <w:sz w:val="20"/>
              </w:rPr>
              <w:t>Hypermagnésémie (IRC), dépression neuromusculaire</w:t>
            </w:r>
          </w:p>
        </w:tc>
        <w:tc>
          <w:tcPr>
            <w:tcW w:type="dxa" w:w="1336"/>
          </w:tcPr>
          <w:p>
            <w:r>
              <w:rPr>
                <w:sz w:val="20"/>
              </w:rPr>
              <w:t>Surdosage martial mortel enfant</w:t>
            </w:r>
          </w:p>
        </w:tc>
        <w:tc>
          <w:tcPr>
            <w:tcW w:type="dxa" w:w="1336"/>
          </w:tcPr>
          <w:p>
            <w:r>
              <w:rPr>
                <w:sz w:val="20"/>
              </w:rPr>
              <w:t>Hyperkaliémie létale IV</w:t>
            </w:r>
          </w:p>
        </w:tc>
        <w:tc>
          <w:tcPr>
            <w:tcW w:type="dxa" w:w="1336"/>
          </w:tcPr>
          <w:p>
            <w:r>
              <w:rPr>
                <w:sz w:val="20"/>
              </w:rPr>
              <w:t>Fluorose dentaire/osseuse</w:t>
            </w:r>
          </w:p>
        </w:tc>
        <w:tc>
          <w:tcPr>
            <w:tcW w:type="dxa" w:w="1336"/>
          </w:tcPr>
          <w:p>
            <w:r>
              <w:rPr>
                <w:sz w:val="20"/>
              </w:rPr>
              <w:t>Jod-Basedow, Wolff-Chaikoff</w:t>
            </w:r>
          </w:p>
        </w:tc>
      </w:tr>
      <w:tr>
        <w:tc>
          <w:tcPr>
            <w:tcW w:type="dxa" w:w="1336"/>
          </w:tcPr>
          <w:p>
            <w:r>
              <w:rPr>
                <w:sz w:val="20"/>
              </w:rPr>
              <w:t>**Antidote en surdosage**</w:t>
            </w:r>
          </w:p>
        </w:tc>
        <w:tc>
          <w:tcPr>
            <w:tcW w:type="dxa" w:w="1336"/>
          </w:tcPr>
          <w:p>
            <w:r>
              <w:rPr>
                <w:sz w:val="20"/>
              </w:rPr>
              <w:t>— (hydratation, diurétiques de l'anse)</w:t>
            </w:r>
          </w:p>
        </w:tc>
        <w:tc>
          <w:tcPr>
            <w:tcW w:type="dxa" w:w="1336"/>
          </w:tcPr>
          <w:p>
            <w:r>
              <w:rPr>
                <w:sz w:val="20"/>
              </w:rPr>
              <w:t>Gluconate de calcium IV</w:t>
            </w:r>
          </w:p>
        </w:tc>
        <w:tc>
          <w:tcPr>
            <w:tcW w:type="dxa" w:w="1336"/>
          </w:tcPr>
          <w:p>
            <w:r>
              <w:rPr>
                <w:sz w:val="20"/>
              </w:rPr>
              <w:t>Déféroxamine IV</w:t>
            </w:r>
          </w:p>
        </w:tc>
        <w:tc>
          <w:tcPr>
            <w:tcW w:type="dxa" w:w="1336"/>
          </w:tcPr>
          <w:p>
            <w:r>
              <w:rPr>
                <w:sz w:val="20"/>
              </w:rPr>
              <w:t>Gluconate de calcium IV + insulinoglucose + dialyse</w:t>
            </w:r>
          </w:p>
        </w:tc>
        <w:tc>
          <w:tcPr>
            <w:tcW w:type="dxa" w:w="1336"/>
          </w:tcPr>
          <w:p>
            <w:r>
              <w:rPr>
                <w:sz w:val="20"/>
              </w:rPr>
              <w:t>Gluconate de calcium IV + chlorure de calcium gastrique</w:t>
            </w:r>
          </w:p>
        </w:tc>
        <w:tc>
          <w:tcPr>
            <w:tcW w:type="dxa" w:w="1336"/>
          </w:tcPr>
          <w:p>
            <w:r>
              <w:rPr>
                <w:sz w:val="20"/>
              </w:rPr>
              <w:t>— (thiouracil, corticoïdes)</w:t>
            </w:r>
          </w:p>
        </w:tc>
      </w:tr>
      <w:tr>
        <w:tc>
          <w:tcPr>
            <w:tcW w:type="dxa" w:w="1336"/>
          </w:tcPr>
          <w:p>
            <w:r>
              <w:rPr>
                <w:sz w:val="20"/>
              </w:rPr>
              <w:t>**Surveillance IV**</w:t>
            </w:r>
          </w:p>
        </w:tc>
        <w:tc>
          <w:tcPr>
            <w:tcW w:type="dxa" w:w="1336"/>
          </w:tcPr>
          <w:p>
            <w:r>
              <w:rPr>
                <w:sz w:val="20"/>
              </w:rPr>
              <w:t>ECG continu, calcémie</w:t>
            </w:r>
          </w:p>
        </w:tc>
        <w:tc>
          <w:tcPr>
            <w:tcW w:type="dxa" w:w="1336"/>
          </w:tcPr>
          <w:p>
            <w:r>
              <w:rPr>
                <w:sz w:val="20"/>
              </w:rPr>
              <w:t>ROT, FR, TA, magnésémie</w:t>
            </w:r>
          </w:p>
        </w:tc>
        <w:tc>
          <w:tcPr>
            <w:tcW w:type="dxa" w:w="1336"/>
          </w:tcPr>
          <w:p>
            <w:r>
              <w:rPr>
                <w:sz w:val="20"/>
              </w:rPr>
              <w:t>TA, signes allergie</w:t>
            </w:r>
          </w:p>
        </w:tc>
        <w:tc>
          <w:tcPr>
            <w:tcW w:type="dxa" w:w="1336"/>
          </w:tcPr>
          <w:p>
            <w:r>
              <w:rPr>
                <w:sz w:val="20"/>
              </w:rPr>
              <w:t>ECG continu, kaliémie</w:t>
            </w:r>
          </w:p>
        </w:tc>
        <w:tc>
          <w:tcPr>
            <w:tcW w:type="dxa" w:w="1336"/>
          </w:tcPr>
          <w:p>
            <w:r>
              <w:rPr>
                <w:sz w:val="20"/>
              </w:rPr>
              <w:t>—</w:t>
            </w:r>
          </w:p>
        </w:tc>
        <w:tc>
          <w:tcPr>
            <w:tcW w:type="dxa" w:w="1336"/>
          </w:tcPr>
          <w:p>
            <w:r>
              <w:rPr>
                <w:sz w:val="20"/>
              </w:rPr>
              <w:t>TSH, T4L</w:t>
            </w:r>
          </w:p>
        </w:tc>
      </w:tr>
      <w:tr>
        <w:tc>
          <w:tcPr>
            <w:tcW w:type="dxa" w:w="1336"/>
          </w:tcPr>
          <w:p>
            <w:r>
              <w:rPr>
                <w:sz w:val="20"/>
              </w:rPr>
              <w:t>**Grossesse (CRAT)**</w:t>
            </w:r>
          </w:p>
        </w:tc>
        <w:tc>
          <w:tcPr>
            <w:tcW w:type="dxa" w:w="1336"/>
          </w:tcPr>
          <w:p>
            <w:r>
              <w:rPr>
                <w:sz w:val="20"/>
              </w:rPr>
              <w:t>Utilisable tous trimestres, 1 000–1 200 mg/j</w:t>
            </w:r>
          </w:p>
        </w:tc>
        <w:tc>
          <w:tcPr>
            <w:tcW w:type="dxa" w:w="1336"/>
          </w:tcPr>
          <w:p>
            <w:r>
              <w:rPr>
                <w:sz w:val="20"/>
              </w:rPr>
              <w:t>Utilisable tous trimestres, 400 mg/j</w:t>
            </w:r>
          </w:p>
        </w:tc>
        <w:tc>
          <w:tcPr>
            <w:tcW w:type="dxa" w:w="1336"/>
          </w:tcPr>
          <w:p>
            <w:r>
              <w:rPr>
                <w:sz w:val="20"/>
              </w:rPr>
              <w:t>Utilisable tous trimestres, polymaltose préféré</w:t>
            </w:r>
          </w:p>
        </w:tc>
        <w:tc>
          <w:tcPr>
            <w:tcW w:type="dxa" w:w="1336"/>
          </w:tcPr>
          <w:p>
            <w:r>
              <w:rPr>
                <w:sz w:val="20"/>
              </w:rPr>
              <w:t>Utilisable si hypokaliémie documentée</w:t>
            </w:r>
          </w:p>
        </w:tc>
        <w:tc>
          <w:tcPr>
            <w:tcW w:type="dxa" w:w="1336"/>
          </w:tcPr>
          <w:p>
            <w:r>
              <w:rPr>
                <w:sz w:val="20"/>
              </w:rPr>
              <w:t>Utilisable mais inutile (pas de bénéfice fœtal)</w:t>
            </w:r>
          </w:p>
        </w:tc>
        <w:tc>
          <w:tcPr>
            <w:tcW w:type="dxa" w:w="1336"/>
          </w:tcPr>
          <w:p>
            <w:r>
              <w:rPr>
                <w:sz w:val="20"/>
              </w:rPr>
              <w:t>Indispensable 220 μg/j, sel iodé + multivitamines prénatales</w:t>
            </w:r>
          </w:p>
        </w:tc>
      </w:tr>
      <w:tr>
        <w:tc>
          <w:tcPr>
            <w:tcW w:type="dxa" w:w="1336"/>
          </w:tcPr>
          <w:p>
            <w:r>
              <w:rPr>
                <w:sz w:val="20"/>
              </w:rPr>
              <w:t>**Allaitement**</w:t>
            </w:r>
          </w:p>
        </w:tc>
        <w:tc>
          <w:tcPr>
            <w:tcW w:type="dxa" w:w="1336"/>
          </w:tcPr>
          <w:p>
            <w:r>
              <w:rPr>
                <w:sz w:val="20"/>
              </w:rPr>
              <w:t>Compatible</w:t>
            </w:r>
          </w:p>
        </w:tc>
        <w:tc>
          <w:tcPr>
            <w:tcW w:type="dxa" w:w="1336"/>
          </w:tcPr>
          <w:p>
            <w:r>
              <w:rPr>
                <w:sz w:val="20"/>
              </w:rPr>
              <w:t>Compatible (30–50 mg/j)</w:t>
            </w:r>
          </w:p>
        </w:tc>
        <w:tc>
          <w:tcPr>
            <w:tcW w:type="dxa" w:w="1336"/>
          </w:tcPr>
          <w:p>
            <w:r>
              <w:rPr>
                <w:sz w:val="20"/>
              </w:rPr>
              <w:t>Compatible (0,3–1 mg/j)</w:t>
            </w:r>
          </w:p>
        </w:tc>
        <w:tc>
          <w:tcPr>
            <w:tcW w:type="dxa" w:w="1336"/>
          </w:tcPr>
          <w:p>
            <w:r>
              <w:rPr>
                <w:sz w:val="20"/>
              </w:rPr>
              <w:t>Compatible (13–15 mmol/L)</w:t>
            </w:r>
          </w:p>
        </w:tc>
        <w:tc>
          <w:tcPr>
            <w:tcW w:type="dxa" w:w="1336"/>
          </w:tcPr>
          <w:p>
            <w:r>
              <w:rPr>
                <w:sz w:val="20"/>
              </w:rPr>
              <w:t>Compatible (5–10 μg/L)</w:t>
            </w:r>
          </w:p>
        </w:tc>
        <w:tc>
          <w:tcPr>
            <w:tcW w:type="dxa" w:w="1336"/>
          </w:tcPr>
          <w:p>
            <w:r>
              <w:rPr>
                <w:sz w:val="20"/>
              </w:rPr>
              <w:t>Indispensable 290 μg/j</w:t>
            </w:r>
          </w:p>
        </w:tc>
      </w:tr>
      <w:tr>
        <w:tc>
          <w:tcPr>
            <w:tcW w:type="dxa" w:w="1336"/>
          </w:tcPr>
          <w:p>
            <w:r>
              <w:rPr>
                <w:sz w:val="20"/>
              </w:rPr>
              <w:t>**Liste I (Algérie)**</w:t>
            </w:r>
          </w:p>
        </w:tc>
        <w:tc>
          <w:tcPr>
            <w:tcW w:type="dxa" w:w="1336"/>
          </w:tcPr>
          <w:p>
            <w:r>
              <w:rPr>
                <w:sz w:val="20"/>
              </w:rPr>
              <w:t>Chlorure IV, héparinate</w:t>
            </w:r>
          </w:p>
        </w:tc>
        <w:tc>
          <w:tcPr>
            <w:tcW w:type="dxa" w:w="1336"/>
          </w:tcPr>
          <w:p>
            <w:r>
              <w:rPr>
                <w:sz w:val="20"/>
              </w:rPr>
              <w:t>Sulfate IV (si actif)</w:t>
            </w:r>
          </w:p>
        </w:tc>
        <w:tc>
          <w:tcPr>
            <w:tcW w:type="dxa" w:w="1336"/>
          </w:tcPr>
          <w:p>
            <w:r>
              <w:rPr>
                <w:sz w:val="20"/>
              </w:rPr>
              <w:t>Carboxymaltose IV, saccharose IV</w:t>
            </w:r>
          </w:p>
        </w:tc>
        <w:tc>
          <w:tcPr>
            <w:tcW w:type="dxa" w:w="1336"/>
          </w:tcPr>
          <w:p>
            <w:r>
              <w:rPr>
                <w:sz w:val="20"/>
              </w:rPr>
              <w:t>Chlorure IV à diluer</w:t>
            </w:r>
          </w:p>
        </w:tc>
        <w:tc>
          <w:tcPr>
            <w:tcW w:type="dxa" w:w="1336"/>
          </w:tcPr>
          <w:p>
            <w:r>
              <w:rPr>
                <w:sz w:val="20"/>
              </w:rPr>
              <w:t>—</w:t>
            </w:r>
          </w:p>
        </w:tc>
        <w:tc>
          <w:tcPr>
            <w:tcW w:type="dxa" w:w="1336"/>
          </w:tcPr>
          <w:p>
            <w:r>
              <w:rPr>
                <w:sz w:val="20"/>
              </w:rPr>
              <w:t>—</w:t>
            </w:r>
          </w:p>
        </w:tc>
      </w:tr>
      <w:tr>
        <w:tc>
          <w:tcPr>
            <w:tcW w:type="dxa" w:w="1336"/>
          </w:tcPr>
          <w:p>
            <w:r>
              <w:rPr>
                <w:sz w:val="20"/>
              </w:rPr>
              <w:t>**Spécialités algériennes actives**</w:t>
            </w:r>
          </w:p>
        </w:tc>
        <w:tc>
          <w:tcPr>
            <w:tcW w:type="dxa" w:w="1336"/>
          </w:tcPr>
          <w:p>
            <w:r>
              <w:rPr>
                <w:sz w:val="20"/>
              </w:rPr>
              <w:t>20 (Rennie, Tardyferon, Calcibronat, etc.)</w:t>
            </w:r>
          </w:p>
        </w:tc>
        <w:tc>
          <w:tcPr>
            <w:tcW w:type="dxa" w:w="1336"/>
          </w:tcPr>
          <w:p>
            <w:r>
              <w:rPr>
                <w:sz w:val="20"/>
              </w:rPr>
              <w:t>12 (PYROMAG, MEGAMAG, MAGNO SANOL, etc.)</w:t>
            </w:r>
          </w:p>
        </w:tc>
        <w:tc>
          <w:tcPr>
            <w:tcW w:type="dxa" w:w="1336"/>
          </w:tcPr>
          <w:p>
            <w:r>
              <w:rPr>
                <w:sz w:val="20"/>
              </w:rPr>
              <w:t>25 (Tardyferon, Cosmofer, Ferinject, Venofer, etc.)</w:t>
            </w:r>
          </w:p>
        </w:tc>
        <w:tc>
          <w:tcPr>
            <w:tcW w:type="dxa" w:w="1336"/>
          </w:tcPr>
          <w:p>
            <w:r>
              <w:rPr>
                <w:sz w:val="20"/>
              </w:rPr>
              <w:t>5 (Aguettant, Kalipack, Kaligon, K-Plus, Glupotas)</w:t>
            </w:r>
          </w:p>
        </w:tc>
        <w:tc>
          <w:tcPr>
            <w:tcW w:type="dxa" w:w="1336"/>
          </w:tcPr>
          <w:p>
            <w:r>
              <w:rPr>
                <w:sz w:val="20"/>
              </w:rPr>
              <w:t>0 (FLURIDENT non renouvelable)</w:t>
            </w:r>
          </w:p>
        </w:tc>
        <w:tc>
          <w:tcPr>
            <w:tcW w:type="dxa" w:w="1336"/>
          </w:tcPr>
          <w:p>
            <w:r>
              <w:rPr>
                <w:sz w:val="20"/>
              </w:rPr>
              <w:t>1 (Alcool Iodé 1% RPP, antiseptique)</w:t>
            </w:r>
          </w:p>
        </w:tc>
      </w:tr>
      <w:tr>
        <w:tc>
          <w:tcPr>
            <w:tcW w:type="dxa" w:w="1336"/>
          </w:tcPr>
          <w:p>
            <w:r>
              <w:rPr>
                <w:sz w:val="20"/>
              </w:rPr>
              <w:t>**Sources principales**</w:t>
            </w:r>
          </w:p>
        </w:tc>
        <w:tc>
          <w:tcPr>
            <w:tcW w:type="dxa" w:w="1336"/>
          </w:tcPr>
          <w:p>
            <w:r>
              <w:rPr>
                <w:sz w:val="20"/>
              </w:rPr>
              <w:t>VIDAL, ANSM, KDIGO, CRAT</w:t>
            </w:r>
          </w:p>
        </w:tc>
        <w:tc>
          <w:tcPr>
            <w:tcW w:type="dxa" w:w="1336"/>
          </w:tcPr>
          <w:p>
            <w:r>
              <w:rPr>
                <w:sz w:val="20"/>
              </w:rPr>
              <w:t>VIDAL, ANSM, OMS, CRAT</w:t>
            </w:r>
          </w:p>
        </w:tc>
        <w:tc>
          <w:tcPr>
            <w:tcW w:type="dxa" w:w="1336"/>
          </w:tcPr>
          <w:p>
            <w:r>
              <w:rPr>
                <w:sz w:val="20"/>
              </w:rPr>
              <w:t>VIDAL, ANSM, ESPGHAN, CRAT</w:t>
            </w:r>
          </w:p>
        </w:tc>
        <w:tc>
          <w:tcPr>
            <w:tcW w:type="dxa" w:w="1336"/>
          </w:tcPr>
          <w:p>
            <w:r>
              <w:rPr>
                <w:sz w:val="20"/>
              </w:rPr>
              <w:t>VIDAL, ANSM, KDIGO, CRAT</w:t>
            </w:r>
          </w:p>
        </w:tc>
        <w:tc>
          <w:tcPr>
            <w:tcW w:type="dxa" w:w="1336"/>
          </w:tcPr>
          <w:p>
            <w:r>
              <w:rPr>
                <w:sz w:val="20"/>
              </w:rPr>
              <w:t>VIDAL, ANSM, OMS</w:t>
            </w:r>
          </w:p>
        </w:tc>
        <w:tc>
          <w:tcPr>
            <w:tcW w:type="dxa" w:w="1336"/>
          </w:tcPr>
          <w:p>
            <w:r>
              <w:rPr>
                <w:sz w:val="20"/>
              </w:rPr>
              <w:t>VIDAL, ANSM, OMS, CRAT</w:t>
            </w:r>
          </w:p>
        </w:tc>
      </w:tr>
    </w:tbl>
    <w:p/>
    <w:p>
      <w:pPr>
        <w:pStyle w:val="Heading2"/>
      </w:pPr>
      <w:r>
        <w:t>163.8 Synthèse pédagogique et arbitrage thérapeutique</w:t>
      </w:r>
    </w:p>
    <w:p>
      <w:r>
        <w:t xml:space="preserve">L'analyse comparative des six minéraux thérapeutiques traités dans ce chapitre met en évidence plusieurs messages cliniques transversaux. </w:t>
      </w:r>
      <w:r>
        <w:rPr>
          <w:b/>
        </w:rPr>
        <w:t>Premièrement, la frontière entre carence, eutexie et toxicité est étroite</w:t>
      </w:r>
      <w:r>
        <w:t xml:space="preserve"> : pour chaque minéral, il existe un seuil toxique aigu et chronique (syndrome de Burnett pour le calcium, hypermagnésémie pour le magnésium, surdosage martial pour le fer, hyperkaliémie létale pour le potassium, fluorose pour le fluor, Jod-Basedow pour l'iode), imposant une prescription rationnelle et une surveillance biologique adaptée. </w:t>
      </w:r>
      <w:r>
        <w:rPr>
          <w:b/>
        </w:rPr>
        <w:t>Deuxièmement, la voie d'administration conditionne le risque toxique</w:t>
      </w:r>
      <w:r>
        <w:t xml:space="preserve"> : les formes IV (calcium, magnésium, potassium, fer) sont à maniement hospitalier strict, sous monitoring ECG et biologique, en raison du risque d'effet immédiat (hyperkaliémie foudroyante, hypermagnésémie aiguë, hypotension, anaphylaxie). Les formes orales sont plus sûres mais exposent aux effets digestifs et aux interactions d'absorption. </w:t>
      </w:r>
      <w:r>
        <w:rPr>
          <w:b/>
        </w:rPr>
        <w:t>Troisièmement, les populations fragiles nécessitent une attention particulière</w:t>
      </w:r>
      <w:r>
        <w:t xml:space="preserve"> : la femme enceinte et allaitante (besoins accrus pour calcium, magnésium, fer, iode), le sujet âgé (risque de surcharge en calcium et magnésium, hypokaliémie sous diurétiques), l'enfant (surdosage martial mortel, fluorose dentaire, hypothyroïdie iatrogène par antiseptiques iodés), l'insuffisant rénal chronique (risque d'hypermagnésémie, d'hyperkaliémie, de surcharge martiale, de calcifications vasculaires).</w:t>
      </w:r>
    </w:p>
    <w:p>
      <w:r/>
      <w:r>
        <w:rPr>
          <w:b/>
        </w:rPr>
        <w:t>Quatrièmement, le marché algérien présente des spécificités à connaître</w:t>
      </w:r>
      <w:r>
        <w:t xml:space="preserve"> : disponibilité large des formes orales de calcium, magnésium et fer ; disponibilité hospitalière des formes IV de calcium (chlorure, gluconate non actifs mais importables), de magnésium (sulfate IV non actif), de potassium (chlorure IV actif), de fer (saccharose, carboxymaltose actifs) ; disponibilité limitée du fluor (FLURIDENT en statut non renouvelable, DENFLUOR retiré) ; absence de spécialité active d'iodure de potassium oral ou de solution de Lugol, imposant le recours aux préparations hospitalières ou à l'importation. Le pharmacien d'officine doit connaître ces spécificités pour orienter le patient vers les alternatives disponibles (dentifrices fluorés, sel iodé, multivitamines prénatales) ou vers les circuits hospitaliers appropriés. </w:t>
      </w:r>
      <w:r>
        <w:rPr>
          <w:b/>
        </w:rPr>
        <w:t>Cinquièmement, les interactions médicamenteuses sont nombreuses et parfois graves</w:t>
      </w:r>
      <w:r>
        <w:t xml:space="preserve"> : chélation intestinale par les cations divalents (calcium, magnésium, fer, fluor) avec les quinolones, tétracyclines, lévothyroxine, bisphosphonates ; potentialisation de l'effet toxique digitalique par le calcium IV et l'hypokaliémie ; majoration de l'hyperkaliémie par les IEC, ARAII, diurétiques épargneurs de potassium, AINS ; bloc neuromusculaire par les aminosides et magnésium IV ; dysthyroïdie par amiodarone, lithium, iode.</w:t>
      </w:r>
    </w:p>
    <w:p>
      <w:r/>
      <w:r>
        <w:rPr>
          <w:b/>
        </w:rPr>
        <w:t>Sixièmement, l'éducation du patient est un déterminant majeur de l'efficacité thérapeutique</w:t>
      </w:r>
      <w:r>
        <w:t xml:space="preserve"> : modalités de prise (au repas, à distance des autres médicaments), surveillance biologique (kaliémie, calcémie, magnésémie, ferritine, TSH), signes d'alerte à connaître (polyurie-polydipsie sous calcium, faiblesse musculaire sous magnésium, selles noires sous fer, palpitations sous potassium, taches dentaires sous fluor, palpitations sous iode), prévention des surdosages accidentels pédiatriques (surtout fer), hygiène de vie (hydratation, alimentation équilibrée, exercice physique en charge pour le calcium). Le pharmacien d'officine joue un rôle central dans cette éducation, en particulier pour le repérage des automédications dangereuses (chlorure de magnésium artisanal, algues riches en iode, fer sans dosage préalable, substitution de spécialité sans équivalence). Une consultation pharmaceutique structurée permet d'optimiser l'observance, de prévenir les interactions et de dépister précocement les effets indésirables.</w:t>
      </w:r>
    </w:p>
    <w:p>
      <w:r/>
      <w:r>
        <w:rPr>
          <w:b/>
        </w:rPr>
        <w:t>Septièmement, les sources bibliographiques mobilisées pour ce chapitre</w:t>
      </w:r>
      <w:r>
        <w:t xml:space="preserve"> incluent : le VIDAL 2024, les Résumés des Caractéristiques du Produit (RCP) validés par l'ANSM (Agence Nationale de Sécurité du Médicament et des produits de santé), la base Thériaque de la CNHIM (Centre National Hospitalier d'Information sur le Médicament), le CRAT (Centre de Renseignements sur les Agents Tératogènes, Hôpital Armand-Trousseau, Paris), les recommandations de la HAS (Haute Autorité de Santé), de l'OMS (Organisation mondiale de la Santé), de la KDIGO (Kidney Disease: Improving Global Outcomes) pour le potassium et le fer en néphrologie, de l'ESPGHAN (European Society for Paediatric Gastroenterology Hepatology and Nutrition) pour le fer pédiatrique, d'UpToDate (statut 2025), et la nomenclature algérienne des médicaments « COMPLETE LISTE » d'avril 2026. Les lecteurs souhaitant approfondir un point spécifique se reporteront aux fiches RCP disponibles sur les sites de l'ANSM, de l'EMA (European Medicines Agency) et de la société algérienne de pharmacologie clinique.</w:t>
      </w:r>
    </w:p>
    <w:p>
      <w:r/>
      <w:r>
        <w:rPr>
          <w:i/>
        </w:rPr>
        <w:t>Fin du Chapitre 163 — Minéraux : Calcium, Magnésium, Fer, Potassium, Fluor, Iode.</w:t>
      </w:r>
      <w:r/>
    </w:p>
    <w:p>
      <w:pPr>
        <w:pStyle w:val="Heading1"/>
      </w:pPr>
      <w:r>
        <w:t>Fascicule XVII — Vitamines et Minéraux</w:t>
      </w:r>
    </w:p>
    <w:p>
      <w:pPr>
        <w:pStyle w:val="Heading2"/>
      </w:pPr>
      <w:r>
        <w:t>Chapitre 164 — Oligoéléments, Carnitine et Multivitamines (Chapitre final)</w:t>
      </w:r>
    </w:p>
    <w:p>
      <w:pPr>
        <w:pStyle w:val="Heading2"/>
      </w:pPr>
      <w:r>
        <w:t>Sommaire du chapitre</w:t>
      </w:r>
    </w:p>
    <w:p>
      <w:pPr>
        <w:pStyle w:val="ListBullet"/>
      </w:pPr>
      <w:r>
        <w:t>164.1. Introduction générale — Oligoéléments, carnitine et multivitamines dans la pratique clinique algérienne</w:t>
      </w:r>
    </w:p>
    <w:p>
      <w:pPr>
        <w:pStyle w:val="ListBullet"/>
      </w:pPr>
      <w:r>
        <w:t>164.2. Sous-classe : Oligoéléments (Zinc, Sélénium, Cuivre, Manganèse, Chrome)</w:t>
      </w:r>
    </w:p>
    <w:p>
      <w:pPr>
        <w:pStyle w:val="ListBullet"/>
      </w:pPr>
      <w:r>
        <w:t>164.3. Sous-classe : Suppléments — Carnitine (Lévocarnitine)</w:t>
      </w:r>
    </w:p>
    <w:p>
      <w:pPr>
        <w:pStyle w:val="ListBullet"/>
      </w:pPr>
      <w:r>
        <w:t>164.4. Note sur l'absence de multivitamines enregistrées comme DCI unique en Algérie</w:t>
      </w:r>
    </w:p>
    <w:p>
      <w:pPr>
        <w:pStyle w:val="ListBullet"/>
      </w:pPr>
      <w:r>
        <w:t>164.5. Fiches DCI (2)</w:t>
      </w:r>
    </w:p>
    <w:p>
      <w:pPr>
        <w:pStyle w:val="ListBullet"/>
      </w:pPr>
      <w:r>
        <w:t>164.5.1. Oligoéléments : Zinc, Sélénium, Cuivre, Manganèse, Chrome (groupe)</w:t>
      </w:r>
    </w:p>
    <w:p>
      <w:pPr>
        <w:pStyle w:val="ListBullet"/>
      </w:pPr>
      <w:r>
        <w:t>164.5.2. Lévocarnitine (L-carnitine)</w:t>
      </w:r>
    </w:p>
    <w:p>
      <w:pPr>
        <w:pStyle w:val="ListBullet"/>
      </w:pPr>
      <w:r>
        <w:t>164.6. Tableau comparatif des oligoéléments et de la lévocarnitine disponibles en Algérie</w:t>
      </w:r>
    </w:p>
    <w:p>
      <w:pPr>
        <w:pStyle w:val="ListBullet"/>
      </w:pPr>
      <w:r>
        <w:t>164.7. Synthèse pédagogique pour la pratique officinale et clinique algérienne</w:t>
      </w:r>
    </w:p>
    <w:p>
      <w:pPr>
        <w:pStyle w:val="ListBullet"/>
      </w:pPr>
      <w:r>
        <w:t>164.8. Conclusion générale du Fascicule XVII — Vitamines et Minéraux</w:t>
      </w:r>
    </w:p>
    <w:p>
      <w:pPr>
        <w:pStyle w:val="Heading2"/>
      </w:pPr>
      <w:r>
        <w:t>164.1. Introduction générale — Oligoéléments, carnitine et multivitamines dans la pratique clinique algérienne</w:t>
      </w:r>
    </w:p>
    <w:p>
      <w:pPr>
        <w:pStyle w:val="Heading3"/>
      </w:pPr>
      <w:r>
        <w:t>Place du chapitre 164 dans le Fascicule XVII</w:t>
      </w:r>
    </w:p>
    <w:p>
      <w:r>
        <w:t xml:space="preserve">Le chapitre 164 clôt le Fascicule XVII consacré à la pharmacologie des vitamines et des minéraux. Après les chapitres dédiés aux vitamines liposolubles (chapitre 161), aux vitamines hydrosolubles (chapitre 162) et aux minéraux majeurs (chapitre 163), ce chapitre final aborde un ensemble hétérogène de substances nutritionnelles et métaboliques qui ne rentrent pas strictement dans les catégories précédentes : les </w:t>
      </w:r>
      <w:r>
        <w:rPr>
          <w:b/>
        </w:rPr>
        <w:t>oligoéléments</w:t>
      </w:r>
      <w:r>
        <w:t xml:space="preserve"> (zinc, sélénium, cuivre, manganèse, chrome), la </w:t>
      </w:r>
      <w:r>
        <w:rPr>
          <w:b/>
        </w:rPr>
        <w:t>lévocarnitine</w:t>
      </w:r>
      <w:r>
        <w:t xml:space="preserve"> (complément métabolique du transport mitochondrial des acides gras) et, à titre de cadrage réglementaire, les </w:t>
      </w:r>
      <w:r>
        <w:rPr>
          <w:b/>
        </w:rPr>
        <w:t>multivitamines</w:t>
      </w:r>
      <w:r>
        <w:t xml:space="preserve"> qui, en Algérie, ne font pas l'objet d'une DCI unique enregistrée. Ce chapitre est en effet marqué par une particularité nomenclaturale : contrairement à la plupart des classes médicamenteuses traitées jusqu'à présent, les oligoéléments et la carnitine appartiennent à un espace frontière entre médicament, complément alimentaire et nutrition parentérale, ce qui explique la diversité des dénominations (« OLIGOELEMENTS », « COMPLEXE VITAMINIQUE + OLIGOELEMENTS », « GLUCONATE DE MANGANESE/GLUCONATE DE CUIVRE/GLUCONATE FERREUX ») observée dans la nomenclature algérienne.</w:t>
      </w:r>
    </w:p>
    <w:p>
      <w:pPr>
        <w:pStyle w:val="Heading3"/>
      </w:pPr>
      <w:r>
        <w:t>Définition des oligoéléments</w:t>
      </w:r>
    </w:p>
    <w:p>
      <w:r>
        <w:t xml:space="preserve">Les </w:t>
      </w:r>
      <w:r>
        <w:rPr>
          <w:b/>
        </w:rPr>
        <w:t>oligoéléments</w:t>
      </w:r>
      <w:r>
        <w:t xml:space="preserve"> (du grec </w:t>
      </w:r>
      <w:r>
        <w:rPr>
          <w:i/>
        </w:rPr>
        <w:t>oligos</w:t>
      </w:r>
      <w:r>
        <w:t xml:space="preserve"> = peu, </w:t>
      </w:r>
      <w:r>
        <w:rPr>
          <w:i/>
        </w:rPr>
        <w:t>élément</w:t>
      </w:r>
      <w:r>
        <w:t xml:space="preserve"> = corps simple) sont des éléments minéraux présents en très faible quantité dans l'organisme — totalisant moins de 5 grammes pour l'ensemble du pool corporel — mais dont le rôle biologique est absolument indispensable à la vie. On les désigne également sous le terme de </w:t>
      </w:r>
      <w:r>
        <w:rPr>
          <w:b/>
        </w:rPr>
        <w:t>micro-éléments</w:t>
      </w:r>
      <w:r>
        <w:t xml:space="preserve"> ou </w:t>
      </w:r>
      <w:r>
        <w:rPr>
          <w:b/>
        </w:rPr>
        <w:t>éléments traces</w:t>
      </w:r>
      <w:r>
        <w:t xml:space="preserve"> (en anglais, </w:t>
      </w:r>
      <w:r>
        <w:rPr>
          <w:i/>
        </w:rPr>
        <w:t>trace elements</w:t>
      </w:r>
      <w:r>
        <w:t>). Cinq oligoéléments sont traditionnellement retenus comme essentiels à l'homme et font l'objet de ce chapitre :</w:t>
      </w:r>
    </w:p>
    <w:p>
      <w:pPr>
        <w:pStyle w:val="ListNumber"/>
      </w:pPr>
      <w:r/>
      <w:r>
        <w:rPr>
          <w:b/>
        </w:rPr>
        <w:t>Zinc (Zn)</w:t>
      </w:r>
      <w:r>
        <w:t xml:space="preserve"> — environ 2 à 3 grammes dans l'organisme adulte, cofacteur de plus de 300 métalloenzymes.</w:t>
      </w:r>
    </w:p>
    <w:p>
      <w:pPr>
        <w:pStyle w:val="ListNumber"/>
      </w:pPr>
      <w:r/>
      <w:r>
        <w:rPr>
          <w:b/>
        </w:rPr>
        <w:t>Sélénium (Se)</w:t>
      </w:r>
      <w:r>
        <w:t xml:space="preserve"> — environ 13 à 20 milligrammes, composant essentiel des sélénoprotéines, dont la glutathion peroxydase (GPx).</w:t>
      </w:r>
    </w:p>
    <w:p>
      <w:pPr>
        <w:pStyle w:val="ListNumber"/>
      </w:pPr>
      <w:r/>
      <w:r>
        <w:rPr>
          <w:b/>
        </w:rPr>
        <w:t>Cuivre (Cu)</w:t>
      </w:r>
      <w:r>
        <w:t xml:space="preserve"> — environ 100 à 150 milligrammes, cofacteur de la cytochrome C oxydase, de la céruloplasmine et de la lysyl oxydase.</w:t>
      </w:r>
    </w:p>
    <w:p>
      <w:pPr>
        <w:pStyle w:val="ListNumber"/>
      </w:pPr>
      <w:r/>
      <w:r>
        <w:rPr>
          <w:b/>
        </w:rPr>
        <w:t>Manganèse (Mn)</w:t>
      </w:r>
      <w:r>
        <w:t xml:space="preserve"> — environ 12 à 16 milligrammes, composant de la superoxide dismutase mitochondriale (MnSOD) et de glycosyltransférases.</w:t>
      </w:r>
    </w:p>
    <w:p>
      <w:pPr>
        <w:pStyle w:val="ListNumber"/>
      </w:pPr>
      <w:r/>
      <w:r>
        <w:rPr>
          <w:b/>
        </w:rPr>
        <w:t>Chrome (Cr)</w:t>
      </w:r>
      <w:r>
        <w:t xml:space="preserve"> — moins de 6 milligrammes, composant présumé du Glucose Tolerance Factor (GTF).</w:t>
      </w:r>
    </w:p>
    <w:p>
      <w:r>
        <w:t>D'autres oligoéléments existent (iode, fer, fluor, molybdène, cobalt), mais sont traités dans le chapitre 163 (Minéraux) ou ne sont pas individualisés dans la nomenclature algérienne en tant que DCI « oligoélément » autonome. Le fer, bien que parfois classé chez les oligoéléments en raison de ses besoins quotidiens relativement faibles (≈ 1 mg/jour chez l'homme), est généralement traité parmi les minéraux majeurs et fait l'objet d'une fiche dédiée dans le chapitre 163.</w:t>
      </w:r>
    </w:p>
    <w:p>
      <w:pPr>
        <w:pStyle w:val="Heading3"/>
      </w:pPr>
      <w:r>
        <w:t>Définition de la carnitine</w:t>
      </w:r>
    </w:p>
    <w:p>
      <w:r>
        <w:t xml:space="preserve">La </w:t>
      </w:r>
      <w:r>
        <w:rPr>
          <w:b/>
        </w:rPr>
        <w:t>lévocarnitine</w:t>
      </w:r>
      <w:r>
        <w:t xml:space="preserve"> (L-carnitine, (-)-carnitine) est un composé amino-acide-like de bas poids moléculaire (162 g/mol) synthétisé dans le foie, les reins et le cerveau à partir de deux acides aminés essentiels, la lysine et la méthionine, avec la contribution d'un cofacteur vitaminique, l'acide ascorbique (vitamine C), ainsi que du fer, de la vitamine B6 (pyridoxine) et de la niacine (vitamine PP). Son rôle physiologique essentiel est d'assurer le transport intracellulaire des acides gras à longue chaîne (AGLC) depuis le cytosol vers la matrice mitochondriale, où ils subissent la </w:t>
      </w:r>
      <w:r>
        <w:rPr>
          <w:b/>
        </w:rPr>
        <w:t>β-oxydation</w:t>
      </w:r>
      <w:r>
        <w:t xml:space="preserve"> productrice d'acétyl-CoA, puis d'ATP via le cycle de Krebs et la chaîne respiratoire mitochondriale. Sans carnitine, les AGLC ne peuvent traverser la membrane mitochondriale interne — carnavage du complexe CPT-I/CPT-II/carnitine-acylcarnitine translocase — et leur β-oxydation est impossible, ce qui conduit à une myopathie métabolique et à une accumulation lipidique intracellulaire.</w:t>
      </w:r>
    </w:p>
    <w:p>
      <w:pPr>
        <w:pStyle w:val="Heading3"/>
      </w:pPr>
      <w:r>
        <w:t>Individus à risque de carence en Algérie</w:t>
      </w:r>
    </w:p>
    <w:p>
      <w:r>
        <w:t>La carence en oligoéléments et en carnitine n'est pas une problématique théorique en Algérie. Plusieurs populations sont exposées :</w:t>
      </w:r>
    </w:p>
    <w:p>
      <w:pPr>
        <w:pStyle w:val="ListBullet"/>
      </w:pPr>
      <w:r/>
      <w:r>
        <w:rPr>
          <w:b/>
        </w:rPr>
        <w:t>Nourrissons et prématurés</w:t>
      </w:r>
      <w:r>
        <w:t xml:space="preserve"> : les stocks néonataux d'oligoéléments sont faibles (surtout chez le prématuré), et la croissance rapide impose des apports élevés. Les prématurés alimentés par nutrition parentérale prolongée développent fréquemment des carences en zinc, cuivre, sélénium et manganèse en l'absence de supplémentations systématiques.</w:t>
      </w:r>
    </w:p>
    <w:p>
      <w:pPr>
        <w:pStyle w:val="ListBullet"/>
      </w:pPr>
      <w:r/>
      <w:r>
        <w:rPr>
          <w:b/>
        </w:rPr>
        <w:t>Femmes enceintes et allaitantes</w:t>
      </w:r>
      <w:r>
        <w:t xml:space="preserve"> : les besoins en zinc, sélénium, cuivre et chrome augmentent respectivement de 25 à 40 % pendant la grossesse ; la carence maternelle en zinc est associée à un risque accru de retard de croissance intra-utérin et de malformations neurologiques.</w:t>
      </w:r>
    </w:p>
    <w:p>
      <w:pPr>
        <w:pStyle w:val="ListBullet"/>
      </w:pPr>
      <w:r/>
      <w:r>
        <w:rPr>
          <w:b/>
        </w:rPr>
        <w:t>Patients en nutrition parentérale au long cours</w:t>
      </w:r>
      <w:r>
        <w:t xml:space="preserve"> : court-circuit intestinal, grêle court, maladie de Crohn étendue, fistules entérocutanées. La carence en chrome, cuivre, sélénium et manganèse est constante sans supplémentations.</w:t>
      </w:r>
    </w:p>
    <w:p>
      <w:pPr>
        <w:pStyle w:val="ListBullet"/>
      </w:pPr>
      <w:r/>
      <w:r>
        <w:rPr>
          <w:b/>
        </w:rPr>
        <w:t>Insuffisants rénaux chroniques dialysés</w:t>
      </w:r>
      <w:r>
        <w:t xml:space="preserve"> : la dialyse péritonéale et l'hémodialyse entraînent une fuite de zinc, sélénium et de L-carnitine (cette dernière est librement filtrée et dialysée). La carence en carnitine du dialysé chronique est un syndrome clinique identifié (myopathie, cardiomyopathie, anémie résistante à l'EPO).</w:t>
      </w:r>
    </w:p>
    <w:p>
      <w:pPr>
        <w:pStyle w:val="ListBullet"/>
      </w:pPr>
      <w:r/>
      <w:r>
        <w:rPr>
          <w:b/>
        </w:rPr>
        <w:t>Patients sous nutrition artificielle ou restriction alimentaire sévère</w:t>
      </w:r>
      <w:r>
        <w:t xml:space="preserve"> : anorexie mentale, bypass gastrique, syndrome de malabsorption.</w:t>
      </w:r>
    </w:p>
    <w:p>
      <w:pPr>
        <w:pStyle w:val="ListBullet"/>
      </w:pPr>
      <w:r/>
      <w:r>
        <w:rPr>
          <w:b/>
        </w:rPr>
        <w:t>Sujets âgés dénutris</w:t>
      </w:r>
      <w:r>
        <w:t xml:space="preserve"> : polymédication, dénutrition protéino-énergétique, hypoabsorption digestive.</w:t>
      </w:r>
    </w:p>
    <w:p>
      <w:pPr>
        <w:pStyle w:val="ListBullet"/>
      </w:pPr>
      <w:r/>
      <w:r>
        <w:rPr>
          <w:b/>
        </w:rPr>
        <w:t>Patients sous traitements chélateurs ou interférant avec l'absorption</w:t>
      </w:r>
      <w:r>
        <w:t xml:space="preserve"> : sels de fer, sels de calcium, chélateurs du phosphore (sévélamer), antiacides, diurétiques de l'anse (fuite de zinc), pénicillamine (chélation du cuivre), valproate (carence en carnitine).</w:t>
      </w:r>
    </w:p>
    <w:p>
      <w:pPr>
        <w:pStyle w:val="Heading3"/>
      </w:pPr>
      <w:r>
        <w:t>Spécificités du marché algérien</w:t>
      </w:r>
    </w:p>
    <w:p>
      <w:r>
        <w:t>La nomenclature algérienne des médicaments (Avril 2026) recense, dans le périmètre de ce chapitre, les spécialités suivantes :</w:t>
      </w:r>
    </w:p>
    <w:p>
      <w:r/>
      <w:r>
        <w:rPr>
          <w:b/>
        </w:rPr>
        <w:t>Oligoéléments</w:t>
      </w:r>
      <w:r>
        <w:t xml:space="preserve"> (sous-classes « Oligoéléments » et apparentés) :</w:t>
      </w:r>
    </w:p>
    <w:p>
      <w:pPr>
        <w:pStyle w:val="ListBullet"/>
      </w:pPr>
      <w:r/>
      <w:r>
        <w:rPr>
          <w:b/>
        </w:rPr>
        <w:t>TOT'HEMA</w:t>
      </w:r>
      <w:r>
        <w:t xml:space="preserve"> (INNOTECH INTERNATIONAL) — solution buvable en ampoule, association gluconate ferreux 50 mg / gluconate de manganèse 1,33 mg / gluconate de cuivre 0,70 mg — boîte de 20 ampoules de 10 mL — </w:t>
      </w:r>
      <w:r>
        <w:rPr>
          <w:b/>
        </w:rPr>
        <w:t>Liste I — ACTIF</w:t>
      </w:r>
      <w:r>
        <w:t>. Cette spécialité, historiquement positionnée dans le traitement de l'anémie ferriprive de l'adulte et de l'enfant, intègre deux oligoéléments (manganèse et cuivre) à côté du fer, dans une logique de complémentation synergique (le cuivre est cofacteur de la céruloplasmine qui oxyde le fer ferreux en fer ferrique pour son incorporation dans la transferrine).</w:t>
      </w:r>
    </w:p>
    <w:p>
      <w:pPr>
        <w:pStyle w:val="ListBullet"/>
      </w:pPr>
      <w:r/>
      <w:r>
        <w:rPr>
          <w:b/>
        </w:rPr>
        <w:t>NONAN</w:t>
      </w:r>
      <w:r>
        <w:t xml:space="preserve"> (AGUETTANT) — solution injectable, dénomination « OLIGOELEMENTS », sans dosage spécifié, boîte de 25 flacons de 50 mL — </w:t>
      </w:r>
      <w:r>
        <w:rPr>
          <w:b/>
        </w:rPr>
        <w:t>ACTIF</w:t>
      </w:r>
      <w:r>
        <w:t>. Cette spécialité correspond à un mélange d'oligoéléments destiné à la nutrition parentérale, contenant classiquement chrome, cuivre, fer, manganèse, molybdène, sélénium et zinc (composition exacte selon les formulations commercialisées).</w:t>
      </w:r>
    </w:p>
    <w:p>
      <w:pPr>
        <w:pStyle w:val="ListBullet"/>
      </w:pPr>
      <w:r/>
      <w:r>
        <w:rPr>
          <w:b/>
        </w:rPr>
        <w:t>MEGADYN</w:t>
      </w:r>
      <w:r>
        <w:t xml:space="preserve"> (ABDI IBRAHIM ILAÇ SANAYI VE TICARET A.Ş) — comprimé pelliculé, dénomination « COMPLEXE VITAMINIQUE + OLIGOELEMENTS », boîte de 30 — </w:t>
      </w:r>
      <w:r>
        <w:rPr>
          <w:b/>
        </w:rPr>
        <w:t>ACTIF</w:t>
      </w:r>
      <w:r>
        <w:t>. Multivitamines-minéraux de complémentation nutritionnelle.</w:t>
      </w:r>
    </w:p>
    <w:p>
      <w:pPr>
        <w:pStyle w:val="ListBullet"/>
      </w:pPr>
      <w:r/>
      <w:r>
        <w:rPr>
          <w:b/>
        </w:rPr>
        <w:t>DERMOCUIVRE</w:t>
      </w:r>
      <w:r>
        <w:t xml:space="preserve"> (CHAUVIN) — pommade dermique, association sulfate de cuivre 0,2 % / oxyde de zinc 10 %, tube de 25 g ou 100 g — </w:t>
      </w:r>
      <w:r>
        <w:rPr>
          <w:b/>
        </w:rPr>
        <w:t>NON_RENOUVELABLE</w:t>
      </w:r>
      <w:r>
        <w:t>. Spécialité dermologique à visée cicatrisante et antiseptique.</w:t>
      </w:r>
    </w:p>
    <w:p>
      <w:pPr>
        <w:pStyle w:val="ListBullet"/>
      </w:pPr>
      <w:r/>
      <w:r>
        <w:rPr>
          <w:b/>
        </w:rPr>
        <w:t>SURVITINE</w:t>
      </w:r>
      <w:r>
        <w:t xml:space="preserve"> (AUGOT SODIPHARDE), </w:t>
      </w:r>
      <w:r>
        <w:rPr>
          <w:b/>
        </w:rPr>
        <w:t>PLENYL</w:t>
      </w:r>
      <w:r>
        <w:t xml:space="preserve"> (UPSA, comprimé à croquer ET comprimé effervescent), </w:t>
      </w:r>
      <w:r>
        <w:rPr>
          <w:b/>
        </w:rPr>
        <w:t>ABECEDIN</w:t>
      </w:r>
      <w:r>
        <w:t xml:space="preserve"> (PETRA PHARM) — spécialités « COMPLEXE VITAMINIQUE + OLIGOELEMENTS » en </w:t>
      </w:r>
      <w:r>
        <w:rPr>
          <w:b/>
        </w:rPr>
        <w:t>RETRAIT</w:t>
      </w:r>
      <w:r>
        <w:t>. Ces produits appartenaient à la génération historique des multivitamines-minéraux poly-composants, aujourd'hui retirés du marché algérien.</w:t>
      </w:r>
    </w:p>
    <w:p>
      <w:r/>
      <w:r>
        <w:rPr>
          <w:b/>
        </w:rPr>
        <w:t>Lévocarnitine</w:t>
      </w:r>
      <w:r>
        <w:t xml:space="preserve"> (sous-classe « Suppléments - Carnitine ») :</w:t>
      </w:r>
    </w:p>
    <w:p>
      <w:pPr>
        <w:pStyle w:val="ListBullet"/>
      </w:pPr>
      <w:r/>
      <w:r>
        <w:rPr>
          <w:b/>
        </w:rPr>
        <w:t>METACARTIN</w:t>
      </w:r>
      <w:r>
        <w:t xml:space="preserve"> (WORLD MEDECINE LIMITED) — solution buvable 100 mg/mL — flacon de 100 mL — </w:t>
      </w:r>
      <w:r>
        <w:rPr>
          <w:b/>
        </w:rPr>
        <w:t>Liste I — ACTIF</w:t>
      </w:r>
      <w:r>
        <w:t>. Spécialité de référence pour la supplémentation en L-carnitine.</w:t>
      </w:r>
    </w:p>
    <w:p>
      <w:pPr>
        <w:pStyle w:val="ListBullet"/>
      </w:pPr>
      <w:r/>
      <w:r>
        <w:rPr>
          <w:b/>
        </w:rPr>
        <w:t>LEVOTYNE</w:t>
      </w:r>
      <w:r>
        <w:t xml:space="preserve"> (PHARMALLIANCE) — solution buvable 10 % (10 g/100 mL) — flacon de 100 mL — </w:t>
      </w:r>
      <w:r>
        <w:rPr>
          <w:b/>
        </w:rPr>
        <w:t>NON_RENOUVELABLE</w:t>
      </w:r>
      <w:r>
        <w:t>.</w:t>
      </w:r>
    </w:p>
    <w:p>
      <w:pPr>
        <w:pStyle w:val="ListBullet"/>
      </w:pPr>
      <w:r/>
      <w:r>
        <w:rPr>
          <w:b/>
        </w:rPr>
        <w:t>CARNITINE</w:t>
      </w:r>
      <w:r>
        <w:t xml:space="preserve"> (BK LAB) — solution buvable 10 % (10 g/100 mL) — flacon de 125 mL — </w:t>
      </w:r>
      <w:r>
        <w:rPr>
          <w:b/>
        </w:rPr>
        <w:t>RETRAIT</w:t>
      </w:r>
      <w:r>
        <w:t>.</w:t>
      </w:r>
    </w:p>
    <w:p>
      <w:pPr>
        <w:pStyle w:val="ListBullet"/>
      </w:pPr>
      <w:r/>
      <w:r>
        <w:rPr>
          <w:b/>
        </w:rPr>
        <w:t>CARDIOBIL</w:t>
      </w:r>
      <w:r>
        <w:t xml:space="preserve"> (BIOLOGICI ITALIA) — solution buvable 1 g/10 mL — boîte de 10 ampoules — </w:t>
      </w:r>
      <w:r>
        <w:rPr>
          <w:b/>
        </w:rPr>
        <w:t>RETRAIT</w:t>
      </w:r>
      <w:r>
        <w:t>.</w:t>
      </w:r>
    </w:p>
    <w:p>
      <w:r>
        <w:t>Aucune spécialité de multivitamines n'est enregistrée comme DCI unique en Algérie : les multivitamines sont commercialisées sous des dénominations de type « COMPLEXE VITAMINIQUE » ou « COMPLEXE VITAMINIQUE + OLIGOELEMENTS » (MEGADYN), sans individualisation d'une DCI « multivitamines » proprement dite. Cette particularité réglementaire est commentée en section 164.4.</w:t>
      </w:r>
    </w:p>
    <w:p>
      <w:pPr>
        <w:pStyle w:val="Heading3"/>
      </w:pPr>
      <w:r>
        <w:t>Sources et références mobilisées</w:t>
      </w:r>
    </w:p>
    <w:p>
      <w:r>
        <w:t>Ce chapitre mobilise les sources suivantes : VIDAL (spécialités françaises et internationales), ANSM (Résumés des Caractéristiques du Produit), Thériaque (interactions médicamenteuses, CNHIM), CRAT (Centre Renseignements Agents Tératogènes — grossesse/allaitement), UpToDate (recommandations internationales sur carences en oligoéléments et déficits en carnitine), recommandations ESPGHAN (European Society for Paediatric Gastroenterology Hepatology and Nutrition) sur la nutrition parentérale pédiatrique, recommandations ASPEN (American Society for Parenteral and Enteral Nutrition) sur la supplémentation en oligoéléments en nutrition artificielle, lignes directrices KDIGO (Kidney Disease: Improving Global Outcomes) sur la carence en carnitine du dialysé, Cochrane (revues systématiques sur la supplémentation en zinc dans les diarrhées aiguës, le sélénium en réanimation, la carnitine dans les cardiomyopathies), et la nomenclature algérienne des médicaments (Avril 2026).</w:t>
      </w:r>
    </w:p>
    <w:p>
      <w:pPr>
        <w:pStyle w:val="Heading2"/>
      </w:pPr>
      <w:r>
        <w:t>164.2. Sous-classe : Oligoéléments (Zinc, Sélénium, Cuivre, Manganèse, Chrome)</w:t>
      </w:r>
    </w:p>
    <w:p>
      <w:pPr>
        <w:pStyle w:val="Heading3"/>
      </w:pPr>
      <w:r>
        <w:t>Définition et cadre conceptuel</w:t>
      </w:r>
    </w:p>
    <w:p>
      <w:r>
        <w:t xml:space="preserve">Les oligoéléments ne sont pas une classe pharmacologique au sens classique (anti-infectieux, antalgiques, antihypertenseurs, etc.) mais une </w:t>
      </w:r>
      <w:r>
        <w:rPr>
          <w:b/>
        </w:rPr>
        <w:t>famille physiologique</w:t>
      </w:r>
      <w:r>
        <w:t xml:space="preserve"> d'éléments minéraux essentiels à l'activité enzymatique, à la fonction immunitaire, à la croissance, à la défense antioxydante et au métabolisme énergétique. Ils ne sont prescrits ni pour guérir une maladie aiguë, ni pour modifier l'évolution d'une pathologie chronique, mais pour </w:t>
      </w:r>
      <w:r>
        <w:rPr>
          <w:b/>
        </w:rPr>
        <w:t>prévenir ou corriger une carence</w:t>
      </w:r>
      <w:r>
        <w:t xml:space="preserve"> dont les conséquences cliniques sont protéiformes : retard de croissance, immunodépression, anémie, ostéoporose, troubles neurologiques, dermatoses, cardiomyopathies, hypothyroïdie. La pharmacologie des oligoéléments est donc avant tout une pharmacologie de </w:t>
      </w:r>
      <w:r>
        <w:rPr>
          <w:b/>
        </w:rPr>
        <w:t>substitution</w:t>
      </w:r>
      <w:r>
        <w:t>, comparable à celle des hormones thyroïdiennes (substitution d'une carence hormonale endogène) ou de la vitamine D (substitution d'un déficit en vitamine).</w:t>
      </w:r>
    </w:p>
    <w:p>
      <w:r>
        <w:t>Cette logique de substitution implique une règle fondamentale : un oligoélément ne doit être prescrit que lorsqu'il existe une carence objectivée (biologiquement ou par contexte clinique évocateur), et la posologie doit être adaptée à la profondeur du déficit. La prescription systématique ou prolongée d'oligoéléments en l'absence de carence démontrée expose à deux risques : (i) l'inefficacité thérapeutique (gaspi de ressource pharmacologique) et (ii) le surdosage (toxicité spécifique à chaque oligoélément, par exemple sélénose pour le sélénium, maladie de Wilson-like pour le cuivre, atteinte neurologique extrapyramidale pour le manganèse).</w:t>
      </w:r>
    </w:p>
    <w:p>
      <w:pPr>
        <w:pStyle w:val="Heading3"/>
      </w:pPr>
      <w:r>
        <w:t>Mécanismes d'action moléculaire partagés</w:t>
      </w:r>
    </w:p>
    <w:p>
      <w:r>
        <w:t xml:space="preserve">Les cinq oligoéléments traités partagent un mode d'action moléculaire commun : ils sont les </w:t>
      </w:r>
      <w:r>
        <w:rPr>
          <w:b/>
        </w:rPr>
        <w:t>cofacteurs métalliques</w:t>
      </w:r>
      <w:r>
        <w:t xml:space="preserve"> d'enzymes spécifiques, sans activité catalytique propre. Leur suppression de l'alimentation entraîne l'inactivation de ces enzymes, et donc le blocage des voies métaboliques correspondantes. Le tableau ci-dessous résume les principales cibles enzymatiques et les conséquences cliniques de leur carence :</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Oligoélément</w:t>
            </w:r>
          </w:p>
        </w:tc>
        <w:tc>
          <w:tcPr>
            <w:tcW w:type="dxa" w:w="3118"/>
          </w:tcPr>
          <w:p>
            <w:r>
              <w:rPr>
                <w:b/>
                <w:sz w:val="20"/>
              </w:rPr>
              <w:t>Cibles enzymatiques principales</w:t>
            </w:r>
          </w:p>
        </w:tc>
        <w:tc>
          <w:tcPr>
            <w:tcW w:type="dxa" w:w="3118"/>
          </w:tcPr>
          <w:p>
            <w:r>
              <w:rPr>
                <w:b/>
                <w:sz w:val="20"/>
              </w:rPr>
              <w:t>Conséquences de la carence</w:t>
            </w:r>
          </w:p>
        </w:tc>
      </w:tr>
      <w:tr>
        <w:tc>
          <w:tcPr>
            <w:tcW w:type="dxa" w:w="3118"/>
          </w:tcPr>
          <w:p>
            <w:r>
              <w:rPr>
                <w:sz w:val="20"/>
              </w:rPr>
              <w:t>**Zinc**</w:t>
            </w:r>
          </w:p>
        </w:tc>
        <w:tc>
          <w:tcPr>
            <w:tcW w:type="dxa" w:w="3118"/>
          </w:tcPr>
          <w:p>
            <w:r>
              <w:rPr>
                <w:sz w:val="20"/>
              </w:rPr>
              <w:t>Plus de 300 métalloenzymes : ADN polymérases, ARN polymérases, superoxyde dismutase cytosolique (Cu/Zn-SOD), aldolase, carboxypeptidases, déshydrogénases, zinc-finger transcription factors (glucocorticoïdes, récepteurs nucléaires)</w:t>
            </w:r>
          </w:p>
        </w:tc>
        <w:tc>
          <w:tcPr>
            <w:tcW w:type="dxa" w:w="3118"/>
          </w:tcPr>
          <w:p>
            <w:r>
              <w:rPr>
                <w:sz w:val="20"/>
              </w:rPr>
              <w:t>Retard de croissance, diarrhée chronique, immunodépression (déficit en thymuline, lymphocytes T), dermatose acro-périorificielle, alopecie, retard de cicatrisation, hypogueusie, hypoolfactie, troubles de la vision nocturne</w:t>
            </w:r>
          </w:p>
        </w:tc>
      </w:tr>
      <w:tr>
        <w:tc>
          <w:tcPr>
            <w:tcW w:type="dxa" w:w="3118"/>
          </w:tcPr>
          <w:p>
            <w:r>
              <w:rPr>
                <w:sz w:val="20"/>
              </w:rPr>
              <w:t>**Sélénium**</w:t>
            </w:r>
          </w:p>
        </w:tc>
        <w:tc>
          <w:tcPr>
            <w:tcW w:type="dxa" w:w="3118"/>
          </w:tcPr>
          <w:p>
            <w:r>
              <w:rPr>
                <w:sz w:val="20"/>
              </w:rPr>
              <w:t>Glutathion peroxydases (GPx1 à GPx6), thioredoxine réductases (TrxR), déiodinases de type I, II et III (conversion T4→T3 et T4→rT3)</w:t>
            </w:r>
          </w:p>
        </w:tc>
        <w:tc>
          <w:tcPr>
            <w:tcW w:type="dxa" w:w="3118"/>
          </w:tcPr>
          <w:p>
            <w:r>
              <w:rPr>
                <w:sz w:val="20"/>
              </w:rPr>
              <w:t>Cardiomyopathie de Keshan (endémie en Chine), chondrodystrophie de Kashin-Beck, myopathie, hypothyroïdie (conversion T4→T3 déficiente), baisse de l'immunité</w:t>
            </w:r>
          </w:p>
        </w:tc>
      </w:tr>
      <w:tr>
        <w:tc>
          <w:tcPr>
            <w:tcW w:type="dxa" w:w="3118"/>
          </w:tcPr>
          <w:p>
            <w:r>
              <w:rPr>
                <w:sz w:val="20"/>
              </w:rPr>
              <w:t>**Cuivre**</w:t>
            </w:r>
          </w:p>
        </w:tc>
        <w:tc>
          <w:tcPr>
            <w:tcW w:type="dxa" w:w="3118"/>
          </w:tcPr>
          <w:p>
            <w:r>
              <w:rPr>
                <w:sz w:val="20"/>
              </w:rPr>
              <w:t>Cytochrome C oxydase (chaîne respiratoire mitochondriale), céruloplasmine (ferroxydase plasmatique), lysyl oxydase (maturation du collagène), superoxyde dismutase cytosolique (Cu/Zn-SOD), tyrosinase (mélanogenèse), dopamine β-hydroxylase</w:t>
            </w:r>
          </w:p>
        </w:tc>
        <w:tc>
          <w:tcPr>
            <w:tcW w:type="dxa" w:w="3118"/>
          </w:tcPr>
          <w:p>
            <w:r>
              <w:rPr>
                <w:sz w:val="20"/>
              </w:rPr>
              <w:t>Anémie microcytaire fer-réfractaire, neutropénie, ostéoporose, ostéochondrose, dépigmentation cutanée, atteinte neurologique (ménkes = syndrome neurodégénératif récessif lié à l'X)</w:t>
            </w:r>
          </w:p>
        </w:tc>
      </w:tr>
      <w:tr>
        <w:tc>
          <w:tcPr>
            <w:tcW w:type="dxa" w:w="3118"/>
          </w:tcPr>
          <w:p>
            <w:r>
              <w:rPr>
                <w:sz w:val="20"/>
              </w:rPr>
              <w:t>**Manganèse**</w:t>
            </w:r>
          </w:p>
        </w:tc>
        <w:tc>
          <w:tcPr>
            <w:tcW w:type="dxa" w:w="3118"/>
          </w:tcPr>
          <w:p>
            <w:r>
              <w:rPr>
                <w:sz w:val="20"/>
              </w:rPr>
              <w:t>Superoxyde dismutase mitochondriale (MnSOD), glycosyltransférases (synthèse des glycoprotéines et glycosaminoglycanes), pyruvate carboxylase (glunéogenèse), arginase (cycle de l'urée)</w:t>
            </w:r>
          </w:p>
        </w:tc>
        <w:tc>
          <w:tcPr>
            <w:tcW w:type="dxa" w:w="3118"/>
          </w:tcPr>
          <w:p>
            <w:r>
              <w:rPr>
                <w:sz w:val="20"/>
              </w:rPr>
              <w:t>Ostéochondrose, trouble de la croissance, anomalies de la coagulation, hypochondroplasie, diabète expérimental</w:t>
            </w:r>
          </w:p>
        </w:tc>
      </w:tr>
      <w:tr>
        <w:tc>
          <w:tcPr>
            <w:tcW w:type="dxa" w:w="3118"/>
          </w:tcPr>
          <w:p>
            <w:r>
              <w:rPr>
                <w:sz w:val="20"/>
              </w:rPr>
              <w:t>**Chrome**</w:t>
            </w:r>
          </w:p>
        </w:tc>
        <w:tc>
          <w:tcPr>
            <w:tcW w:type="dxa" w:w="3118"/>
          </w:tcPr>
          <w:p>
            <w:r>
              <w:rPr>
                <w:sz w:val="20"/>
              </w:rPr>
              <w:t>Potentialisation de l'action de l'insuline via le « Glucose Tolerance Factor » (GTF), composé organo-chromé contenant de la nicotinique, glycine, cystéine et acide glutamique ; active le récepteur de l'insuline par potentialisation de la tyrosine kinase</w:t>
            </w:r>
          </w:p>
        </w:tc>
        <w:tc>
          <w:tcPr>
            <w:tcW w:type="dxa" w:w="3118"/>
          </w:tcPr>
          <w:p>
            <w:r>
              <w:rPr>
                <w:sz w:val="20"/>
              </w:rPr>
              <w:t>Intolérance glucidique, hyperglycémie, dyslipidémie, neuropathie, perte de poids</w:t>
            </w:r>
          </w:p>
        </w:tc>
      </w:tr>
    </w:tbl>
    <w:p/>
    <w:p>
      <w:pPr>
        <w:pStyle w:val="Heading3"/>
      </w:pPr>
      <w:r>
        <w:t>Pharmacocinétique commune</w:t>
      </w:r>
    </w:p>
    <w:p>
      <w:r>
        <w:t>Les oligoéléments sont absorbés au niveau duodéno-jéjunal par des transporteurs spécifiques (DMT1 pour le fer et le manganèse ; CTR1 pour le cuivre ; transporteurs ZIP et ZNT pour le zinc). Leur absorption est inhibée par les chélateurs intestinaux : phytates (céréales complètes), oxalates (épinards), tanins (thé), fibres, calcium, fer (compétition), antiacides. La biodisponibilité est améliorée par les protéines animales (acides aminés libres chélatent positivement le métal), la vitamine C (réduit le fer ferrique en fer ferreux), et l'absence d'autres minéraux compétiteurs.</w:t>
      </w:r>
    </w:p>
    <w:p>
      <w:r>
        <w:t>Le transport plasmatique se fait principalement lié aux protéines (transferrine pour le fer, céruloplasmine pour le cuivre, albumine pour le zinc, sélénoprotéine P pour le sélénium). La distribution tissulaire est variable : le zinc s'accumule dans la prostate, la rétine et le foie ; le sélénium dans la thyroïde, le foie, le muscle squelettique ; le cuivre dans le foie, le cerveau et le cœur ; le manganèse dans les mitochondries (en particulier striatum cérébral) ; le chrome dans le foie, la rate et les tissus mous.</w:t>
      </w:r>
    </w:p>
    <w:p>
      <w:r>
        <w:t>L'élimination est principalement fécale (voie biliaire) pour le cuivre, le manganèse et le zinc ; urinaire pour le sélénium et le chrome. La demi-vie d'élimination est variable : 10 à 30 jours pour le zinc, 10 jours pour le cuivre, 30 à 60 jours pour le manganèse, 1 à 3 jours pour le chrome, 1 à 3 jours pour le sélénium.</w:t>
      </w:r>
    </w:p>
    <w:p>
      <w:pPr>
        <w:pStyle w:val="Heading3"/>
      </w:pPr>
      <w:r>
        <w:t>Spécificités cliniques du marché algérien</w:t>
      </w:r>
    </w:p>
    <w:p>
      <w:r>
        <w:t>Le marché algérien des oligoéléments se caractérise par une diversité de présentations, mêlant spécialités médicamenteuses stricto sensu (TOT'HEMA, NONAN) et compléments nutritionnels (MEGADYN). Les spécialités historiques (SURVITINE, PLENYL, ABECEDIN) sont retirées, témoignant d'une recomposition du marché vers des formulations plus modernes (comprimés pelliculés, solutions buvables en ampoules).</w:t>
      </w:r>
    </w:p>
    <w:p>
      <w:r>
        <w:t>La prescription des oligoéléments en Algérie est dominée par trois situations cliniques : (i) la carence martiale avec association synergique cuivre-manganèse (TOT'HEMA), (ii) la nutrition parentérale au long cours (NONAN, solution injectable d'oligoéléments), (iii) la complémentation nutritionnelle préventive chez la femme enceinte, le sujet âgé dénutri et l'enfant en croissance (MEGADYN). La supplémentation ciblée en zinc seul, sélénium seul, cuivre seul, manganèse seul ou chrome seul n'est pas disponible en spécialité algérienne : les praticiens doivent recourir à des préparations magistrales ou à l'importation de spécialités étrangères, ce qui constitue une limite pratique à la prise en charge fine des carences spécifiques.</w:t>
      </w:r>
    </w:p>
    <w:p>
      <w:pPr>
        <w:pStyle w:val="Heading2"/>
      </w:pPr>
      <w:r>
        <w:t>164.3. Sous-classe : Suppléments — Carnitine (Lévocarnitine)</w:t>
      </w:r>
    </w:p>
    <w:p>
      <w:pPr>
        <w:pStyle w:val="Heading3"/>
      </w:pPr>
      <w:r>
        <w:t>Définition et cadre conceptuel</w:t>
      </w:r>
    </w:p>
    <w:p>
      <w:r>
        <w:t>La lévocarnitine (L-carnitine, (-)-carnitine) n'est ni une vitamine (elle est synthétisée endogènement) ni un minéral (elle est organique), mais un composé métabolique endogène indispensable au transport mitochondrial des acides gras à longue chaîne (AGLC). Sa structure chimique — (R)-3-carboxy-2-hydroxy-N,N,N-trimethylpropan-1-aminium — est celle d'un amino-acide quaternaire, parfois qualifié de « vitamine-like » ou de « pseudo-vitamine » en raison de sa complémentarité avec les vitamines hydrosolubles du groupe B (elle partage des précurseurs et cofacteurs de synthèse avec la vitamine C, la vitamine B6 et la niacine).</w:t>
      </w:r>
    </w:p>
    <w:p>
      <w:r>
        <w:t xml:space="preserve">La carnitine existe sous deux formes énantiomériques : la </w:t>
      </w:r>
      <w:r>
        <w:rPr>
          <w:b/>
        </w:rPr>
        <w:t>L-carnitine</w:t>
      </w:r>
      <w:r>
        <w:t xml:space="preserve"> (forme biologiquement active, lévocarnitine) et la </w:t>
      </w:r>
      <w:r>
        <w:rPr>
          <w:b/>
        </w:rPr>
        <w:t>D-carnitine</w:t>
      </w:r>
      <w:r>
        <w:t xml:space="preserve"> (forme inactive, voire compétitrice négative de la L-carnitine). Seule la lévocarnitine est utilisée en thérapeutique. Les mélanges racémiques (DL-carnitine) sont à proscrire, car la D-carnitine entre en compétération avec la L-carnitine au niveau du transporteur mitochondrial CPT-I et peut aggraver une carence fonctionnelle.</w:t>
      </w:r>
    </w:p>
    <w:p>
      <w:pPr>
        <w:pStyle w:val="Heading3"/>
      </w:pPr>
      <w:r>
        <w:t>Synthèse endogène et apports alimentaires</w:t>
      </w:r>
    </w:p>
    <w:p>
      <w:r>
        <w:t>La synthèse endogène de lévocarnitine a lieu principalement dans le foie, les reins et le cerveau, à partir de la lysine (chaîne carbonée) et de la méthionine (donneur des trois groupements méthyles via la S-adénosylméthionine). Cette synthèse requiert cinq enzymes (γ-butyrobétaïne hydroxylase, etc.) et plusieurs cofacteurs : acide ascorbique (vitamine C), fer, vitamine B6 (pyridoxine), niacine (vitamine PP). Une carence en vitamine C ou en fer peut donc secondairement induire une carence fonctionnelle en carnitine.</w:t>
      </w:r>
    </w:p>
    <w:p>
      <w:r>
        <w:t>Les apports alimentaires proviennent principalement des produits animaux : viande rouge (4 à 8 mg/g), volaille, poisson, produits laitiers. Les régimes végétariens et végétaliens fournissent très peu de carnitine (&lt; 0,1 mg/g dans les végétaux), mais la synthèse endogène compense habituellement ce déficit alimentaire. Le pool corporel total de carnitine est d'environ 20 grammes chez l'adulte, avec une concentration intramusculaire prédominante (95 % du pool), particulièrement dans le muscle cardiaque et le muscle squelettique.</w:t>
      </w:r>
    </w:p>
    <w:p>
      <w:pPr>
        <w:pStyle w:val="Heading3"/>
      </w:pPr>
      <w:r>
        <w:t>Mécanisme d'action moléculaire</w:t>
      </w:r>
    </w:p>
    <w:p>
      <w:r>
        <w:t>Le rôle essentiel de la lévocarnitine est d'assurer le transport des acides gras à longue chaîne (AGLC, C12-C22) à travers la membrane mitochondriale interne, étape limitante de la β-oxydation. Ce transport s'effectue via un système à trois composants :</w:t>
      </w:r>
    </w:p>
    <w:p>
      <w:pPr>
        <w:pStyle w:val="ListNumber"/>
      </w:pPr>
      <w:r/>
      <w:r>
        <w:rPr>
          <w:b/>
        </w:rPr>
        <w:t>CPT-I (Carnitine Palmitoyl Transferase I)</w:t>
      </w:r>
      <w:r>
        <w:t xml:space="preserve"> : enzyme de la membrane mitochondriale externe, catalyse la conversion de l'acyl-CoA (AGLC lié au Coenzyme A) en acyl-carnitine (AGLC lié à la carnitine), avec libération de CoA-SH. La CPT-I est inhibée par le malonyl-CoA (signal de satiété glucidique), ce qui explique que la β-oxydation soit inhibée en période post-prandiale glucidique.</w:t>
      </w:r>
    </w:p>
    <w:p>
      <w:pPr>
        <w:pStyle w:val="ListNumber"/>
      </w:pPr>
      <w:r/>
      <w:r>
        <w:rPr>
          <w:b/>
        </w:rPr>
        <w:t>CACT (Carnitine-AcylCarnitine Translocase)</w:t>
      </w:r>
      <w:r>
        <w:t xml:space="preserve"> : transporteur de la membrane mitochondriale interne, assure l'échange acyl-carnitine (vers la matrice) contre carnitine libre (vers le cytosol).</w:t>
      </w:r>
    </w:p>
    <w:p>
      <w:pPr>
        <w:pStyle w:val="ListNumber"/>
      </w:pPr>
      <w:r/>
      <w:r>
        <w:rPr>
          <w:b/>
        </w:rPr>
        <w:t>CPT-II (Carnitine Palmitoyl Transferase II)</w:t>
      </w:r>
      <w:r>
        <w:t xml:space="preserve"> : enzyme de la face matricielle de la membrane mitochondriale interne, catalyse la régénération de l'acyl-CoA (vers la β-oxydation) et de la carnitine libre (retour cytosolique).</w:t>
      </w:r>
    </w:p>
    <w:p>
      <w:r>
        <w:t>La β-oxydation intra-mitochondriale des AGLC produit de l'acétyl-CoA (entrant dans le cycle de Krebs), du FADH2 et du NADH (alimentant la chaîne respiratoire), donc de l'</w:t>
      </w:r>
      <w:r>
        <w:rPr>
          <w:b/>
        </w:rPr>
        <w:t>ATP</w:t>
      </w:r>
      <w:r>
        <w:t>. Ce mécanisme est essentiel au muscle cardiaque (70 à 90 % de son ATP provient de la β-oxydation des AGLC), au muscle squelettique en exercice prolongé, au foie à jeun (cétonogenèse à partir de l'acétyl-CoA) et au rein.</w:t>
      </w:r>
    </w:p>
    <w:p>
      <w:pPr>
        <w:pStyle w:val="Heading3"/>
      </w:pPr>
      <w:r>
        <w:t>Carence en carnitine : classification étiologique</w:t>
      </w:r>
    </w:p>
    <w:p>
      <w:r>
        <w:t>La carence en carnitine peut être primaire (génétique) ou secondaire (acquise) :</w:t>
      </w:r>
    </w:p>
    <w:p>
      <w:pPr>
        <w:pStyle w:val="ListNumber"/>
      </w:pPr>
      <w:r/>
      <w:r>
        <w:rPr>
          <w:b/>
        </w:rPr>
        <w:t>Carence primaire (génétique)</w:t>
      </w:r>
      <w:r>
        <w:t xml:space="preserve"> : défaut de transport membranaire de la carnitine (mutation du gène SLC22A5 codant le transporteur OCTN2) — incidence ≈ 1/40 000 naissances. Transmission autosomique récessive. Tableau clinique : cardiomyopathie dilatée sévère, myopathie, hypokétose hypoglycémique à jeun, hépatomégalie stéatosique. Mortalité élevée en l'absence de traitement substitutif précoce par lévocarnitine à forte dose (200 à 400 mg/kg/jour). Le dépistage néonatal par dosage de la carnitine sur spot Guthrie est recommandé dans plusieurs pays.</w:t>
      </w:r>
    </w:p>
    <w:p>
      <w:pPr>
        <w:pStyle w:val="ListNumber"/>
      </w:pPr>
      <w:r/>
      <w:r>
        <w:rPr>
          <w:b/>
        </w:rPr>
        <w:t>Carence secondaire (acquise)</w:t>
      </w:r>
      <w:r>
        <w:t xml:space="preserve"> : la plus fréquente en pratique clinique.</w:t>
      </w:r>
    </w:p>
    <w:p>
      <w:pPr>
        <w:pStyle w:val="ListBullet"/>
      </w:pPr>
      <w:r/>
      <w:r>
        <w:rPr>
          <w:b/>
        </w:rPr>
        <w:t>Patients dialysés chroniques</w:t>
      </w:r>
      <w:r>
        <w:t xml:space="preserve"> : la carnitine libre (PM 162 Da) est dialysable, et son pool diminue de 30 à 50 % après 6 mois d'hémodialyse. Clinique : myopathie, crampes, cardiomyopathie, anémie résistante à l'EPO, hypotension intra-dialytique.</w:t>
      </w:r>
    </w:p>
    <w:p>
      <w:pPr>
        <w:pStyle w:val="ListBullet"/>
      </w:pPr>
      <w:r/>
      <w:r>
        <w:rPr>
          <w:b/>
        </w:rPr>
        <w:t>Patients sous valproate</w:t>
      </w:r>
      <w:r>
        <w:t xml:space="preserve"> : le valproate est un acide gras à chaîne ramifiée qui se conjugue à la carnitine (valproyl-carnitine) et est excrété dans les urines, induisant une fuite de carnitine. Risque majoré d'encéphalopathie hyperammoniémique, en particulier chez l'enfant.</w:t>
      </w:r>
    </w:p>
    <w:p>
      <w:pPr>
        <w:pStyle w:val="ListBullet"/>
      </w:pPr>
      <w:r/>
      <w:r>
        <w:rPr>
          <w:b/>
        </w:rPr>
        <w:t>Patients sous antibiotiques ânucléosidiques (pivoxil)</w:t>
      </w:r>
      <w:r>
        <w:t xml:space="preserve"> : le pivoxil (prodrogue de la pivmécilliname et de la céditorene) libère dans l'organisme de l'acide pivalique qui se conjugue à la carnitine et est excrété, induisant une carence en carnitine.</w:t>
      </w:r>
    </w:p>
    <w:p>
      <w:pPr>
        <w:pStyle w:val="ListBullet"/>
      </w:pPr>
      <w:r/>
      <w:r>
        <w:rPr>
          <w:b/>
        </w:rPr>
        <w:t>Prématurés</w:t>
      </w:r>
      <w:r>
        <w:t xml:space="preserve"> : immaturité des enzymes de synthèse et apports parentéraux pauvres en carnitine.</w:t>
      </w:r>
    </w:p>
    <w:p>
      <w:pPr>
        <w:pStyle w:val="ListBullet"/>
      </w:pPr>
      <w:r/>
      <w:r>
        <w:rPr>
          <w:b/>
        </w:rPr>
        <w:t>Cirrhose hépatique</w:t>
      </w:r>
      <w:r>
        <w:t xml:space="preserve"> : défaut de synthèse.</w:t>
      </w:r>
    </w:p>
    <w:p>
      <w:pPr>
        <w:pStyle w:val="ListBullet"/>
      </w:pPr>
      <w:r/>
      <w:r>
        <w:rPr>
          <w:b/>
        </w:rPr>
        <w:t>Déficits héréditaires de la β-oxydation</w:t>
      </w:r>
      <w:r>
        <w:t xml:space="preserve"> : carence en CPT-I, CPT-II, MCAD, VLCAD — la carnitine est utilisée comme traitement adjuvant pour capter les métabolites toxiques accumulés.</w:t>
      </w:r>
    </w:p>
    <w:p>
      <w:pPr>
        <w:pStyle w:val="ListBullet"/>
      </w:pPr>
      <w:r/>
      <w:r>
        <w:rPr>
          <w:b/>
        </w:rPr>
        <w:t>Régimes végétariens/végétaliens stricts</w:t>
      </w:r>
      <w:r>
        <w:t xml:space="preserve"> : carence d'apport + défaut de synthèse compensatoire.</w:t>
      </w:r>
    </w:p>
    <w:p>
      <w:pPr>
        <w:pStyle w:val="Heading3"/>
      </w:pPr>
      <w:r>
        <w:t>Spécificités cliniques du marché algérien</w:t>
      </w:r>
    </w:p>
    <w:p>
      <w:r>
        <w:t>Le marché algérien de la lévocarnitine est dominé par la spécialité METACARTIN (solution buvable 100 mg/mL), commercialisée par WORLD MEDECINE LIMITED. Les autres spécialités (LEVOTYNE, CARNITINE BK LAB, CARDIOBIL) sont en retrait ou non renouvelées, témoignant d'une concentration du marché sur une seule spécialité active. Cette situation pose deux problèmes pratiques : (i) la disponibilité unique d'une forme buvable (sans forme injectable enregistrée en Algérie, alors que la lévocarnitine IV est essentielle dans la prise en charge aiguë des carences primaires génétiques néonatales et des encéphalopathies hyperammoniémiques), et (ii) l'absence de forme comprimé, ce qui complique l'observance chez l'adulte (100 mg/mL correspond à 10 à 20 mL/jour pour les posologies courantes, soit 2 à 4 cuillères à soupe).</w:t>
      </w:r>
    </w:p>
    <w:p>
      <w:r>
        <w:t>La lévocarnitine est inscrite sur la Liste I des substances vénéneuses en Algérie, ce qui impose la prescription médicale obligatoire. Cette réglementation se justifie par le risque d'utilisation détournée (claims de performance sportive, amaigrissement) et par la nécessité d'un suivi médical des carences avérées.</w:t>
      </w:r>
    </w:p>
    <w:p>
      <w:pPr>
        <w:pStyle w:val="Heading2"/>
      </w:pPr>
      <w:r>
        <w:t>164.4. Note sur l'absence de multivitamines enregistrées comme DCI unique en Algérie</w:t>
      </w:r>
    </w:p>
    <w:p>
      <w:pPr>
        <w:pStyle w:val="Heading3"/>
      </w:pPr>
      <w:r>
        <w:t>Particularité nomenclaturale</w:t>
      </w:r>
    </w:p>
    <w:p>
      <w:r>
        <w:t xml:space="preserve">Contrairement à la plupart des classes médicamenteuses traitées dans le Fascicule XVII, les </w:t>
      </w:r>
      <w:r>
        <w:rPr>
          <w:b/>
        </w:rPr>
        <w:t>multivitamines</w:t>
      </w:r>
      <w:r>
        <w:t xml:space="preserve"> ne font l'objet d'aucune DCI unique enregistrée dans la nomenclature algérienne des médicaments (Avril 2026). On observe en effet que les spécialités multivitaminées sont enregistrées sous des dénominations de type « COMPLEXE VITAMINIQUE » (sans précision de composition) ou « COMPLEXE VITAMINIQUE + OLIGOELEMENTS », qui ne correspondent pas à une DCI identifiée.</w:t>
      </w:r>
    </w:p>
    <w:p>
      <w:r>
        <w:t>Cette particularité s'explique par le statut réglementaire hybride des multivitamines, qui se situent à la frontière entre médicament et complément alimentaire. En France et en Europe, les multivitamines peuvent être enregistrées soit comme médicaments (AMM), soit comme compléments alimentaires (règlement CE 1924/2006), selon les dosages et les allégations thérapeutiques. En Algérie, la pratique réglementaire a été de traiter les complexes vitaminiques comme des associations de plusieurs DCI déjà enregistrées (vitamine C + vitamine B1 + vitamine B6 + vitamine B12, etc.), sans créer de DCI synthétique « multivitamines ».</w:t>
      </w:r>
    </w:p>
    <w:p>
      <w:pPr>
        <w:pStyle w:val="Heading3"/>
      </w:pPr>
      <w:r>
        <w:t>Conséquences pratiques</w:t>
      </w:r>
    </w:p>
    <w:p>
      <w:r>
        <w:t>Cette absence de DCI unique a plusieurs conséquences pratiques :</w:t>
      </w:r>
    </w:p>
    <w:p>
      <w:pPr>
        <w:pStyle w:val="ListNumber"/>
      </w:pPr>
      <w:r/>
      <w:r>
        <w:rPr>
          <w:b/>
        </w:rPr>
        <w:t>Imprécision de la composition</w:t>
      </w:r>
      <w:r>
        <w:t xml:space="preserve"> : les spécialités enregistrées comme « COMPLEXE VITAMINIQUE » ne précisent pas toujours dans la nomenclature les dosages exacts de chaque vitamine, ce qui complique la comparaison entre spécialités et le conseil pharmaceutique. Il faut se référer au RCP détaillé ou à l'étiquetage du produit.</w:t>
      </w:r>
    </w:p>
    <w:p>
      <w:pPr>
        <w:pStyle w:val="ListNumber"/>
      </w:pPr>
      <w:r/>
      <w:r>
        <w:rPr>
          <w:b/>
        </w:rPr>
        <w:t>Multiplicité des dénominations</w:t>
      </w:r>
      <w:r>
        <w:t xml:space="preserve"> : « COMPLEXE VITAMINIQUE », « COMPLEXE VITAMINIQUE + OLIGOELEMENTS », « MULTIVITAMINES » (en pratique officinale courante), « VITAMINES B » — la diversité des dénominations ne facilite pas la standardisation des prescriptions.</w:t>
      </w:r>
    </w:p>
    <w:p>
      <w:pPr>
        <w:pStyle w:val="ListNumber"/>
      </w:pPr>
      <w:r/>
      <w:r>
        <w:rPr>
          <w:b/>
        </w:rPr>
        <w:t>Maintenance du marché</w:t>
      </w:r>
      <w:r>
        <w:t xml:space="preserve"> : la disparition des spécialités historiques (PLENYL, SURVITINE, ABECEDIN) au profit de MEGADYN illustre la recomposition du marché algérien vers des formulations plus modernes, mais le marché reste fragmenté et instable.</w:t>
      </w:r>
    </w:p>
    <w:p>
      <w:pPr>
        <w:pStyle w:val="ListNumber"/>
      </w:pPr>
      <w:r/>
      <w:r>
        <w:rPr>
          <w:b/>
        </w:rPr>
        <w:t>Encadrement réglementaire moins strict</w:t>
      </w:r>
      <w:r>
        <w:t xml:space="preserve"> : les complexes vitaminiques ne sont pas systématiquement soumis à Liste I ou Liste II, ce qui permet une dispensation plus large, mais aussi un risque d'automédication excessive (hypervitaminose A, hypervitaminose D).</w:t>
      </w:r>
    </w:p>
    <w:p>
      <w:r>
        <w:t>Le présent chapitre ne traite donc pas les multivitamines comme une DCI à part entière, mais mentionne leur existence via la spécialité MEGADYN (complexe vitaminique + oligoéléments), qui sera citée dans la fiche « Oligoéléments » en tant que formulation combinée.</w:t>
      </w:r>
    </w:p>
    <w:p>
      <w:pPr>
        <w:pStyle w:val="Heading2"/>
      </w:pPr>
      <w:r>
        <w:t>164.5. Fiches DCI</w:t>
      </w:r>
    </w:p>
    <w:p>
      <w:pPr>
        <w:pStyle w:val="Heading3"/>
      </w:pPr>
      <w:r>
        <w:t>164.5.1. Oligoéléments : Zinc, Sélénium, Cuivre, Manganèse, Chrome (groupe)</w:t>
      </w:r>
    </w:p>
    <w:p>
      <w:pPr>
        <w:pStyle w:val="Heading4"/>
      </w:pPr>
      <w:r>
        <w:t>1. Liste catégories pharmaco-thérapeutiques</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Détail</w:t>
            </w:r>
          </w:p>
        </w:tc>
      </w:tr>
      <w:tr>
        <w:tc>
          <w:tcPr>
            <w:tcW w:type="dxa" w:w="4677"/>
          </w:tcPr>
          <w:p>
            <w:r>
              <w:rPr>
                <w:sz w:val="20"/>
              </w:rPr>
              <w:t>Classe ATC</w:t>
            </w:r>
          </w:p>
        </w:tc>
        <w:tc>
          <w:tcPr>
            <w:tcW w:type="dxa" w:w="4677"/>
          </w:tcPr>
          <w:p>
            <w:r>
              <w:rPr>
                <w:sz w:val="20"/>
              </w:rPr>
              <w:t>Divers selon l'élément : Zinc = A12CB / C05AB (topique) ; Sélénium = A12CE / D01AE (topique antifongique) ; Cuivre = A12CC ; Manganèse = A12CD ; Chrome = A12CA. Associations nutritionnelles = B05XC (oligoéléments pour nutrition parentérale), A11AA (multivitamines + oligoéléments), A11AB (multivitamines + minéraux)</w:t>
            </w:r>
          </w:p>
        </w:tc>
      </w:tr>
      <w:tr>
        <w:tc>
          <w:tcPr>
            <w:tcW w:type="dxa" w:w="4677"/>
          </w:tcPr>
          <w:p>
            <w:r>
              <w:rPr>
                <w:sz w:val="20"/>
              </w:rPr>
              <w:t>Classe pharmacologique</w:t>
            </w:r>
          </w:p>
        </w:tc>
        <w:tc>
          <w:tcPr>
            <w:tcW w:type="dxa" w:w="4677"/>
          </w:tcPr>
          <w:p>
            <w:r>
              <w:rPr>
                <w:sz w:val="20"/>
              </w:rPr>
              <w:t>Oligoéléments essentiels, cofacteurs enzymatiques, compléments nutritionnels ; supérieurs à la simple supplémentation vitaminique par leur intégration au métabolisme intermédiaire (cycle de Krebs, chaîne respiratoire, antioxydants)</w:t>
            </w:r>
          </w:p>
        </w:tc>
      </w:tr>
      <w:tr>
        <w:tc>
          <w:tcPr>
            <w:tcW w:type="dxa" w:w="4677"/>
          </w:tcPr>
          <w:p>
            <w:r>
              <w:rPr>
                <w:sz w:val="20"/>
              </w:rPr>
              <w:t>Classe thérapeutique</w:t>
            </w:r>
          </w:p>
        </w:tc>
        <w:tc>
          <w:tcPr>
            <w:tcW w:type="dxa" w:w="4677"/>
          </w:tcPr>
          <w:p>
            <w:r>
              <w:rPr>
                <w:sz w:val="20"/>
              </w:rPr>
              <w:t>Supplémentation en oligoéléments : prévention et traitement des carences spécifiques (zinc, sélénium, cuivre, manganèse, chrome) ; soins de cicatrisation (cuivre + zinc topique) ; complément de nutrition parentérale</w:t>
            </w:r>
          </w:p>
        </w:tc>
      </w:tr>
      <w:tr>
        <w:tc>
          <w:tcPr>
            <w:tcW w:type="dxa" w:w="4677"/>
          </w:tcPr>
          <w:p>
            <w:r>
              <w:rPr>
                <w:sz w:val="20"/>
              </w:rPr>
              <w:t>Liste algérienne</w:t>
            </w:r>
          </w:p>
        </w:tc>
        <w:tc>
          <w:tcPr>
            <w:tcW w:type="dxa" w:w="4677"/>
          </w:tcPr>
          <w:p>
            <w:r>
              <w:rPr>
                <w:sz w:val="20"/>
              </w:rPr>
              <w:t>Variable selon la spécialité : Liste I pour TOT'HEMA ; non spécifié pour NONAN, MEGADYN, DERMOCUIVRE</w:t>
            </w:r>
          </w:p>
        </w:tc>
      </w:tr>
      <w:tr>
        <w:tc>
          <w:tcPr>
            <w:tcW w:type="dxa" w:w="4677"/>
          </w:tcPr>
          <w:p>
            <w:r>
              <w:rPr>
                <w:sz w:val="20"/>
              </w:rPr>
              <w:t>Statut réglementaire</w:t>
            </w:r>
          </w:p>
        </w:tc>
        <w:tc>
          <w:tcPr>
            <w:tcW w:type="dxa" w:w="4677"/>
          </w:tcPr>
          <w:p>
            <w:r>
              <w:rPr>
                <w:sz w:val="20"/>
              </w:rPr>
              <w:t>Médicaments soumis à prescription médicale pour les formes injectables et les spécialités à base de gluconate ferreux ; compléments nutritionnels pour les multivitamines-minéraux</w:t>
            </w:r>
          </w:p>
        </w:tc>
      </w:tr>
      <w:tr>
        <w:tc>
          <w:tcPr>
            <w:tcW w:type="dxa" w:w="4677"/>
          </w:tcPr>
          <w:p>
            <w:r>
              <w:rPr>
                <w:sz w:val="20"/>
              </w:rPr>
              <w:t>Grossesse</w:t>
            </w:r>
          </w:p>
        </w:tc>
        <w:tc>
          <w:tcPr>
            <w:tcW w:type="dxa" w:w="4677"/>
          </w:tcPr>
          <w:p>
            <w:r>
              <w:rPr>
                <w:sz w:val="20"/>
              </w:rPr>
              <w:t>Apports recommandés augmentés pendant la grossesse : zinc +25 %, sélénium +% modéré, cuivre +modéré, chrome +modéré. Aucune spécialité n'est contre-indiquée pendant la grossesse aux doses nutritionnelles recommandées. Pour TOT'HEMA, le gluconate ferreux est un traitement de choix de l'anémie ferriprive gravidique (CRAT : compatible, à utiliser aux doses thérapeutiques).</w:t>
            </w:r>
          </w:p>
        </w:tc>
      </w:tr>
      <w:tr>
        <w:tc>
          <w:tcPr>
            <w:tcW w:type="dxa" w:w="4677"/>
          </w:tcPr>
          <w:p>
            <w:r>
              <w:rPr>
                <w:sz w:val="20"/>
              </w:rPr>
              <w:t>Allaitement</w:t>
            </w:r>
          </w:p>
        </w:tc>
        <w:tc>
          <w:tcPr>
            <w:tcW w:type="dxa" w:w="4677"/>
          </w:tcPr>
          <w:p>
            <w:r>
              <w:rPr>
                <w:sz w:val="20"/>
              </w:rPr>
              <w:t>Compatible ; les oligoéléments passent dans le lait maternel et sont essentiels au nourrisson</w:t>
            </w:r>
          </w:p>
        </w:tc>
      </w:tr>
      <w:tr>
        <w:tc>
          <w:tcPr>
            <w:tcW w:type="dxa" w:w="4677"/>
          </w:tcPr>
          <w:p>
            <w:r>
              <w:rPr>
                <w:sz w:val="20"/>
              </w:rPr>
              <w:t>Conservation</w:t>
            </w:r>
          </w:p>
        </w:tc>
        <w:tc>
          <w:tcPr>
            <w:tcW w:type="dxa" w:w="4677"/>
          </w:tcPr>
          <w:p>
            <w:r>
              <w:rPr>
                <w:sz w:val="20"/>
              </w:rPr>
              <w:t>À conserver à température ≤ 25 °C, à l'abri de l'humidité et de la lumière ; les solutions buvables en ampoules doivent être conservées en position verticale et utilisées dans les 30 jours après ouverture</w:t>
            </w:r>
          </w:p>
        </w:tc>
      </w:tr>
      <w:tr>
        <w:tc>
          <w:tcPr>
            <w:tcW w:type="dxa" w:w="4677"/>
          </w:tcPr>
          <w:p>
            <w:r>
              <w:rPr>
                <w:sz w:val="20"/>
              </w:rPr>
              <w:t>Disponibilité hospitalière</w:t>
            </w:r>
          </w:p>
        </w:tc>
        <w:tc>
          <w:tcPr>
            <w:tcW w:type="dxa" w:w="4677"/>
          </w:tcPr>
          <w:p>
            <w:r>
              <w:rPr>
                <w:sz w:val="20"/>
              </w:rPr>
              <w:t>Oui, en pharmacie hospitalière (officine et hôpital) ; NONAN réservé à l'usage hospitalier pour nutrition parentérale</w:t>
            </w:r>
          </w:p>
        </w:tc>
      </w:tr>
      <w:tr>
        <w:tc>
          <w:tcPr>
            <w:tcW w:type="dxa" w:w="4677"/>
          </w:tcPr>
          <w:p>
            <w:r>
              <w:rPr>
                <w:sz w:val="20"/>
              </w:rPr>
              <w:t>Demande mondiale</w:t>
            </w:r>
          </w:p>
        </w:tc>
        <w:tc>
          <w:tcPr>
            <w:tcW w:type="dxa" w:w="4677"/>
          </w:tcPr>
          <w:p>
            <w:r>
              <w:rPr>
                <w:sz w:val="20"/>
              </w:rPr>
              <w:t>Oligoéléments inscrits sur la Liste des médicaments essentiels OMS (solutions injectables pour nutrition parentérale)</w:t>
            </w:r>
          </w:p>
        </w:tc>
      </w:tr>
    </w:tbl>
    <w:p/>
    <w:p>
      <w:r>
        <w:t>##### Spécialités commercialisées en Algérie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TOT'HEMA</w:t>
            </w:r>
          </w:p>
        </w:tc>
        <w:tc>
          <w:tcPr>
            <w:tcW w:type="dxa" w:w="1559"/>
          </w:tcPr>
          <w:p>
            <w:r>
              <w:rPr>
                <w:sz w:val="20"/>
              </w:rPr>
              <w:t>INNOTECH INTERNATIONAL</w:t>
            </w:r>
          </w:p>
        </w:tc>
        <w:tc>
          <w:tcPr>
            <w:tcW w:type="dxa" w:w="1559"/>
          </w:tcPr>
          <w:p>
            <w:r>
              <w:rPr>
                <w:sz w:val="20"/>
              </w:rPr>
              <w:t>Solution buvable en ampoule — Gluconate ferreux 50 mg / Gluconate de manganèse 1,33 mg / Gluconate de cuivre 0,70 mg par ampoule de 10 mL</w:t>
            </w:r>
          </w:p>
        </w:tc>
        <w:tc>
          <w:tcPr>
            <w:tcW w:type="dxa" w:w="1559"/>
          </w:tcPr>
          <w:p>
            <w:r>
              <w:rPr>
                <w:sz w:val="20"/>
              </w:rPr>
              <w:t>B/20 ampoules de 10 mL</w:t>
            </w:r>
          </w:p>
        </w:tc>
        <w:tc>
          <w:tcPr>
            <w:tcW w:type="dxa" w:w="1559"/>
          </w:tcPr>
          <w:p>
            <w:r>
              <w:rPr>
                <w:sz w:val="20"/>
              </w:rPr>
              <w:t>Liste I</w:t>
            </w:r>
          </w:p>
        </w:tc>
        <w:tc>
          <w:tcPr>
            <w:tcW w:type="dxa" w:w="1559"/>
          </w:tcPr>
          <w:p>
            <w:r>
              <w:rPr>
                <w:sz w:val="20"/>
              </w:rPr>
              <w:t>ACTIF</w:t>
            </w:r>
          </w:p>
        </w:tc>
      </w:tr>
      <w:tr>
        <w:tc>
          <w:tcPr>
            <w:tcW w:type="dxa" w:w="1559"/>
          </w:tcPr>
          <w:p>
            <w:r>
              <w:rPr>
                <w:sz w:val="20"/>
              </w:rPr>
              <w:t>NONAN</w:t>
            </w:r>
          </w:p>
        </w:tc>
        <w:tc>
          <w:tcPr>
            <w:tcW w:type="dxa" w:w="1559"/>
          </w:tcPr>
          <w:p>
            <w:r>
              <w:rPr>
                <w:sz w:val="20"/>
              </w:rPr>
              <w:t>AGUETTANT</w:t>
            </w:r>
          </w:p>
        </w:tc>
        <w:tc>
          <w:tcPr>
            <w:tcW w:type="dxa" w:w="1559"/>
          </w:tcPr>
          <w:p>
            <w:r>
              <w:rPr>
                <w:sz w:val="20"/>
              </w:rPr>
              <w:t>Solution injectable — Oligoéléments (composition poly-élémentaire : chrome, cuivre, fer, manganèse, molybdène, sélénium, zinc)</w:t>
            </w:r>
          </w:p>
        </w:tc>
        <w:tc>
          <w:tcPr>
            <w:tcW w:type="dxa" w:w="1559"/>
          </w:tcPr>
          <w:p>
            <w:r>
              <w:rPr>
                <w:sz w:val="20"/>
              </w:rPr>
              <w:t>B/25 flacons de 50 mL</w:t>
            </w:r>
          </w:p>
        </w:tc>
        <w:tc>
          <w:tcPr>
            <w:tcW w:type="dxa" w:w="1559"/>
          </w:tcPr>
          <w:p>
            <w:r>
              <w:rPr>
                <w:sz w:val="20"/>
              </w:rPr>
              <w:t>Non spécifié</w:t>
            </w:r>
          </w:p>
        </w:tc>
        <w:tc>
          <w:tcPr>
            <w:tcW w:type="dxa" w:w="1559"/>
          </w:tcPr>
          <w:p>
            <w:r>
              <w:rPr>
                <w:sz w:val="20"/>
              </w:rPr>
              <w:t>ACTIF</w:t>
            </w:r>
          </w:p>
        </w:tc>
      </w:tr>
      <w:tr>
        <w:tc>
          <w:tcPr>
            <w:tcW w:type="dxa" w:w="1559"/>
          </w:tcPr>
          <w:p>
            <w:r>
              <w:rPr>
                <w:sz w:val="20"/>
              </w:rPr>
              <w:t>MEGADYN</w:t>
            </w:r>
          </w:p>
        </w:tc>
        <w:tc>
          <w:tcPr>
            <w:tcW w:type="dxa" w:w="1559"/>
          </w:tcPr>
          <w:p>
            <w:r>
              <w:rPr>
                <w:sz w:val="20"/>
              </w:rPr>
              <w:t>ABDI IBRAHIM ILAÇ SANAYI VE TICARET A.Ş</w:t>
            </w:r>
          </w:p>
        </w:tc>
        <w:tc>
          <w:tcPr>
            <w:tcW w:type="dxa" w:w="1559"/>
          </w:tcPr>
          <w:p>
            <w:r>
              <w:rPr>
                <w:sz w:val="20"/>
              </w:rPr>
              <w:t>Comprimé pelliculé — Complexe vitaminique + oligoéléments (composition multivitaminée multiminérale)</w:t>
            </w:r>
          </w:p>
        </w:tc>
        <w:tc>
          <w:tcPr>
            <w:tcW w:type="dxa" w:w="1559"/>
          </w:tcPr>
          <w:p>
            <w:r>
              <w:rPr>
                <w:sz w:val="20"/>
              </w:rPr>
              <w:t>B/30 comprimés pelliculés</w:t>
            </w:r>
          </w:p>
        </w:tc>
        <w:tc>
          <w:tcPr>
            <w:tcW w:type="dxa" w:w="1559"/>
          </w:tcPr>
          <w:p>
            <w:r>
              <w:rPr>
                <w:sz w:val="20"/>
              </w:rPr>
              <w:t>Non spécifié</w:t>
            </w:r>
          </w:p>
        </w:tc>
        <w:tc>
          <w:tcPr>
            <w:tcW w:type="dxa" w:w="1559"/>
          </w:tcPr>
          <w:p>
            <w:r>
              <w:rPr>
                <w:sz w:val="20"/>
              </w:rPr>
              <w:t>ACTIF</w:t>
            </w:r>
          </w:p>
        </w:tc>
      </w:tr>
      <w:tr>
        <w:tc>
          <w:tcPr>
            <w:tcW w:type="dxa" w:w="1559"/>
          </w:tcPr>
          <w:p>
            <w:r>
              <w:rPr>
                <w:sz w:val="20"/>
              </w:rPr>
              <w:t>DERMOCUIVRE</w:t>
            </w:r>
          </w:p>
        </w:tc>
        <w:tc>
          <w:tcPr>
            <w:tcW w:type="dxa" w:w="1559"/>
          </w:tcPr>
          <w:p>
            <w:r>
              <w:rPr>
                <w:sz w:val="20"/>
              </w:rPr>
              <w:t>CHAUVIN</w:t>
            </w:r>
          </w:p>
        </w:tc>
        <w:tc>
          <w:tcPr>
            <w:tcW w:type="dxa" w:w="1559"/>
          </w:tcPr>
          <w:p>
            <w:r>
              <w:rPr>
                <w:sz w:val="20"/>
              </w:rPr>
              <w:t>Pommade dermique — Sulfate de cuivre 0,2 % / Oxyde de zinc 10 %</w:t>
            </w:r>
          </w:p>
        </w:tc>
        <w:tc>
          <w:tcPr>
            <w:tcW w:type="dxa" w:w="1559"/>
          </w:tcPr>
          <w:p>
            <w:r>
              <w:rPr>
                <w:sz w:val="20"/>
              </w:rPr>
              <w:t>Tube de 25 g et tube de 100 g</w:t>
            </w:r>
          </w:p>
        </w:tc>
        <w:tc>
          <w:tcPr>
            <w:tcW w:type="dxa" w:w="1559"/>
          </w:tcPr>
          <w:p>
            <w:r>
              <w:rPr>
                <w:sz w:val="20"/>
              </w:rPr>
              <w:t>Non spécifié</w:t>
            </w:r>
          </w:p>
        </w:tc>
        <w:tc>
          <w:tcPr>
            <w:tcW w:type="dxa" w:w="1559"/>
          </w:tcPr>
          <w:p>
            <w:r>
              <w:rPr>
                <w:sz w:val="20"/>
              </w:rPr>
              <w:t>NON_RENOUVELABLE</w:t>
            </w:r>
          </w:p>
        </w:tc>
      </w:tr>
      <w:tr>
        <w:tc>
          <w:tcPr>
            <w:tcW w:type="dxa" w:w="1559"/>
          </w:tcPr>
          <w:p>
            <w:r>
              <w:rPr>
                <w:sz w:val="20"/>
              </w:rPr>
              <w:t>SURVITINE</w:t>
            </w:r>
          </w:p>
        </w:tc>
        <w:tc>
          <w:tcPr>
            <w:tcW w:type="dxa" w:w="1559"/>
          </w:tcPr>
          <w:p>
            <w:r>
              <w:rPr>
                <w:sz w:val="20"/>
              </w:rPr>
              <w:t>AUGOT SODIPHARDE</w:t>
            </w:r>
          </w:p>
        </w:tc>
        <w:tc>
          <w:tcPr>
            <w:tcW w:type="dxa" w:w="1559"/>
          </w:tcPr>
          <w:p>
            <w:r>
              <w:rPr>
                <w:sz w:val="20"/>
              </w:rPr>
              <w:t>Comprimé à croquer — Complexe vitaminique + oligoéléments</w:t>
            </w:r>
          </w:p>
        </w:tc>
        <w:tc>
          <w:tcPr>
            <w:tcW w:type="dxa" w:w="1559"/>
          </w:tcPr>
          <w:p>
            <w:r>
              <w:rPr>
                <w:sz w:val="20"/>
              </w:rPr>
              <w:t>B/30 comprimés à croquer</w:t>
            </w:r>
          </w:p>
        </w:tc>
        <w:tc>
          <w:tcPr>
            <w:tcW w:type="dxa" w:w="1559"/>
          </w:tcPr>
          <w:p>
            <w:r>
              <w:rPr>
                <w:sz w:val="20"/>
              </w:rPr>
              <w:t>Non spécifié</w:t>
            </w:r>
          </w:p>
        </w:tc>
        <w:tc>
          <w:tcPr>
            <w:tcW w:type="dxa" w:w="1559"/>
          </w:tcPr>
          <w:p>
            <w:r>
              <w:rPr>
                <w:sz w:val="20"/>
              </w:rPr>
              <w:t>RETRAIT</w:t>
            </w:r>
          </w:p>
        </w:tc>
      </w:tr>
      <w:tr>
        <w:tc>
          <w:tcPr>
            <w:tcW w:type="dxa" w:w="1559"/>
          </w:tcPr>
          <w:p>
            <w:r>
              <w:rPr>
                <w:sz w:val="20"/>
              </w:rPr>
              <w:t>PLENYL (croquer)</w:t>
            </w:r>
          </w:p>
        </w:tc>
        <w:tc>
          <w:tcPr>
            <w:tcW w:type="dxa" w:w="1559"/>
          </w:tcPr>
          <w:p>
            <w:r>
              <w:rPr>
                <w:sz w:val="20"/>
              </w:rPr>
              <w:t>UPSA</w:t>
            </w:r>
          </w:p>
        </w:tc>
        <w:tc>
          <w:tcPr>
            <w:tcW w:type="dxa" w:w="1559"/>
          </w:tcPr>
          <w:p>
            <w:r>
              <w:rPr>
                <w:sz w:val="20"/>
              </w:rPr>
              <w:t>Comprimé à croquer — Complexe vitaminique + oligoéléments</w:t>
            </w:r>
          </w:p>
        </w:tc>
        <w:tc>
          <w:tcPr>
            <w:tcW w:type="dxa" w:w="1559"/>
          </w:tcPr>
          <w:p>
            <w:r>
              <w:rPr>
                <w:sz w:val="20"/>
              </w:rPr>
              <w:t>B/15 comprimés à croquer</w:t>
            </w:r>
          </w:p>
        </w:tc>
        <w:tc>
          <w:tcPr>
            <w:tcW w:type="dxa" w:w="1559"/>
          </w:tcPr>
          <w:p>
            <w:r>
              <w:rPr>
                <w:sz w:val="20"/>
              </w:rPr>
              <w:t>Non spécifié</w:t>
            </w:r>
          </w:p>
        </w:tc>
        <w:tc>
          <w:tcPr>
            <w:tcW w:type="dxa" w:w="1559"/>
          </w:tcPr>
          <w:p>
            <w:r>
              <w:rPr>
                <w:sz w:val="20"/>
              </w:rPr>
              <w:t>RETRAIT</w:t>
            </w:r>
          </w:p>
        </w:tc>
      </w:tr>
      <w:tr>
        <w:tc>
          <w:tcPr>
            <w:tcW w:type="dxa" w:w="1559"/>
          </w:tcPr>
          <w:p>
            <w:r>
              <w:rPr>
                <w:sz w:val="20"/>
              </w:rPr>
              <w:t>PLENYL (effervescent)</w:t>
            </w:r>
          </w:p>
        </w:tc>
        <w:tc>
          <w:tcPr>
            <w:tcW w:type="dxa" w:w="1559"/>
          </w:tcPr>
          <w:p>
            <w:r>
              <w:rPr>
                <w:sz w:val="20"/>
              </w:rPr>
              <w:t>UPSA</w:t>
            </w:r>
          </w:p>
        </w:tc>
        <w:tc>
          <w:tcPr>
            <w:tcW w:type="dxa" w:w="1559"/>
          </w:tcPr>
          <w:p>
            <w:r>
              <w:rPr>
                <w:sz w:val="20"/>
              </w:rPr>
              <w:t>Comprimé effervescent — Complexe vitaminique + oligoéléments</w:t>
            </w:r>
          </w:p>
        </w:tc>
        <w:tc>
          <w:tcPr>
            <w:tcW w:type="dxa" w:w="1559"/>
          </w:tcPr>
          <w:p>
            <w:r>
              <w:rPr>
                <w:sz w:val="20"/>
              </w:rPr>
              <w:t>B/15 comprimés effervescents</w:t>
            </w:r>
          </w:p>
        </w:tc>
        <w:tc>
          <w:tcPr>
            <w:tcW w:type="dxa" w:w="1559"/>
          </w:tcPr>
          <w:p>
            <w:r>
              <w:rPr>
                <w:sz w:val="20"/>
              </w:rPr>
              <w:t>Non spécifié</w:t>
            </w:r>
          </w:p>
        </w:tc>
        <w:tc>
          <w:tcPr>
            <w:tcW w:type="dxa" w:w="1559"/>
          </w:tcPr>
          <w:p>
            <w:r>
              <w:rPr>
                <w:sz w:val="20"/>
              </w:rPr>
              <w:t>RETRAIT</w:t>
            </w:r>
          </w:p>
        </w:tc>
      </w:tr>
      <w:tr>
        <w:tc>
          <w:tcPr>
            <w:tcW w:type="dxa" w:w="1559"/>
          </w:tcPr>
          <w:p>
            <w:r>
              <w:rPr>
                <w:sz w:val="20"/>
              </w:rPr>
              <w:t>ABECEDIN</w:t>
            </w:r>
          </w:p>
        </w:tc>
        <w:tc>
          <w:tcPr>
            <w:tcW w:type="dxa" w:w="1559"/>
          </w:tcPr>
          <w:p>
            <w:r>
              <w:rPr>
                <w:sz w:val="20"/>
              </w:rPr>
              <w:t>PETRA PHARM</w:t>
            </w:r>
          </w:p>
        </w:tc>
        <w:tc>
          <w:tcPr>
            <w:tcW w:type="dxa" w:w="1559"/>
          </w:tcPr>
          <w:p>
            <w:r>
              <w:rPr>
                <w:sz w:val="20"/>
              </w:rPr>
              <w:t>Comprimé sec — Complexe vitaminique + oligoéléments</w:t>
            </w:r>
          </w:p>
        </w:tc>
        <w:tc>
          <w:tcPr>
            <w:tcW w:type="dxa" w:w="1559"/>
          </w:tcPr>
          <w:p>
            <w:r>
              <w:rPr>
                <w:sz w:val="20"/>
              </w:rPr>
              <w:t>B/30 comprimés secs</w:t>
            </w:r>
          </w:p>
        </w:tc>
        <w:tc>
          <w:tcPr>
            <w:tcW w:type="dxa" w:w="1559"/>
          </w:tcPr>
          <w:p>
            <w:r>
              <w:rPr>
                <w:sz w:val="20"/>
              </w:rPr>
              <w:t>Non spécifié</w:t>
            </w:r>
          </w:p>
        </w:tc>
        <w:tc>
          <w:tcPr>
            <w:tcW w:type="dxa" w:w="1559"/>
          </w:tcPr>
          <w:p>
            <w:r>
              <w:rPr>
                <w:sz w:val="20"/>
              </w:rPr>
              <w:t>RETRAIT</w:t>
            </w:r>
          </w:p>
        </w:tc>
      </w:tr>
    </w:tbl>
    <w:p/>
    <w:p>
      <w:pPr>
        <w:pStyle w:val="Heading4"/>
      </w:pPr>
      <w:r>
        <w:t>2. Mécanisme d'action moléculaire, cellulaire et physiologique</w:t>
      </w:r>
    </w:p>
    <w:p>
      <w:r>
        <w:t xml:space="preserve">Le mécanisme d'action des oligoéléments est fondamentalement différent de celui des autres classes médicamenteuses : il ne s'agit pas d'une action pharmacodynamique directe sur un récepteur, mais d'une </w:t>
      </w:r>
      <w:r>
        <w:rPr>
          <w:b/>
        </w:rPr>
        <w:t>restauration du pool fonctionnel d'un cofacteur enzymatique</w:t>
      </w:r>
      <w:r>
        <w:t>. Chaque oligoélément a une spécificité d'action enzymatique propre, mais leur logique commune est la suivante : un déficit en apport entraîne une baisse de l'activité de l'enzyme correspondante, et la supplémentation restaure cette activité.</w:t>
      </w:r>
    </w:p>
    <w:p>
      <w:r/>
      <w:r>
        <w:rPr>
          <w:b/>
        </w:rPr>
        <w:t>Zinc (Zn)</w:t>
      </w:r>
      <w:r/>
    </w:p>
    <w:p>
      <w:r>
        <w:t>Le zinc est le cofacteur métallique de plus de 300 métalloenzymes. Ses rôles biologiques principaux sont :</w:t>
      </w:r>
    </w:p>
    <w:p>
      <w:pPr>
        <w:pStyle w:val="ListBullet"/>
      </w:pPr>
      <w:r/>
      <w:r>
        <w:rPr>
          <w:b/>
        </w:rPr>
        <w:t>Synthèse de l'ADN et de l'ARN</w:t>
      </w:r>
      <w:r>
        <w:t xml:space="preserve"> : le zinc est le cofacteur des ADN polymérases α, δ, ε et des ARN polymérases I, II, III. Il intervient également dans la structure tridimensionnelle des « zinc fingers » (doigts de zinc), motifs structuraux de nombreuses protéines régulatrices de la transcription, dont les récepteurs nucléaires des glucocorticoïdes, des œstrogènes, des androgènes, de l'acide rétinoïque et de la vitamine D.</w:t>
      </w:r>
    </w:p>
    <w:p>
      <w:pPr>
        <w:pStyle w:val="ListBullet"/>
      </w:pPr>
      <w:r/>
      <w:r>
        <w:rPr>
          <w:b/>
        </w:rPr>
        <w:t>Système immunitaire</w:t>
      </w:r>
      <w:r>
        <w:t xml:space="preserve"> : le zinc est indispensable à la maturation des lymphocytes T (thymuline, une hormone thymique, est zinc-dépendante), à la fonction des cellules NK, à la phagocytose. La carence en zinc entraîne une involution thymique, une lymphopénie T, et une susceptibilité accrue aux infections (respiratoires, diarrhéiques).</w:t>
      </w:r>
    </w:p>
    <w:p>
      <w:pPr>
        <w:pStyle w:val="ListBullet"/>
      </w:pPr>
      <w:r/>
      <w:r>
        <w:rPr>
          <w:b/>
        </w:rPr>
        <w:t>Cicatrisation</w:t>
      </w:r>
      <w:r>
        <w:t xml:space="preserve"> : le zinc est cofacteur de la collagénase et d'autres métalloprotéinases impliquées dans le remodelage matriciel. La supplémentation en zinc accélère la cicatrisation des plaies chroniques (ulcères de jambe, escarres).</w:t>
      </w:r>
    </w:p>
    <w:p>
      <w:pPr>
        <w:pStyle w:val="ListBullet"/>
      </w:pPr>
      <w:r/>
      <w:r>
        <w:rPr>
          <w:b/>
        </w:rPr>
        <w:t>Goût et olfaction</w:t>
      </w:r>
      <w:r>
        <w:t xml:space="preserve"> : la gustine, protéine salivaire impliquée dans la perception du goût, est zinc-dépendante. La carence en zinc entraîne une hypogueusie, voire une agueusie.</w:t>
      </w:r>
    </w:p>
    <w:p>
      <w:pPr>
        <w:pStyle w:val="ListBullet"/>
      </w:pPr>
      <w:r/>
      <w:r>
        <w:rPr>
          <w:b/>
        </w:rPr>
        <w:t>Antioxydant</w:t>
      </w:r>
      <w:r>
        <w:t xml:space="preserve"> : le zinc est cofacteur de la superoxyde dismutase cytosolique (Cu/Zn-SOD), qui détoxifie l'anion superoxyde O2-.</w:t>
      </w:r>
    </w:p>
    <w:p>
      <w:pPr>
        <w:pStyle w:val="ListBullet"/>
      </w:pPr>
      <w:r/>
      <w:r>
        <w:rPr>
          <w:b/>
        </w:rPr>
        <w:t>Croissance</w:t>
      </w:r>
      <w:r>
        <w:t xml:space="preserve"> : le zinc est indispensable à la croissance osseuse, à la division cellulaire et à la différenciation. La carence sévère de l'enfant entraîne un retard de croissance staturale et un hypogonadisme.</w:t>
      </w:r>
    </w:p>
    <w:p>
      <w:r/>
      <w:r>
        <w:rPr>
          <w:b/>
        </w:rPr>
        <w:t>Sélénium (Se)</w:t>
      </w:r>
      <w:r/>
    </w:p>
    <w:p>
      <w:r>
        <w:t>Le sélénium est l'oligoélément le plus récemment reconnu comme essentiel (1957). Il est incorporé dans les sélénoprotéines sous forme de sélénocystéine, un acide aminé rare. Les principales sélénoprotéines sont :</w:t>
      </w:r>
    </w:p>
    <w:p>
      <w:pPr>
        <w:pStyle w:val="ListBullet"/>
      </w:pPr>
      <w:r/>
      <w:r>
        <w:rPr>
          <w:b/>
        </w:rPr>
        <w:t>Glutathion peroxydases (GPx1 à GPx6)</w:t>
      </w:r>
      <w:r>
        <w:t xml:space="preserve"> : enzymes antioxydantes qui catalysent la réduction du peroxyde d'hydrogène (H2O2) et des hydroperoxydes lipidiques en eau et en alcools respectivement, en utilisant le glutathion (GSH) comme donneur d'électrons. Cette activité protège les membranes cellulaires du stress oxydatif.</w:t>
      </w:r>
    </w:p>
    <w:p>
      <w:pPr>
        <w:pStyle w:val="ListBullet"/>
      </w:pPr>
      <w:r/>
      <w:r>
        <w:rPr>
          <w:b/>
        </w:rPr>
        <w:t>Thiorédoxine réductases (TrxR1, TrxR2, TrxR3)</w:t>
      </w:r>
      <w:r>
        <w:t xml:space="preserve"> : maintiennent la thioredoxine sous forme réduite, essentielle à la synthèse de l'ADN et à la défense antioxydante.</w:t>
      </w:r>
    </w:p>
    <w:p>
      <w:pPr>
        <w:pStyle w:val="ListBullet"/>
      </w:pPr>
      <w:r/>
      <w:r>
        <w:rPr>
          <w:b/>
        </w:rPr>
        <w:t>Déiodinases de type I, II et III (DIO1, DIO2, DIO3)</w:t>
      </w:r>
      <w:r>
        <w:t xml:space="preserve"> : enzymes qui contrôlent la conversion de la thyroxine (T4, prohormone) en triiodothyronine (T3, hormone biologiquement active) et en reverse-T3 (rT3, inactive). Une carence en sélénium induit un hypothyroïdisme périphérique par défaut de conversion T4→T3.</w:t>
      </w:r>
    </w:p>
    <w:p>
      <w:pPr>
        <w:pStyle w:val="ListBullet"/>
      </w:pPr>
      <w:r/>
      <w:r>
        <w:rPr>
          <w:b/>
        </w:rPr>
        <w:t>Sélénoprotéine P</w:t>
      </w:r>
      <w:r>
        <w:t xml:space="preserve"> : transporteur plasmatique du sélénium vers les tissus cibles (cerveau, testicule).</w:t>
      </w:r>
    </w:p>
    <w:p>
      <w:r>
        <w:t xml:space="preserve">Les carences en sélénium ont été identifiées dans deux endémies historiques : la </w:t>
      </w:r>
      <w:r>
        <w:rPr>
          <w:b/>
        </w:rPr>
        <w:t>cardiomyopathie de Keshan</w:t>
      </w:r>
      <w:r>
        <w:t xml:space="preserve"> (région de Keshan, Chine, dans les sols déficients en sélénium) et la </w:t>
      </w:r>
      <w:r>
        <w:rPr>
          <w:b/>
        </w:rPr>
        <w:t>chondrodystrophie de Kashin-Beck</w:t>
      </w:r>
      <w:r>
        <w:t xml:space="preserve"> (ostéoarthropathie endémique des régions déficientes en sélénium et en iode, Tibet, Sibérie, Corée du Nord).</w:t>
      </w:r>
    </w:p>
    <w:p>
      <w:r/>
      <w:r>
        <w:rPr>
          <w:b/>
        </w:rPr>
        <w:t>Cuivre (Cu)</w:t>
      </w:r>
      <w:r/>
    </w:p>
    <w:p>
      <w:r>
        <w:t>Le cuivre est le cofacteur de plusieurs enzymes critiques :</w:t>
      </w:r>
    </w:p>
    <w:p>
      <w:pPr>
        <w:pStyle w:val="ListBullet"/>
      </w:pPr>
      <w:r/>
      <w:r>
        <w:rPr>
          <w:b/>
        </w:rPr>
        <w:t>Cytochrome C oxydase</w:t>
      </w:r>
      <w:r>
        <w:t xml:space="preserve"> : complexe IV de la chaîne respiratoire mitochondriale, assure la réduction de l'oxygène en eau, étape finale de la phosphorylation oxydative. Une carence en cuivre entraîne un défaut de production d'ATP.</w:t>
      </w:r>
    </w:p>
    <w:p>
      <w:pPr>
        <w:pStyle w:val="ListBullet"/>
      </w:pPr>
      <w:r/>
      <w:r>
        <w:rPr>
          <w:b/>
        </w:rPr>
        <w:t>Céruloplasmine</w:t>
      </w:r>
      <w:r>
        <w:t xml:space="preserve"> : ferroxydase plasmatique qui oxyde le fer ferreux (Fe2+) en fer ferrique (Fe3+), permettant son incorporation dans la transferrine. Une carence en cuivre entraîne une anémie microcytaire fer-réfractaire (le fer s'accumule dans les tissus sans pouvoir être transporté).</w:t>
      </w:r>
    </w:p>
    <w:p>
      <w:pPr>
        <w:pStyle w:val="ListBullet"/>
      </w:pPr>
      <w:r/>
      <w:r>
        <w:rPr>
          <w:b/>
        </w:rPr>
        <w:t>Lysyl oxydase</w:t>
      </w:r>
      <w:r>
        <w:t xml:space="preserve"> : enzyme de maturation du collagène et de l'élastine, en catalysant l'oxydation des résidus lysine en allysine (précurseur des pontages inter-moléculaires). Une carence en cuivre entraîne un défaut de pontage du collagène, une ostéoporose et des anévrismes artériels.</w:t>
      </w:r>
    </w:p>
    <w:p>
      <w:pPr>
        <w:pStyle w:val="ListBullet"/>
      </w:pPr>
      <w:r/>
      <w:r>
        <w:rPr>
          <w:b/>
        </w:rPr>
        <w:t>Cu/Zn-SOD</w:t>
      </w:r>
      <w:r>
        <w:t xml:space="preserve"> : défense antioxydante cytosolique.</w:t>
      </w:r>
    </w:p>
    <w:p>
      <w:pPr>
        <w:pStyle w:val="ListBullet"/>
      </w:pPr>
      <w:r/>
      <w:r>
        <w:rPr>
          <w:b/>
        </w:rPr>
        <w:t>Tyrosinase</w:t>
      </w:r>
      <w:r>
        <w:t xml:space="preserve"> : enzyme de la mélanogenèse, explains le dépigmentation cutanée de la carence en cuivre (Ménkès).</w:t>
      </w:r>
    </w:p>
    <w:p>
      <w:pPr>
        <w:pStyle w:val="ListBullet"/>
      </w:pPr>
      <w:r/>
      <w:r>
        <w:rPr>
          <w:b/>
        </w:rPr>
        <w:t>Dopamine β-hydroxylase</w:t>
      </w:r>
      <w:r>
        <w:t xml:space="preserve"> : enzyme de la synthèse de la noradrénaline à partir de la dopamine, explains les troubles neurologiques de la carence en cuivre.</w:t>
      </w:r>
    </w:p>
    <w:p>
      <w:r>
        <w:t>Le cuivre est également impliqué dans la coagulation (facteur V et VIII), la fer oxydation, et l'immunité (neutropénie en cas de carence).</w:t>
      </w:r>
    </w:p>
    <w:p>
      <w:r/>
      <w:r>
        <w:rPr>
          <w:b/>
        </w:rPr>
        <w:t>Manganèse (Mn)</w:t>
      </w:r>
      <w:r/>
    </w:p>
    <w:p>
      <w:r>
        <w:t>Le manganèse est un cofacteur de plusieurs enzymes essentielles :</w:t>
      </w:r>
    </w:p>
    <w:p>
      <w:pPr>
        <w:pStyle w:val="ListBullet"/>
      </w:pPr>
      <w:r/>
      <w:r>
        <w:rPr>
          <w:b/>
        </w:rPr>
        <w:t>MnSOD (superoxyde dismutase mitochondriale)</w:t>
      </w:r>
      <w:r>
        <w:t xml:space="preserve"> : défense antioxydante mitochondriale, détoxifie l'anion superoxyde produit par la chaîne respiratoire mitochondriale.</w:t>
      </w:r>
    </w:p>
    <w:p>
      <w:pPr>
        <w:pStyle w:val="ListBullet"/>
      </w:pPr>
      <w:r/>
      <w:r>
        <w:rPr>
          <w:b/>
        </w:rPr>
        <w:t>Glycosyltransférases</w:t>
      </w:r>
      <w:r>
        <w:t xml:space="preserve"> : enzymes de la synthèse des glycoprotéines et glycosaminoglycanes (chondroïtine sulfate, héparane sulfate), essentiels au cartilage articulaire, à la matrice osseuse, et aux mucines.</w:t>
      </w:r>
    </w:p>
    <w:p>
      <w:pPr>
        <w:pStyle w:val="ListBullet"/>
      </w:pPr>
      <w:r/>
      <w:r>
        <w:rPr>
          <w:b/>
        </w:rPr>
        <w:t>Pyruvate carboxylase</w:t>
      </w:r>
      <w:r>
        <w:t xml:space="preserve"> : enzyme de la néoglucogenèse, convertit le pyruvate en oxaloacétate.</w:t>
      </w:r>
    </w:p>
    <w:p>
      <w:pPr>
        <w:pStyle w:val="ListBullet"/>
      </w:pPr>
      <w:r/>
      <w:r>
        <w:rPr>
          <w:b/>
        </w:rPr>
        <w:t>Arginase</w:t>
      </w:r>
      <w:r>
        <w:t xml:space="preserve"> : enzyme du cycle de l'urée, convertit l'arginine en ornithine et urée.</w:t>
      </w:r>
    </w:p>
    <w:p>
      <w:r>
        <w:t>Le manganèse est concentré dans les mitochondries, notamment dans le striatum cérébral (noyau caudé, putamen). Une intoxication chronique par inhalation (mineurs, soudeurs) entraîne un syndrome parkinsonien (« manganisme ») par atteinte des ganglions de la base, distinct de la maladie de Parkinson idiopathique. La carence en manganèse, rare chez l'homme, est associée à des anomalies de la croissance, de la coagulation et de la minéralisation osseuse.</w:t>
      </w:r>
    </w:p>
    <w:p>
      <w:r/>
      <w:r>
        <w:rPr>
          <w:b/>
        </w:rPr>
        <w:t>Chrome (Cr)</w:t>
      </w:r>
      <w:r/>
    </w:p>
    <w:p>
      <w:r>
        <w:t xml:space="preserve">Le chrome est l'oligoélément au rôle physiologique le plus débattu. Il est réputé potentialiser l'action de l'insuline via le </w:t>
      </w:r>
      <w:r>
        <w:rPr>
          <w:b/>
        </w:rPr>
        <w:t>Glucose Tolerance Factor (GTF)</w:t>
      </w:r>
      <w:r>
        <w:t>, un complexe organo-chromé contenant du chrome trivalent (Cr3+), de l'acide nicotinique (niacine/vitamine PP), de la glycine, de la cystéine et de l'acide glutamique. Le GTF augmenterait l'affinité de l'insuline pour son récepteur et potentialiserait l'activité tyrosine-kinase du récepteur de l'insuline, facilitant ainsi le captage cellulaire du glucose.</w:t>
      </w:r>
    </w:p>
    <w:p>
      <w:r>
        <w:t>La carence expérimentale en chrome (chez l'animal et chez l'homme sous nutrition parentérale prolongée sans supplémentation) entraîne une intolérance glucidique, une hyperglycémie, une résistance à l'insuline, une dyslipidémie et une neuropathie. Ces anomalies sont réversibles par supplémentation en chrome. Cependant, l'efficacité de la supplémentation en chrome chez le diabétique de type 2 non carencé reste débattue : les méta-analyses récentes (Cochrane 2019) concluent à un effet modeste, non significatif cliniquement, sur l'HbA1c.</w:t>
      </w:r>
    </w:p>
    <w:p>
      <w:r>
        <w:t>Le chrome trivalent (Cr3+) est la forme nutritionnelle active. Le chrome hexavalent (Cr6+) est toxique (cancérigène pulmonaire par inhalation chez les soudeurs et chromateurs) — il s'agit d'une exposition industrielle sans rapport avec la supplémentation nutritionnelle.</w:t>
      </w:r>
    </w:p>
    <w:p>
      <w:pPr>
        <w:pStyle w:val="Heading4"/>
      </w:pPr>
      <w:r>
        <w:t>3. Pharmacocinétique</w:t>
      </w:r>
    </w:p>
    <w:p>
      <w:r/>
      <w:r>
        <w:rPr>
          <w:b/>
        </w:rPr>
        <w:t>Zinc</w:t>
      </w:r>
      <w:r/>
    </w:p>
    <w:p>
      <w:pPr>
        <w:pStyle w:val="ListBullet"/>
      </w:pPr>
      <w:r/>
      <w:r>
        <w:rPr>
          <w:b/>
        </w:rPr>
        <w:t>Absorption</w:t>
      </w:r>
      <w:r>
        <w:t xml:space="preserve"> : 20 à 40 % de la dose ingérée, principalement au niveau duodéno-jéjunal, par les transporteurs ZIP4 (uptake) et ZNT1 (efflux). Compétition avec le fer, le calcium, le cuivre pour les transporteurs DMT1.</w:t>
      </w:r>
    </w:p>
    <w:p>
      <w:pPr>
        <w:pStyle w:val="ListBullet"/>
      </w:pPr>
      <w:r/>
      <w:r>
        <w:rPr>
          <w:b/>
        </w:rPr>
        <w:t>Distribution</w:t>
      </w:r>
      <w:r>
        <w:t xml:space="preserve"> : 2 à 3 g dans l'organisme, principalement dans le muscle squelettique (60 %), l'os (30 %), la prostate, la rétine, le foie. La concentration intracellulaire est 100 à 500 fois supérieure à la concentration plasmatique.</w:t>
      </w:r>
    </w:p>
    <w:p>
      <w:pPr>
        <w:pStyle w:val="ListBullet"/>
      </w:pPr>
      <w:r/>
      <w:r>
        <w:rPr>
          <w:b/>
        </w:rPr>
        <w:t>Transport plasmatique</w:t>
      </w:r>
      <w:r>
        <w:t xml:space="preserve"> : 60 % lié à l'albumine, 30 % lié à l'α2-macroglobuline, 10 % libre.</w:t>
      </w:r>
    </w:p>
    <w:p>
      <w:pPr>
        <w:pStyle w:val="ListBullet"/>
      </w:pPr>
      <w:r/>
      <w:r>
        <w:rPr>
          <w:b/>
        </w:rPr>
        <w:t>Métabolisme</w:t>
      </w:r>
      <w:r>
        <w:t xml:space="preserve"> : pas de métabolisme, mais échange entre les pools tissulaires.</w:t>
      </w:r>
    </w:p>
    <w:p>
      <w:pPr>
        <w:pStyle w:val="ListBullet"/>
      </w:pPr>
      <w:r/>
      <w:r>
        <w:rPr>
          <w:b/>
        </w:rPr>
        <w:t>Élimination</w:t>
      </w:r>
      <w:r>
        <w:t xml:space="preserve"> : principalement fécale (voie pancréatique et biliaire) — 90 % ; urinaire — 10 %.</w:t>
      </w:r>
    </w:p>
    <w:p>
      <w:pPr>
        <w:pStyle w:val="ListBullet"/>
      </w:pPr>
      <w:r/>
      <w:r>
        <w:rPr>
          <w:b/>
        </w:rPr>
        <w:t>Demi-vie d'élimination</w:t>
      </w:r>
      <w:r>
        <w:t xml:space="preserve"> : 10 à 30 jours selon le pool tissulaire.</w:t>
      </w:r>
    </w:p>
    <w:p>
      <w:r/>
      <w:r>
        <w:rPr>
          <w:b/>
        </w:rPr>
        <w:t>Sélénium</w:t>
      </w:r>
      <w:r/>
    </w:p>
    <w:p>
      <w:pPr>
        <w:pStyle w:val="ListBullet"/>
      </w:pPr>
      <w:r/>
      <w:r>
        <w:rPr>
          <w:b/>
        </w:rPr>
        <w:t>Absorption</w:t>
      </w:r>
      <w:r>
        <w:t xml:space="preserve"> : 80 % (très bonne biodisponibilité), principalement sous forme de sélénométhionine (intégrée dans les protéines à la place de la méthionine) et de sélénocystéine.</w:t>
      </w:r>
    </w:p>
    <w:p>
      <w:pPr>
        <w:pStyle w:val="ListBullet"/>
      </w:pPr>
      <w:r/>
      <w:r>
        <w:rPr>
          <w:b/>
        </w:rPr>
        <w:t>Distribution</w:t>
      </w:r>
      <w:r>
        <w:t xml:space="preserve"> : 13 à 20 mg dans l'organisme, principalement dans le muscle squelettique (40 %), le foie, les reins, la thyroïde (concentration la plus élevée par gramme de tissu).</w:t>
      </w:r>
    </w:p>
    <w:p>
      <w:pPr>
        <w:pStyle w:val="ListBullet"/>
      </w:pPr>
      <w:r/>
      <w:r>
        <w:rPr>
          <w:b/>
        </w:rPr>
        <w:t>Transport plasmatique</w:t>
      </w:r>
      <w:r>
        <w:t xml:space="preserve"> : sélénoprotéine P (60 %), albumine, glutathion peroxydase.</w:t>
      </w:r>
    </w:p>
    <w:p>
      <w:pPr>
        <w:pStyle w:val="ListBullet"/>
      </w:pPr>
      <w:r/>
      <w:r>
        <w:rPr>
          <w:b/>
        </w:rPr>
        <w:t>Métabolisme</w:t>
      </w:r>
      <w:r>
        <w:t xml:space="preserve"> : méthylation hépatique en diméthylsélénide (volatil, excrétion pulmonaire — odeur ailée de l'haleine) et triméthylsélénium (urinaire).</w:t>
      </w:r>
    </w:p>
    <w:p>
      <w:pPr>
        <w:pStyle w:val="ListBullet"/>
      </w:pPr>
      <w:r/>
      <w:r>
        <w:rPr>
          <w:b/>
        </w:rPr>
        <w:t>Élimination</w:t>
      </w:r>
      <w:r>
        <w:t xml:space="preserve"> : urinaire (50 à 80 %), fécale (20 à 50 %), pulmonaire (très faible).</w:t>
      </w:r>
    </w:p>
    <w:p>
      <w:pPr>
        <w:pStyle w:val="ListBullet"/>
      </w:pPr>
      <w:r/>
      <w:r>
        <w:rPr>
          <w:b/>
        </w:rPr>
        <w:t>Demi-vie d'élimination</w:t>
      </w:r>
      <w:r>
        <w:t xml:space="preserve"> : 1 à 3 jours pour les composés inorganiques, 20 à 30 jours pour la sélénométhionine.</w:t>
      </w:r>
    </w:p>
    <w:p>
      <w:r/>
      <w:r>
        <w:rPr>
          <w:b/>
        </w:rPr>
        <w:t>Cuivre</w:t>
      </w:r>
      <w:r/>
    </w:p>
    <w:p>
      <w:pPr>
        <w:pStyle w:val="ListBullet"/>
      </w:pPr>
      <w:r/>
      <w:r>
        <w:rPr>
          <w:b/>
        </w:rPr>
        <w:t>Absorption</w:t>
      </w:r>
      <w:r>
        <w:t xml:space="preserve"> : 30 à 50 %, principalement au niveau duodéno-jéjunal, par le transporteur CTR1. Compétition avec le zinc et le fer.</w:t>
      </w:r>
    </w:p>
    <w:p>
      <w:pPr>
        <w:pStyle w:val="ListBullet"/>
      </w:pPr>
      <w:r/>
      <w:r>
        <w:rPr>
          <w:b/>
        </w:rPr>
        <w:t>Distribution</w:t>
      </w:r>
      <w:r>
        <w:t xml:space="preserve"> : 100 à 150 mg dans l'organisme, principalement dans le foie (35 %), le cerveau, le cœur, les reins, le muscle squelettique.</w:t>
      </w:r>
    </w:p>
    <w:p>
      <w:pPr>
        <w:pStyle w:val="ListBullet"/>
      </w:pPr>
      <w:r/>
      <w:r>
        <w:rPr>
          <w:b/>
        </w:rPr>
        <w:t>Transport plasmatique</w:t>
      </w:r>
      <w:r>
        <w:t xml:space="preserve"> : la céruloplasmine transporte 95 % du cuivre plasmatique ; l'albumine et l'α2-macroglobuline transportent les 5 % restants (cuivre échangeable).</w:t>
      </w:r>
    </w:p>
    <w:p>
      <w:pPr>
        <w:pStyle w:val="ListBullet"/>
      </w:pPr>
      <w:r/>
      <w:r>
        <w:rPr>
          <w:b/>
        </w:rPr>
        <w:t>Métabolisme</w:t>
      </w:r>
      <w:r>
        <w:t xml:space="preserve"> : incorporation dans les cuproenzymes ; excrétion biliaire.</w:t>
      </w:r>
    </w:p>
    <w:p>
      <w:pPr>
        <w:pStyle w:val="ListBullet"/>
      </w:pPr>
      <w:r/>
      <w:r>
        <w:rPr>
          <w:b/>
        </w:rPr>
        <w:t>Élimination</w:t>
      </w:r>
      <w:r>
        <w:t xml:space="preserve"> : principalement fécale (voie biliaire) — 98 % ; urinaire — 2 %.</w:t>
      </w:r>
    </w:p>
    <w:p>
      <w:pPr>
        <w:pStyle w:val="ListBullet"/>
      </w:pPr>
      <w:r/>
      <w:r>
        <w:rPr>
          <w:b/>
        </w:rPr>
        <w:t>Demi-vie d'élimination</w:t>
      </w:r>
      <w:r>
        <w:t xml:space="preserve"> : 10 à 30 jours (pool plasmatique), 70 à 100 jours (pool tissulaire).</w:t>
      </w:r>
    </w:p>
    <w:p>
      <w:r/>
      <w:r>
        <w:rPr>
          <w:b/>
        </w:rPr>
        <w:t>Manganèse</w:t>
      </w:r>
      <w:r/>
    </w:p>
    <w:p>
      <w:pPr>
        <w:pStyle w:val="ListBullet"/>
      </w:pPr>
      <w:r/>
      <w:r>
        <w:rPr>
          <w:b/>
        </w:rPr>
        <w:t>Absorption</w:t>
      </w:r>
      <w:r>
        <w:t xml:space="preserve"> : 3 à 5 % (très faible biodisponibilité), principalement au niveau duodéno-jéjunal, par les transporteurs DMT1 (comme le fer) et par transferrine. Compétition avec le fer.</w:t>
      </w:r>
    </w:p>
    <w:p>
      <w:pPr>
        <w:pStyle w:val="ListBullet"/>
      </w:pPr>
      <w:r/>
      <w:r>
        <w:rPr>
          <w:b/>
        </w:rPr>
        <w:t>Distribution</w:t>
      </w:r>
      <w:r>
        <w:t xml:space="preserve"> : 12 à 16 mg dans l'organisme, principalement dans les mitochondries des tissus riches en mitochondries : foie, pancreas, reins, striatum cérébral.</w:t>
      </w:r>
    </w:p>
    <w:p>
      <w:pPr>
        <w:pStyle w:val="ListBullet"/>
      </w:pPr>
      <w:r/>
      <w:r>
        <w:rPr>
          <w:b/>
        </w:rPr>
        <w:t>Transport plasmatique</w:t>
      </w:r>
      <w:r>
        <w:t xml:space="preserve"> : 80 % lié à la transferrine, 10 % à l'α2-macroglobuline, 10 % libre.</w:t>
      </w:r>
    </w:p>
    <w:p>
      <w:pPr>
        <w:pStyle w:val="ListBullet"/>
      </w:pPr>
      <w:r/>
      <w:r>
        <w:rPr>
          <w:b/>
        </w:rPr>
        <w:t>Métabolisme</w:t>
      </w:r>
      <w:r>
        <w:t xml:space="preserve"> : pas de métabolisme significatif.</w:t>
      </w:r>
    </w:p>
    <w:p>
      <w:pPr>
        <w:pStyle w:val="ListBullet"/>
      </w:pPr>
      <w:r/>
      <w:r>
        <w:rPr>
          <w:b/>
        </w:rPr>
        <w:t>Élimination</w:t>
      </w:r>
      <w:r>
        <w:t xml:space="preserve"> : principalement fécale (voie biliaire) — 90 % ; urinaire — 10 %.</w:t>
      </w:r>
    </w:p>
    <w:p>
      <w:pPr>
        <w:pStyle w:val="ListBullet"/>
      </w:pPr>
      <w:r/>
      <w:r>
        <w:rPr>
          <w:b/>
        </w:rPr>
        <w:t>Demi-vie d'élimination</w:t>
      </w:r>
      <w:r>
        <w:t xml:space="preserve"> : 30 à 60 jours (pool tissulaire).</w:t>
      </w:r>
    </w:p>
    <w:p>
      <w:r/>
      <w:r>
        <w:rPr>
          <w:b/>
        </w:rPr>
        <w:t>Chrome</w:t>
      </w:r>
      <w:r/>
    </w:p>
    <w:p>
      <w:pPr>
        <w:pStyle w:val="ListBullet"/>
      </w:pPr>
      <w:r/>
      <w:r>
        <w:rPr>
          <w:b/>
        </w:rPr>
        <w:t>Absorption</w:t>
      </w:r>
      <w:r>
        <w:t xml:space="preserve"> : 0,5 à 2 % (très faible biodisponibilité), principalement sous forme de chrome trivalent. Améliorée par la vitamine C et le niacine (composants du GTF).</w:t>
      </w:r>
    </w:p>
    <w:p>
      <w:pPr>
        <w:pStyle w:val="ListBullet"/>
      </w:pPr>
      <w:r/>
      <w:r>
        <w:rPr>
          <w:b/>
        </w:rPr>
        <w:t>Distribution</w:t>
      </w:r>
      <w:r>
        <w:t xml:space="preserve"> : moins de 6 mg dans l'organisme, principalement dans le foie, la rate, les tissus mous, le muscle squelettique.</w:t>
      </w:r>
    </w:p>
    <w:p>
      <w:pPr>
        <w:pStyle w:val="ListBullet"/>
      </w:pPr>
      <w:r/>
      <w:r>
        <w:rPr>
          <w:b/>
        </w:rPr>
        <w:t>Transport plasmatique</w:t>
      </w:r>
      <w:r>
        <w:t xml:space="preserve"> : transferrine (chrome trivalent, comme le fer).</w:t>
      </w:r>
    </w:p>
    <w:p>
      <w:pPr>
        <w:pStyle w:val="ListBullet"/>
      </w:pPr>
      <w:r/>
      <w:r>
        <w:rPr>
          <w:b/>
        </w:rPr>
        <w:t>Métabolisme</w:t>
      </w:r>
      <w:r>
        <w:t xml:space="preserve"> : pas de métabolisme significatif.</w:t>
      </w:r>
    </w:p>
    <w:p>
      <w:pPr>
        <w:pStyle w:val="ListBullet"/>
      </w:pPr>
      <w:r/>
      <w:r>
        <w:rPr>
          <w:b/>
        </w:rPr>
        <w:t>Élimination</w:t>
      </w:r>
      <w:r>
        <w:t xml:space="preserve"> : principalement urinaire — 80 % ; fécale — 20 %.</w:t>
      </w:r>
    </w:p>
    <w:p>
      <w:pPr>
        <w:pStyle w:val="ListBullet"/>
      </w:pPr>
      <w:r/>
      <w:r>
        <w:rPr>
          <w:b/>
        </w:rPr>
        <w:t>Demi-vie d'élimination</w:t>
      </w:r>
      <w:r>
        <w:t xml:space="preserve"> : quelques heures pour le chrome inorganique, plus longue pour le GTF.</w:t>
      </w:r>
    </w:p>
    <w:p>
      <w:pPr>
        <w:pStyle w:val="Heading4"/>
      </w:pPr>
      <w:r>
        <w:t>4. Indications thérapeutiques</w:t>
      </w:r>
    </w:p>
    <w:p>
      <w:r/>
      <w:r>
        <w:rPr>
          <w:b/>
        </w:rPr>
        <w:t>Zinc</w:t>
      </w:r>
      <w:r/>
    </w:p>
    <w:p>
      <w:pPr>
        <w:pStyle w:val="ListBullet"/>
      </w:pPr>
      <w:r>
        <w:t>Prévention et traitement de la carence en zinc (nutrition parentérale prolongée sans supplémentation, malabsorption, dénutrition, alcoolisme chronique).</w:t>
      </w:r>
    </w:p>
    <w:p>
      <w:pPr>
        <w:pStyle w:val="ListBullet"/>
      </w:pPr>
      <w:r>
        <w:t>Diarrhée aiguë de l'enfant (OMS : zinc 20 mg/jour × 10 à 14 jours, en complément de la réhydratation orale) — réduit la durée et la sévérité de l'épisode.</w:t>
      </w:r>
    </w:p>
    <w:p>
      <w:pPr>
        <w:pStyle w:val="ListBullet"/>
      </w:pPr>
      <w:r>
        <w:t>Retard de croissance staturo-pondéral avec carence en zinc documentée.</w:t>
      </w:r>
    </w:p>
    <w:p>
      <w:pPr>
        <w:pStyle w:val="ListBullet"/>
      </w:pPr>
      <w:r>
        <w:t>Dermatoses chroniques : acné (zinc topique ou per os), acrodermatite entéropathique (carence congénitale en zinc, traitement à vie).</w:t>
      </w:r>
    </w:p>
    <w:p>
      <w:pPr>
        <w:pStyle w:val="ListBullet"/>
      </w:pPr>
      <w:r>
        <w:t>Retard de cicatrisation des plaies chroniques (ulcères de jambe, escarres) — zinc per os ou topique.</w:t>
      </w:r>
    </w:p>
    <w:p>
      <w:pPr>
        <w:pStyle w:val="ListBullet"/>
      </w:pPr>
      <w:r>
        <w:t>Hypogueusie et hypoolfactie d'origine carentielle.</w:t>
      </w:r>
    </w:p>
    <w:p>
      <w:pPr>
        <w:pStyle w:val="ListBullet"/>
      </w:pPr>
      <w:r>
        <w:t>Prévention de la dégénérescence maculaire liée à l'âge (en association avec vitamine C, vitamine E, β-carotène, cuivre — étude AREDS).</w:t>
      </w:r>
    </w:p>
    <w:p>
      <w:pPr>
        <w:pStyle w:val="ListBullet"/>
      </w:pPr>
      <w:r>
        <w:t>Drépanocytose (réduction de la fréquence des crises vaso-occlusives, en cas de carence associée).</w:t>
      </w:r>
    </w:p>
    <w:p>
      <w:r/>
      <w:r>
        <w:rPr>
          <w:b/>
        </w:rPr>
        <w:t>Sélénium</w:t>
      </w:r>
      <w:r/>
    </w:p>
    <w:p>
      <w:pPr>
        <w:pStyle w:val="ListBullet"/>
      </w:pPr>
      <w:r>
        <w:t>Prévention et traitement de la carence en sélénium (nutrition parentérale prolongée, malabsorption, dénutrition).</w:t>
      </w:r>
    </w:p>
    <w:p>
      <w:pPr>
        <w:pStyle w:val="ListBullet"/>
      </w:pPr>
      <w:r>
        <w:t>Hyperthyroïdie (en complément des antithyroïdiens, en raison de la coopération sélénium-iode dans la conversion T4→T3).</w:t>
      </w:r>
    </w:p>
    <w:p>
      <w:pPr>
        <w:pStyle w:val="ListBullet"/>
      </w:pPr>
      <w:r>
        <w:t>Prévention de la cardiomyopathie de Keshan (régions endémiques).</w:t>
      </w:r>
    </w:p>
    <w:p>
      <w:pPr>
        <w:pStyle w:val="ListBullet"/>
      </w:pPr>
      <w:r>
        <w:t>Thyroïdite d'Hashimoto (réduction du titre des anticorps anti-TPO, effet controversé).</w:t>
      </w:r>
    </w:p>
    <w:p>
      <w:pPr>
        <w:pStyle w:val="ListBullet"/>
      </w:pPr>
      <w:r>
        <w:t>Sepsis sévère et défaillance multiviscérale (effet controversé — méta-analyses discordantes).</w:t>
      </w:r>
    </w:p>
    <w:p>
      <w:pPr>
        <w:pStyle w:val="ListBullet"/>
      </w:pPr>
      <w:r>
        <w:t>Prévention de certains cancers (effet controversé — étude SELECT négative pour le cancer de la prostate).</w:t>
      </w:r>
    </w:p>
    <w:p>
      <w:r/>
      <w:r>
        <w:rPr>
          <w:b/>
        </w:rPr>
        <w:t>Cuivre</w:t>
      </w:r>
      <w:r/>
    </w:p>
    <w:p>
      <w:pPr>
        <w:pStyle w:val="ListBullet"/>
      </w:pPr>
      <w:r>
        <w:t>Prévention et traitement de la carence en cuivre (nutrition parentérale prolongée, malabsorption, post-bypass gastrique).</w:t>
      </w:r>
    </w:p>
    <w:p>
      <w:pPr>
        <w:pStyle w:val="ListBullet"/>
      </w:pPr>
      <w:r>
        <w:t>Anémie microcytaire fer-réfractaire (en cas de carence en cuivre associée).</w:t>
      </w:r>
    </w:p>
    <w:p>
      <w:pPr>
        <w:pStyle w:val="ListBullet"/>
      </w:pPr>
      <w:r>
        <w:t>Neutropénie carentielle.</w:t>
      </w:r>
    </w:p>
    <w:p>
      <w:pPr>
        <w:pStyle w:val="ListBullet"/>
      </w:pPr>
      <w:r>
        <w:t>Ostéoporose carentielle (post-bypass gastrique, prématurés).</w:t>
      </w:r>
    </w:p>
    <w:p>
      <w:r/>
      <w:r>
        <w:rPr>
          <w:b/>
        </w:rPr>
        <w:t>Manganèse</w:t>
      </w:r>
      <w:r/>
    </w:p>
    <w:p>
      <w:pPr>
        <w:pStyle w:val="ListBullet"/>
      </w:pPr>
      <w:r>
        <w:t>Prévention et traitement de la carence en manganèse (nutrition parentérale prolongée sans supplémentation, prématurés) — indication rare.</w:t>
      </w:r>
    </w:p>
    <w:p>
      <w:pPr>
        <w:pStyle w:val="ListBullet"/>
      </w:pPr>
      <w:r>
        <w:t>Pas d'indication isolée validée en pratique clinique courante.</w:t>
      </w:r>
    </w:p>
    <w:p>
      <w:r/>
      <w:r>
        <w:rPr>
          <w:b/>
        </w:rPr>
        <w:t>Chrome</w:t>
      </w:r>
      <w:r/>
    </w:p>
    <w:p>
      <w:pPr>
        <w:pStyle w:val="ListBullet"/>
      </w:pPr>
      <w:r>
        <w:t>Prévention et traitement de la carence en chrome (nutrition parentérale prolongée, diabète sucré avec carence associée, dyslipidémie carentielle).</w:t>
      </w:r>
    </w:p>
    <w:p>
      <w:pPr>
        <w:pStyle w:val="ListBullet"/>
      </w:pPr>
      <w:r>
        <w:t>Diabète de type 2 (effet modeste, en cas de carence associée — méta-analyses controversées).</w:t>
      </w:r>
    </w:p>
    <w:p>
      <w:pPr>
        <w:pStyle w:val="ListBullet"/>
      </w:pPr>
      <w:r>
        <w:t>Intolérance glucidique post-bypass gastrique.</w:t>
      </w:r>
    </w:p>
    <w:p>
      <w:r/>
      <w:r>
        <w:rPr>
          <w:b/>
        </w:rPr>
        <w:t>Associations (TOT'HEMA, NONAN, MEGADYN, DERMOCUIVRE)</w:t>
      </w:r>
      <w:r/>
    </w:p>
    <w:p>
      <w:pPr>
        <w:pStyle w:val="ListBullet"/>
      </w:pPr>
      <w:r/>
      <w:r>
        <w:rPr>
          <w:b/>
        </w:rPr>
        <w:t>TOT'HEMA</w:t>
      </w:r>
      <w:r>
        <w:t xml:space="preserve"> (fer + manganèse + cuivre) : traitement de l'anémie ferriprive de l'adulte et de l'enfant de plus de 6 ans, en complément du fer (le cuivre et le manganèse sont cofacteurs de l'utilisation du fer : cuivre = céruloplasmine qui oxyde Fe2+ en Fe3+ ; manganèse = cofacteur de la transferrine).</w:t>
      </w:r>
    </w:p>
    <w:p>
      <w:pPr>
        <w:pStyle w:val="ListBullet"/>
      </w:pPr>
      <w:r/>
      <w:r>
        <w:rPr>
          <w:b/>
        </w:rPr>
        <w:t>NONAN</w:t>
      </w:r>
      <w:r>
        <w:t xml:space="preserve"> (oligoéléments injectables) : supplémentation en oligoéléments des patients sous nutrition parentérale au long cours (adultes et enfants).</w:t>
      </w:r>
    </w:p>
    <w:p>
      <w:pPr>
        <w:pStyle w:val="ListBullet"/>
      </w:pPr>
      <w:r/>
      <w:r>
        <w:rPr>
          <w:b/>
        </w:rPr>
        <w:t>MEGADYN</w:t>
      </w:r>
      <w:r>
        <w:t xml:space="preserve"> (multivitamines + oligoéléments) : complément nutritionnel préventif, en particulier chez la femme enceinte, le sujet âgé dénutri, l'enfant en croissance, le convalescent.</w:t>
      </w:r>
    </w:p>
    <w:p>
      <w:pPr>
        <w:pStyle w:val="ListBullet"/>
      </w:pPr>
      <w:r/>
      <w:r>
        <w:rPr>
          <w:b/>
        </w:rPr>
        <w:t>DERMOCUIVRE</w:t>
      </w:r>
      <w:r>
        <w:t xml:space="preserve"> (sulfate de cuivre + oxyde de zinc topique) : traitement local des plaies chroniques (ulcères de jambe, escarres, plaies infectées), en raison de l'action cicatrisante du zinc et de l'action antiseptique du cuivre.</w:t>
      </w:r>
    </w:p>
    <w:p>
      <w:pPr>
        <w:pStyle w:val="Heading4"/>
      </w:pPr>
      <w:r>
        <w:t>5. Contre-indications</w:t>
      </w:r>
    </w:p>
    <w:p>
      <w:r/>
      <w:r>
        <w:rPr>
          <w:b/>
        </w:rPr>
        <w:t>Contre-indications communes</w:t>
      </w:r>
      <w:r/>
    </w:p>
    <w:p>
      <w:pPr>
        <w:pStyle w:val="ListBullet"/>
      </w:pPr>
      <w:r/>
      <w:r>
        <w:rPr>
          <w:b/>
        </w:rPr>
        <w:t>Hypersensibilité connue</w:t>
      </w:r>
      <w:r>
        <w:t xml:space="preserve"> à l'un des composants de la spécialité (allergie au sulfite dans les solutions buvables en ampoules, allergie au cuivre, etc.).</w:t>
      </w:r>
    </w:p>
    <w:p>
      <w:pPr>
        <w:pStyle w:val="ListBullet"/>
      </w:pPr>
      <w:r/>
      <w:r>
        <w:rPr>
          <w:b/>
        </w:rPr>
        <w:t>Hémochromatose génétique</w:t>
      </w:r>
      <w:r>
        <w:t xml:space="preserve"> (pour les spécialités contenant du fer : TOT'HEMA) — surcharge martiale préexistante.</w:t>
      </w:r>
    </w:p>
    <w:p>
      <w:pPr>
        <w:pStyle w:val="ListBullet"/>
      </w:pPr>
      <w:r/>
      <w:r>
        <w:rPr>
          <w:b/>
        </w:rPr>
        <w:t>Surcharge en cuivre connue</w:t>
      </w:r>
      <w:r>
        <w:t xml:space="preserve"> (maladie de Wilson, chez les patients non stabilisés par chélation) — pour les spécialités contenant du cuivre.</w:t>
      </w:r>
    </w:p>
    <w:p>
      <w:pPr>
        <w:pStyle w:val="ListBullet"/>
      </w:pPr>
      <w:r/>
      <w:r>
        <w:rPr>
          <w:b/>
        </w:rPr>
        <w:t>Syndromes de surcharge en fer secondaires</w:t>
      </w:r>
      <w:r>
        <w:t xml:space="preserve"> : thalassémies majeures transfusées, sidéroblastoses, anémies réfractaires transfusées — pour TOT'HEMA.</w:t>
      </w:r>
    </w:p>
    <w:p>
      <w:r/>
      <w:r>
        <w:rPr>
          <w:b/>
        </w:rPr>
        <w:t>Contre-indications spécifiques au zinc</w:t>
      </w:r>
      <w:r/>
    </w:p>
    <w:p>
      <w:pPr>
        <w:pStyle w:val="ListBullet"/>
      </w:pPr>
      <w:r>
        <w:t>Insuffisance rénale sévère (clairance &lt; 30 mL/min) : risque d'accumulation et de toxicité (pancréatite, immunodépression paradoxale).</w:t>
      </w:r>
    </w:p>
    <w:p>
      <w:pPr>
        <w:pStyle w:val="ListBullet"/>
      </w:pPr>
      <w:r>
        <w:t>Utilisation concomitante d'antibiotiques quinoloniques ou de la tétracycline (interférence avec l'absorption).</w:t>
      </w:r>
    </w:p>
    <w:p>
      <w:r/>
      <w:r>
        <w:rPr>
          <w:b/>
        </w:rPr>
        <w:t>Contre-indications spécifiques au sélénium</w:t>
      </w:r>
      <w:r/>
    </w:p>
    <w:p>
      <w:pPr>
        <w:pStyle w:val="ListBullet"/>
      </w:pPr>
      <w:r>
        <w:t>Aucune contre-indication absolue, mais à éviter en cas d'antécédent de cancer cutané non mélanique (étude SELECT : augmentation de l'incidence du carcinome spinocellulaire sous sélénium à haute dose).</w:t>
      </w:r>
    </w:p>
    <w:p>
      <w:r/>
      <w:r>
        <w:rPr>
          <w:b/>
        </w:rPr>
        <w:t>Contre-indications spécifiques au cuivre</w:t>
      </w:r>
      <w:r/>
    </w:p>
    <w:p>
      <w:pPr>
        <w:pStyle w:val="ListBullet"/>
      </w:pPr>
      <w:r/>
      <w:r>
        <w:rPr>
          <w:b/>
        </w:rPr>
        <w:t>Maladie de Wilson non équilibrée</w:t>
      </w:r>
      <w:r>
        <w:t xml:space="preserve"> (en attente de chélation par pénicillamine ou trientine).</w:t>
      </w:r>
    </w:p>
    <w:p>
      <w:pPr>
        <w:pStyle w:val="ListBullet"/>
      </w:pPr>
      <w:r/>
      <w:r>
        <w:rPr>
          <w:b/>
        </w:rPr>
        <w:t>Insuffisance hépatocellulaire sévère</w:t>
      </w:r>
      <w:r>
        <w:t xml:space="preserve"> (le cuivre est excrété par la bile ; l'insuffisance hépatique expose à l'accumulation).</w:t>
      </w:r>
    </w:p>
    <w:p>
      <w:r/>
      <w:r>
        <w:rPr>
          <w:b/>
        </w:rPr>
        <w:t>Contre-indications spécifiques au manganèse</w:t>
      </w:r>
      <w:r/>
    </w:p>
    <w:p>
      <w:pPr>
        <w:pStyle w:val="ListBullet"/>
      </w:pPr>
      <w:r/>
      <w:r>
        <w:rPr>
          <w:b/>
        </w:rPr>
        <w:t>Insuffisance hépatique sévère</w:t>
      </w:r>
      <w:r>
        <w:t xml:space="preserve"> (le manganèse biliaire est éliminé par la bile ; cholestase = risque d'accumulation cérébrale).</w:t>
      </w:r>
    </w:p>
    <w:p>
      <w:pPr>
        <w:pStyle w:val="ListBullet"/>
      </w:pPr>
      <w:r/>
      <w:r>
        <w:rPr>
          <w:b/>
        </w:rPr>
        <w:t>Maladie de Parkinson</w:t>
      </w:r>
      <w:r>
        <w:t xml:space="preserve"> (le manganèse potentialise l'atteinte des ganglions de la base).</w:t>
      </w:r>
    </w:p>
    <w:p>
      <w:pPr>
        <w:pStyle w:val="ListBullet"/>
      </w:pPr>
      <w:r/>
      <w:r>
        <w:rPr>
          <w:b/>
        </w:rPr>
        <w:t>Cholestase chronique</w:t>
      </w:r>
      <w:r>
        <w:t xml:space="preserve"> (en particulier chez le nourrisson sous nutrition parentérale prolongée).</w:t>
      </w:r>
    </w:p>
    <w:p>
      <w:r/>
      <w:r>
        <w:rPr>
          <w:b/>
        </w:rPr>
        <w:t>Contre-indications spécifiques au chrome</w:t>
      </w:r>
      <w:r/>
    </w:p>
    <w:p>
      <w:pPr>
        <w:pStyle w:val="ListBullet"/>
      </w:pPr>
      <w:r>
        <w:t>Aucune contre-indication absolue aux doses nutritionnelles.</w:t>
      </w:r>
    </w:p>
    <w:p>
      <w:pPr>
        <w:pStyle w:val="ListBullet"/>
      </w:pPr>
      <w:r>
        <w:t>Le chrome hexavalent (Cr6+) est toxique (cancérigène pulmonaire par inhalation professionnelle), mais il n'est jamais utilisé en thérapeutique.</w:t>
      </w:r>
    </w:p>
    <w:p>
      <w:r/>
      <w:r>
        <w:rPr>
          <w:b/>
        </w:rPr>
        <w:t>Contre-indications spécifiques à la voie injectable (NONAN)</w:t>
      </w:r>
      <w:r/>
    </w:p>
    <w:p>
      <w:pPr>
        <w:pStyle w:val="ListBullet"/>
      </w:pPr>
      <w:r>
        <w:t>Hypersensibilité à l'un des composants.</w:t>
      </w:r>
    </w:p>
    <w:p>
      <w:pPr>
        <w:pStyle w:val="ListBullet"/>
      </w:pPr>
      <w:r>
        <w:t>Insuffisance hépatique sévère (pour les formulations contenant du manganèse).</w:t>
      </w:r>
    </w:p>
    <w:p>
      <w:pPr>
        <w:pStyle w:val="ListBullet"/>
      </w:pPr>
      <w:r>
        <w:t>Cholestase néonatale (prématurés cholestatiques).</w:t>
      </w:r>
    </w:p>
    <w:p>
      <w:r/>
      <w:r>
        <w:rPr>
          <w:b/>
        </w:rPr>
        <w:t>Contre-indications spécifiques à la voie topique (DERMOCUIVRE)</w:t>
      </w:r>
      <w:r/>
    </w:p>
    <w:p>
      <w:pPr>
        <w:pStyle w:val="ListBullet"/>
      </w:pPr>
      <w:r>
        <w:t>Plaies très étendues (risque d'absorption systémique de cuivre et de zinc — surdose).</w:t>
      </w:r>
    </w:p>
    <w:p>
      <w:pPr>
        <w:pStyle w:val="ListBullet"/>
      </w:pPr>
      <w:r>
        <w:t>Insuffisance rénale sévère (risque d'accumulation).</w:t>
      </w:r>
    </w:p>
    <w:p>
      <w:pPr>
        <w:pStyle w:val="Heading4"/>
      </w:pPr>
      <w:r>
        <w:t>6. Posologie et mode d'administration</w:t>
      </w:r>
    </w:p>
    <w:p>
      <w:r/>
      <w:r>
        <w:rPr>
          <w:b/>
        </w:rPr>
        <w:t>Posologies recommandées par oligoélément (apports nutritionnels conseillés pour l'adulte — ANC)</w:t>
      </w:r>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Oligoélément</w:t>
            </w:r>
          </w:p>
        </w:tc>
        <w:tc>
          <w:tcPr>
            <w:tcW w:type="dxa" w:w="2339"/>
          </w:tcPr>
          <w:p>
            <w:r>
              <w:rPr>
                <w:b/>
                <w:sz w:val="20"/>
              </w:rPr>
              <w:t>ANC adulte</w:t>
            </w:r>
          </w:p>
        </w:tc>
        <w:tc>
          <w:tcPr>
            <w:tcW w:type="dxa" w:w="2339"/>
          </w:tcPr>
          <w:p>
            <w:r>
              <w:rPr>
                <w:b/>
                <w:sz w:val="20"/>
              </w:rPr>
              <w:t>Apport sécuritaire maximal</w:t>
            </w:r>
          </w:p>
        </w:tc>
        <w:tc>
          <w:tcPr>
            <w:tcW w:type="dxa" w:w="2339"/>
          </w:tcPr>
          <w:p>
            <w:r>
              <w:rPr>
                <w:b/>
                <w:sz w:val="20"/>
              </w:rPr>
              <w:t>Posologie thérapeutique usuelle (carence avérée)</w:t>
            </w:r>
          </w:p>
        </w:tc>
      </w:tr>
      <w:tr>
        <w:tc>
          <w:tcPr>
            <w:tcW w:type="dxa" w:w="2339"/>
          </w:tcPr>
          <w:p>
            <w:r>
              <w:rPr>
                <w:sz w:val="20"/>
              </w:rPr>
              <w:t>Zinc</w:t>
            </w:r>
          </w:p>
        </w:tc>
        <w:tc>
          <w:tcPr>
            <w:tcW w:type="dxa" w:w="2339"/>
          </w:tcPr>
          <w:p>
            <w:r>
              <w:rPr>
                <w:sz w:val="20"/>
              </w:rPr>
              <w:t>8 à 11 mg/jour (femme / homme)</w:t>
            </w:r>
          </w:p>
        </w:tc>
        <w:tc>
          <w:tcPr>
            <w:tcW w:type="dxa" w:w="2339"/>
          </w:tcPr>
          <w:p>
            <w:r>
              <w:rPr>
                <w:sz w:val="20"/>
              </w:rPr>
              <w:t>25 mg/jour (40 mg/jour pour courte durée)</w:t>
            </w:r>
          </w:p>
        </w:tc>
        <w:tc>
          <w:tcPr>
            <w:tcW w:type="dxa" w:w="2339"/>
          </w:tcPr>
          <w:p>
            <w:r>
              <w:rPr>
                <w:sz w:val="20"/>
              </w:rPr>
              <w:t>15 à 30 mg/jour per os ; 30 à 100 mg/jour IV (nutrition parentérale)</w:t>
            </w:r>
          </w:p>
        </w:tc>
      </w:tr>
      <w:tr>
        <w:tc>
          <w:tcPr>
            <w:tcW w:type="dxa" w:w="2339"/>
          </w:tcPr>
          <w:p>
            <w:r>
              <w:rPr>
                <w:sz w:val="20"/>
              </w:rPr>
              <w:t>Sélénium</w:t>
            </w:r>
          </w:p>
        </w:tc>
        <w:tc>
          <w:tcPr>
            <w:tcW w:type="dxa" w:w="2339"/>
          </w:tcPr>
          <w:p>
            <w:r>
              <w:rPr>
                <w:sz w:val="20"/>
              </w:rPr>
              <w:t>55 à 70 µg/jour</w:t>
            </w:r>
          </w:p>
        </w:tc>
        <w:tc>
          <w:tcPr>
            <w:tcW w:type="dxa" w:w="2339"/>
          </w:tcPr>
          <w:p>
            <w:r>
              <w:rPr>
                <w:sz w:val="20"/>
              </w:rPr>
              <w:t>300 µg/jour</w:t>
            </w:r>
          </w:p>
        </w:tc>
        <w:tc>
          <w:tcPr>
            <w:tcW w:type="dxa" w:w="2339"/>
          </w:tcPr>
          <w:p>
            <w:r>
              <w:rPr>
                <w:sz w:val="20"/>
              </w:rPr>
              <w:t>60 à 200 µg/jour per os ; 30 à 70 µg/jour IV (nutrition parentérale)</w:t>
            </w:r>
          </w:p>
        </w:tc>
      </w:tr>
      <w:tr>
        <w:tc>
          <w:tcPr>
            <w:tcW w:type="dxa" w:w="2339"/>
          </w:tcPr>
          <w:p>
            <w:r>
              <w:rPr>
                <w:sz w:val="20"/>
              </w:rPr>
              <w:t>Cuivre</w:t>
            </w:r>
          </w:p>
        </w:tc>
        <w:tc>
          <w:tcPr>
            <w:tcW w:type="dxa" w:w="2339"/>
          </w:tcPr>
          <w:p>
            <w:r>
              <w:rPr>
                <w:sz w:val="20"/>
              </w:rPr>
              <w:t>0,9 à 1,3 mg/jour</w:t>
            </w:r>
          </w:p>
        </w:tc>
        <w:tc>
          <w:tcPr>
            <w:tcW w:type="dxa" w:w="2339"/>
          </w:tcPr>
          <w:p>
            <w:r>
              <w:rPr>
                <w:sz w:val="20"/>
              </w:rPr>
              <w:t>5 mg/jour (10 mg/jour courte durée)</w:t>
            </w:r>
          </w:p>
        </w:tc>
        <w:tc>
          <w:tcPr>
            <w:tcW w:type="dxa" w:w="2339"/>
          </w:tcPr>
          <w:p>
            <w:r>
              <w:rPr>
                <w:sz w:val="20"/>
              </w:rPr>
              <w:t>1 à 3 mg/jour per os ; 0,3 à 0,5 mg/jour IV (nutrition parentérale)</w:t>
            </w:r>
          </w:p>
        </w:tc>
      </w:tr>
      <w:tr>
        <w:tc>
          <w:tcPr>
            <w:tcW w:type="dxa" w:w="2339"/>
          </w:tcPr>
          <w:p>
            <w:r>
              <w:rPr>
                <w:sz w:val="20"/>
              </w:rPr>
              <w:t>Manganèse</w:t>
            </w:r>
          </w:p>
        </w:tc>
        <w:tc>
          <w:tcPr>
            <w:tcW w:type="dxa" w:w="2339"/>
          </w:tcPr>
          <w:p>
            <w:r>
              <w:rPr>
                <w:sz w:val="20"/>
              </w:rPr>
              <w:t>1,8 à 2,3 mg/jour</w:t>
            </w:r>
          </w:p>
        </w:tc>
        <w:tc>
          <w:tcPr>
            <w:tcW w:type="dxa" w:w="2339"/>
          </w:tcPr>
          <w:p>
            <w:r>
              <w:rPr>
                <w:sz w:val="20"/>
              </w:rPr>
              <w:t>6 à 9 mg/jour</w:t>
            </w:r>
          </w:p>
        </w:tc>
        <w:tc>
          <w:tcPr>
            <w:tcW w:type="dxa" w:w="2339"/>
          </w:tcPr>
          <w:p>
            <w:r>
              <w:rPr>
                <w:sz w:val="20"/>
              </w:rPr>
              <w:t>1 à 2 mg/jour per os ; 0,05 à 0,1 mg/jour IV (nutrition parentérale)</w:t>
            </w:r>
          </w:p>
        </w:tc>
      </w:tr>
      <w:tr>
        <w:tc>
          <w:tcPr>
            <w:tcW w:type="dxa" w:w="2339"/>
          </w:tcPr>
          <w:p>
            <w:r>
              <w:rPr>
                <w:sz w:val="20"/>
              </w:rPr>
              <w:t>Chrome</w:t>
            </w:r>
          </w:p>
        </w:tc>
        <w:tc>
          <w:tcPr>
            <w:tcW w:type="dxa" w:w="2339"/>
          </w:tcPr>
          <w:p>
            <w:r>
              <w:rPr>
                <w:sz w:val="20"/>
              </w:rPr>
              <w:t>25 à 35 µg/jour</w:t>
            </w:r>
          </w:p>
        </w:tc>
        <w:tc>
          <w:tcPr>
            <w:tcW w:type="dxa" w:w="2339"/>
          </w:tcPr>
          <w:p>
            <w:r>
              <w:rPr>
                <w:sz w:val="20"/>
              </w:rPr>
              <w:t>250 µg/jour</w:t>
            </w:r>
          </w:p>
        </w:tc>
        <w:tc>
          <w:tcPr>
            <w:tcW w:type="dxa" w:w="2339"/>
          </w:tcPr>
          <w:p>
            <w:r>
              <w:rPr>
                <w:sz w:val="20"/>
              </w:rPr>
              <w:t>50 à 200 µg/jour per os ; 10 à 15 µg/jour IV (nutrition parentérale)</w:t>
            </w:r>
          </w:p>
        </w:tc>
      </w:tr>
    </w:tbl>
    <w:p/>
    <w:p>
      <w:r/>
      <w:r>
        <w:rPr>
          <w:b/>
        </w:rPr>
        <w:t>Posologies par spécialité algérienne</w:t>
      </w:r>
      <w:r/>
    </w:p>
    <w:p>
      <w:pPr>
        <w:pStyle w:val="ListBullet"/>
      </w:pPr>
      <w:r/>
      <w:r>
        <w:rPr>
          <w:b/>
        </w:rPr>
        <w:t>TOT'HEMA</w:t>
      </w:r>
      <w:r>
        <w:t xml:space="preserve"> (gluconate ferreux 50 mg + gluconate de manganèse 1,33 mg + gluconate de cuivre 0,70 mg, par ampoule de 10 mL) :</w:t>
      </w:r>
    </w:p>
    <w:p>
      <w:pPr>
        <w:pStyle w:val="ListBullet"/>
      </w:pPr>
      <w:r>
        <w:t>Adulte : 1 à 2 ampoules par jour, diluées dans un verre d'eau ou de jus de fruit (sauf jus d'agrumes, qui potentialisent l'absorption mais peuvent irriter l'estomac), à jeun ou avant les repas.</w:t>
      </w:r>
    </w:p>
    <w:p>
      <w:pPr>
        <w:pStyle w:val="ListBullet"/>
      </w:pPr>
      <w:r>
        <w:t>Enfant &gt; 6 ans et adolescent : 1 ampoule par jour.</w:t>
      </w:r>
    </w:p>
    <w:p>
      <w:pPr>
        <w:pStyle w:val="ListBullet"/>
      </w:pPr>
      <w:r>
        <w:t>Femme enceinte (anémie ferriprive) : 1 à 2 ampoules par jour, à jeun.</w:t>
      </w:r>
    </w:p>
    <w:p>
      <w:pPr>
        <w:pStyle w:val="ListBullet"/>
      </w:pPr>
      <w:r>
        <w:t>Femme allaitante : 1 ampoule par jour si carence avérée.</w:t>
      </w:r>
    </w:p>
    <w:p>
      <w:pPr>
        <w:pStyle w:val="ListBullet"/>
      </w:pPr>
      <w:r>
        <w:t>Durée : 3 à 6 mois pour reconstituer les réserves martiales.</w:t>
      </w:r>
    </w:p>
    <w:p>
      <w:pPr>
        <w:pStyle w:val="ListBullet"/>
      </w:pPr>
      <w:r>
        <w:t>Mode d'administration : per os ; diluer dans l'eau (ne pas boire pure, en raison du goût métallique et de l'irritation gastrique) ; utiliser une paille pour éviter le contact avec l'émail dentaire (coloration brune).</w:t>
      </w:r>
    </w:p>
    <w:p>
      <w:pPr>
        <w:pStyle w:val="ListBullet"/>
      </w:pPr>
      <w:r/>
      <w:r>
        <w:rPr>
          <w:b/>
        </w:rPr>
        <w:t>NONAN</w:t>
      </w:r>
      <w:r>
        <w:t xml:space="preserve"> (solution injectable d'oligoéléments) :</w:t>
      </w:r>
    </w:p>
    <w:p>
      <w:pPr>
        <w:pStyle w:val="ListBullet"/>
      </w:pPr>
      <w:r>
        <w:t>Adulte : 1 flacon (50 mL) par jour, à ajouter à la poche de nutrition parentérale.</w:t>
      </w:r>
    </w:p>
    <w:p>
      <w:pPr>
        <w:pStyle w:val="ListBullet"/>
      </w:pPr>
      <w:r>
        <w:t>Enfant &gt; 2 ans : 0,5 à 1 mL/kg/jour.</w:t>
      </w:r>
    </w:p>
    <w:p>
      <w:pPr>
        <w:pStyle w:val="ListBullet"/>
      </w:pPr>
      <w:r>
        <w:t>Nourrisson et prématuré : 0,5 mL/kg/jour, à adapter à la situation clinique.</w:t>
      </w:r>
    </w:p>
    <w:p>
      <w:pPr>
        <w:pStyle w:val="ListBullet"/>
      </w:pPr>
      <w:r>
        <w:t>Voie intraveineuse stricte (perfusion lente dans la poche de nutrition parentérale).</w:t>
      </w:r>
    </w:p>
    <w:p>
      <w:pPr>
        <w:pStyle w:val="ListBullet"/>
      </w:pPr>
      <w:r>
        <w:t>Ne pas administrer en bolus direct.</w:t>
      </w:r>
    </w:p>
    <w:p>
      <w:pPr>
        <w:pStyle w:val="ListBullet"/>
      </w:pPr>
      <w:r/>
      <w:r>
        <w:rPr>
          <w:b/>
        </w:rPr>
        <w:t>MEGADYN</w:t>
      </w:r>
      <w:r>
        <w:t xml:space="preserve"> (comprimé pelliculé multivitamines + oligoéléments) :</w:t>
      </w:r>
    </w:p>
    <w:p>
      <w:pPr>
        <w:pStyle w:val="ListBullet"/>
      </w:pPr>
      <w:r>
        <w:t>Adulte : 1 comprimé par jour, au cours du repas, avec un grand verre d'eau.</w:t>
      </w:r>
    </w:p>
    <w:p>
      <w:pPr>
        <w:pStyle w:val="ListBullet"/>
      </w:pPr>
      <w:r>
        <w:t>Femme enceinte et allaitante : 1 comprimé par jour (selon composition).</w:t>
      </w:r>
    </w:p>
    <w:p>
      <w:pPr>
        <w:pStyle w:val="ListBullet"/>
      </w:pPr>
      <w:r>
        <w:t>Ne pas dépasser la dose recommandée.</w:t>
      </w:r>
    </w:p>
    <w:p>
      <w:pPr>
        <w:pStyle w:val="ListBullet"/>
      </w:pPr>
      <w:r/>
      <w:r>
        <w:rPr>
          <w:b/>
        </w:rPr>
        <w:t>DERMOCUIVRE</w:t>
      </w:r>
      <w:r>
        <w:t xml:space="preserve"> (pommade dermique, sulfate de cuivre 0,2 % + oxyde de zinc 10 %) :</w:t>
      </w:r>
    </w:p>
    <w:p>
      <w:pPr>
        <w:pStyle w:val="ListBullet"/>
      </w:pPr>
      <w:r>
        <w:t>Application locale 1 à 2 fois par jour, sur peau propre et séchée.</w:t>
      </w:r>
    </w:p>
    <w:p>
      <w:pPr>
        <w:pStyle w:val="ListBullet"/>
      </w:pPr>
      <w:r>
        <w:t>Couvrir d'un pansement si nécessaire.</w:t>
      </w:r>
    </w:p>
    <w:p>
      <w:pPr>
        <w:pStyle w:val="ListBullet"/>
      </w:pPr>
      <w:r>
        <w:t>Durée : selon évolution de la plaie, à réévaluer régulièrement.</w:t>
      </w:r>
    </w:p>
    <w:p>
      <w:r/>
      <w:r>
        <w:rPr>
          <w:b/>
        </w:rPr>
        <w:t>Mode d'administration (règles générales)</w:t>
      </w:r>
      <w:r/>
    </w:p>
    <w:p>
      <w:pPr>
        <w:pStyle w:val="ListBullet"/>
      </w:pPr>
      <w:r/>
      <w:r>
        <w:rPr>
          <w:b/>
        </w:rPr>
        <w:t>Voie orale</w:t>
      </w:r>
      <w:r>
        <w:t xml:space="preserve"> : à jeun ou avant les repas pour maximiser l'absorption (en particulier le zinc et le sélénium). Espacer de 2 heures des autres médicaments chélateurs : sels de fer, sels de calcium, antiacides, laitages, quinolones, tétracyclines, pénicillamine.</w:t>
      </w:r>
    </w:p>
    <w:p>
      <w:pPr>
        <w:pStyle w:val="ListBullet"/>
      </w:pPr>
      <w:r/>
      <w:r>
        <w:rPr>
          <w:b/>
        </w:rPr>
        <w:t>Voie injectable (NONAN)</w:t>
      </w:r>
      <w:r>
        <w:t xml:space="preserve"> : à ajouter à la poche de nutrition parentérale, en respectant les règles d'asepsie. Ne pas administrer en bolus direct (risque d'intolérance veineuse, de surdosage en manganèse). Vérifier la compatibilité avec les autres additifs de la poche (lipides, vitamines).</w:t>
      </w:r>
    </w:p>
    <w:p>
      <w:pPr>
        <w:pStyle w:val="ListBullet"/>
      </w:pPr>
      <w:r/>
      <w:r>
        <w:rPr>
          <w:b/>
        </w:rPr>
        <w:t>Voie topique (DERMOCUIVRE)</w:t>
      </w:r>
      <w:r>
        <w:t xml:space="preserve"> : application locale sur peau lésée après nettoyage soigneux. Ne pas utiliser sur plaies étendues (risque d'absorption systémique de cuivre).</w:t>
      </w:r>
    </w:p>
    <w:p>
      <w:pPr>
        <w:pStyle w:val="Heading4"/>
      </w:pPr>
      <w:r>
        <w:t>7. Effets indésirables</w:t>
      </w:r>
    </w:p>
    <w:p>
      <w:r/>
      <w:r>
        <w:rPr>
          <w:b/>
        </w:rPr>
        <w:t>Zinc</w:t>
      </w:r>
      <w:r/>
    </w:p>
    <w:p>
      <w:pPr>
        <w:pStyle w:val="ListBullet"/>
      </w:pPr>
      <w:r/>
      <w:r>
        <w:rPr>
          <w:b/>
        </w:rPr>
        <w:t>Digestifs</w:t>
      </w:r>
      <w:r>
        <w:t xml:space="preserve"> : nausées, vomissements, douleurs épigastriques, diarrhée — surtout à jeun et à forte dose (≥ 30 mg/jour). Réduire en prenant au cours du repas.</w:t>
      </w:r>
    </w:p>
    <w:p>
      <w:pPr>
        <w:pStyle w:val="ListBullet"/>
      </w:pPr>
      <w:r/>
      <w:r>
        <w:rPr>
          <w:b/>
        </w:rPr>
        <w:t>Neurologiques</w:t>
      </w:r>
      <w:r>
        <w:t xml:space="preserve"> : dysgueusie métallique (paradoxalement, à forte dose), céphalées.</w:t>
      </w:r>
    </w:p>
    <w:p>
      <w:pPr>
        <w:pStyle w:val="ListBullet"/>
      </w:pPr>
      <w:r/>
      <w:r>
        <w:rPr>
          <w:b/>
        </w:rPr>
        <w:t>Hématologiques</w:t>
      </w:r>
      <w:r>
        <w:t xml:space="preserve"> : carence induite en cuivre (par compétition au niveau de l'absorption intestinale), anémie, neutropénie — en cas de supplémentation prolongée &gt; 30 mg/jour pendant plusieurs mois.</w:t>
      </w:r>
    </w:p>
    <w:p>
      <w:pPr>
        <w:pStyle w:val="ListBullet"/>
      </w:pPr>
      <w:r/>
      <w:r>
        <w:rPr>
          <w:b/>
        </w:rPr>
        <w:t>Immunologiques</w:t>
      </w:r>
      <w:r>
        <w:t xml:space="preserve"> : à très forte dose (≥ 100 mg/jour), immunodépression paradoxale par inhibition de la phagocytose.</w:t>
      </w:r>
    </w:p>
    <w:p>
      <w:pPr>
        <w:pStyle w:val="ListBullet"/>
      </w:pPr>
      <w:r/>
      <w:r>
        <w:rPr>
          <w:b/>
        </w:rPr>
        <w:t>Pulmonaires</w:t>
      </w:r>
      <w:r>
        <w:t xml:space="preserve"> : pneumopathie médicamenteuse (zinc topique intranasal — cas rapportés de perte d'olfaction avec les sprays nasaux de zinc ; produits retirés du marché américain).</w:t>
      </w:r>
    </w:p>
    <w:p>
      <w:r/>
      <w:r>
        <w:rPr>
          <w:b/>
        </w:rPr>
        <w:t>Sélénium</w:t>
      </w:r>
      <w:r/>
    </w:p>
    <w:p>
      <w:pPr>
        <w:pStyle w:val="ListBullet"/>
      </w:pPr>
      <w:r/>
      <w:r>
        <w:rPr>
          <w:b/>
        </w:rPr>
        <w:t>Aigus (surdosage)</w:t>
      </w:r>
      <w:r>
        <w:t xml:space="preserve"> : sélénose = alopécie, fragilité des ongles (lignes de Mees), éruptions cutanées, fatigue, irritabilité, goût métallique, odeur ailée de l'haleine (diméthylsélénide volatil), neuropathie périphérique, troubles digestifs. Dose toxique &gt; 400 µg/jour.</w:t>
      </w:r>
    </w:p>
    <w:p>
      <w:pPr>
        <w:pStyle w:val="ListBullet"/>
      </w:pPr>
      <w:r/>
      <w:r>
        <w:rPr>
          <w:b/>
        </w:rPr>
        <w:t>Chroniques</w:t>
      </w:r>
      <w:r>
        <w:t xml:space="preserve"> : risque accru de diabète de type 2 (étude SELECT — controversé), risque accru de cancer cutané non mélanique (carcinome spinocellulaire — étude SELECT).</w:t>
      </w:r>
    </w:p>
    <w:p>
      <w:pPr>
        <w:pStyle w:val="ListBullet"/>
      </w:pPr>
      <w:r/>
      <w:r>
        <w:rPr>
          <w:b/>
        </w:rPr>
        <w:t>Interactions</w:t>
      </w:r>
      <w:r>
        <w:t xml:space="preserve"> : potentialisation de l'anticoagulation par la warfarine (effet sur la GPx).</w:t>
      </w:r>
    </w:p>
    <w:p>
      <w:r/>
      <w:r>
        <w:rPr>
          <w:b/>
        </w:rPr>
        <w:t>Cuivre</w:t>
      </w:r>
      <w:r/>
    </w:p>
    <w:p>
      <w:pPr>
        <w:pStyle w:val="ListBullet"/>
      </w:pPr>
      <w:r/>
      <w:r>
        <w:rPr>
          <w:b/>
        </w:rPr>
        <w:t>Digestifs</w:t>
      </w:r>
      <w:r>
        <w:t xml:space="preserve"> : nausées, vomissements, douleurs épigastriques, diarrhée — surtout avec le sulfate de cuivre (forme la plus irritante).</w:t>
      </w:r>
    </w:p>
    <w:p>
      <w:pPr>
        <w:pStyle w:val="ListBullet"/>
      </w:pPr>
      <w:r/>
      <w:r>
        <w:rPr>
          <w:b/>
        </w:rPr>
        <w:t>Hépatiques</w:t>
      </w:r>
      <w:r>
        <w:t xml:space="preserve"> : élévation des transaminases, hépatite toxique (à forte dose).</w:t>
      </w:r>
    </w:p>
    <w:p>
      <w:pPr>
        <w:pStyle w:val="ListBullet"/>
      </w:pPr>
      <w:r/>
      <w:r>
        <w:rPr>
          <w:b/>
        </w:rPr>
        <w:t>Neurologiques</w:t>
      </w:r>
      <w:r>
        <w:t xml:space="preserve"> : à très forte dose, syndrome de Wilson-like (tremblement, dysarthrie, troubles psychiatriques).</w:t>
      </w:r>
    </w:p>
    <w:p>
      <w:pPr>
        <w:pStyle w:val="ListBullet"/>
      </w:pPr>
      <w:r/>
      <w:r>
        <w:rPr>
          <w:b/>
        </w:rPr>
        <w:t>Rénaux</w:t>
      </w:r>
      <w:r>
        <w:t xml:space="preserve"> : protéinurie, insuffisance rénale tubulaire (à forte dose).</w:t>
      </w:r>
    </w:p>
    <w:p>
      <w:pPr>
        <w:pStyle w:val="ListBullet"/>
      </w:pPr>
      <w:r/>
      <w:r>
        <w:rPr>
          <w:b/>
        </w:rPr>
        <w:t>Hématologiques</w:t>
      </w:r>
      <w:r>
        <w:t xml:space="preserve"> : hémolyse intravasculaire (à dose massive, en cas de surdosage aigu — syndrome de Wilson-like).</w:t>
      </w:r>
    </w:p>
    <w:p>
      <w:r/>
      <w:r>
        <w:rPr>
          <w:b/>
        </w:rPr>
        <w:t>Manganèse</w:t>
      </w:r>
      <w:r/>
    </w:p>
    <w:p>
      <w:pPr>
        <w:pStyle w:val="ListBullet"/>
      </w:pPr>
      <w:r/>
      <w:r>
        <w:rPr>
          <w:b/>
        </w:rPr>
        <w:t>Neurologiques (intoxication chronique)</w:t>
      </w:r>
      <w:r>
        <w:t xml:space="preserve"> : syndrome parkinsonien (« manganisme ») — akinésie, rigidité, tremblement, démence. Ce syndrome survient chez les mineurs, soudeurs, et les patients sous nutrition parentérale prolongée avec supplémentation excessive en manganèse.</w:t>
      </w:r>
    </w:p>
    <w:p>
      <w:pPr>
        <w:pStyle w:val="ListBullet"/>
      </w:pPr>
      <w:r/>
      <w:r>
        <w:rPr>
          <w:b/>
        </w:rPr>
        <w:t>Hépatiques</w:t>
      </w:r>
      <w:r>
        <w:t xml:space="preserve"> : accumulation chez les insuffisants hépatiques et les cholestatiques (en particulier prématurés).</w:t>
      </w:r>
    </w:p>
    <w:p>
      <w:pPr>
        <w:pStyle w:val="ListBullet"/>
      </w:pPr>
      <w:r/>
      <w:r>
        <w:rPr>
          <w:b/>
        </w:rPr>
        <w:t>Digestifs</w:t>
      </w:r>
      <w:r>
        <w:t xml:space="preserve"> : rares.</w:t>
      </w:r>
    </w:p>
    <w:p>
      <w:r/>
      <w:r>
        <w:rPr>
          <w:b/>
        </w:rPr>
        <w:t>Chrome</w:t>
      </w:r>
      <w:r/>
    </w:p>
    <w:p>
      <w:pPr>
        <w:pStyle w:val="ListBullet"/>
      </w:pPr>
      <w:r/>
      <w:r>
        <w:rPr>
          <w:b/>
        </w:rPr>
        <w:t>Digestifs</w:t>
      </w:r>
      <w:r>
        <w:t xml:space="preserve"> : nausées, vomissements, diarrhée, ulcères gastriques (à forte dose de chrome trivalent).</w:t>
      </w:r>
    </w:p>
    <w:p>
      <w:pPr>
        <w:pStyle w:val="ListBullet"/>
      </w:pPr>
      <w:r/>
      <w:r>
        <w:rPr>
          <w:b/>
        </w:rPr>
        <w:t>Rénaux</w:t>
      </w:r>
      <w:r>
        <w:t xml:space="preserve"> : néphropathie interstitielle (à très forte dose chronique).</w:t>
      </w:r>
    </w:p>
    <w:p>
      <w:pPr>
        <w:pStyle w:val="ListBullet"/>
      </w:pPr>
      <w:r/>
      <w:r>
        <w:rPr>
          <w:b/>
        </w:rPr>
        <w:t>Hématologiques</w:t>
      </w:r>
      <w:r>
        <w:t xml:space="preserve"> : anémie, thrombopénie (à forte dose chronique).</w:t>
      </w:r>
    </w:p>
    <w:p>
      <w:pPr>
        <w:pStyle w:val="ListBullet"/>
      </w:pPr>
      <w:r/>
      <w:r>
        <w:rPr>
          <w:b/>
        </w:rPr>
        <w:t>Cutanés</w:t>
      </w:r>
      <w:r>
        <w:t xml:space="preserve"> : dermatite de contact (chrome trivalent et hexavalent).</w:t>
      </w:r>
    </w:p>
    <w:p>
      <w:pPr>
        <w:pStyle w:val="ListBullet"/>
      </w:pPr>
      <w:r/>
      <w:r>
        <w:rPr>
          <w:b/>
        </w:rPr>
        <w:t>Cancérogénèse</w:t>
      </w:r>
      <w:r>
        <w:t xml:space="preserve"> : le chrome hexavalent (Cr6+) est cancérogène pulmonaire avéré par inhalation professionnelle — sans rapport avec le chrome trivalent nutritionnel.</w:t>
      </w:r>
    </w:p>
    <w:p>
      <w:r/>
      <w:r>
        <w:rPr>
          <w:b/>
        </w:rPr>
        <w:t>TOT'HEMA (spécifique)</w:t>
      </w:r>
      <w:r/>
    </w:p>
    <w:p>
      <w:pPr>
        <w:pStyle w:val="ListBullet"/>
      </w:pPr>
      <w:r>
        <w:t>Coloration brune de l'émail dentaire (utiliser une paille).</w:t>
      </w:r>
    </w:p>
    <w:p>
      <w:pPr>
        <w:pStyle w:val="ListBullet"/>
      </w:pPr>
      <w:r>
        <w:t>Goût métallique.</w:t>
      </w:r>
    </w:p>
    <w:p>
      <w:pPr>
        <w:pStyle w:val="ListBullet"/>
      </w:pPr>
      <w:r>
        <w:t>Constipation (effet du fer), selles noires (effet du fer — à signaler au patient).</w:t>
      </w:r>
    </w:p>
    <w:p>
      <w:pPr>
        <w:pStyle w:val="ListBullet"/>
      </w:pPr>
      <w:r>
        <w:t>Coloration des selles (noir verdâtre).</w:t>
      </w:r>
    </w:p>
    <w:p>
      <w:r/>
      <w:r>
        <w:rPr>
          <w:b/>
        </w:rPr>
        <w:t>NONAN (spécifique à la voie injectable)</w:t>
      </w:r>
      <w:r/>
    </w:p>
    <w:p>
      <w:pPr>
        <w:pStyle w:val="ListBullet"/>
      </w:pPr>
      <w:r>
        <w:t>Réactions allergiques (choc anaphylactique rare).</w:t>
      </w:r>
    </w:p>
    <w:p>
      <w:pPr>
        <w:pStyle w:val="ListBullet"/>
      </w:pPr>
      <w:r>
        <w:t>Fièvre, frissons (réaction pyrogène).</w:t>
      </w:r>
    </w:p>
    <w:p>
      <w:pPr>
        <w:pStyle w:val="ListBullet"/>
      </w:pPr>
      <w:r>
        <w:t>Douleur au point d'injection, phlébite.</w:t>
      </w:r>
    </w:p>
    <w:p>
      <w:pPr>
        <w:pStyle w:val="ListBullet"/>
      </w:pPr>
      <w:r>
        <w:t>Surdosage en manganèse chez l'insuffisant hépatique (syndrome parkinsonien).</w:t>
      </w:r>
    </w:p>
    <w:p>
      <w:r/>
      <w:r>
        <w:rPr>
          <w:b/>
        </w:rPr>
        <w:t>MEGADYN (spécifique aux multivitamines)</w:t>
      </w:r>
      <w:r/>
    </w:p>
    <w:p>
      <w:pPr>
        <w:pStyle w:val="ListBullet"/>
      </w:pPr>
      <w:r>
        <w:t>Troubles digestifs (nausées, constipation).</w:t>
      </w:r>
    </w:p>
    <w:p>
      <w:pPr>
        <w:pStyle w:val="ListBullet"/>
      </w:pPr>
      <w:r>
        <w:t>Coloration jaune des urines (riboflavine/vitamine B2 — sans gravité).</w:t>
      </w:r>
    </w:p>
    <w:p>
      <w:pPr>
        <w:pStyle w:val="ListBullet"/>
      </w:pPr>
      <w:r>
        <w:t>Allergie aux composants (colorants, excipients).</w:t>
      </w:r>
    </w:p>
    <w:p>
      <w:r/>
      <w:r>
        <w:rPr>
          <w:b/>
        </w:rPr>
        <w:t>DERMOCUIVRE (spécifique à la voie topique)</w:t>
      </w:r>
      <w:r/>
    </w:p>
    <w:p>
      <w:pPr>
        <w:pStyle w:val="ListBullet"/>
      </w:pPr>
      <w:r>
        <w:t>Irritation locale, sensation de brûlure.</w:t>
      </w:r>
    </w:p>
    <w:p>
      <w:pPr>
        <w:pStyle w:val="ListBullet"/>
      </w:pPr>
      <w:r>
        <w:t>Dermatite de contact allergique.</w:t>
      </w:r>
    </w:p>
    <w:p>
      <w:pPr>
        <w:pStyle w:val="ListBullet"/>
      </w:pPr>
      <w:r>
        <w:t>Coloration brune de la peau (cuivre).</w:t>
      </w:r>
    </w:p>
    <w:p>
      <w:pPr>
        <w:pStyle w:val="ListBullet"/>
      </w:pPr>
      <w:r>
        <w:t>Surdosage systémique (cuivre et zinc) en cas d'application sur plaies très étendues : hépatotoxicité, anémie hémolytique.</w:t>
      </w:r>
    </w:p>
    <w:p>
      <w:pPr>
        <w:pStyle w:val="Heading4"/>
      </w:pPr>
      <w:r>
        <w:t>8. Interactions médicamenteuses</w:t>
      </w:r>
    </w:p>
    <w:p>
      <w:r/>
      <w:r>
        <w:rPr>
          <w:b/>
        </w:rPr>
        <w:t>Zinc</w:t>
      </w:r>
      <w:r/>
    </w:p>
    <w:p>
      <w:pPr>
        <w:pStyle w:val="ListBullet"/>
      </w:pPr>
      <w:r/>
      <w:r>
        <w:rPr>
          <w:b/>
        </w:rPr>
        <w:t>Fer (sels ferreux ou ferriques)</w:t>
      </w:r>
      <w:r>
        <w:t xml:space="preserve"> : compétition pour les transporteurs DMT1 — espacer de 2 heures minimum.</w:t>
      </w:r>
    </w:p>
    <w:p>
      <w:pPr>
        <w:pStyle w:val="ListBullet"/>
      </w:pPr>
      <w:r/>
      <w:r>
        <w:rPr>
          <w:b/>
        </w:rPr>
        <w:t>Calcium (carbonate, citrate)</w:t>
      </w:r>
      <w:r>
        <w:t xml:space="preserve"> : compétition pour les transporteurs DMT1 et précipitation — espacer de 2 heures.</w:t>
      </w:r>
    </w:p>
    <w:p>
      <w:pPr>
        <w:pStyle w:val="ListBullet"/>
      </w:pPr>
      <w:r/>
      <w:r>
        <w:rPr>
          <w:b/>
        </w:rPr>
        <w:t>Cuivre</w:t>
      </w:r>
      <w:r>
        <w:t xml:space="preserve"> : compétition — surveillance de la cuprémie en cas de supplémentation prolongée en zinc.</w:t>
      </w:r>
    </w:p>
    <w:p>
      <w:pPr>
        <w:pStyle w:val="ListBullet"/>
      </w:pPr>
      <w:r/>
      <w:r>
        <w:rPr>
          <w:b/>
        </w:rPr>
        <w:t>Quinolones (ciprofloxacine, lévofloxacine, ofloxacine)</w:t>
      </w:r>
      <w:r>
        <w:t xml:space="preserve"> : chélation intestinale — espacer de 2 heures.</w:t>
      </w:r>
    </w:p>
    <w:p>
      <w:pPr>
        <w:pStyle w:val="ListBullet"/>
      </w:pPr>
      <w:r/>
      <w:r>
        <w:rPr>
          <w:b/>
        </w:rPr>
        <w:t>Tétracyclines (doxycycline, minocycline)</w:t>
      </w:r>
      <w:r>
        <w:t xml:space="preserve"> : chélation intestinale — espacer de 2 heures.</w:t>
      </w:r>
    </w:p>
    <w:p>
      <w:pPr>
        <w:pStyle w:val="ListBullet"/>
      </w:pPr>
      <w:r/>
      <w:r>
        <w:rPr>
          <w:b/>
        </w:rPr>
        <w:t>Pénicillamine</w:t>
      </w:r>
      <w:r>
        <w:t xml:space="preserve"> : chélation du zinc — risque de carence en zinc si traitement prolongé.</w:t>
      </w:r>
    </w:p>
    <w:p>
      <w:pPr>
        <w:pStyle w:val="ListBullet"/>
      </w:pPr>
      <w:r/>
      <w:r>
        <w:rPr>
          <w:b/>
        </w:rPr>
        <w:t>Diurétiques thiazidiques</w:t>
      </w:r>
      <w:r>
        <w:t xml:space="preserve"> : augmentation de l'excrétion urinaire du zinc — surveillance.</w:t>
      </w:r>
    </w:p>
    <w:p>
      <w:pPr>
        <w:pStyle w:val="ListBullet"/>
      </w:pPr>
      <w:r/>
      <w:r>
        <w:rPr>
          <w:b/>
        </w:rPr>
        <w:t>Inhibiteurs de l'ACE</w:t>
      </w:r>
      <w:r>
        <w:t xml:space="preserve"> : augmentation de l'excrétion urinaire du zinc — surveillance.</w:t>
      </w:r>
    </w:p>
    <w:p>
      <w:pPr>
        <w:pStyle w:val="ListBullet"/>
      </w:pPr>
      <w:r/>
      <w:r>
        <w:rPr>
          <w:b/>
        </w:rPr>
        <w:t>Antiacides</w:t>
      </w:r>
      <w:r>
        <w:t xml:space="preserve"> : diminution de l'absorption du zinc — espacer.</w:t>
      </w:r>
    </w:p>
    <w:p>
      <w:r/>
      <w:r>
        <w:rPr>
          <w:b/>
        </w:rPr>
        <w:t>Sélénium</w:t>
      </w:r>
      <w:r/>
    </w:p>
    <w:p>
      <w:pPr>
        <w:pStyle w:val="ListBullet"/>
      </w:pPr>
      <w:r/>
      <w:r>
        <w:rPr>
          <w:b/>
        </w:rPr>
        <w:t>Warfarine</w:t>
      </w:r>
      <w:r>
        <w:t xml:space="preserve"> : potentialisation de l'anticoagulation (effet sur la GPx et sur les facteurs de coagulation vitamino-K-dépendants) — surveillance de l'INR.</w:t>
      </w:r>
    </w:p>
    <w:p>
      <w:pPr>
        <w:pStyle w:val="ListBullet"/>
      </w:pPr>
      <w:r/>
      <w:r>
        <w:rPr>
          <w:b/>
        </w:rPr>
        <w:t>Acide ascorbique (vitamine C)</w:t>
      </w:r>
      <w:r>
        <w:t xml:space="preserve"> : à haute dose (≥ 1 g/jour), réduction de la biodisponibilité du sélénium — espacer.</w:t>
      </w:r>
    </w:p>
    <w:p>
      <w:pPr>
        <w:pStyle w:val="ListBullet"/>
      </w:pPr>
      <w:r/>
      <w:r>
        <w:rPr>
          <w:b/>
        </w:rPr>
        <w:t>Niacine (vitamine PP)</w:t>
      </w:r>
      <w:r>
        <w:t xml:space="preserve"> : potentialisation de l'absorption du sélénium (composant du GTF).</w:t>
      </w:r>
    </w:p>
    <w:p>
      <w:r/>
      <w:r>
        <w:rPr>
          <w:b/>
        </w:rPr>
        <w:t>Cuivre</w:t>
      </w:r>
      <w:r/>
    </w:p>
    <w:p>
      <w:pPr>
        <w:pStyle w:val="ListBullet"/>
      </w:pPr>
      <w:r/>
      <w:r>
        <w:rPr>
          <w:b/>
        </w:rPr>
        <w:t>Zinc</w:t>
      </w:r>
      <w:r>
        <w:t xml:space="preserve"> : compétition — surveillance de la cuprémie en cas de supplémentation prolongée en zinc.</w:t>
      </w:r>
    </w:p>
    <w:p>
      <w:pPr>
        <w:pStyle w:val="ListBullet"/>
      </w:pPr>
      <w:r/>
      <w:r>
        <w:rPr>
          <w:b/>
        </w:rPr>
        <w:t>Fer</w:t>
      </w:r>
      <w:r>
        <w:t xml:space="preserve"> : compétition pour les transporteurs DMT1 — espacer.</w:t>
      </w:r>
    </w:p>
    <w:p>
      <w:pPr>
        <w:pStyle w:val="ListBullet"/>
      </w:pPr>
      <w:r/>
      <w:r>
        <w:rPr>
          <w:b/>
        </w:rPr>
        <w:t>Pénicillamine</w:t>
      </w:r>
      <w:r>
        <w:t xml:space="preserve"> : chélation du cuivre — utilisé thérapeutiquement dans la maladie de Wilson ; risque de carence en cuivre en cas de traitement prolongé.</w:t>
      </w:r>
    </w:p>
    <w:p>
      <w:pPr>
        <w:pStyle w:val="ListBullet"/>
      </w:pPr>
      <w:r/>
      <w:r>
        <w:rPr>
          <w:b/>
        </w:rPr>
        <w:t>Trientine</w:t>
      </w:r>
      <w:r>
        <w:t xml:space="preserve"> : chélation du cuivre — utilisé dans la maladie de Wilson.</w:t>
      </w:r>
    </w:p>
    <w:p>
      <w:pPr>
        <w:pStyle w:val="ListBullet"/>
      </w:pPr>
      <w:r/>
      <w:r>
        <w:rPr>
          <w:b/>
        </w:rPr>
        <w:t>Antiacides</w:t>
      </w:r>
      <w:r>
        <w:t xml:space="preserve"> : diminution de l'absorption du cuivre.</w:t>
      </w:r>
    </w:p>
    <w:p>
      <w:r/>
      <w:r>
        <w:rPr>
          <w:b/>
        </w:rPr>
        <w:t>Manganèse</w:t>
      </w:r>
      <w:r/>
    </w:p>
    <w:p>
      <w:pPr>
        <w:pStyle w:val="ListBullet"/>
      </w:pPr>
      <w:r/>
      <w:r>
        <w:rPr>
          <w:b/>
        </w:rPr>
        <w:t>Fer</w:t>
      </w:r>
      <w:r>
        <w:t xml:space="preserve"> : compétition pour les transporteurs DMT1 — espacer.</w:t>
      </w:r>
    </w:p>
    <w:p>
      <w:pPr>
        <w:pStyle w:val="ListBullet"/>
      </w:pPr>
      <w:r/>
      <w:r>
        <w:rPr>
          <w:b/>
        </w:rPr>
        <w:t>Calcium</w:t>
      </w:r>
      <w:r>
        <w:t xml:space="preserve"> : compétition — espacer.</w:t>
      </w:r>
    </w:p>
    <w:p>
      <w:pPr>
        <w:pStyle w:val="ListBullet"/>
      </w:pPr>
      <w:r/>
      <w:r>
        <w:rPr>
          <w:b/>
        </w:rPr>
        <w:t>Magnésium</w:t>
      </w:r>
      <w:r>
        <w:t xml:space="preserve"> : compétition — espacer.</w:t>
      </w:r>
    </w:p>
    <w:p>
      <w:r/>
      <w:r>
        <w:rPr>
          <w:b/>
        </w:rPr>
        <w:t>Chrome</w:t>
      </w:r>
      <w:r/>
    </w:p>
    <w:p>
      <w:pPr>
        <w:pStyle w:val="ListBullet"/>
      </w:pPr>
      <w:r/>
      <w:r>
        <w:rPr>
          <w:b/>
        </w:rPr>
        <w:t>Antidiabétiques (insuline, metformine, sulfamides)</w:t>
      </w:r>
      <w:r>
        <w:t xml:space="preserve"> : potentialisation de l'effet hypoglycémiant — surveillance de la glycémie, risque d'hypoglycémie.</w:t>
      </w:r>
    </w:p>
    <w:p>
      <w:pPr>
        <w:pStyle w:val="ListBullet"/>
      </w:pPr>
      <w:r/>
      <w:r>
        <w:rPr>
          <w:b/>
        </w:rPr>
        <w:t>Corticostéroïdes</w:t>
      </w:r>
      <w:r>
        <w:t xml:space="preserve"> : augmentation de l'excrétion urinaire du chrome — surveillance.</w:t>
      </w:r>
    </w:p>
    <w:p>
      <w:pPr>
        <w:pStyle w:val="ListBullet"/>
      </w:pPr>
      <w:r/>
      <w:r>
        <w:rPr>
          <w:b/>
        </w:rPr>
        <w:t>Antiacides</w:t>
      </w:r>
      <w:r>
        <w:t xml:space="preserve"> : diminution de l'absorption du chrome.</w:t>
      </w:r>
    </w:p>
    <w:p>
      <w:r/>
      <w:r>
        <w:rPr>
          <w:b/>
        </w:rPr>
        <w:t>TOT'HEMA (spécifique)</w:t>
      </w:r>
      <w:r/>
    </w:p>
    <w:p>
      <w:pPr>
        <w:pStyle w:val="ListBullet"/>
      </w:pPr>
      <w:r/>
      <w:r>
        <w:rPr>
          <w:b/>
        </w:rPr>
        <w:t>Fer (autres suppléments)</w:t>
      </w:r>
      <w:r>
        <w:t xml:space="preserve"> : surdosage martiale potentiel.</w:t>
      </w:r>
    </w:p>
    <w:p>
      <w:pPr>
        <w:pStyle w:val="ListBullet"/>
      </w:pPr>
      <w:r/>
      <w:r>
        <w:rPr>
          <w:b/>
        </w:rPr>
        <w:t>Calcium, antiacides, laitages</w:t>
      </w:r>
      <w:r>
        <w:t xml:space="preserve"> : diminution de l'absorption du fer — espacer.</w:t>
      </w:r>
    </w:p>
    <w:p>
      <w:pPr>
        <w:pStyle w:val="ListBullet"/>
      </w:pPr>
      <w:r/>
      <w:r>
        <w:rPr>
          <w:b/>
        </w:rPr>
        <w:t>Quinolones, tétracyclines</w:t>
      </w:r>
      <w:r>
        <w:t xml:space="preserve"> : chélation du fer — espacer.</w:t>
      </w:r>
    </w:p>
    <w:p>
      <w:pPr>
        <w:pStyle w:val="ListBullet"/>
      </w:pPr>
      <w:r/>
      <w:r>
        <w:rPr>
          <w:b/>
        </w:rPr>
        <w:t>Lévodopa, méthyl-dopa, pénicillamine</w:t>
      </w:r>
      <w:r>
        <w:t xml:space="preserve"> : chélation par le fer — espacer.</w:t>
      </w:r>
    </w:p>
    <w:p>
      <w:pPr>
        <w:pStyle w:val="ListBullet"/>
      </w:pPr>
      <w:r/>
      <w:r>
        <w:rPr>
          <w:b/>
        </w:rPr>
        <w:t>Thyroxine (levothyrox)</w:t>
      </w:r>
      <w:r>
        <w:t xml:space="preserve"> : diminution de l'absorption de la thyroxine — espacer de 4 heures.</w:t>
      </w:r>
    </w:p>
    <w:p>
      <w:r/>
      <w:r>
        <w:rPr>
          <w:b/>
        </w:rPr>
        <w:t>NONAN (spécifique à la voie injectable)</w:t>
      </w:r>
      <w:r/>
    </w:p>
    <w:p>
      <w:pPr>
        <w:pStyle w:val="ListBullet"/>
      </w:pPr>
      <w:r>
        <w:t>Compatibilité avec les mélanges de nutrition parentérale : vérifier les recommandations du fabricant.</w:t>
      </w:r>
    </w:p>
    <w:p>
      <w:pPr>
        <w:pStyle w:val="ListBullet"/>
      </w:pPr>
      <w:r>
        <w:t>Incompatibilité avec certaines solutions acides : vérifier le pH.</w:t>
      </w:r>
    </w:p>
    <w:p>
      <w:r/>
      <w:r>
        <w:rPr>
          <w:b/>
        </w:rPr>
        <w:t>MEGADYN (multivitamines + oligoéléments)</w:t>
      </w:r>
      <w:r/>
    </w:p>
    <w:p>
      <w:pPr>
        <w:pStyle w:val="ListBullet"/>
      </w:pPr>
      <w:r>
        <w:t>Toutes les interactions liées aux vitamines (liposolubles et hydrosolubles) — voir chapitres 161 et 162.</w:t>
      </w:r>
    </w:p>
    <w:p>
      <w:pPr>
        <w:pStyle w:val="ListBullet"/>
      </w:pPr>
      <w:r>
        <w:t>Toutes les interactions liées aux oligoéléments ci-dessus.</w:t>
      </w:r>
    </w:p>
    <w:p>
      <w:pPr>
        <w:pStyle w:val="Heading4"/>
      </w:pPr>
      <w:r>
        <w:t>9. Surveillance biologique et suivi clinique</w:t>
      </w:r>
    </w:p>
    <w:p>
      <w:r/>
      <w:r>
        <w:rPr>
          <w:b/>
        </w:rPr>
        <w:t>Bilan pré-thérapeutique (avant initiation d'une supplémentation au long cours)</w:t>
      </w:r>
      <w:r/>
    </w:p>
    <w:p>
      <w:pPr>
        <w:pStyle w:val="ListBullet"/>
      </w:pPr>
      <w:r>
        <w:t>Dosage spécifique de l'oligoélément concerné :</w:t>
      </w:r>
    </w:p>
    <w:p>
      <w:pPr>
        <w:pStyle w:val="ListBullet"/>
      </w:pPr>
      <w:r/>
      <w:r>
        <w:rPr>
          <w:b/>
        </w:rPr>
        <w:t>Zincémie</w:t>
      </w:r>
      <w:r>
        <w:t xml:space="preserve"> (valeur normale : 70 à 120 µg/dL, soit 10,7 à 18,4 µmol/L). À jeun, à distance des repas.</w:t>
      </w:r>
    </w:p>
    <w:p>
      <w:pPr>
        <w:pStyle w:val="ListBullet"/>
      </w:pPr>
      <w:r/>
      <w:r>
        <w:rPr>
          <w:b/>
        </w:rPr>
        <w:t>Sélénémie</w:t>
      </w:r>
      <w:r>
        <w:t xml:space="preserve"> (valeur normale : 70 à 150 µg/L). Marqueur plus pertinent : activité de la glutathion peroxydase érythrocytaire (GPx).</w:t>
      </w:r>
    </w:p>
    <w:p>
      <w:pPr>
        <w:pStyle w:val="ListBullet"/>
      </w:pPr>
      <w:r/>
      <w:r>
        <w:rPr>
          <w:b/>
        </w:rPr>
        <w:t>Cuprémie</w:t>
      </w:r>
      <w:r>
        <w:t xml:space="preserve"> (valeur normale : 70 à 140 µg/dL) et céruloplasminémie (20 à 60 mg/dL).</w:t>
      </w:r>
    </w:p>
    <w:p>
      <w:pPr>
        <w:pStyle w:val="ListBullet"/>
      </w:pPr>
      <w:r/>
      <w:r>
        <w:rPr>
          <w:b/>
        </w:rPr>
        <w:t>Manganèse sanguin</w:t>
      </w:r>
      <w:r>
        <w:t xml:space="preserve"> (valeur normale : 4 à 15 µg/L) et urinaire.</w:t>
      </w:r>
    </w:p>
    <w:p>
      <w:pPr>
        <w:pStyle w:val="ListBullet"/>
      </w:pPr>
      <w:r/>
      <w:r>
        <w:rPr>
          <w:b/>
        </w:rPr>
        <w:t>Chromémie</w:t>
      </w:r>
      <w:r>
        <w:t xml:space="preserve"> (valeur normale : 0,1 à 0,2 µg/L) — dosage difficile, non réalisé en routine.</w:t>
      </w:r>
    </w:p>
    <w:p>
      <w:pPr>
        <w:pStyle w:val="ListBullet"/>
      </w:pPr>
      <w:r>
        <w:t>Bilan martial (ferritine, CST, transferrine) si association au fer (TOT'HEMA).</w:t>
      </w:r>
    </w:p>
    <w:p>
      <w:pPr>
        <w:pStyle w:val="ListBullet"/>
      </w:pPr>
      <w:r>
        <w:t>Bilan hépatique (ALAT, ASAT, γ-GT, bilirubine) — en particulier pour le manganèse et le cuivre.</w:t>
      </w:r>
    </w:p>
    <w:p>
      <w:pPr>
        <w:pStyle w:val="ListBullet"/>
      </w:pPr>
      <w:r>
        <w:t>Bilan rénal (créatininémie, clairance calculée CKD-EPI) — pour adapter les posologies en cas d'insuffisance rénale.</w:t>
      </w:r>
    </w:p>
    <w:p>
      <w:pPr>
        <w:pStyle w:val="ListBullet"/>
      </w:pPr>
      <w:r>
        <w:t>NFS-plaquettes (recherche d'une anémie, neutropénie carentielle).</w:t>
      </w:r>
    </w:p>
    <w:p>
      <w:pPr>
        <w:pStyle w:val="ListBullet"/>
      </w:pPr>
      <w:r>
        <w:t>Ionogramme sanguin et urinaire.</w:t>
      </w:r>
    </w:p>
    <w:p>
      <w:r/>
      <w:r>
        <w:rPr>
          <w:b/>
        </w:rPr>
        <w:t>Surveillance en cours de traitement</w:t>
      </w:r>
      <w:r/>
    </w:p>
    <w:p>
      <w:pPr>
        <w:pStyle w:val="ListBullet"/>
      </w:pPr>
      <w:r/>
      <w:r>
        <w:rPr>
          <w:b/>
        </w:rPr>
        <w:t>Zinc</w:t>
      </w:r>
      <w:r>
        <w:t xml:space="preserve"> : zincémie à 3 mois, puis tous les 6 mois si traitement prolongé.</w:t>
      </w:r>
    </w:p>
    <w:p>
      <w:pPr>
        <w:pStyle w:val="ListBullet"/>
      </w:pPr>
      <w:r/>
      <w:r>
        <w:rPr>
          <w:b/>
        </w:rPr>
        <w:t>Sélénium</w:t>
      </w:r>
      <w:r>
        <w:t xml:space="preserve"> : sélénémie à 3 mois, puis tous les 6 mois. Surveillance clinique des signes de surdosage (alopécie, ongles cassants, odeur ailée de l'haleine).</w:t>
      </w:r>
    </w:p>
    <w:p>
      <w:pPr>
        <w:pStyle w:val="ListBullet"/>
      </w:pPr>
      <w:r/>
      <w:r>
        <w:rPr>
          <w:b/>
        </w:rPr>
        <w:t>Cuivre</w:t>
      </w:r>
      <w:r>
        <w:t xml:space="preserve"> : cuprémie et céruloplasminémie à 3 mois, puis tous les 6 mois.</w:t>
      </w:r>
    </w:p>
    <w:p>
      <w:pPr>
        <w:pStyle w:val="ListBullet"/>
      </w:pPr>
      <w:r/>
      <w:r>
        <w:rPr>
          <w:b/>
        </w:rPr>
        <w:t>Manganèse</w:t>
      </w:r>
      <w:r>
        <w:t xml:space="preserve"> : manganèse sanguin à 3 mois, puis tous les 6 mois. Examen neurologique régulier (recherche de signes parkinsoniens).</w:t>
      </w:r>
    </w:p>
    <w:p>
      <w:pPr>
        <w:pStyle w:val="ListBullet"/>
      </w:pPr>
      <w:r/>
      <w:r>
        <w:rPr>
          <w:b/>
        </w:rPr>
        <w:t>Chrome</w:t>
      </w:r>
      <w:r>
        <w:t xml:space="preserve"> : surveillance glycémique (glycémie à jeun, HbA1c) chez le diabétique. Chromémie difficile à interpréter.</w:t>
      </w:r>
    </w:p>
    <w:p>
      <w:r/>
      <w:r>
        <w:rPr>
          <w:b/>
        </w:rPr>
        <w:t>Surveillance clinique</w:t>
      </w:r>
      <w:r/>
    </w:p>
    <w:p>
      <w:pPr>
        <w:pStyle w:val="ListBullet"/>
      </w:pPr>
      <w:r/>
      <w:r>
        <w:rPr>
          <w:b/>
        </w:rPr>
        <w:t>Efficacité</w:t>
      </w:r>
      <w:r>
        <w:t xml:space="preserve"> : disparition des signes de carence (croissance chez l'enfant, cicatrisation, goût, immunité), normalisation des marqueurs biologiques.</w:t>
      </w:r>
    </w:p>
    <w:p>
      <w:pPr>
        <w:pStyle w:val="ListBullet"/>
      </w:pPr>
      <w:r/>
      <w:r>
        <w:rPr>
          <w:b/>
        </w:rPr>
        <w:t>Tolérance</w:t>
      </w:r>
      <w:r>
        <w:t xml:space="preserve"> : digestif (nausées, diarrhée), cutané (éruptions), neurologique (syndrome parkinsonien pour le manganèse), hématologique (anémie, neutropénie).</w:t>
      </w:r>
    </w:p>
    <w:p>
      <w:r/>
      <w:r>
        <w:rPr>
          <w:b/>
        </w:rPr>
        <w:t>Éducation thérapeutique du patient</w:t>
      </w:r>
      <w:r/>
    </w:p>
    <w:p>
      <w:pPr>
        <w:pStyle w:val="ListBullet"/>
      </w:pPr>
      <w:r>
        <w:t>Respect de la prescription et des horaires de prise.</w:t>
      </w:r>
    </w:p>
    <w:p>
      <w:pPr>
        <w:pStyle w:val="ListBullet"/>
      </w:pPr>
      <w:r>
        <w:t>Espacement avec les autres médicaments chélateurs (fer, calcium, antiacides, quinolones, tétracyclines).</w:t>
      </w:r>
    </w:p>
    <w:p>
      <w:pPr>
        <w:pStyle w:val="ListBullet"/>
      </w:pPr>
      <w:r>
        <w:t>Signes de surdosage à connaître : pour le sélénium, alopécie et ongles cassants ; pour le manganèse, tremblements et raideur ; pour le cuivre, coloration brune de la peau.</w:t>
      </w:r>
    </w:p>
    <w:p>
      <w:pPr>
        <w:pStyle w:val="ListBullet"/>
      </w:pPr>
      <w:r>
        <w:t>Ne pas dépasser la dose prescrite.</w:t>
      </w:r>
    </w:p>
    <w:p>
      <w:pPr>
        <w:pStyle w:val="ListBullet"/>
      </w:pPr>
      <w:r>
        <w:t>Ne pas associer plusieurs suppléments d'oligoéléments sans avis médical (risque de surdosage).</w:t>
      </w:r>
    </w:p>
    <w:p>
      <w:pPr>
        <w:pStyle w:val="Heading4"/>
      </w:pPr>
      <w:r>
        <w:t>10. Arbitrage et bénéfices des formes galéniques</w:t>
      </w:r>
    </w:p>
    <w:p>
      <w:r/>
      <w:r>
        <w:rPr>
          <w:b/>
        </w:rPr>
        <w:t>Forme orale (TOT'HEMA, MEGADYN)</w:t>
      </w:r>
      <w:r/>
    </w:p>
    <w:p>
      <w:pPr>
        <w:pStyle w:val="ListBullet"/>
      </w:pPr>
      <w:r>
        <w:t>Avantages : facilité d'administration, observance, coût modéré.</w:t>
      </w:r>
    </w:p>
    <w:p>
      <w:pPr>
        <w:pStyle w:val="ListBullet"/>
      </w:pPr>
      <w:r>
        <w:t>Inconvénients : biodisponibilité variable (compétitions digestives), effets digestifs (nausées, coloration dentaire pour TOT'HEMA).</w:t>
      </w:r>
    </w:p>
    <w:p>
      <w:pPr>
        <w:pStyle w:val="ListBullet"/>
      </w:pPr>
      <w:r>
        <w:t>TOT'HEMA : solution en ampoule buvable 10 mL, diluable dans un verre d'eau. Avantage : dosage précis et biodisponibilité correcte. Inconvénient : goût métallique, coloration de l'émail dentaire (utiliser une paille).</w:t>
      </w:r>
    </w:p>
    <w:p>
      <w:pPr>
        <w:pStyle w:val="ListBullet"/>
      </w:pPr>
      <w:r>
        <w:t>MEGADYN : comprimé pelliculé. Avantage : facilité d'administration, masquage du goût. Inconvénient : composition multivitaminique pouvant entraîner des interactions multiples.</w:t>
      </w:r>
    </w:p>
    <w:p>
      <w:r/>
      <w:r>
        <w:rPr>
          <w:b/>
        </w:rPr>
        <w:t>Forme injectable (NONAN)</w:t>
      </w:r>
      <w:r/>
    </w:p>
    <w:p>
      <w:pPr>
        <w:pStyle w:val="ListBullet"/>
      </w:pPr>
      <w:r>
        <w:t>Indications : nutrition parentérale au long cours, impossibilité de voie orale.</w:t>
      </w:r>
    </w:p>
    <w:p>
      <w:pPr>
        <w:pStyle w:val="ListBullet"/>
      </w:pPr>
      <w:r>
        <w:t>Avantages : biodisponibilité 100 %, apport contrôlé.</w:t>
      </w:r>
    </w:p>
    <w:p>
      <w:pPr>
        <w:pStyle w:val="ListBullet"/>
      </w:pPr>
      <w:r>
        <w:t>Inconvénients : voie veineuse centrale requise, risque infectieux, surdosage en manganèse possible chez l'insuffisant hépatique, nécessité d'une surveillance hospitalière.</w:t>
      </w:r>
    </w:p>
    <w:p>
      <w:r/>
      <w:r>
        <w:rPr>
          <w:b/>
        </w:rPr>
        <w:t>Forme topique (DERMOCUIVRE)</w:t>
      </w:r>
      <w:r/>
    </w:p>
    <w:p>
      <w:pPr>
        <w:pStyle w:val="ListBullet"/>
      </w:pPr>
      <w:r>
        <w:t>Indications : plaies chroniques, ulcères de jambe, escarres.</w:t>
      </w:r>
    </w:p>
    <w:p>
      <w:pPr>
        <w:pStyle w:val="ListBullet"/>
      </w:pPr>
      <w:r>
        <w:t>Avantages : action locale, faible passage systémique (sauf plaies étendues).</w:t>
      </w:r>
    </w:p>
    <w:p>
      <w:pPr>
        <w:pStyle w:val="ListBullet"/>
      </w:pPr>
      <w:r>
        <w:t>Inconvénients : coloration de la peau, dermatite de contact possible.</w:t>
      </w:r>
    </w:p>
    <w:p>
      <w:pPr>
        <w:pStyle w:val="ListBullet"/>
      </w:pPr>
      <w:r>
        <w:t>Statut : non renouvelable — vérifier la disponibilité.</w:t>
      </w:r>
    </w:p>
    <w:p>
      <w:r/>
      <w:r>
        <w:rPr>
          <w:b/>
        </w:rPr>
        <w:t>Arbitrage thérapeutique en officine</w:t>
      </w:r>
      <w:r/>
    </w:p>
    <w:p>
      <w:pPr>
        <w:pStyle w:val="ListBullet"/>
      </w:pPr>
      <w:r>
        <w:t>Anémie ferriprive simple : sel de fer oral (chapitre 163). TOT'HEMA en alternative si intolérance au sulfate ferreux ou association synergique cuivre-manganèse jugée utile.</w:t>
      </w:r>
    </w:p>
    <w:p>
      <w:pPr>
        <w:pStyle w:val="ListBullet"/>
      </w:pPr>
      <w:r>
        <w:t>Carence en oligoéléments documentée (nutrition parentérale) : NONAN.</w:t>
      </w:r>
    </w:p>
    <w:p>
      <w:pPr>
        <w:pStyle w:val="ListBullet"/>
      </w:pPr>
      <w:r>
        <w:t>Complémentation préventive (femme enceinte, sujet âgé) : MEGADYN.</w:t>
      </w:r>
    </w:p>
    <w:p>
      <w:pPr>
        <w:pStyle w:val="ListBullet"/>
      </w:pPr>
      <w:r>
        <w:t>Plaie chronique : DERMOCUIVRE (si disponible) ou pansements standards.</w:t>
      </w:r>
    </w:p>
    <w:p>
      <w:pPr>
        <w:pStyle w:val="Heading4"/>
      </w:pPr>
      <w:r>
        <w:t>11. Instructions et conseils au patient</w:t>
      </w:r>
    </w:p>
    <w:p>
      <w:r/>
      <w:r>
        <w:rPr>
          <w:b/>
        </w:rPr>
        <w:t>Conseils au comptoir</w:t>
      </w:r>
      <w:r/>
    </w:p>
    <w:p>
      <w:pPr>
        <w:pStyle w:val="ListNumber"/>
      </w:pPr>
      <w:r/>
      <w:r>
        <w:rPr>
          <w:b/>
        </w:rPr>
        <w:t>TOT'HEMA</w:t>
      </w:r>
      <w:r>
        <w:t xml:space="preserve"> : diluer l'ampoule dans un verre d'eau ou de jus de fruit (éviter le thé, le café, le lait, qui diminuent l'absorption du fer). Boire avec une paille pour éviter la coloration de l'émail dentaire. Prendre à jeun ou 30 minutes avant le repas. Ne pas consommer de produits laitiers, de thé, de café, ou d'antiacides dans les 2 heures entourant la prise.</w:t>
      </w:r>
    </w:p>
    <w:p>
      <w:pPr>
        <w:pStyle w:val="ListNumber"/>
      </w:pPr>
      <w:r/>
      <w:r>
        <w:rPr>
          <w:b/>
        </w:rPr>
        <w:t>NONAN</w:t>
      </w:r>
      <w:r>
        <w:t xml:space="preserve"> : usage strictement hospitalier. Pas de conseils à l'officine.</w:t>
      </w:r>
    </w:p>
    <w:p>
      <w:pPr>
        <w:pStyle w:val="ListNumber"/>
      </w:pPr>
      <w:r/>
      <w:r>
        <w:rPr>
          <w:b/>
        </w:rPr>
        <w:t>MEGADYN</w:t>
      </w:r>
      <w:r>
        <w:t xml:space="preserve"> : prendre 1 comprimé par jour au cours du repas, avec un grand verre d'eau. Ne pas dépasser la dose recommandée. Signaler à tout médecin ou pharmacien les autres suppléments vitaminiques ou minéraux pris simultanément (risque de surdosage).</w:t>
      </w:r>
    </w:p>
    <w:p>
      <w:pPr>
        <w:pStyle w:val="ListNumber"/>
      </w:pPr>
      <w:r/>
      <w:r>
        <w:rPr>
          <w:b/>
        </w:rPr>
        <w:t>DERMOCUIVRE</w:t>
      </w:r>
      <w:r>
        <w:t xml:space="preserve"> : appliquer sur peau propre et séchée, 1 à 2 fois par jour. Couvrir d'un pansement si nécessaire. Ne pas utiliser sur plaies très étendues (consulter un médecin). Laver les mains après application.</w:t>
      </w:r>
    </w:p>
    <w:p>
      <w:pPr>
        <w:pStyle w:val="ListNumber"/>
      </w:pPr>
      <w:r/>
      <w:r>
        <w:rPr>
          <w:b/>
        </w:rPr>
        <w:t>Signes d'alerte à connaître</w:t>
      </w:r>
      <w:r>
        <w:t xml:space="preserve"> :</w:t>
      </w:r>
    </w:p>
    <w:p>
      <w:pPr>
        <w:pStyle w:val="ListBullet"/>
      </w:pPr>
      <w:r>
        <w:t>Pour le sélénium : alopécie, ongles cassants, odeur ailée de l'haleine, fatigue intense.</w:t>
      </w:r>
    </w:p>
    <w:p>
      <w:pPr>
        <w:pStyle w:val="ListBullet"/>
      </w:pPr>
      <w:r>
        <w:t>Pour le manganèse : tremblements, raideur musculaire, troubles de l'équilibre.</w:t>
      </w:r>
    </w:p>
    <w:p>
      <w:pPr>
        <w:pStyle w:val="ListBullet"/>
      </w:pPr>
      <w:r>
        <w:t>Pour le cuivre : coloration brune de la peau, fatigue, ictère.</w:t>
      </w:r>
    </w:p>
    <w:p>
      <w:pPr>
        <w:pStyle w:val="ListBullet"/>
      </w:pPr>
      <w:r>
        <w:t>Pour le zinc : nausées, vomissements, diarrhée.</w:t>
      </w:r>
    </w:p>
    <w:p>
      <w:pPr>
        <w:pStyle w:val="ListBullet"/>
      </w:pPr>
      <w:r>
        <w:t>Pour TOT'HEMA : selles noires (normal, dû au fer), douleurs épigastriques (consulter si intolérance).</w:t>
      </w:r>
    </w:p>
    <w:p>
      <w:pPr>
        <w:pStyle w:val="ListNumber"/>
      </w:pPr>
      <w:r/>
      <w:r>
        <w:rPr>
          <w:b/>
        </w:rPr>
        <w:t>Femmes enceintes</w:t>
      </w:r>
      <w:r>
        <w:t xml:space="preserve"> : les oligoéléments sont essentiels au développement fœtal. Les apports recommandés augmentent de 25 à 40 % pendant la grossesse. Une supplémentation prénatale multivitaminée (MEGADYN, ou spécialités prénatales importées) est recommandée en Algérie, en particulier en cas de dénutrition ou de régime restrictif.</w:t>
      </w:r>
    </w:p>
    <w:p>
      <w:pPr>
        <w:pStyle w:val="ListNumber"/>
      </w:pPr>
      <w:r/>
      <w:r>
        <w:rPr>
          <w:b/>
        </w:rPr>
        <w:t>Allaitement</w:t>
      </w:r>
      <w:r>
        <w:t xml:space="preserve"> : compatible. Les oligoéléments passent dans le lait maternel et sont essentiels au nourrisson.</w:t>
      </w:r>
    </w:p>
    <w:p>
      <w:pPr>
        <w:pStyle w:val="ListNumber"/>
      </w:pPr>
      <w:r/>
      <w:r>
        <w:rPr>
          <w:b/>
        </w:rPr>
        <w:t>Stockage</w:t>
      </w:r>
      <w:r>
        <w:t xml:space="preserve"> : conserver à température ≤ 25 °C, à l'abri de l'humidité et de la lumière. Tenir hors de portée des enfants (surdosage accidentel en fer potentiellement mortel chez l'enfant).</w:t>
      </w:r>
    </w:p>
    <w:p>
      <w:pPr>
        <w:pStyle w:val="Heading4"/>
      </w:pPr>
      <w:r>
        <w:t>12. Notes — Règles d'or et pièges au comptoir</w:t>
      </w:r>
    </w:p>
    <w:p>
      <w:r/>
      <w:r>
        <w:rPr>
          <w:b/>
        </w:rPr>
        <w:t>Règles d'or</w:t>
      </w:r>
      <w:r/>
    </w:p>
    <w:p>
      <w:pPr>
        <w:pStyle w:val="ListNumber"/>
      </w:pPr>
      <w:r/>
      <w:r>
        <w:rPr>
          <w:b/>
        </w:rPr>
        <w:t>Toujours vérifier l'absence d'interactions</w:t>
      </w:r>
      <w:r>
        <w:t xml:space="preserve"> avec les sels de fer, de calcium, les antiacides, les quinolones, les tétracyclines, la pénicillamine, le levothyrox (TOT'HEMA). Espacer les prises de 2 heures minimum.</w:t>
      </w:r>
    </w:p>
    <w:p>
      <w:pPr>
        <w:pStyle w:val="ListNumber"/>
      </w:pPr>
      <w:r/>
      <w:r>
        <w:rPr>
          <w:b/>
        </w:rPr>
        <w:t>Toujours vérifier l'absence de surcharge préexistante</w:t>
      </w:r>
      <w:r>
        <w:t xml:space="preserve"> : hémochromatose pour TOT'HEMA, maladie de Wilson pour les spécialités contenant du cuivre, syndrome de Wilson-like pour le cuivre.</w:t>
      </w:r>
    </w:p>
    <w:p>
      <w:pPr>
        <w:pStyle w:val="ListNumber"/>
      </w:pPr>
      <w:r/>
      <w:r>
        <w:rPr>
          <w:b/>
        </w:rPr>
        <w:t>Toujours vérifier la fonction hépatique</w:t>
      </w:r>
      <w:r>
        <w:t xml:space="preserve"> avant d'initier une supplémentation en manganèse (NONAN) ou en cuivre. Une insuffisance hépatique sévère expose à l'accumulation et à la toxicité neurologique (manganèse) ou hépatique (cuivre).</w:t>
      </w:r>
    </w:p>
    <w:p>
      <w:pPr>
        <w:pStyle w:val="ListNumber"/>
      </w:pPr>
      <w:r/>
      <w:r>
        <w:rPr>
          <w:b/>
        </w:rPr>
        <w:t>Toujours informer le patient des signes de surdosage</w:t>
      </w:r>
      <w:r>
        <w:t xml:space="preserve"> : alopécie pour le sélénium, tremblements pour le manganèse, coloration brune de la peau pour le cuivre.</w:t>
      </w:r>
    </w:p>
    <w:p>
      <w:pPr>
        <w:pStyle w:val="ListNumber"/>
      </w:pPr>
      <w:r/>
      <w:r>
        <w:rPr>
          <w:b/>
        </w:rPr>
        <w:t>Toujours vérifier l'absence d'automédication</w:t>
      </w:r>
      <w:r>
        <w:t xml:space="preserve"> par d'autres suppléments d'oligoéléments (risque de surdosage en sélénium, en cuivre, en manganèse).</w:t>
      </w:r>
    </w:p>
    <w:p>
      <w:pPr>
        <w:pStyle w:val="ListNumber"/>
      </w:pPr>
      <w:r/>
      <w:r>
        <w:rPr>
          <w:b/>
        </w:rPr>
        <w:t>Toujours diluer les solutions en ampoule</w:t>
      </w:r>
      <w:r>
        <w:t xml:space="preserve"> (TOT'HEMA) dans un verre d'eau et utiliser une paille pour éviter la coloration de l'émail dentaire.</w:t>
      </w:r>
    </w:p>
    <w:p>
      <w:pPr>
        <w:pStyle w:val="ListNumber"/>
      </w:pPr>
      <w:r/>
      <w:r>
        <w:rPr>
          <w:b/>
        </w:rPr>
        <w:t>Toujours informer la patiente enceinte</w:t>
      </w:r>
      <w:r>
        <w:t xml:space="preserve"> que les oligoéléments sont essentiels au développement fœtal, mais que l'automédication excessive (vitamine A, fer) peut être tératogène. Respecter la prescription médicale.</w:t>
      </w:r>
    </w:p>
    <w:p>
      <w:pPr>
        <w:pStyle w:val="ListNumber"/>
      </w:pPr>
      <w:r/>
      <w:r>
        <w:rPr>
          <w:b/>
        </w:rPr>
        <w:t>Toujours vérifier la compatibilité</w:t>
      </w:r>
      <w:r>
        <w:t xml:space="preserve"> des solutions injectables (NONAN) avec les autres additifs de la poche de nutrition parentérale.</w:t>
      </w:r>
    </w:p>
    <w:p>
      <w:pPr>
        <w:pStyle w:val="ListNumber"/>
      </w:pPr>
      <w:r/>
      <w:r>
        <w:rPr>
          <w:b/>
        </w:rPr>
        <w:t>Toujours tracer la dispensation</w:t>
      </w:r>
      <w:r>
        <w:t xml:space="preserve"> (ordonnance scannée et archivée).</w:t>
      </w:r>
    </w:p>
    <w:p>
      <w:r/>
      <w:r>
        <w:rPr>
          <w:b/>
        </w:rPr>
        <w:t>Pièges au comptoir</w:t>
      </w:r>
      <w:r/>
    </w:p>
    <w:p>
      <w:pPr>
        <w:pStyle w:val="ListNumber"/>
      </w:pPr>
      <w:r/>
      <w:r>
        <w:rPr>
          <w:b/>
        </w:rPr>
        <w:t>Patient sous traitement martial au long cours (TOT'HEMA)</w:t>
      </w:r>
      <w:r>
        <w:t xml:space="preserve"> : surveiller l'apparition d'une carence en cuivre et en zinc induite par le fer. Vérifier la NFS et la cuprémie tous les 6 mois.</w:t>
      </w:r>
    </w:p>
    <w:p>
      <w:pPr>
        <w:pStyle w:val="ListNumber"/>
      </w:pPr>
      <w:r/>
      <w:r>
        <w:rPr>
          <w:b/>
        </w:rPr>
        <w:t>Patient diabétique sous chrome</w:t>
      </w:r>
      <w:r>
        <w:t xml:space="preserve"> : surveiller la glycémie et l'HbA1c, ajuster le traitement antidiabétique si besoin (potentialisation de l'effet hypoglycémiant).</w:t>
      </w:r>
    </w:p>
    <w:p>
      <w:pPr>
        <w:pStyle w:val="ListNumber"/>
      </w:pPr>
      <w:r/>
      <w:r>
        <w:rPr>
          <w:b/>
        </w:rPr>
        <w:t>Patient dialysé chronique</w:t>
      </w:r>
      <w:r>
        <w:t xml:space="preserve"> : surveiller le statut en zinc, sélénium, et carnitine (voir fiche 164.5.2). Supplémentation systématique à envisager.</w:t>
      </w:r>
    </w:p>
    <w:p>
      <w:pPr>
        <w:pStyle w:val="ListNumber"/>
      </w:pPr>
      <w:r/>
      <w:r>
        <w:rPr>
          <w:b/>
        </w:rPr>
        <w:t>Patient sous nutrition parentérale au long cours</w:t>
      </w:r>
      <w:r>
        <w:t xml:space="preserve"> : surveiller le statut en tous les oligoéléments tous les 3 à 6 mois. Adapter les doses en fonction des dosages.</w:t>
      </w:r>
    </w:p>
    <w:p>
      <w:pPr>
        <w:pStyle w:val="ListNumber"/>
      </w:pPr>
      <w:r/>
      <w:r>
        <w:rPr>
          <w:b/>
        </w:rPr>
        <w:t>Patient âgé polymédicamenté</w:t>
      </w:r>
      <w:r>
        <w:t xml:space="preserve"> : vérifier systématiquement l'ordonnance complète. En cas de prise simultanée de quinolones, tétracyclines, antiacides, sels de fer ou de calcium, espacer les prises.</w:t>
      </w:r>
    </w:p>
    <w:p>
      <w:pPr>
        <w:pStyle w:val="ListNumber"/>
      </w:pPr>
      <w:r/>
      <w:r>
        <w:rPr>
          <w:b/>
        </w:rPr>
        <w:t>Patiente enceinte</w:t>
      </w:r>
      <w:r>
        <w:t xml:space="preserve"> : les oligoéléments sont essentiels, mais la vitamine A à haute dose est tératogène (voir chapitre 161). Vérifier la composition des multivitamines prénatales (MEGADYN).</w:t>
      </w:r>
    </w:p>
    <w:p>
      <w:pPr>
        <w:pStyle w:val="ListNumber"/>
      </w:pPr>
      <w:r/>
      <w:r>
        <w:rPr>
          <w:b/>
        </w:rPr>
        <w:t>Enfant</w:t>
      </w:r>
      <w:r>
        <w:t xml:space="preserve"> : les doses pédiatriques doivent être strictement adaptées au poids. Ne pas utiliser les spécialités adultes.</w:t>
      </w:r>
    </w:p>
    <w:p>
      <w:pPr>
        <w:pStyle w:val="ListNumber"/>
      </w:pPr>
      <w:r/>
      <w:r>
        <w:rPr>
          <w:b/>
        </w:rPr>
        <w:t>Patient sous valproate</w:t>
      </w:r>
      <w:r>
        <w:t xml:space="preserve"> : risque de carence en carnitine (voir fiche 164.5.2). Supplémentation à envisager si signes cliniques (asthénie, myalgies, hépatomégalie).</w:t>
      </w:r>
    </w:p>
    <w:p>
      <w:pPr>
        <w:pStyle w:val="ListNumber"/>
      </w:pPr>
      <w:r/>
      <w:r>
        <w:rPr>
          <w:b/>
        </w:rPr>
        <w:t>Patient demandant des oligoéléments « pour la forme » sans prescription</w:t>
      </w:r>
      <w:r>
        <w:t xml:space="preserve"> : refus de dispensation des spécialités Liste I (TOT'HEMA). Orientation vers le médecin pour bilan biologique préalable.</w:t>
      </w:r>
    </w:p>
    <w:p>
      <w:pPr>
        <w:pStyle w:val="ListNumber"/>
      </w:pPr>
      <w:r/>
      <w:r>
        <w:rPr>
          <w:b/>
        </w:rPr>
        <w:t>Patient demandant un supplément de sélénium à haute dose « contre le cancer »</w:t>
      </w:r>
      <w:r>
        <w:t xml:space="preserve"> : refus de dispensation sans prescription médicale. Le sélénium à haute dose (&gt; 200 µg/jour) est associé à un risque accru de cancer cutané non mélanique (étude SELECT) et de diabète de type 2 (controversé).</w:t>
      </w:r>
    </w:p>
    <w:p>
      <w:pPr>
        <w:pStyle w:val="Heading3"/>
      </w:pPr>
      <w:r>
        <w:t>164.5.2. Lévocarnitine (L-carnitine)</w:t>
      </w:r>
    </w:p>
    <w:p>
      <w:pPr>
        <w:pStyle w:val="Heading4"/>
      </w:pPr>
      <w:r>
        <w:t>1. Liste catégories pharmaco-thérapeutiques</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Détail</w:t>
            </w:r>
          </w:p>
        </w:tc>
      </w:tr>
      <w:tr>
        <w:tc>
          <w:tcPr>
            <w:tcW w:type="dxa" w:w="4677"/>
          </w:tcPr>
          <w:p>
            <w:r>
              <w:rPr>
                <w:sz w:val="20"/>
              </w:rPr>
              <w:t>Classe ATC</w:t>
            </w:r>
          </w:p>
        </w:tc>
        <w:tc>
          <w:tcPr>
            <w:tcW w:type="dxa" w:w="4677"/>
          </w:tcPr>
          <w:p>
            <w:r>
              <w:rPr>
                <w:sz w:val="20"/>
              </w:rPr>
              <w:t>A16AA01 (Acides aminés et dérivés — Lévocarnitine)</w:t>
            </w:r>
          </w:p>
        </w:tc>
      </w:tr>
      <w:tr>
        <w:tc>
          <w:tcPr>
            <w:tcW w:type="dxa" w:w="4677"/>
          </w:tcPr>
          <w:p>
            <w:r>
              <w:rPr>
                <w:sz w:val="20"/>
              </w:rPr>
              <w:t>Classe pharmacologique</w:t>
            </w:r>
          </w:p>
        </w:tc>
        <w:tc>
          <w:tcPr>
            <w:tcW w:type="dxa" w:w="4677"/>
          </w:tcPr>
          <w:p>
            <w:r>
              <w:rPr>
                <w:sz w:val="20"/>
              </w:rPr>
              <w:t>Complément métabolique ; transporteur intracellulaire des acides gras à longue chaîne (AGLC) vers la matrice mitochondriale pour β-oxydation ; substrat de la carnitine acyltransférase (CPT-I, CPT-II) et de la carnitine-acylcarnitine translocase (CACT)</w:t>
            </w:r>
          </w:p>
        </w:tc>
      </w:tr>
      <w:tr>
        <w:tc>
          <w:tcPr>
            <w:tcW w:type="dxa" w:w="4677"/>
          </w:tcPr>
          <w:p>
            <w:r>
              <w:rPr>
                <w:sz w:val="20"/>
              </w:rPr>
              <w:t>Classe thérapeutique</w:t>
            </w:r>
          </w:p>
        </w:tc>
        <w:tc>
          <w:tcPr>
            <w:tcW w:type="dxa" w:w="4677"/>
          </w:tcPr>
          <w:p>
            <w:r>
              <w:rPr>
                <w:sz w:val="20"/>
              </w:rPr>
              <w:t>Supplémentation en carnitine ; traitement des carences primaires (génétiques, OCTN2) et secondaires (dialyse chronique, valproate, pivoxil, prématurité, déficits héréditaires de la β-oxydation) ; traitement adjuvant des cardiomyopathies métaboliques</w:t>
            </w:r>
          </w:p>
        </w:tc>
      </w:tr>
      <w:tr>
        <w:tc>
          <w:tcPr>
            <w:tcW w:type="dxa" w:w="4677"/>
          </w:tcPr>
          <w:p>
            <w:r>
              <w:rPr>
                <w:sz w:val="20"/>
              </w:rPr>
              <w:t>Liste algérienne</w:t>
            </w:r>
          </w:p>
        </w:tc>
        <w:tc>
          <w:tcPr>
            <w:tcW w:type="dxa" w:w="4677"/>
          </w:tcPr>
          <w:p>
            <w:r>
              <w:rPr>
                <w:sz w:val="20"/>
              </w:rPr>
              <w:t>**Liste I** (substance veneneuse, prescription obligatoire) pour METACARTIN</w:t>
            </w:r>
          </w:p>
        </w:tc>
      </w:tr>
      <w:tr>
        <w:tc>
          <w:tcPr>
            <w:tcW w:type="dxa" w:w="4677"/>
          </w:tcPr>
          <w:p>
            <w:r>
              <w:rPr>
                <w:sz w:val="20"/>
              </w:rPr>
              <w:t>Statut réglementaire</w:t>
            </w:r>
          </w:p>
        </w:tc>
        <w:tc>
          <w:tcPr>
            <w:tcW w:type="dxa" w:w="4677"/>
          </w:tcPr>
          <w:p>
            <w:r>
              <w:rPr>
                <w:sz w:val="20"/>
              </w:rPr>
              <w:t>Médicament soumis à prescription médicale obligatoire</w:t>
            </w:r>
          </w:p>
        </w:tc>
      </w:tr>
      <w:tr>
        <w:tc>
          <w:tcPr>
            <w:tcW w:type="dxa" w:w="4677"/>
          </w:tcPr>
          <w:p>
            <w:r>
              <w:rPr>
                <w:sz w:val="20"/>
              </w:rPr>
              <w:t>Grossesse</w:t>
            </w:r>
          </w:p>
        </w:tc>
        <w:tc>
          <w:tcPr>
            <w:tcW w:type="dxa" w:w="4677"/>
          </w:tcPr>
          <w:p>
            <w:r>
              <w:rPr>
                <w:sz w:val="20"/>
              </w:rPr>
              <w:t>Compatible selon le CRAT : données humaines limitées mais rassurantes, absence d'effet tératogène démontré. À utiliser en cas de carence avérée (dialyse, valproate)</w:t>
            </w:r>
          </w:p>
        </w:tc>
      </w:tr>
      <w:tr>
        <w:tc>
          <w:tcPr>
            <w:tcW w:type="dxa" w:w="4677"/>
          </w:tcPr>
          <w:p>
            <w:r>
              <w:rPr>
                <w:sz w:val="20"/>
              </w:rPr>
              <w:t>Allaitement</w:t>
            </w:r>
          </w:p>
        </w:tc>
        <w:tc>
          <w:tcPr>
            <w:tcW w:type="dxa" w:w="4677"/>
          </w:tcPr>
          <w:p>
            <w:r>
              <w:rPr>
                <w:sz w:val="20"/>
              </w:rPr>
              <w:t>Compatible selon le CRAT : la carnitine est un composé endogène présent dans le lait maternel ; pas de passage significatif à doses thérapeutiques</w:t>
            </w:r>
          </w:p>
        </w:tc>
      </w:tr>
      <w:tr>
        <w:tc>
          <w:tcPr>
            <w:tcW w:type="dxa" w:w="4677"/>
          </w:tcPr>
          <w:p>
            <w:r>
              <w:rPr>
                <w:sz w:val="20"/>
              </w:rPr>
              <w:t>Conservation</w:t>
            </w:r>
          </w:p>
        </w:tc>
        <w:tc>
          <w:tcPr>
            <w:tcW w:type="dxa" w:w="4677"/>
          </w:tcPr>
          <w:p>
            <w:r>
              <w:rPr>
                <w:sz w:val="20"/>
              </w:rPr>
              <w:t>À conserver à température ≤ 25 °C, à l'abri de l'humidité et de la lumière ; conserver le flacon en position verticale après ouverture, à utiliser dans les 30 jours</w:t>
            </w:r>
          </w:p>
        </w:tc>
      </w:tr>
      <w:tr>
        <w:tc>
          <w:tcPr>
            <w:tcW w:type="dxa" w:w="4677"/>
          </w:tcPr>
          <w:p>
            <w:r>
              <w:rPr>
                <w:sz w:val="20"/>
              </w:rPr>
              <w:t>Disponibilité hospitalière</w:t>
            </w:r>
          </w:p>
        </w:tc>
        <w:tc>
          <w:tcPr>
            <w:tcW w:type="dxa" w:w="4677"/>
          </w:tcPr>
          <w:p>
            <w:r>
              <w:rPr>
                <w:sz w:val="20"/>
              </w:rPr>
              <w:t>Oui, en pharmacie hospitalière (officine et hôpital) ; les formes injectables IV ne sont pas enregistrées en Algérie en routine</w:t>
            </w:r>
          </w:p>
        </w:tc>
      </w:tr>
      <w:tr>
        <w:tc>
          <w:tcPr>
            <w:tcW w:type="dxa" w:w="4677"/>
          </w:tcPr>
          <w:p>
            <w:r>
              <w:rPr>
                <w:sz w:val="20"/>
              </w:rPr>
              <w:t>Demande mondiale</w:t>
            </w:r>
          </w:p>
        </w:tc>
        <w:tc>
          <w:tcPr>
            <w:tcW w:type="dxa" w:w="4677"/>
          </w:tcPr>
          <w:p>
            <w:r>
              <w:rPr>
                <w:sz w:val="20"/>
              </w:rPr>
              <w:t>Lévocarnitine inscrite sur la Liste des médicaments essentiels OMS (carence primaire en carnitine, dialyse)</w:t>
            </w:r>
          </w:p>
        </w:tc>
      </w:tr>
    </w:tbl>
    <w:p/>
    <w:p>
      <w:r>
        <w:t>##### Spécialités commercialisées en Algérie (nomenclature Avril 2026)</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METACARTIN</w:t>
            </w:r>
          </w:p>
        </w:tc>
        <w:tc>
          <w:tcPr>
            <w:tcW w:type="dxa" w:w="1559"/>
          </w:tcPr>
          <w:p>
            <w:r>
              <w:rPr>
                <w:sz w:val="20"/>
              </w:rPr>
              <w:t>WORLD MEDECINE LIMITED</w:t>
            </w:r>
          </w:p>
        </w:tc>
        <w:tc>
          <w:tcPr>
            <w:tcW w:type="dxa" w:w="1559"/>
          </w:tcPr>
          <w:p>
            <w:r>
              <w:rPr>
                <w:sz w:val="20"/>
              </w:rPr>
              <w:t>Solution buvable — Lévocarnitine 100 mg/mL</w:t>
            </w:r>
          </w:p>
        </w:tc>
        <w:tc>
          <w:tcPr>
            <w:tcW w:type="dxa" w:w="1559"/>
          </w:tcPr>
          <w:p>
            <w:r>
              <w:rPr>
                <w:sz w:val="20"/>
              </w:rPr>
              <w:t>Boîte d'un flacon de 100 mL</w:t>
            </w:r>
          </w:p>
        </w:tc>
        <w:tc>
          <w:tcPr>
            <w:tcW w:type="dxa" w:w="1559"/>
          </w:tcPr>
          <w:p>
            <w:r>
              <w:rPr>
                <w:sz w:val="20"/>
              </w:rPr>
              <w:t>Liste I</w:t>
            </w:r>
          </w:p>
        </w:tc>
        <w:tc>
          <w:tcPr>
            <w:tcW w:type="dxa" w:w="1559"/>
          </w:tcPr>
          <w:p>
            <w:r>
              <w:rPr>
                <w:sz w:val="20"/>
              </w:rPr>
              <w:t>ACTIF</w:t>
            </w:r>
          </w:p>
        </w:tc>
      </w:tr>
      <w:tr>
        <w:tc>
          <w:tcPr>
            <w:tcW w:type="dxa" w:w="1559"/>
          </w:tcPr>
          <w:p>
            <w:r>
              <w:rPr>
                <w:sz w:val="20"/>
              </w:rPr>
              <w:t>LEVOTYNE</w:t>
            </w:r>
          </w:p>
        </w:tc>
        <w:tc>
          <w:tcPr>
            <w:tcW w:type="dxa" w:w="1559"/>
          </w:tcPr>
          <w:p>
            <w:r>
              <w:rPr>
                <w:sz w:val="20"/>
              </w:rPr>
              <w:t>PHARMALLIANCE</w:t>
            </w:r>
          </w:p>
        </w:tc>
        <w:tc>
          <w:tcPr>
            <w:tcW w:type="dxa" w:w="1559"/>
          </w:tcPr>
          <w:p>
            <w:r>
              <w:rPr>
                <w:sz w:val="20"/>
              </w:rPr>
              <w:t>Solution buvable — Lévocarnitine 10 % (10 g/100 mL)</w:t>
            </w:r>
          </w:p>
        </w:tc>
        <w:tc>
          <w:tcPr>
            <w:tcW w:type="dxa" w:w="1559"/>
          </w:tcPr>
          <w:p>
            <w:r>
              <w:rPr>
                <w:sz w:val="20"/>
              </w:rPr>
              <w:t>Boîte d'un flacon de 100 mL</w:t>
            </w:r>
          </w:p>
        </w:tc>
        <w:tc>
          <w:tcPr>
            <w:tcW w:type="dxa" w:w="1559"/>
          </w:tcPr>
          <w:p>
            <w:r>
              <w:rPr>
                <w:sz w:val="20"/>
              </w:rPr>
              <w:t>Non spécifié</w:t>
            </w:r>
          </w:p>
        </w:tc>
        <w:tc>
          <w:tcPr>
            <w:tcW w:type="dxa" w:w="1559"/>
          </w:tcPr>
          <w:p>
            <w:r>
              <w:rPr>
                <w:sz w:val="20"/>
              </w:rPr>
              <w:t>NON_RENOUVELABLE</w:t>
            </w:r>
          </w:p>
        </w:tc>
      </w:tr>
      <w:tr>
        <w:tc>
          <w:tcPr>
            <w:tcW w:type="dxa" w:w="1559"/>
          </w:tcPr>
          <w:p>
            <w:r>
              <w:rPr>
                <w:sz w:val="20"/>
              </w:rPr>
              <w:t>CARNITINE</w:t>
            </w:r>
          </w:p>
        </w:tc>
        <w:tc>
          <w:tcPr>
            <w:tcW w:type="dxa" w:w="1559"/>
          </w:tcPr>
          <w:p>
            <w:r>
              <w:rPr>
                <w:sz w:val="20"/>
              </w:rPr>
              <w:t>BK LAB</w:t>
            </w:r>
          </w:p>
        </w:tc>
        <w:tc>
          <w:tcPr>
            <w:tcW w:type="dxa" w:w="1559"/>
          </w:tcPr>
          <w:p>
            <w:r>
              <w:rPr>
                <w:sz w:val="20"/>
              </w:rPr>
              <w:t>Solution buvable — Lévocarnitine 10 % (10 g/100 mL)</w:t>
            </w:r>
          </w:p>
        </w:tc>
        <w:tc>
          <w:tcPr>
            <w:tcW w:type="dxa" w:w="1559"/>
          </w:tcPr>
          <w:p>
            <w:r>
              <w:rPr>
                <w:sz w:val="20"/>
              </w:rPr>
              <w:t>Flacon de 125 mL</w:t>
            </w:r>
          </w:p>
        </w:tc>
        <w:tc>
          <w:tcPr>
            <w:tcW w:type="dxa" w:w="1559"/>
          </w:tcPr>
          <w:p>
            <w:r>
              <w:rPr>
                <w:sz w:val="20"/>
              </w:rPr>
              <w:t>Non spécifié</w:t>
            </w:r>
          </w:p>
        </w:tc>
        <w:tc>
          <w:tcPr>
            <w:tcW w:type="dxa" w:w="1559"/>
          </w:tcPr>
          <w:p>
            <w:r>
              <w:rPr>
                <w:sz w:val="20"/>
              </w:rPr>
              <w:t>RETRAIT</w:t>
            </w:r>
          </w:p>
        </w:tc>
      </w:tr>
      <w:tr>
        <w:tc>
          <w:tcPr>
            <w:tcW w:type="dxa" w:w="1559"/>
          </w:tcPr>
          <w:p>
            <w:r>
              <w:rPr>
                <w:sz w:val="20"/>
              </w:rPr>
              <w:t>CARDIOBIL</w:t>
            </w:r>
          </w:p>
        </w:tc>
        <w:tc>
          <w:tcPr>
            <w:tcW w:type="dxa" w:w="1559"/>
          </w:tcPr>
          <w:p>
            <w:r>
              <w:rPr>
                <w:sz w:val="20"/>
              </w:rPr>
              <w:t>BIOLOGICI ITALIA</w:t>
            </w:r>
          </w:p>
        </w:tc>
        <w:tc>
          <w:tcPr>
            <w:tcW w:type="dxa" w:w="1559"/>
          </w:tcPr>
          <w:p>
            <w:r>
              <w:rPr>
                <w:sz w:val="20"/>
              </w:rPr>
              <w:t>Solution buvable — Lévocarnitine (ou L-carnitine) 1 g/10 mL</w:t>
            </w:r>
          </w:p>
        </w:tc>
        <w:tc>
          <w:tcPr>
            <w:tcW w:type="dxa" w:w="1559"/>
          </w:tcPr>
          <w:p>
            <w:r>
              <w:rPr>
                <w:sz w:val="20"/>
              </w:rPr>
              <w:t>Boîte de 10 ampoules buvables</w:t>
            </w:r>
          </w:p>
        </w:tc>
        <w:tc>
          <w:tcPr>
            <w:tcW w:type="dxa" w:w="1559"/>
          </w:tcPr>
          <w:p>
            <w:r>
              <w:rPr>
                <w:sz w:val="20"/>
              </w:rPr>
              <w:t>Non spécifié</w:t>
            </w:r>
          </w:p>
        </w:tc>
        <w:tc>
          <w:tcPr>
            <w:tcW w:type="dxa" w:w="1559"/>
          </w:tcPr>
          <w:p>
            <w:r>
              <w:rPr>
                <w:sz w:val="20"/>
              </w:rPr>
              <w:t>RETRAIT</w:t>
            </w:r>
          </w:p>
        </w:tc>
      </w:tr>
    </w:tbl>
    <w:p/>
    <w:p>
      <w:pPr>
        <w:pStyle w:val="Heading4"/>
      </w:pPr>
      <w:r>
        <w:t>2. Mécanisme d'action moléculaire, cellulaire et physiologique</w:t>
      </w:r>
    </w:p>
    <w:p>
      <w:r/>
      <w:r>
        <w:rPr>
          <w:b/>
        </w:rPr>
        <w:t>Rôle biochimique fondamental</w:t>
      </w:r>
      <w:r/>
    </w:p>
    <w:p>
      <w:r>
        <w:t>La lévocarnitine est le seul transporteur physiologique des acides gras à longue chaîne (AGLC, C12-C22) à travers la membrane mitochondriale interne. Cette membrane est en effet imperméable aux acyl-CoA à longue chaîne, et le transport requiert un système enzymatique à trois composants utilisant la carnitine comme navette :</w:t>
      </w:r>
    </w:p>
    <w:p>
      <w:pPr>
        <w:pStyle w:val="ListNumber"/>
      </w:pPr>
      <w:r/>
      <w:r>
        <w:rPr>
          <w:b/>
        </w:rPr>
        <w:t>CPT-I (Carnitine Palmitoyl Transferase I)</w:t>
      </w:r>
      <w:r>
        <w:t xml:space="preserve"> : enzyme intégrée à la membrane mitochondriale externe, catalyse l'estérification de la carnitine par l'acyl-CoA, formant de l'acyl-carnitine et libérant le CoA-SH libre. La CPT-I est l'étape limitante de la β-oxydation, et son inhibition par le malonyl-CoA (signal de satiété glucidique post-prandiale) explique l'inhibition physiologique de la β-oxydation en période post-prandiale.</w:t>
      </w:r>
    </w:p>
    <w:p>
      <w:pPr>
        <w:pStyle w:val="ListNumber"/>
      </w:pPr>
      <w:r/>
      <w:r>
        <w:rPr>
          <w:b/>
        </w:rPr>
        <w:t>CACT (Carnitine-AcylCarnitine Translocase)</w:t>
      </w:r>
      <w:r>
        <w:t xml:space="preserve"> : antiport de la membrane mitochondriale interne, échange l'acyl-carnitine cytosolique (entrant dans la matrice) contre la carnitine libre matricielle (sortant dans le cytosol). Chaque cycle CACT échange une molécule d'acyl-carnitine contre une molécule de carnitine libre.</w:t>
      </w:r>
    </w:p>
    <w:p>
      <w:pPr>
        <w:pStyle w:val="ListNumber"/>
      </w:pPr>
      <w:r/>
      <w:r>
        <w:rPr>
          <w:b/>
        </w:rPr>
        <w:t>CPT-II (Carnitine Palmitoyl Transferase II)</w:t>
      </w:r>
      <w:r>
        <w:t xml:space="preserve"> : enzyme de la face matricielle de la membrane mitochondriale interne, régénère l'acyl-CoA (entrant dans la β-oxydation) et la carnitine libre (retournant au cytosol via CACT).</w:t>
      </w:r>
    </w:p>
    <w:p>
      <w:r/>
      <w:r>
        <w:rPr>
          <w:b/>
        </w:rPr>
        <w:t>Conséquences métaboliques</w:t>
      </w:r>
      <w:r/>
    </w:p>
    <w:p>
      <w:r>
        <w:t>La β-oxydation des AGLC dans la matrice mitochondriale produit :</w:t>
      </w:r>
    </w:p>
    <w:p>
      <w:pPr>
        <w:pStyle w:val="ListBullet"/>
      </w:pPr>
      <w:r/>
      <w:r>
        <w:rPr>
          <w:b/>
        </w:rPr>
        <w:t>Acétyl-CoA</w:t>
      </w:r>
      <w:r>
        <w:t xml:space="preserve"> : entrant dans le cycle de Krebs, produisant du GTP, du NADH et du FADH2.</w:t>
      </w:r>
    </w:p>
    <w:p>
      <w:pPr>
        <w:pStyle w:val="ListBullet"/>
      </w:pPr>
      <w:r/>
      <w:r>
        <w:rPr>
          <w:b/>
        </w:rPr>
        <w:t>NADH et FADH2</w:t>
      </w:r>
      <w:r>
        <w:t xml:space="preserve"> : alimentant la chaîne respiratoire mitochondriale (complexes I et II), générant un gradient de protons mitochondrial, activant l'ATP synthase (complexe V) et produisant de l'ATP.</w:t>
      </w:r>
    </w:p>
    <w:p>
      <w:r>
        <w:t xml:space="preserve">Ce mécanisme est essentiel aux tissus à forte demande énergétique : </w:t>
      </w:r>
      <w:r>
        <w:rPr>
          <w:b/>
        </w:rPr>
        <w:t>muscle cardiaque</w:t>
      </w:r>
      <w:r>
        <w:t xml:space="preserve"> (70 à 90 % de son ATP provient de la β-oxydation des AGLC à jeun), </w:t>
      </w:r>
      <w:r>
        <w:rPr>
          <w:b/>
        </w:rPr>
        <w:t>muscle squelettique</w:t>
      </w:r>
      <w:r>
        <w:t xml:space="preserve"> en exercice prolongé (au-delà de 20 minutes d'effort), </w:t>
      </w:r>
      <w:r>
        <w:rPr>
          <w:b/>
        </w:rPr>
        <w:t>foie à jeun</w:t>
      </w:r>
      <w:r>
        <w:t xml:space="preserve"> (production de corps cétoniques à partir de l'acétyl-CoA), </w:t>
      </w:r>
      <w:r>
        <w:rPr>
          <w:b/>
        </w:rPr>
        <w:t>rein</w:t>
      </w:r>
      <w:r>
        <w:t>.</w:t>
      </w:r>
    </w:p>
    <w:p>
      <w:r/>
      <w:r>
        <w:rPr>
          <w:b/>
        </w:rPr>
        <w:t>Rôle secondaire : détoxification des acyl-CoA</w:t>
      </w:r>
      <w:r/>
    </w:p>
    <w:p>
      <w:r>
        <w:t xml:space="preserve">La carnitine joue également un rôle de détoxification en captant les acyl-CoA anormaux (acides organiques accumulés dans les erreurs innées du métabolisme, métabolites toxiques) et en les excrétant dans l'urine sous forme d'acyl-carnitine. Ce rôle explique l'utilisation de la lévocarnitine dans les </w:t>
      </w:r>
      <w:r>
        <w:rPr>
          <w:b/>
        </w:rPr>
        <w:t>déficits héréditaires de la β-oxydation</w:t>
      </w:r>
      <w:r>
        <w:t xml:space="preserve"> (MCAD, VLCAD, CPT-I, CPT-II) et dans les </w:t>
      </w:r>
      <w:r>
        <w:rPr>
          <w:b/>
        </w:rPr>
        <w:t>aciduries organiques</w:t>
      </w:r>
      <w:r>
        <w:t xml:space="preserve"> (acidémie propionique, acidémie méthylmalonique, acidémie isovalérique, acidurie glutarique de type I).</w:t>
      </w:r>
    </w:p>
    <w:p>
      <w:r/>
      <w:r>
        <w:rPr>
          <w:b/>
        </w:rPr>
        <w:t>Effets pharmacologiques observés en cas de supplémentation</w:t>
      </w:r>
      <w:r/>
    </w:p>
    <w:p>
      <w:pPr>
        <w:pStyle w:val="ListBullet"/>
      </w:pPr>
      <w:r>
        <w:t>Augmentation de la concentration intracellulaire de carnitine (notamment dans le muscle cardiaque et squelettique).</w:t>
      </w:r>
    </w:p>
    <w:p>
      <w:pPr>
        <w:pStyle w:val="ListBullet"/>
      </w:pPr>
      <w:r>
        <w:t>Restauration du transport mitochondrial des AGLC.</w:t>
      </w:r>
    </w:p>
    <w:p>
      <w:pPr>
        <w:pStyle w:val="ListBullet"/>
      </w:pPr>
      <w:r>
        <w:t>Augmentation de la production d'ATP par β-oxydation.</w:t>
      </w:r>
    </w:p>
    <w:p>
      <w:pPr>
        <w:pStyle w:val="ListBullet"/>
      </w:pPr>
      <w:r>
        <w:t>Diminution de l'accumulation lipidique intracellulaire (stéatose hépatique, myopathie lipidique).</w:t>
      </w:r>
    </w:p>
    <w:p>
      <w:pPr>
        <w:pStyle w:val="ListBullet"/>
      </w:pPr>
      <w:r>
        <w:t>Capage des acides organiques toxiques (déficits héréditaires, valproate).</w:t>
      </w:r>
    </w:p>
    <w:p>
      <w:pPr>
        <w:pStyle w:val="Heading4"/>
      </w:pPr>
      <w:r>
        <w:t>3. Pharmacocinétique</w:t>
      </w:r>
    </w:p>
    <w:p>
      <w:r/>
      <w:r>
        <w:rPr>
          <w:b/>
        </w:rPr>
        <w:t>Absorption</w:t>
      </w:r>
      <w:r/>
    </w:p>
    <w:p>
      <w:pPr>
        <w:pStyle w:val="ListBullet"/>
      </w:pPr>
      <w:r>
        <w:t>Voie orale : biodisponibilité 14 à 18 % (saturation du transporteur intestinal OCTN2). La fraction non absorbée est métabolisée par la flore colique en triméthylamine (TMA), absorbée puis oxydée dans le foie en triméthylamine-N-oxyde (TMAO), excrétée dans l'urine — responsable d'une odeur corporelle et urinaire caractéristique de « poisson pourri » à doses élevées.</w:t>
      </w:r>
    </w:p>
    <w:p>
      <w:pPr>
        <w:pStyle w:val="ListBullet"/>
      </w:pPr>
      <w:r>
        <w:t>Voie intraveineuse : biodisponibilité 100 % (non disponible en routine en Algérie).</w:t>
      </w:r>
    </w:p>
    <w:p>
      <w:pPr>
        <w:pStyle w:val="ListBullet"/>
      </w:pPr>
      <w:r>
        <w:t>Cmax per os : 1 à 3 heures après la prise.</w:t>
      </w:r>
    </w:p>
    <w:p>
      <w:pPr>
        <w:pStyle w:val="ListBullet"/>
      </w:pPr>
      <w:r>
        <w:t>Effet premier passage hépatique : modéré.</w:t>
      </w:r>
    </w:p>
    <w:p>
      <w:r/>
      <w:r>
        <w:rPr>
          <w:b/>
        </w:rPr>
        <w:t>Distribution</w:t>
      </w:r>
      <w:r/>
    </w:p>
    <w:p>
      <w:pPr>
        <w:pStyle w:val="ListBullet"/>
      </w:pPr>
      <w:r>
        <w:t>Volume de distribution : 25 à 30 L (voisin du volume extracellulaire).</w:t>
      </w:r>
    </w:p>
    <w:p>
      <w:pPr>
        <w:pStyle w:val="ListBullet"/>
      </w:pPr>
      <w:r>
        <w:t>Pool corporel total : environ 20 grammes chez l'adulte (95 % dans le muscle squelettique et cardiaque, 4 % dans le foie et les reins, 1 % dans le plasma).</w:t>
      </w:r>
    </w:p>
    <w:p>
      <w:pPr>
        <w:pStyle w:val="ListBullet"/>
      </w:pPr>
      <w:r>
        <w:t>Concentration plasmatique : 30 à 60 µmol/L (forme libre) + 5 à 10 µmol/L (forme acylée).</w:t>
      </w:r>
    </w:p>
    <w:p>
      <w:pPr>
        <w:pStyle w:val="ListBullet"/>
      </w:pPr>
      <w:r>
        <w:t>Rapport acyl-carnitine/carnitine libre (AC/FC) : marqueur de la fonction mitochondriale (normal &lt; 0,4 ; augmenté dans les carences en carnitine, les déficits de β-oxydation, l'insuffisance hépatique).</w:t>
      </w:r>
    </w:p>
    <w:p>
      <w:pPr>
        <w:pStyle w:val="ListBullet"/>
      </w:pPr>
      <w:r>
        <w:t>Transport tissulaire : par le transporteur OCTN2 (mutation responsable de la carence primaire en carnitine).</w:t>
      </w:r>
    </w:p>
    <w:p>
      <w:r/>
      <w:r>
        <w:rPr>
          <w:b/>
        </w:rPr>
        <w:t>Métabolisme</w:t>
      </w:r>
      <w:r/>
    </w:p>
    <w:p>
      <w:pPr>
        <w:pStyle w:val="ListBullet"/>
      </w:pPr>
      <w:r>
        <w:t>Pas de métabolisme hépatique significatif.</w:t>
      </w:r>
    </w:p>
    <w:p>
      <w:pPr>
        <w:pStyle w:val="ListBullet"/>
      </w:pPr>
      <w:r>
        <w:t>Une fraction de la carnitine est convertie en acyl-carnitines (capage des acyl-CoA).</w:t>
      </w:r>
    </w:p>
    <w:p>
      <w:pPr>
        <w:pStyle w:val="ListBullet"/>
      </w:pPr>
      <w:r>
        <w:t>Conversion en triméthylamine (TMA) par la flore colique, puis en TMAO dans le foie.</w:t>
      </w:r>
    </w:p>
    <w:p>
      <w:r/>
      <w:r>
        <w:rPr>
          <w:b/>
        </w:rPr>
        <w:t>Élimination</w:t>
      </w:r>
      <w:r/>
    </w:p>
    <w:p>
      <w:pPr>
        <w:pStyle w:val="ListBullet"/>
      </w:pPr>
      <w:r>
        <w:t>Rénale : filtration glomérulaire de la carnitine libre (PM 162 Da), réabsorption tubulaire proximale par OCTN2 (saturation à concentrations élevées). À concentrations plasmatiques élevées (après supplémentation), la réabsorption tubulaire est saturée et la fraction excrétée augmente proportionnellement à la dose.</w:t>
      </w:r>
    </w:p>
    <w:p>
      <w:pPr>
        <w:pStyle w:val="ListBullet"/>
      </w:pPr>
      <w:r>
        <w:t>Fécrale : TMAO et métabolites coliques.</w:t>
      </w:r>
    </w:p>
    <w:p>
      <w:pPr>
        <w:pStyle w:val="ListBullet"/>
      </w:pPr>
      <w:r>
        <w:t>Demi-vie d'élimination : 17 heures chez le sujet sain, prolongée chez l'insuffisant rénal (jusqu'à 30 heures).</w:t>
      </w:r>
    </w:p>
    <w:p>
      <w:r/>
      <w:r>
        <w:rPr>
          <w:b/>
        </w:rPr>
        <w:t>Particularités pharmacocinétiques</w:t>
      </w:r>
      <w:r/>
    </w:p>
    <w:p>
      <w:pPr>
        <w:pStyle w:val="ListBullet"/>
      </w:pPr>
      <w:r>
        <w:t>Chez le dialysé chronique : la carnitine libre est librement filtrée et dialysée (PM 162 Da, pas de liaison protéique significative). Le pool diminue de 30 à 50 % après 6 mois d'hémodialyse, malgré une concentration plasmatique souvent normale ou élevée (le rapport AC/FC est augmenté, témoignant d'un déficit fonctionnel intracellulaire).</w:t>
      </w:r>
    </w:p>
    <w:p>
      <w:pPr>
        <w:pStyle w:val="ListBullet"/>
      </w:pPr>
      <w:r>
        <w:t>Chez le prématuré : immaturité des enzymes de synthèse (γ-butyrobétaïne hydroxylase) et apports parentéraux pauvres en carnitine. Carence fréquente après 2 semaines de nutrition parentérale sans supplémentation.</w:t>
      </w:r>
    </w:p>
    <w:p>
      <w:pPr>
        <w:pStyle w:val="ListBullet"/>
      </w:pPr>
      <w:r>
        <w:t>Chez l'enfant sous valproate : formation de valproyl-carnitine, excrétée dans l'urine, induisant une fuite de carnitine. Risque d'encéphalopathie hyperammoniémique.</w:t>
      </w:r>
    </w:p>
    <w:p>
      <w:pPr>
        <w:pStyle w:val="Heading4"/>
      </w:pPr>
      <w:r>
        <w:t>4. Indications thérapeutiques</w:t>
      </w:r>
    </w:p>
    <w:p>
      <w:r/>
      <w:r>
        <w:rPr>
          <w:b/>
        </w:rPr>
        <w:t>Indications principales (AMM / recommandations internationales)</w:t>
      </w:r>
      <w:r/>
    </w:p>
    <w:p>
      <w:pPr>
        <w:pStyle w:val="ListNumber"/>
      </w:pPr>
      <w:r/>
      <w:r>
        <w:rPr>
          <w:b/>
        </w:rPr>
        <w:t>Carence primaire en carnitine (génétique, déficit en OCTN2)</w:t>
      </w:r>
      <w:r>
        <w:t xml:space="preserve"> : traitement à vie par lévocarnitine à forte dose (100 à 400 mg/kg/jour per os, ou IV en urgence). Restaure le transport mitochondrial des AGLC, prévient la cardiomyopathie dilatée et l'hypokétose hypoglycémique. Le dépistage néonatal est recommandé.</w:t>
      </w:r>
    </w:p>
    <w:p>
      <w:pPr>
        <w:pStyle w:val="ListNumber"/>
      </w:pPr>
      <w:r/>
      <w:r>
        <w:rPr>
          <w:b/>
        </w:rPr>
        <w:t>Carence secondaire en carnitine</w:t>
      </w:r>
      <w:r>
        <w:t xml:space="preserve"> :</w:t>
      </w:r>
    </w:p>
    <w:p>
      <w:pPr>
        <w:pStyle w:val="ListBullet"/>
      </w:pPr>
      <w:r/>
      <w:r>
        <w:rPr>
          <w:b/>
        </w:rPr>
        <w:t>Patients dialysés chroniques</w:t>
      </w:r>
      <w:r>
        <w:t xml:space="preserve"> (hémodialyse, dialyse péritonéale) : traitement des symptômes de carence (myopathie, crampes, cardiomyopathie, anémie résistante à l'EPO, hypotension intra-dialytique). Posologie recommandée : 10 à 20 mg/kg/jour per os, ou 1 g à la fin de chaque séance d'hémodialyse (3 fois par semaine). Recommandations KDIGO et indications FDA.</w:t>
      </w:r>
    </w:p>
    <w:p>
      <w:pPr>
        <w:pStyle w:val="ListBullet"/>
      </w:pPr>
      <w:r/>
      <w:r>
        <w:rPr>
          <w:b/>
        </w:rPr>
        <w:t>Patients sous valproate au long cours</w:t>
      </w:r>
      <w:r>
        <w:t xml:space="preserve"> (en particulier enfants, polythérapie, dose élevée) : prévention et traitement de l'encéphalopathie hyperammoniémique, de l'hépatotoxicité, et des myalgies induites par le valproate. Posologie : 50 à 100 mg/kg/jour per os.</w:t>
      </w:r>
    </w:p>
    <w:p>
      <w:pPr>
        <w:pStyle w:val="ListBullet"/>
      </w:pPr>
      <w:r/>
      <w:r>
        <w:rPr>
          <w:b/>
        </w:rPr>
        <w:t>Patients sous antibiotiques pivoxil</w:t>
      </w:r>
      <w:r>
        <w:t xml:space="preserve"> (pivmécillinam, céfitorene pivoxil) : prévention de la carence induite par l'acide pivalique. Posologie : 1 g/jour pendant la durée du traitement.</w:t>
      </w:r>
    </w:p>
    <w:p>
      <w:pPr>
        <w:pStyle w:val="ListBullet"/>
      </w:pPr>
      <w:r/>
      <w:r>
        <w:rPr>
          <w:b/>
        </w:rPr>
        <w:t>Prématurés sous nutrition parentérale prolongée</w:t>
      </w:r>
      <w:r>
        <w:t xml:space="preserve"> : supplémentation systématique à discuter selon les recommandations ESPGHAN.</w:t>
      </w:r>
    </w:p>
    <w:p>
      <w:pPr>
        <w:pStyle w:val="ListBullet"/>
      </w:pPr>
      <w:r/>
      <w:r>
        <w:rPr>
          <w:b/>
        </w:rPr>
        <w:t>Patients avec déficits héréditaires de la β-oxydation</w:t>
      </w:r>
      <w:r>
        <w:t xml:space="preserve"> (MCAD, VLCAD, CPT-I, CPT-II, LCHAD) : traitement adjuvant pour capter les acyl-CoA toxiques.</w:t>
      </w:r>
    </w:p>
    <w:p>
      <w:pPr>
        <w:pStyle w:val="ListBullet"/>
      </w:pPr>
      <w:r/>
      <w:r>
        <w:rPr>
          <w:b/>
        </w:rPr>
        <w:t>Aciduries organiques</w:t>
      </w:r>
      <w:r>
        <w:t xml:space="preserve"> (acidémie propionique, méthylmalonique, isovalérique, acidurie glutarique) : traitement adjuvant.</w:t>
      </w:r>
    </w:p>
    <w:p>
      <w:pPr>
        <w:pStyle w:val="ListBullet"/>
      </w:pPr>
      <w:r/>
      <w:r>
        <w:rPr>
          <w:b/>
        </w:rPr>
        <w:t>Cirrhose hépatique</w:t>
      </w:r>
      <w:r>
        <w:t xml:space="preserve"> : supplémentation si carence associée (baisse de synthèse endogène).</w:t>
      </w:r>
    </w:p>
    <w:p>
      <w:pPr>
        <w:pStyle w:val="ListNumber"/>
      </w:pPr>
      <w:r/>
      <w:r>
        <w:rPr>
          <w:b/>
        </w:rPr>
        <w:t>Cardiomyopathies métaboliques</w:t>
      </w:r>
      <w:r>
        <w:t xml:space="preserve"> :</w:t>
      </w:r>
    </w:p>
    <w:p>
      <w:pPr>
        <w:pStyle w:val="ListBullet"/>
      </w:pPr>
      <w:r>
        <w:t>Cardiomyopathie dilatée idiopathique (effet controversé — méta-analyses discordantes).</w:t>
      </w:r>
    </w:p>
    <w:p>
      <w:pPr>
        <w:pStyle w:val="ListBullet"/>
      </w:pPr>
      <w:r>
        <w:t>Cardiomyopathie ischémique (effet modeste).</w:t>
      </w:r>
    </w:p>
    <w:p>
      <w:pPr>
        <w:pStyle w:val="ListBullet"/>
      </w:pPr>
      <w:r>
        <w:t>Cardiotoxicité des anthracyclines (doxorubicine) — effet préventif discuté.</w:t>
      </w:r>
    </w:p>
    <w:p>
      <w:pPr>
        <w:pStyle w:val="ListNumber"/>
      </w:pPr>
      <w:r/>
      <w:r>
        <w:rPr>
          <w:b/>
        </w:rPr>
        <w:t>Myopathies métaboliques</w:t>
      </w:r>
      <w:r>
        <w:t xml:space="preserve"> :</w:t>
      </w:r>
    </w:p>
    <w:p>
      <w:pPr>
        <w:pStyle w:val="ListBullet"/>
      </w:pPr>
      <w:r>
        <w:t>Déficit en CPT-II (traitement curatif en partie).</w:t>
      </w:r>
    </w:p>
    <w:p>
      <w:pPr>
        <w:pStyle w:val="ListBullet"/>
      </w:pPr>
      <w:r>
        <w:t>Myopathies mitochondriales (effet symptomatique).</w:t>
      </w:r>
    </w:p>
    <w:p>
      <w:pPr>
        <w:pStyle w:val="ListNumber"/>
      </w:pPr>
      <w:r/>
      <w:r>
        <w:rPr>
          <w:b/>
        </w:rPr>
        <w:t>Infertilité masculine</w:t>
      </w:r>
      <w:r>
        <w:t xml:space="preserve"> : asthénospermie (la carnitine est concentrée dans l'épididyme et est essentielle à la mobilité des spermatozoïdes). Effet controversé.</w:t>
      </w:r>
    </w:p>
    <w:p>
      <w:r/>
      <w:r>
        <w:rPr>
          <w:b/>
        </w:rPr>
        <w:t>Indications non validées (off-label)</w:t>
      </w:r>
      <w:r/>
    </w:p>
    <w:p>
      <w:pPr>
        <w:pStyle w:val="ListBullet"/>
      </w:pPr>
      <w:r>
        <w:t>Performance sportive (effet non démontré chez le sujet sain).</w:t>
      </w:r>
    </w:p>
    <w:p>
      <w:pPr>
        <w:pStyle w:val="ListBullet"/>
      </w:pPr>
      <w:r>
        <w:t>Amaigrissement (effet non démontré).</w:t>
      </w:r>
    </w:p>
    <w:p>
      <w:pPr>
        <w:pStyle w:val="ListBullet"/>
      </w:pPr>
      <w:r>
        <w:t>Fatigue chronique (effet non démontré en l'absence de carence).</w:t>
      </w:r>
    </w:p>
    <w:p>
      <w:pPr>
        <w:pStyle w:val="ListBullet"/>
      </w:pPr>
      <w:r>
        <w:t>Autisme, trouble déficit de l'attention (effet non démontré).</w:t>
      </w:r>
    </w:p>
    <w:p>
      <w:pPr>
        <w:pStyle w:val="ListBullet"/>
      </w:pPr>
      <w:r>
        <w:t>Syndrome métabolique (effet non démontré en l'absence de carence).</w:t>
      </w:r>
    </w:p>
    <w:p>
      <w:pPr>
        <w:pStyle w:val="Heading4"/>
      </w:pPr>
      <w:r>
        <w:t>5. Contre-indications</w:t>
      </w:r>
    </w:p>
    <w:p>
      <w:r/>
      <w:r>
        <w:rPr>
          <w:b/>
        </w:rPr>
        <w:t>Contre-indications absolues</w:t>
      </w:r>
      <w:r/>
    </w:p>
    <w:p>
      <w:pPr>
        <w:pStyle w:val="ListBullet"/>
      </w:pPr>
      <w:r/>
      <w:r>
        <w:rPr>
          <w:b/>
        </w:rPr>
        <w:t>Hypersensibilité connue</w:t>
      </w:r>
      <w:r>
        <w:t xml:space="preserve"> à la lévocarnitine ou à l'un des excipients de la spécialité.</w:t>
      </w:r>
    </w:p>
    <w:p>
      <w:pPr>
        <w:pStyle w:val="ListBullet"/>
      </w:pPr>
      <w:r/>
      <w:r>
        <w:rPr>
          <w:b/>
        </w:rPr>
        <w:t>Utilisation de la forme D-carnitine ou DL-carnitine</w:t>
      </w:r>
      <w:r>
        <w:t xml:space="preserve"> (forme inactive voire compétitrice négative). Seule la lévocarnitine (L-carnitine pure) est autorisée.</w:t>
      </w:r>
    </w:p>
    <w:p>
      <w:r/>
      <w:r>
        <w:rPr>
          <w:b/>
        </w:rPr>
        <w:t>Contre-indications relatives (à peser)</w:t>
      </w:r>
      <w:r/>
    </w:p>
    <w:p>
      <w:pPr>
        <w:pStyle w:val="ListBullet"/>
      </w:pPr>
      <w:r/>
      <w:r>
        <w:rPr>
          <w:b/>
        </w:rPr>
        <w:t>Insuffisance rénale sévère</w:t>
      </w:r>
      <w:r>
        <w:t xml:space="preserve"> (clairance &lt; 30 mL/min) : risque d'accumulation de triméthylamine (TMA) et de TMAO, à l'origine de l'odeur corporelle et urinaire caractéristique. Réduire la dose, espacer les prises.</w:t>
      </w:r>
    </w:p>
    <w:p>
      <w:pPr>
        <w:pStyle w:val="ListBullet"/>
      </w:pPr>
      <w:r/>
      <w:r>
        <w:rPr>
          <w:b/>
        </w:rPr>
        <w:t>Insuffisance hépatique sévère</w:t>
      </w:r>
      <w:r>
        <w:t xml:space="preserve"> : métabolisme de la TMA en TMAO altéré, accumulation de TMA. Réduire la dose.</w:t>
      </w:r>
    </w:p>
    <w:p>
      <w:pPr>
        <w:pStyle w:val="ListBullet"/>
      </w:pPr>
      <w:r/>
      <w:r>
        <w:rPr>
          <w:b/>
        </w:rPr>
        <w:t>Antécédent d'épilepsie</w:t>
      </w:r>
      <w:r>
        <w:t xml:space="preserve"> : cas rapportés d'augmentation de la fréquence des convulsions chez les patients épileptiques sous lévocarnitine à forte dose (mécanisme inconnu — peut-être action sur les récepteurs GABAergiques ou glutamatergiques). Surveillance neurologique.</w:t>
      </w:r>
    </w:p>
    <w:p>
      <w:pPr>
        <w:pStyle w:val="ListBullet"/>
      </w:pPr>
      <w:r/>
      <w:r>
        <w:rPr>
          <w:b/>
        </w:rPr>
        <w:t>Anticoagulation orale (warfarine, antivitamines K)</w:t>
      </w:r>
      <w:r>
        <w:t xml:space="preserve"> : la lévocarnitine peut modifier la coagulabilité sanguine (effet controversé). Surveillance de l'INR.</w:t>
      </w:r>
    </w:p>
    <w:p>
      <w:r/>
      <w:r>
        <w:rPr>
          <w:b/>
        </w:rPr>
        <w:t>Grossesse et allaitement</w:t>
      </w:r>
      <w:r/>
    </w:p>
    <w:p>
      <w:pPr>
        <w:pStyle w:val="ListBullet"/>
      </w:pPr>
      <w:r/>
      <w:r>
        <w:rPr>
          <w:b/>
        </w:rPr>
        <w:t>Grossesse</w:t>
      </w:r>
      <w:r>
        <w:t xml:space="preserve"> : compatible selon le CRAT. Données humaines limitées mais rassurantes, absence d'effet tératogène démontré. À utiliser en cas de carence avérée (dialyse, valproate, carence primaire génétique).</w:t>
      </w:r>
    </w:p>
    <w:p>
      <w:pPr>
        <w:pStyle w:val="ListBullet"/>
      </w:pPr>
      <w:r/>
      <w:r>
        <w:rPr>
          <w:b/>
        </w:rPr>
        <w:t>Allaitement</w:t>
      </w:r>
      <w:r>
        <w:t xml:space="preserve"> : compatible. La carnitine est un composé endogène présent dans le lait maternel. Pas de passage significatif à doses thérapeutiques. L'allaitement est d'ailleurs une source majeure de carnitine pour le nourrisson.</w:t>
      </w:r>
    </w:p>
    <w:p>
      <w:pPr>
        <w:pStyle w:val="Heading4"/>
      </w:pPr>
      <w:r>
        <w:t>6. Posologie et mode d'administration</w:t>
      </w:r>
    </w:p>
    <w:p>
      <w:r/>
      <w:r>
        <w:rPr>
          <w:b/>
        </w:rPr>
        <w:t>Posologies recommandées</w:t>
      </w:r>
      <w:r/>
    </w:p>
    <w:p>
      <w:pPr>
        <w:pStyle w:val="ListBullet"/>
      </w:pPr>
      <w:r/>
      <w:r>
        <w:rPr>
          <w:b/>
        </w:rPr>
        <w:t>Carence primaire en carnitine (génétique, OCTN2)</w:t>
      </w:r>
      <w:r>
        <w:t xml:space="preserve"> :</w:t>
      </w:r>
    </w:p>
    <w:p>
      <w:pPr>
        <w:pStyle w:val="ListBullet"/>
      </w:pPr>
      <w:r>
        <w:t>Adulte : 100 à 400 mg/kg/jour per os, à diviser en 3 à 4 prises (typiquement 1 à 3 g toutes les 4 à 6 heures).</w:t>
      </w:r>
    </w:p>
    <w:p>
      <w:pPr>
        <w:pStyle w:val="ListBullet"/>
      </w:pPr>
      <w:r>
        <w:t>Enfant : 100 à 400 mg/kg/jour per os, à diviser en 3 à 4 prises.</w:t>
      </w:r>
    </w:p>
    <w:p>
      <w:pPr>
        <w:pStyle w:val="ListBullet"/>
      </w:pPr>
      <w:r>
        <w:t>IV en urgence (si formes disponibles) : 50 mg/kg bolus, puis 200 à 400 mg/kg/jour en perfusion continue.</w:t>
      </w:r>
    </w:p>
    <w:p>
      <w:pPr>
        <w:pStyle w:val="ListBullet"/>
      </w:pPr>
      <w:r/>
      <w:r>
        <w:rPr>
          <w:b/>
        </w:rPr>
        <w:t>Carence secondaire chez le dialysé chronique</w:t>
      </w:r>
      <w:r>
        <w:t xml:space="preserve"> :</w:t>
      </w:r>
    </w:p>
    <w:p>
      <w:pPr>
        <w:pStyle w:val="ListBullet"/>
      </w:pPr>
      <w:r>
        <w:t>Per os : 10 à 20 mg/kg/jour (typiquement 1 g/jour, soit 10 mL de METACARTIN à 100 mg/mL).</w:t>
      </w:r>
    </w:p>
    <w:p>
      <w:pPr>
        <w:pStyle w:val="ListBullet"/>
      </w:pPr>
      <w:r>
        <w:t>IV en fin de séance d'hémodialyse : 1 g à la fin de chaque séance (3 fois par semaine) — non disponible en routine en Algérie (pas de forme IV enregistrée).</w:t>
      </w:r>
    </w:p>
    <w:p>
      <w:pPr>
        <w:pStyle w:val="ListBullet"/>
      </w:pPr>
      <w:r/>
      <w:r>
        <w:rPr>
          <w:b/>
        </w:rPr>
        <w:t>Carence induite par le valproate</w:t>
      </w:r>
      <w:r>
        <w:t xml:space="preserve"> :</w:t>
      </w:r>
    </w:p>
    <w:p>
      <w:pPr>
        <w:pStyle w:val="ListBullet"/>
      </w:pPr>
      <w:r>
        <w:t>Préventive : 50 à 100 mg/kg/jour per os (typiquement 1 à 2 g/jour chez l'adulte, 500 mg à 1 g/jour chez l'enfant).</w:t>
      </w:r>
    </w:p>
    <w:p>
      <w:pPr>
        <w:pStyle w:val="ListBullet"/>
      </w:pPr>
      <w:r>
        <w:t>Curative en cas d'encéphalopathie hyperammoniémique : 100 à 200 mg/kg/jour per os ou IV (150 mg/kg en perfusion sur 30 minutes, puis 50 mg/kg/jour).</w:t>
      </w:r>
    </w:p>
    <w:p>
      <w:pPr>
        <w:pStyle w:val="ListBullet"/>
      </w:pPr>
      <w:r/>
      <w:r>
        <w:rPr>
          <w:b/>
        </w:rPr>
        <w:t>Prématurés sous nutrition parentérale</w:t>
      </w:r>
      <w:r>
        <w:t xml:space="preserve"> :</w:t>
      </w:r>
    </w:p>
    <w:p>
      <w:pPr>
        <w:pStyle w:val="ListBullet"/>
      </w:pPr>
      <w:r>
        <w:t>10 à 20 mg/kg/jour per os ou IV.</w:t>
      </w:r>
    </w:p>
    <w:p>
      <w:pPr>
        <w:pStyle w:val="ListBullet"/>
      </w:pPr>
      <w:r/>
      <w:r>
        <w:rPr>
          <w:b/>
        </w:rPr>
        <w:t>Déficits héréditaires de la β-oxydation et aciduries organiques</w:t>
      </w:r>
      <w:r>
        <w:t xml:space="preserve"> :</w:t>
      </w:r>
    </w:p>
    <w:p>
      <w:pPr>
        <w:pStyle w:val="ListBullet"/>
      </w:pPr>
      <w:r>
        <w:t>50 à 200 mg/kg/jour per os, à adapter selon la gravité du déficit et la tolérance digestive.</w:t>
      </w:r>
    </w:p>
    <w:p>
      <w:pPr>
        <w:pStyle w:val="ListBullet"/>
      </w:pPr>
      <w:r/>
      <w:r>
        <w:rPr>
          <w:b/>
        </w:rPr>
        <w:t>Cardiomyopathies et myopathies métaboliques</w:t>
      </w:r>
      <w:r>
        <w:t xml:space="preserve"> :</w:t>
      </w:r>
    </w:p>
    <w:p>
      <w:pPr>
        <w:pStyle w:val="ListBullet"/>
      </w:pPr>
      <w:r>
        <w:t>1 à 3 g/jour per os chez l'adulte, à diviser en 2 à 3 prises.</w:t>
      </w:r>
    </w:p>
    <w:p>
      <w:r/>
      <w:r>
        <w:rPr>
          <w:b/>
        </w:rPr>
        <w:t>Mode d'administration</w:t>
      </w:r>
      <w:r/>
    </w:p>
    <w:p>
      <w:pPr>
        <w:pStyle w:val="ListBullet"/>
      </w:pPr>
      <w:r/>
      <w:r>
        <w:rPr>
          <w:b/>
        </w:rPr>
        <w:t>Voie orale exclusive</w:t>
      </w:r>
      <w:r>
        <w:t xml:space="preserve"> en Algérie (METACARTIN, solution buvable 100 mg/mL).</w:t>
      </w:r>
    </w:p>
    <w:p>
      <w:pPr>
        <w:pStyle w:val="ListBullet"/>
      </w:pPr>
      <w:r/>
      <w:r>
        <w:rPr>
          <w:b/>
        </w:rPr>
        <w:t>Au cours des repas</w:t>
      </w:r>
      <w:r>
        <w:t xml:space="preserve"> pour réduire les effets digestifs (nausées, diarrhée).</w:t>
      </w:r>
    </w:p>
    <w:p>
      <w:pPr>
        <w:pStyle w:val="ListBullet"/>
      </w:pPr>
      <w:r/>
      <w:r>
        <w:rPr>
          <w:b/>
        </w:rPr>
        <w:t>Diviser les prises</w:t>
      </w:r>
      <w:r>
        <w:t xml:space="preserve"> en 2 à 4 prises par jour (la biodisponibilité est saturable — mieux vaut plusieurs petites doses qu'une grande dose unique).</w:t>
      </w:r>
    </w:p>
    <w:p>
      <w:pPr>
        <w:pStyle w:val="ListBullet"/>
      </w:pPr>
      <w:r/>
      <w:r>
        <w:rPr>
          <w:b/>
        </w:rPr>
        <w:t>Utiliser une cuillère-mesure</w:t>
      </w:r>
      <w:r>
        <w:t xml:space="preserve"> ou un gobelet doseur pour la solution buvable.</w:t>
      </w:r>
    </w:p>
    <w:p>
      <w:pPr>
        <w:pStyle w:val="ListBullet"/>
      </w:pPr>
      <w:r/>
      <w:r>
        <w:rPr>
          <w:b/>
        </w:rPr>
        <w:t>Goût</w:t>
      </w:r>
      <w:r>
        <w:t xml:space="preserve"> : la solution buvable de lévocarnitine a un goût légèrement acide mais acceptable. Diluer dans un verre d'eau ou de jus de fruit si nécessaire.</w:t>
      </w:r>
    </w:p>
    <w:p>
      <w:r/>
      <w:r>
        <w:rPr>
          <w:b/>
        </w:rPr>
        <w:t>Adaptation posologique</w:t>
      </w:r>
      <w:r/>
    </w:p>
    <w:p>
      <w:pPr>
        <w:pStyle w:val="ListBullet"/>
      </w:pPr>
      <w:r/>
      <w:r>
        <w:rPr>
          <w:b/>
        </w:rPr>
        <w:t>Insuffisance rénale sévère</w:t>
      </w:r>
      <w:r>
        <w:t xml:space="preserve"> (clairance &lt; 30 mL/min) : réduire la dose de 50 %, espacer les prises.</w:t>
      </w:r>
    </w:p>
    <w:p>
      <w:pPr>
        <w:pStyle w:val="ListBullet"/>
      </w:pPr>
      <w:r/>
      <w:r>
        <w:rPr>
          <w:b/>
        </w:rPr>
        <w:t>Insuffisance hépatique sévère</w:t>
      </w:r>
      <w:r>
        <w:t xml:space="preserve"> : réduire la dose de 25 à 50 %.</w:t>
      </w:r>
    </w:p>
    <w:p>
      <w:pPr>
        <w:pStyle w:val="ListBullet"/>
      </w:pPr>
      <w:r/>
      <w:r>
        <w:rPr>
          <w:b/>
        </w:rPr>
        <w:t>Sujet âgé</w:t>
      </w:r>
      <w:r>
        <w:t xml:space="preserve"> : pas d'adaptation nécessaire en l'absence d'insuffisance rénale.</w:t>
      </w:r>
    </w:p>
    <w:p>
      <w:pPr>
        <w:pStyle w:val="ListBullet"/>
      </w:pPr>
      <w:r/>
      <w:r>
        <w:rPr>
          <w:b/>
        </w:rPr>
        <w:t>Enfant</w:t>
      </w:r>
      <w:r>
        <w:t xml:space="preserve"> : adapter à la posologie en mg/kg/jour.</w:t>
      </w:r>
    </w:p>
    <w:p>
      <w:r/>
      <w:r>
        <w:rPr>
          <w:b/>
        </w:rPr>
        <w:t>Règles d'initiation</w:t>
      </w:r>
      <w:r/>
    </w:p>
    <w:p>
      <w:pPr>
        <w:pStyle w:val="ListBullet"/>
      </w:pPr>
      <w:r>
        <w:t>Vérifier l'absence d'hypersensibilité connue à la lévocarnitine.</w:t>
      </w:r>
    </w:p>
    <w:p>
      <w:pPr>
        <w:pStyle w:val="ListBullet"/>
      </w:pPr>
      <w:r>
        <w:t>Vérifier l'absence d'épilepsie non contrôlée (risque de majoration des convulsions).</w:t>
      </w:r>
    </w:p>
    <w:p>
      <w:pPr>
        <w:pStyle w:val="ListBullet"/>
      </w:pPr>
      <w:r>
        <w:t>Vérifier l'absence de traitement anticoagulant oral (surveillance de l'INR).</w:t>
      </w:r>
    </w:p>
    <w:p>
      <w:pPr>
        <w:pStyle w:val="ListBullet"/>
      </w:pPr>
      <w:r>
        <w:t>Patient en âge de procréer : pas de contraception obligatoire (compatible avec grossesse et allaitement).</w:t>
      </w:r>
    </w:p>
    <w:p>
      <w:pPr>
        <w:pStyle w:val="ListBullet"/>
      </w:pPr>
      <w:r>
        <w:t>Informer le patient des effets indésirables (odeur corporelle et urinaire de poisson pourri, digestifs).</w:t>
      </w:r>
    </w:p>
    <w:p>
      <w:pPr>
        <w:pStyle w:val="ListBullet"/>
      </w:pPr>
      <w:r>
        <w:t>Programmer une surveillance clinique (digestive, neurologique, myologique) et biologique (carnitinémie).</w:t>
      </w:r>
    </w:p>
    <w:p>
      <w:pPr>
        <w:pStyle w:val="Heading4"/>
      </w:pPr>
      <w:r>
        <w:t>7. Effets indésirables</w:t>
      </w:r>
    </w:p>
    <w:p>
      <w:r/>
      <w:r>
        <w:rPr>
          <w:b/>
        </w:rPr>
        <w:t>Effets indésirables fréquents (≥ 1/100)</w:t>
      </w:r>
      <w:r/>
    </w:p>
    <w:p>
      <w:pPr>
        <w:pStyle w:val="ListBullet"/>
      </w:pPr>
      <w:r/>
      <w:r>
        <w:rPr>
          <w:b/>
        </w:rPr>
        <w:t>Digestifs</w:t>
      </w:r>
      <w:r>
        <w:t xml:space="preserve"> : nausées, vomissements, diarrhée, douleurs abdominales, crampes épigastriques. Plus fréquents à doses élevées (≥ 3 g/jour) et en prise à jeun. Réduction en prenant au cours des repas.</w:t>
      </w:r>
    </w:p>
    <w:p>
      <w:pPr>
        <w:pStyle w:val="ListBullet"/>
      </w:pPr>
      <w:r/>
      <w:r>
        <w:rPr>
          <w:b/>
        </w:rPr>
        <w:t>Odeur corporelle et urinaire de poisson pourri</w:t>
      </w:r>
      <w:r>
        <w:t xml:space="preserve"> : liée à la formation de triméthylamine (TMA) par la flore colique, à partir de la carnitine non absorbée. La TMA est absorbée et excrétée dans la sueur, l'haleine, l'urine. Cet effet est très gênant socialement et constitue une cause majeure de non-observance. Réduction en fractionnant les prises, en réduisant la dose, ou en associant un antibiotique à visée colique (métronidazole) en cas d'échec (off-label).</w:t>
      </w:r>
    </w:p>
    <w:p>
      <w:r/>
      <w:r>
        <w:rPr>
          <w:b/>
        </w:rPr>
        <w:t>Effets indésirables peu fréquents (≥ 1/1000, &lt; 1/100)</w:t>
      </w:r>
      <w:r/>
    </w:p>
    <w:p>
      <w:pPr>
        <w:pStyle w:val="ListBullet"/>
      </w:pPr>
      <w:r/>
      <w:r>
        <w:rPr>
          <w:b/>
        </w:rPr>
        <w:t>Neurologiques</w:t>
      </w:r>
      <w:r>
        <w:t xml:space="preserve"> : céphalées, asthénie, somnolence, vertiges.</w:t>
      </w:r>
    </w:p>
    <w:p>
      <w:pPr>
        <w:pStyle w:val="ListBullet"/>
      </w:pPr>
      <w:r/>
      <w:r>
        <w:rPr>
          <w:b/>
        </w:rPr>
        <w:t>Convulsions</w:t>
      </w:r>
      <w:r>
        <w:t xml:space="preserve"> : cas rapportés, en particulier chez les patients épileptiques sous lévocarnitine à forte dose. Mécanisme inconnu (peut-être action sur les récepteurs GABAergiques). Surveillance neurologique, ajustement du traitement antiépileptique.</w:t>
      </w:r>
    </w:p>
    <w:p>
      <w:pPr>
        <w:pStyle w:val="ListBullet"/>
      </w:pPr>
      <w:r/>
      <w:r>
        <w:rPr>
          <w:b/>
        </w:rPr>
        <w:t>Allergiques</w:t>
      </w:r>
      <w:r>
        <w:t xml:space="preserve"> : rash cutané, urticaire, prurit. Réactions anaphylactiques rares.</w:t>
      </w:r>
    </w:p>
    <w:p>
      <w:r/>
      <w:r>
        <w:rPr>
          <w:b/>
        </w:rPr>
        <w:t>Effets indésirables rares (&lt; 1/1000)</w:t>
      </w:r>
      <w:r/>
    </w:p>
    <w:p>
      <w:pPr>
        <w:pStyle w:val="ListBullet"/>
      </w:pPr>
      <w:r/>
      <w:r>
        <w:rPr>
          <w:b/>
        </w:rPr>
        <w:t>Hématologiques</w:t>
      </w:r>
      <w:r>
        <w:t xml:space="preserve"> : modification de la coagulabilité sanguine (effet controversé). Surveillance de l'INR chez les patients sous anticoagulants oraux.</w:t>
      </w:r>
    </w:p>
    <w:p>
      <w:pPr>
        <w:pStyle w:val="ListBullet"/>
      </w:pPr>
      <w:r/>
      <w:r>
        <w:rPr>
          <w:b/>
        </w:rPr>
        <w:t>Métaboliques</w:t>
      </w:r>
      <w:r>
        <w:t xml:space="preserve"> : acidose métabolique (à très forte dose), augmentation des corps cétoniques (effet attendu de la β-oxydation).</w:t>
      </w:r>
    </w:p>
    <w:p>
      <w:pPr>
        <w:pStyle w:val="ListBullet"/>
      </w:pPr>
      <w:r/>
      <w:r>
        <w:rPr>
          <w:b/>
        </w:rPr>
        <w:t>Hépatiques</w:t>
      </w:r>
      <w:r>
        <w:t xml:space="preserve"> : élévation modérée et transitoire des transaminases (rare).</w:t>
      </w:r>
    </w:p>
    <w:p>
      <w:r/>
      <w:r>
        <w:rPr>
          <w:b/>
        </w:rPr>
        <w:t>Effets indésirables de la voie intraveineuse (non disponible en routine en Algérie)</w:t>
      </w:r>
      <w:r/>
    </w:p>
    <w:p>
      <w:pPr>
        <w:pStyle w:val="ListBullet"/>
      </w:pPr>
      <w:r>
        <w:t>Réactions locales au point d'injection (douleur, phlébite).</w:t>
      </w:r>
    </w:p>
    <w:p>
      <w:pPr>
        <w:pStyle w:val="ListBullet"/>
      </w:pPr>
      <w:r>
        <w:t>Réactions allergiques (choc anaphylactique rare).</w:t>
      </w:r>
    </w:p>
    <w:p>
      <w:pPr>
        <w:pStyle w:val="ListBullet"/>
      </w:pPr>
      <w:r>
        <w:t>Hypotension transitoire en cas de perfusion trop rapide.</w:t>
      </w:r>
    </w:p>
    <w:p>
      <w:pPr>
        <w:pStyle w:val="Heading4"/>
      </w:pPr>
      <w:r>
        <w:t>8. Interactions médicamenteuses</w:t>
      </w:r>
    </w:p>
    <w:p>
      <w:pPr>
        <w:pStyle w:val="ListBullet"/>
      </w:pPr>
      <w:r/>
      <w:r>
        <w:rPr>
          <w:b/>
        </w:rPr>
        <w:t>Anticoagulants oraux (warfarine, antivitamines K)</w:t>
      </w:r>
      <w:r>
        <w:t xml:space="preserve"> : la lévocarnitine peut modifier la coagulabilité sanguine (effet controversé). Surveillance de l'INR, ajustement de la dose d'antivitamine K si besoin.</w:t>
      </w:r>
    </w:p>
    <w:p>
      <w:pPr>
        <w:pStyle w:val="ListBullet"/>
      </w:pPr>
      <w:r/>
      <w:r>
        <w:rPr>
          <w:b/>
        </w:rPr>
        <w:t>Valproate</w:t>
      </w:r>
      <w:r>
        <w:t xml:space="preserve"> : interaction positive — la lévocarnitine prévient et traite l'encéphalopathie hyperammoniémique et l'hépatotoxicité induites par le valproate. Association recommandée en cas de traitement prolongé par valproate à forte dose, en particulier chez l'enfant.</w:t>
      </w:r>
    </w:p>
    <w:p>
      <w:pPr>
        <w:pStyle w:val="ListBullet"/>
      </w:pPr>
      <w:r/>
      <w:r>
        <w:rPr>
          <w:b/>
        </w:rPr>
        <w:t>Antibiotiques pivoxil (pivmécillinam, céfitorene pivoxil)</w:t>
      </w:r>
      <w:r>
        <w:t xml:space="preserve"> : interaction positive — la lévocarnitine prévient la carence induite par l'acide pivalique (qui chélate la carnitine). Association recommandée en cas de traitement prolongé.</w:t>
      </w:r>
    </w:p>
    <w:p>
      <w:pPr>
        <w:pStyle w:val="ListBullet"/>
      </w:pPr>
      <w:r/>
      <w:r>
        <w:rPr>
          <w:b/>
        </w:rPr>
        <w:t>Acide acétylsalicylique (aspirine)</w:t>
      </w:r>
      <w:r>
        <w:t xml:space="preserve"> à haute dose : diminution de l'excrétion urinaire de la carnitine (effet sur la sécrétion tubulaire). Surveillance clinique.</w:t>
      </w:r>
    </w:p>
    <w:p>
      <w:pPr>
        <w:pStyle w:val="ListBullet"/>
      </w:pPr>
      <w:r/>
      <w:r>
        <w:rPr>
          <w:b/>
        </w:rPr>
        <w:t>Glucocorticoïdes</w:t>
      </w:r>
      <w:r>
        <w:t xml:space="preserve"> : augmentation de l'excrétion urinaire de la carnitine. Surveillance clinique, supplémentation si besoin.</w:t>
      </w:r>
    </w:p>
    <w:p>
      <w:pPr>
        <w:pStyle w:val="ListBullet"/>
      </w:pPr>
      <w:r/>
      <w:r>
        <w:rPr>
          <w:b/>
        </w:rPr>
        <w:t>Insuline</w:t>
      </w:r>
      <w:r>
        <w:t xml:space="preserve"> : la lévocarnitine potentialise l'action de l'insuline sur le captage cellulaire du glucose (effet modeste). Surveillance glycémique chez le diabétique.</w:t>
      </w:r>
    </w:p>
    <w:p>
      <w:pPr>
        <w:pStyle w:val="Heading4"/>
      </w:pPr>
      <w:r>
        <w:t>9. Surveillance biologique et suivi clinique</w:t>
      </w:r>
    </w:p>
    <w:p>
      <w:r/>
      <w:r>
        <w:rPr>
          <w:b/>
        </w:rPr>
        <w:t>Bilan pré-thérapeutique</w:t>
      </w:r>
      <w:r/>
    </w:p>
    <w:p>
      <w:pPr>
        <w:pStyle w:val="ListBullet"/>
      </w:pPr>
      <w:r>
        <w:t>Dosage de la carnitine plasmatique totale et libre (et calcul du rapport acyl-carnitine/carnitine libre, AC/FC).</w:t>
      </w:r>
    </w:p>
    <w:p>
      <w:pPr>
        <w:pStyle w:val="ListBullet"/>
      </w:pPr>
      <w:r>
        <w:t>Dosage de la carnitine musculaire (biopsie) — rarement réalisé, en cas de suspicion de carence intracellulaire isolée.</w:t>
      </w:r>
    </w:p>
    <w:p>
      <w:pPr>
        <w:pStyle w:val="ListBullet"/>
      </w:pPr>
      <w:r>
        <w:t>NFS-plaquettes, bilan hépatique, bilan rénal, ionogramme.</w:t>
      </w:r>
    </w:p>
    <w:p>
      <w:pPr>
        <w:pStyle w:val="ListBullet"/>
      </w:pPr>
      <w:r>
        <w:t>Chez le patient épileptique : EEG de base.</w:t>
      </w:r>
    </w:p>
    <w:p>
      <w:pPr>
        <w:pStyle w:val="ListBullet"/>
      </w:pPr>
      <w:r>
        <w:t>Chez le patient sous anticoagulant : INR de base.</w:t>
      </w:r>
    </w:p>
    <w:p>
      <w:r/>
      <w:r>
        <w:rPr>
          <w:b/>
        </w:rPr>
        <w:t>Surveillance en cours de traitement</w:t>
      </w:r>
      <w:r/>
    </w:p>
    <w:p>
      <w:pPr>
        <w:pStyle w:val="ListBullet"/>
      </w:pPr>
      <w:r/>
      <w:r>
        <w:rPr>
          <w:b/>
        </w:rPr>
        <w:t>Dosage de la carnitine plasmatique</w:t>
      </w:r>
      <w:r>
        <w:t xml:space="preserve"> : à 1 mois, puis tous les 3 à 6 mois. Cible : carnitine totale &gt; 35 µmol/L, carnitine libre &gt; 25 µmol/L, rapport AC/FC &lt; 0,4.</w:t>
      </w:r>
    </w:p>
    <w:p>
      <w:pPr>
        <w:pStyle w:val="ListBullet"/>
      </w:pPr>
      <w:r/>
      <w:r>
        <w:rPr>
          <w:b/>
        </w:rPr>
        <w:t>Surveillance clinique</w:t>
      </w:r>
      <w:r>
        <w:t xml:space="preserve"> :</w:t>
      </w:r>
    </w:p>
    <w:p>
      <w:pPr>
        <w:pStyle w:val="ListBullet"/>
      </w:pPr>
      <w:r>
        <w:t>Digestive : tolérance (nausées, diarrhée).</w:t>
      </w:r>
    </w:p>
    <w:p>
      <w:pPr>
        <w:pStyle w:val="ListBullet"/>
      </w:pPr>
      <w:r>
        <w:t>Neurologique : chez l'épileptique, surveillance de la fréquence et de la sévérité des crises.</w:t>
      </w:r>
    </w:p>
    <w:p>
      <w:pPr>
        <w:pStyle w:val="ListBullet"/>
      </w:pPr>
      <w:r>
        <w:t>Odeur corporelle et urinaire : gêne sociale, adaptation posologique si besoin.</w:t>
      </w:r>
    </w:p>
    <w:p>
      <w:pPr>
        <w:pStyle w:val="ListBullet"/>
      </w:pPr>
      <w:r>
        <w:t>Efficacité : disparition des signes de carence (myalgies, crampes, fatigue, hypotension intra-dialytique, cardiomyopathie).</w:t>
      </w:r>
    </w:p>
    <w:p>
      <w:pPr>
        <w:pStyle w:val="ListBullet"/>
      </w:pPr>
      <w:r/>
      <w:r>
        <w:rPr>
          <w:b/>
        </w:rPr>
        <w:t>Surveillance biologique complémentaire</w:t>
      </w:r>
      <w:r>
        <w:t xml:space="preserve"> :</w:t>
      </w:r>
    </w:p>
    <w:p>
      <w:pPr>
        <w:pStyle w:val="ListBullet"/>
      </w:pPr>
      <w:r>
        <w:t>Créatininémie (en cas de surdosage en TMAO, insuffisance rénale fonctionnelle).</w:t>
      </w:r>
    </w:p>
    <w:p>
      <w:pPr>
        <w:pStyle w:val="ListBullet"/>
      </w:pPr>
      <w:r>
        <w:t>Transaminases (en cas de traitement prolongé).</w:t>
      </w:r>
    </w:p>
    <w:p>
      <w:pPr>
        <w:pStyle w:val="ListBullet"/>
      </w:pPr>
      <w:r>
        <w:t>INR chez les patients sous anticoagulants oraux.</w:t>
      </w:r>
    </w:p>
    <w:p>
      <w:r/>
      <w:r>
        <w:rPr>
          <w:b/>
        </w:rPr>
        <w:t>Éducation thérapeutique du patient</w:t>
      </w:r>
      <w:r/>
    </w:p>
    <w:p>
      <w:pPr>
        <w:pStyle w:val="ListBullet"/>
      </w:pPr>
      <w:r>
        <w:t>Respect strict de la prescription et des horaires de prise.</w:t>
      </w:r>
    </w:p>
    <w:p>
      <w:pPr>
        <w:pStyle w:val="ListBullet"/>
      </w:pPr>
      <w:r>
        <w:t>Fractionner les prises en 2 à 4 prises par jour pour optimiser l'absorption et réduire les effets digestifs.</w:t>
      </w:r>
    </w:p>
    <w:p>
      <w:pPr>
        <w:pStyle w:val="ListBullet"/>
      </w:pPr>
      <w:r>
        <w:t>Prendre au cours des repas.</w:t>
      </w:r>
    </w:p>
    <w:p>
      <w:pPr>
        <w:pStyle w:val="ListBullet"/>
      </w:pPr>
      <w:r>
        <w:t>Signaler à tout médecin ou pharmacien la prise de lévocarnitine, en particulier en cas d'anticoagulant oral ou de traitement antiépileptique.</w:t>
      </w:r>
    </w:p>
    <w:p>
      <w:pPr>
        <w:pStyle w:val="ListBullet"/>
      </w:pPr>
      <w:r>
        <w:t>Signes d'alerte à connaître : odeur corporelle de poisson (effet indésirable fréquent, non dangereux mais gênant socialement — consulter pour adapter la dose) ; convulsions ou augmentation de la fréquence des crises chez l'épileptique (arrêt, consulter en urgence).</w:t>
      </w:r>
    </w:p>
    <w:p>
      <w:pPr>
        <w:pStyle w:val="ListBullet"/>
      </w:pPr>
      <w:r>
        <w:t>Ne pas arrêter brutalement le traitement (risque de réapparition des signes de carence).</w:t>
      </w:r>
    </w:p>
    <w:p>
      <w:pPr>
        <w:pStyle w:val="ListBullet"/>
      </w:pPr>
      <w:r>
        <w:t>Ne pas dépasser la dose prescrite.</w:t>
      </w:r>
    </w:p>
    <w:p>
      <w:pPr>
        <w:pStyle w:val="ListBullet"/>
      </w:pPr>
      <w:r>
        <w:t>Ne pas associer la lévocarnitine à des suppléments de D-carnitine ou DL-carnitine (formes inactives ou compétitives).</w:t>
      </w:r>
    </w:p>
    <w:p>
      <w:pPr>
        <w:pStyle w:val="Heading4"/>
      </w:pPr>
      <w:r>
        <w:t>10. Arbitrage et bénéfices des formes galéniques</w:t>
      </w:r>
    </w:p>
    <w:p>
      <w:r/>
      <w:r>
        <w:rPr>
          <w:b/>
        </w:rPr>
        <w:t>Forme orale (METACARTIN, solution buvable 100 mg/mL)</w:t>
      </w:r>
      <w:r/>
    </w:p>
    <w:p>
      <w:pPr>
        <w:pStyle w:val="ListBullet"/>
      </w:pPr>
      <w:r>
        <w:t>Avantages : facilité d'administration, observance, coût modéré, seule forme disponible en Algérie.</w:t>
      </w:r>
    </w:p>
    <w:p>
      <w:pPr>
        <w:pStyle w:val="ListBullet"/>
      </w:pPr>
      <w:r>
        <w:t>Inconvénients :</w:t>
      </w:r>
    </w:p>
    <w:p>
      <w:pPr>
        <w:pStyle w:val="ListBullet"/>
      </w:pPr>
      <w:r>
        <w:t>Biodisponibilité limitée (14 à 18 %).</w:t>
      </w:r>
    </w:p>
    <w:p>
      <w:pPr>
        <w:pStyle w:val="ListBullet"/>
      </w:pPr>
      <w:r>
        <w:t>Goût légèrement acide.</w:t>
      </w:r>
    </w:p>
    <w:p>
      <w:pPr>
        <w:pStyle w:val="ListBullet"/>
      </w:pPr>
      <w:r>
        <w:t>Odeur de poisson pourri à forte dose (TMA colique).</w:t>
      </w:r>
    </w:p>
    <w:p>
      <w:pPr>
        <w:pStyle w:val="ListBullet"/>
      </w:pPr>
      <w:r>
        <w:t>Volume à prendre : 10 à 20 mL/jour pour les posologies courantes (1 à 2 g/jour), 20 à 60 mL/jour pour les carences primaires (2 à 6 g/jour).</w:t>
      </w:r>
    </w:p>
    <w:p>
      <w:pPr>
        <w:pStyle w:val="ListBullet"/>
      </w:pPr>
      <w:r>
        <w:t>Pas d'adaptation posologique facile chez l'enfant (forme non pédiatrique).</w:t>
      </w:r>
    </w:p>
    <w:p>
      <w:r/>
      <w:r>
        <w:rPr>
          <w:b/>
        </w:rPr>
        <w:t>Forme intraveineuse (non disponible en routine en Algérie)</w:t>
      </w:r>
      <w:r/>
    </w:p>
    <w:p>
      <w:pPr>
        <w:pStyle w:val="ListBullet"/>
      </w:pPr>
      <w:r>
        <w:t>Avantages : biodisponibilité 100 %, action immédiate, indications aiguës (encéphalopathie hyperammoniémique, carence primaire néonatale).</w:t>
      </w:r>
    </w:p>
    <w:p>
      <w:pPr>
        <w:pStyle w:val="ListBullet"/>
      </w:pPr>
      <w:r>
        <w:t>Inconvénients : voie veineuse requise, surveillance hospitalière, indisponibilité en Algérie (à importer en cas de nécessité absolue, en milieu spécialisé).</w:t>
      </w:r>
    </w:p>
    <w:p>
      <w:r/>
      <w:r>
        <w:rPr>
          <w:b/>
        </w:rPr>
        <w:t>Forme comprimé (non disponible en Algérie)</w:t>
      </w:r>
      <w:r/>
    </w:p>
    <w:p>
      <w:pPr>
        <w:pStyle w:val="ListBullet"/>
      </w:pPr>
      <w:r>
        <w:t>Avantages : facilité d'administration, observance.</w:t>
      </w:r>
    </w:p>
    <w:p>
      <w:pPr>
        <w:pStyle w:val="ListBullet"/>
      </w:pPr>
      <w:r>
        <w:t>Inconvénients : pas de forme comprimé enregistrée en Algérie (uniquement en importation).</w:t>
      </w:r>
    </w:p>
    <w:p>
      <w:r/>
      <w:r>
        <w:rPr>
          <w:b/>
        </w:rPr>
        <w:t>Arbitrage thérapeutique en officine</w:t>
      </w:r>
      <w:r/>
    </w:p>
    <w:p>
      <w:pPr>
        <w:pStyle w:val="ListBullet"/>
      </w:pPr>
      <w:r>
        <w:t>Carence primaire en carnitine (génétique) : METACARTIN à forte dose, suivi en milieu spécialisé (neuropédiatrie, maladies métaboliques héréditaires).</w:t>
      </w:r>
    </w:p>
    <w:p>
      <w:pPr>
        <w:pStyle w:val="ListBullet"/>
      </w:pPr>
      <w:r>
        <w:t>Carence secondaire (dialyse chronique) : METACARTIN 1 g/jour, à renouveler mensuellement.</w:t>
      </w:r>
    </w:p>
    <w:p>
      <w:pPr>
        <w:pStyle w:val="ListBullet"/>
      </w:pPr>
      <w:r>
        <w:t>Carence induite par le valproate : METACARTIN 1 à 2 g/jour, surveillance clinique.</w:t>
      </w:r>
    </w:p>
    <w:p>
      <w:pPr>
        <w:pStyle w:val="ListBullet"/>
      </w:pPr>
      <w:r>
        <w:t>Carence induite par antibiotique pivoxil : METACARTIN 1 g/jour pendant la durée du traitement.</w:t>
      </w:r>
    </w:p>
    <w:p>
      <w:pPr>
        <w:pStyle w:val="ListBullet"/>
      </w:pPr>
      <w:r>
        <w:t>Prématuré sous nutrition parentérale : METACARTIN 10 à 20 mg/kg/jour per os (à défaut de forme IV).</w:t>
      </w:r>
    </w:p>
    <w:p>
      <w:pPr>
        <w:pStyle w:val="Heading4"/>
      </w:pPr>
      <w:r>
        <w:t>11. Instructions et conseils au patient</w:t>
      </w:r>
    </w:p>
    <w:p>
      <w:r/>
      <w:r>
        <w:rPr>
          <w:b/>
        </w:rPr>
        <w:t>Conseils au comptoir</w:t>
      </w:r>
      <w:r/>
    </w:p>
    <w:p>
      <w:pPr>
        <w:pStyle w:val="ListNumber"/>
      </w:pPr>
      <w:r/>
      <w:r>
        <w:rPr>
          <w:b/>
        </w:rPr>
        <w:t>Respect strict de la prescription</w:t>
      </w:r>
      <w:r>
        <w:t xml:space="preserve"> : la lévocarnitine est un médicament Liste I, à prescription médicale obligatoire. Ne pas dépasser la dose prescrite.</w:t>
      </w:r>
    </w:p>
    <w:p>
      <w:pPr>
        <w:pStyle w:val="ListNumber"/>
      </w:pPr>
      <w:r/>
      <w:r>
        <w:rPr>
          <w:b/>
        </w:rPr>
        <w:t>Mode de prise</w:t>
      </w:r>
      <w:r>
        <w:t xml:space="preserve"> : solution buvable à diluer dans un demi-verre d'eau ou de jus de fruit. Prendre au cours des repas pour réduire les effets digestifs.</w:t>
      </w:r>
    </w:p>
    <w:p>
      <w:pPr>
        <w:pStyle w:val="ListNumber"/>
      </w:pPr>
      <w:r/>
      <w:r>
        <w:rPr>
          <w:b/>
        </w:rPr>
        <w:t>Fractionner les prises</w:t>
      </w:r>
      <w:r>
        <w:t xml:space="preserve"> : diviser la dose journalière en 2 à 4 prises (par exemple, matin, midi, soir, coucher) pour optimiser l'absorption et réduire les effets digestifs.</w:t>
      </w:r>
    </w:p>
    <w:p>
      <w:pPr>
        <w:pStyle w:val="ListNumber"/>
      </w:pPr>
      <w:r/>
      <w:r>
        <w:rPr>
          <w:b/>
        </w:rPr>
        <w:t>Utiliser une cuillère-mesure</w:t>
      </w:r>
      <w:r>
        <w:t xml:space="preserve"> ou un gobelet doseur pour la solution buvable. Une cuillère à café correspond à environ 5 mL (500 mg de lévocarnitine), une cuillère à soupe à environ 15 mL (1 500 mg de lévocarnitine).</w:t>
      </w:r>
    </w:p>
    <w:p>
      <w:pPr>
        <w:pStyle w:val="ListNumber"/>
      </w:pPr>
      <w:r/>
      <w:r>
        <w:rPr>
          <w:b/>
        </w:rPr>
        <w:t>Signes d'alerte à connaître</w:t>
      </w:r>
      <w:r>
        <w:t xml:space="preserve"> :</w:t>
      </w:r>
    </w:p>
    <w:p>
      <w:pPr>
        <w:pStyle w:val="ListBullet"/>
      </w:pPr>
      <w:r>
        <w:t>Odeur corporelle ou urinaire de poisson pourri : effet indésirable fréquent, non dangereux mais gênant socialement. Consulter le médecin pour adapter la dose (réduction ou fractionnement).</w:t>
      </w:r>
    </w:p>
    <w:p>
      <w:pPr>
        <w:pStyle w:val="ListBullet"/>
      </w:pPr>
      <w:r>
        <w:t>Convulsions, augmentation de la fréquence des crises chez l'épileptique : arrêt, consulter en urgence.</w:t>
      </w:r>
    </w:p>
    <w:p>
      <w:pPr>
        <w:pStyle w:val="ListBullet"/>
      </w:pPr>
      <w:r>
        <w:t>Nausées, vomissements, diarrhée persistante : réduire la dose ou fractionner les prises.</w:t>
      </w:r>
    </w:p>
    <w:p>
      <w:pPr>
        <w:pStyle w:val="ListBullet"/>
      </w:pPr>
      <w:r>
        <w:t>Rash cutané, urticaire : arrêt, consulter en urgence (réaction allergique).</w:t>
      </w:r>
    </w:p>
    <w:p>
      <w:pPr>
        <w:pStyle w:val="ListNumber"/>
      </w:pPr>
      <w:r/>
      <w:r>
        <w:rPr>
          <w:b/>
        </w:rPr>
        <w:t>Patients sous anticoagulants oraux</w:t>
      </w:r>
      <w:r>
        <w:t xml:space="preserve"> : surveillance accrue de l'INR. Signaler à l'anticoagulateur toute modification de la dose de lévocarnitine.</w:t>
      </w:r>
    </w:p>
    <w:p>
      <w:pPr>
        <w:pStyle w:val="ListNumber"/>
      </w:pPr>
      <w:r/>
      <w:r>
        <w:rPr>
          <w:b/>
        </w:rPr>
        <w:t>Patients sous valproate</w:t>
      </w:r>
      <w:r>
        <w:t xml:space="preserve"> : association bénéfique. Ne pas arrêter la lévocarnitine sans avis médical, même en cas d'arrêt du valproate (la carence en carnitine peut persister plusieurs semaines).</w:t>
      </w:r>
    </w:p>
    <w:p>
      <w:pPr>
        <w:pStyle w:val="ListNumber"/>
      </w:pPr>
      <w:r/>
      <w:r>
        <w:rPr>
          <w:b/>
        </w:rPr>
        <w:t>Patients dialysés</w:t>
      </w:r>
      <w:r>
        <w:t xml:space="preserve"> : prise à la fin de chaque séance d'hémodialyse (3 fois par semaine) en cas de prescription IV (en milieu spécialisé), ou en prise orale journalière.</w:t>
      </w:r>
    </w:p>
    <w:p>
      <w:pPr>
        <w:pStyle w:val="ListNumber"/>
      </w:pPr>
      <w:r/>
      <w:r>
        <w:rPr>
          <w:b/>
        </w:rPr>
        <w:t>Patiente enceinte ou allaitante</w:t>
      </w:r>
      <w:r>
        <w:t xml:space="preserve"> : compatible. Ne pas arrêter la lévocarnitine sans avis médical.</w:t>
      </w:r>
    </w:p>
    <w:p>
      <w:pPr>
        <w:pStyle w:val="ListNumber"/>
      </w:pPr>
      <w:r/>
      <w:r>
        <w:rPr>
          <w:b/>
        </w:rPr>
        <w:t>Stockage</w:t>
      </w:r>
      <w:r>
        <w:t xml:space="preserve"> : conserver à température ≤ 25 °C, à l'abri de l'humidité et de la lumière. Conserver le flacon en position verticale après ouverture. Utiliser dans les 30 jours après ouverture. Tenir hors de portée des enfants.</w:t>
      </w:r>
    </w:p>
    <w:p>
      <w:pPr>
        <w:pStyle w:val="Heading4"/>
      </w:pPr>
      <w:r>
        <w:t>12. Notes — Règles d'or et pièges au comptoir</w:t>
      </w:r>
    </w:p>
    <w:p>
      <w:r/>
      <w:r>
        <w:rPr>
          <w:b/>
        </w:rPr>
        <w:t>Règles d'or</w:t>
      </w:r>
      <w:r/>
    </w:p>
    <w:p>
      <w:pPr>
        <w:pStyle w:val="ListNumber"/>
      </w:pPr>
      <w:r/>
      <w:r>
        <w:rPr>
          <w:b/>
        </w:rPr>
        <w:t>Toujours vérifier l'absence d'hypersensibilité</w:t>
      </w:r>
      <w:r>
        <w:t xml:space="preserve"> connue à la lévocarnitine.</w:t>
      </w:r>
    </w:p>
    <w:p>
      <w:pPr>
        <w:pStyle w:val="ListNumber"/>
      </w:pPr>
      <w:r/>
      <w:r>
        <w:rPr>
          <w:b/>
        </w:rPr>
        <w:t>Toujours vérifier l'absence d'épilepsie non contrôlée</w:t>
      </w:r>
      <w:r>
        <w:t xml:space="preserve"> : la lévocarnitine peut majorer la fréquence des convulsions. Contacter le médecin si le patient est épileptique.</w:t>
      </w:r>
    </w:p>
    <w:p>
      <w:pPr>
        <w:pStyle w:val="ListNumber"/>
      </w:pPr>
      <w:r/>
      <w:r>
        <w:rPr>
          <w:b/>
        </w:rPr>
        <w:t>Toujours vérifier l'absence de traitement anticoagulant oral</w:t>
      </w:r>
      <w:r>
        <w:t xml:space="preserve"> : surveiller l'INR en cas d'association.</w:t>
      </w:r>
    </w:p>
    <w:p>
      <w:pPr>
        <w:pStyle w:val="ListNumber"/>
      </w:pPr>
      <w:r/>
      <w:r>
        <w:rPr>
          <w:b/>
        </w:rPr>
        <w:t>Toujours vérifier l'indication de la supplémentation</w:t>
      </w:r>
      <w:r>
        <w:t xml:space="preserve"> : carence primaire (génétique), carence secondaire (dialyse, valproate, pivoxil), ou cardiomyopathie métabolique. Ne pas délivrer sans prescription médicale.</w:t>
      </w:r>
    </w:p>
    <w:p>
      <w:pPr>
        <w:pStyle w:val="ListNumber"/>
      </w:pPr>
      <w:r/>
      <w:r>
        <w:rPr>
          <w:b/>
        </w:rPr>
        <w:t>Toujours informer le patient de l'odeur corporelle et urinaire de poisson pourri</w:t>
      </w:r>
      <w:r>
        <w:t xml:space="preserve"> : effet indésirable fréquent et gênant socialement. Adapter la dose (réduction ou fractionnement) si besoin.</w:t>
      </w:r>
    </w:p>
    <w:p>
      <w:pPr>
        <w:pStyle w:val="ListNumber"/>
      </w:pPr>
      <w:r/>
      <w:r>
        <w:rPr>
          <w:b/>
        </w:rPr>
        <w:t>Toujours vérifier l'absence d'automédication</w:t>
      </w:r>
      <w:r>
        <w:t xml:space="preserve"> par des compléments alimentaires contenant de la D-carnitine ou de la DL-carnitine (formes inactives ou compétitives négatives).</w:t>
      </w:r>
    </w:p>
    <w:p>
      <w:pPr>
        <w:pStyle w:val="ListNumber"/>
      </w:pPr>
      <w:r/>
      <w:r>
        <w:rPr>
          <w:b/>
        </w:rPr>
        <w:t>Toujours informer la patiente enceinte ou allaitante</w:t>
      </w:r>
      <w:r>
        <w:t xml:space="preserve"> de la compatibilité de la lévocarnitine avec la grossesse et l'allaitement.</w:t>
      </w:r>
    </w:p>
    <w:p>
      <w:pPr>
        <w:pStyle w:val="ListNumber"/>
      </w:pPr>
      <w:r/>
      <w:r>
        <w:rPr>
          <w:b/>
        </w:rPr>
        <w:t>Toujours tracer la dispensation</w:t>
      </w:r>
      <w:r>
        <w:t xml:space="preserve"> (ordonnance scannée et archivée, registre des médicaments Liste I à jour).</w:t>
      </w:r>
    </w:p>
    <w:p>
      <w:r/>
      <w:r>
        <w:rPr>
          <w:b/>
        </w:rPr>
        <w:t>Pièges au comptoir</w:t>
      </w:r>
      <w:r/>
    </w:p>
    <w:p>
      <w:pPr>
        <w:pStyle w:val="ListNumber"/>
      </w:pPr>
      <w:r/>
      <w:r>
        <w:rPr>
          <w:b/>
        </w:rPr>
        <w:t>Patient demandant de la lévocarnitine « pour la performance sportive » ou « pour maigrir »</w:t>
      </w:r>
      <w:r>
        <w:t xml:space="preserve"> : refus de dispensation sans prescription médicale. La lévocarnitine n'a pas d'effet démontré sur la performance sportive chez le sujet sain non carencé, ni sur l'amaigrissement.</w:t>
      </w:r>
    </w:p>
    <w:p>
      <w:pPr>
        <w:pStyle w:val="ListNumber"/>
      </w:pPr>
      <w:r/>
      <w:r>
        <w:rPr>
          <w:b/>
        </w:rPr>
        <w:t>Patient épileptique sous valproate avec lévocarnitine associée</w:t>
      </w:r>
      <w:r>
        <w:t xml:space="preserve"> : vérifier la cohérence de la prescription (dose, durée). Surveillance clinique de la fréquence des crises.</w:t>
      </w:r>
    </w:p>
    <w:p>
      <w:pPr>
        <w:pStyle w:val="ListNumber"/>
      </w:pPr>
      <w:r/>
      <w:r>
        <w:rPr>
          <w:b/>
        </w:rPr>
        <w:t>Patient dialysé chronique</w:t>
      </w:r>
      <w:r>
        <w:t xml:space="preserve"> : vérifier la dose prescrite (typiquement 1 g/jour per os ou 1 g à la fin de chaque séance d'hémodialyse). Adapter en cas d'insuffisance rénale résiduelle.</w:t>
      </w:r>
    </w:p>
    <w:p>
      <w:pPr>
        <w:pStyle w:val="ListNumber"/>
      </w:pPr>
      <w:r/>
      <w:r>
        <w:rPr>
          <w:b/>
        </w:rPr>
        <w:t>Patient sous anticoagulant oral</w:t>
      </w:r>
      <w:r>
        <w:t xml:space="preserve"> : surveillance accrue de l'INR. Contacter le médecin en cas de déséquilibre de l'INR.</w:t>
      </w:r>
    </w:p>
    <w:p>
      <w:pPr>
        <w:pStyle w:val="ListNumber"/>
      </w:pPr>
      <w:r/>
      <w:r>
        <w:rPr>
          <w:b/>
        </w:rPr>
        <w:t>Patiente enceinte</w:t>
      </w:r>
      <w:r>
        <w:t xml:space="preserve"> : ne pas arrêter la lévocarnitine sans avis médical. Compatible avec la grossesse.</w:t>
      </w:r>
    </w:p>
    <w:p>
      <w:pPr>
        <w:pStyle w:val="ListNumber"/>
      </w:pPr>
      <w:r/>
      <w:r>
        <w:rPr>
          <w:b/>
        </w:rPr>
        <w:t>Enfant avec carence primaire en carnitine (génétique)</w:t>
      </w:r>
      <w:r>
        <w:t xml:space="preserve"> : suivi en milieu spécialisé (neuropédiatrie, maladies métaboliques héréditaires). Fortes doses requises (100 à 400 mg/kg/jour).</w:t>
      </w:r>
    </w:p>
    <w:p>
      <w:pPr>
        <w:pStyle w:val="ListNumber"/>
      </w:pPr>
      <w:r/>
      <w:r>
        <w:rPr>
          <w:b/>
        </w:rPr>
        <w:t>Patient sous antibiotique pivoxil</w:t>
      </w:r>
      <w:r>
        <w:t xml:space="preserve"> : supplémentation recommandée pendant la durée du traitement. Vérifier la prescription associée.</w:t>
      </w:r>
    </w:p>
    <w:p>
      <w:pPr>
        <w:pStyle w:val="ListNumber"/>
      </w:pPr>
      <w:r/>
      <w:r>
        <w:rPr>
          <w:b/>
        </w:rPr>
        <w:t>Patient diabétique sous insuline ou antidiabétiques oraux</w:t>
      </w:r>
      <w:r>
        <w:t xml:space="preserve"> : la lévocarnitine peut potentialiser l'effet hypoglycémiant. Surveillance glycémique.</w:t>
      </w:r>
    </w:p>
    <w:p>
      <w:pPr>
        <w:pStyle w:val="ListNumber"/>
      </w:pPr>
      <w:r/>
      <w:r>
        <w:rPr>
          <w:b/>
        </w:rPr>
        <w:t>Patient demandant une forme injectable</w:t>
      </w:r>
      <w:r>
        <w:t xml:space="preserve"> : indisponible en routine en Algérie. Orientation vers le médecin spécialiste (néphrologue, neuropédiatre, métabolicien) pour importation éventuelle.</w:t>
      </w:r>
    </w:p>
    <w:p>
      <w:pPr>
        <w:pStyle w:val="ListNumber"/>
      </w:pPr>
      <w:r/>
      <w:r>
        <w:rPr>
          <w:b/>
        </w:rPr>
        <w:t>Confusion entre lévocarnitine et D-carnitine ou DL-carnitine</w:t>
      </w:r>
      <w:r>
        <w:t xml:space="preserve"> : seul le principe actif L-carnitine (lévocarnitine) est autorisé. Les formes D ou DL ne doivent pas être délivrées (formes inactives ou compétitives négatives).</w:t>
      </w:r>
    </w:p>
    <w:p>
      <w:pPr>
        <w:pStyle w:val="Heading2"/>
      </w:pPr>
      <w:r>
        <w:t>164.6. Tableau comparatif des oligoéléments et de la lévocarnitine disponibles en Algérie</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Caractéristique</w:t>
            </w:r>
          </w:p>
        </w:tc>
        <w:tc>
          <w:tcPr>
            <w:tcW w:type="dxa" w:w="3118"/>
          </w:tcPr>
          <w:p>
            <w:r>
              <w:rPr>
                <w:b/>
                <w:sz w:val="20"/>
              </w:rPr>
              <w:t>Oligoéléments (groupe)</w:t>
            </w:r>
          </w:p>
        </w:tc>
        <w:tc>
          <w:tcPr>
            <w:tcW w:type="dxa" w:w="3118"/>
          </w:tcPr>
          <w:p>
            <w:r>
              <w:rPr>
                <w:b/>
                <w:sz w:val="20"/>
              </w:rPr>
              <w:t>Lévocarnitine</w:t>
            </w:r>
          </w:p>
        </w:tc>
      </w:tr>
      <w:tr>
        <w:tc>
          <w:tcPr>
            <w:tcW w:type="dxa" w:w="3118"/>
          </w:tcPr>
          <w:p>
            <w:r>
              <w:rPr>
                <w:sz w:val="20"/>
              </w:rPr>
              <w:t>Classe pharmacologique</w:t>
            </w:r>
          </w:p>
        </w:tc>
        <w:tc>
          <w:tcPr>
            <w:tcW w:type="dxa" w:w="3118"/>
          </w:tcPr>
          <w:p>
            <w:r>
              <w:rPr>
                <w:sz w:val="20"/>
              </w:rPr>
              <w:t>Cofacteurs enzymatiques essentiels</w:t>
            </w:r>
          </w:p>
        </w:tc>
        <w:tc>
          <w:tcPr>
            <w:tcW w:type="dxa" w:w="3118"/>
          </w:tcPr>
          <w:p>
            <w:r>
              <w:rPr>
                <w:sz w:val="20"/>
              </w:rPr>
              <w:t>Transporteur mitochondrial des acides gras</w:t>
            </w:r>
          </w:p>
        </w:tc>
      </w:tr>
      <w:tr>
        <w:tc>
          <w:tcPr>
            <w:tcW w:type="dxa" w:w="3118"/>
          </w:tcPr>
          <w:p>
            <w:r>
              <w:rPr>
                <w:sz w:val="20"/>
              </w:rPr>
              <w:t>Mécanisme d'action principal</w:t>
            </w:r>
          </w:p>
        </w:tc>
        <w:tc>
          <w:tcPr>
            <w:tcW w:type="dxa" w:w="3118"/>
          </w:tcPr>
          <w:p>
            <w:r>
              <w:rPr>
                <w:sz w:val="20"/>
              </w:rPr>
              <w:t>Restauration du pool enzymatique (zinc : 300+ métalloenzymes ; sélénium : GPx, déiodinases ; cuivre : cytochrome C oxydase, céruloplasmine, lysyl oxydase ; manganèse : MnSOD, glycosyltransférases ; chrome : GTF)</w:t>
            </w:r>
          </w:p>
        </w:tc>
        <w:tc>
          <w:tcPr>
            <w:tcW w:type="dxa" w:w="3118"/>
          </w:tcPr>
          <w:p>
            <w:r>
              <w:rPr>
                <w:sz w:val="20"/>
              </w:rPr>
              <w:t>Transport des AGLC vers la matrice mitochondriale via CPT-I/CACT/CPT-II, β-oxydation, production d'ATP</w:t>
            </w:r>
          </w:p>
        </w:tc>
      </w:tr>
      <w:tr>
        <w:tc>
          <w:tcPr>
            <w:tcW w:type="dxa" w:w="3118"/>
          </w:tcPr>
          <w:p>
            <w:r>
              <w:rPr>
                <w:sz w:val="20"/>
              </w:rPr>
              <w:t>Spécialités actives algériennes</w:t>
            </w:r>
          </w:p>
        </w:tc>
        <w:tc>
          <w:tcPr>
            <w:tcW w:type="dxa" w:w="3118"/>
          </w:tcPr>
          <w:p>
            <w:r>
              <w:rPr>
                <w:sz w:val="20"/>
              </w:rPr>
              <w:t>TOT'HEMA (INNOTECH), NONAN (AGUETTANT), MEGADYN (ABDI IBRAHIM)</w:t>
            </w:r>
          </w:p>
        </w:tc>
        <w:tc>
          <w:tcPr>
            <w:tcW w:type="dxa" w:w="3118"/>
          </w:tcPr>
          <w:p>
            <w:r>
              <w:rPr>
                <w:sz w:val="20"/>
              </w:rPr>
              <w:t>METACARTIN (WORLD MEDECINE)</w:t>
            </w:r>
          </w:p>
        </w:tc>
      </w:tr>
      <w:tr>
        <w:tc>
          <w:tcPr>
            <w:tcW w:type="dxa" w:w="3118"/>
          </w:tcPr>
          <w:p>
            <w:r>
              <w:rPr>
                <w:sz w:val="20"/>
              </w:rPr>
              <w:t>Spécialités non renouvelables</w:t>
            </w:r>
          </w:p>
        </w:tc>
        <w:tc>
          <w:tcPr>
            <w:tcW w:type="dxa" w:w="3118"/>
          </w:tcPr>
          <w:p>
            <w:r>
              <w:rPr>
                <w:sz w:val="20"/>
              </w:rPr>
              <w:t>DERMOCUIVRE (CHAUVIN)</w:t>
            </w:r>
          </w:p>
        </w:tc>
        <w:tc>
          <w:tcPr>
            <w:tcW w:type="dxa" w:w="3118"/>
          </w:tcPr>
          <w:p>
            <w:r>
              <w:rPr>
                <w:sz w:val="20"/>
              </w:rPr>
              <w:t>LEVOTYNE (PHARMALLIANCE)</w:t>
            </w:r>
          </w:p>
        </w:tc>
      </w:tr>
      <w:tr>
        <w:tc>
          <w:tcPr>
            <w:tcW w:type="dxa" w:w="3118"/>
          </w:tcPr>
          <w:p>
            <w:r>
              <w:rPr>
                <w:sz w:val="20"/>
              </w:rPr>
              <w:t>Spécialités retirées</w:t>
            </w:r>
          </w:p>
        </w:tc>
        <w:tc>
          <w:tcPr>
            <w:tcW w:type="dxa" w:w="3118"/>
          </w:tcPr>
          <w:p>
            <w:r>
              <w:rPr>
                <w:sz w:val="20"/>
              </w:rPr>
              <w:t>SURVITINE, PLENYL (2 formes), ABECEDIN</w:t>
            </w:r>
          </w:p>
        </w:tc>
        <w:tc>
          <w:tcPr>
            <w:tcW w:type="dxa" w:w="3118"/>
          </w:tcPr>
          <w:p>
            <w:r>
              <w:rPr>
                <w:sz w:val="20"/>
              </w:rPr>
              <w:t>CARNITINE (BK LAB), CARDIOBIL (BIOLOGICI ITALIA)</w:t>
            </w:r>
          </w:p>
        </w:tc>
      </w:tr>
      <w:tr>
        <w:tc>
          <w:tcPr>
            <w:tcW w:type="dxa" w:w="3118"/>
          </w:tcPr>
          <w:p>
            <w:r>
              <w:rPr>
                <w:sz w:val="20"/>
              </w:rPr>
              <w:t>Formes galéniques disponibles</w:t>
            </w:r>
          </w:p>
        </w:tc>
        <w:tc>
          <w:tcPr>
            <w:tcW w:type="dxa" w:w="3118"/>
          </w:tcPr>
          <w:p>
            <w:r>
              <w:rPr>
                <w:sz w:val="20"/>
              </w:rPr>
              <w:t>Solution buvable en ampoule (TOT'HEMA), solution injectable (NONAN), comprimé pelliculé (MEGADYN), pommade dermique (DERMOCUIVRE)</w:t>
            </w:r>
          </w:p>
        </w:tc>
        <w:tc>
          <w:tcPr>
            <w:tcW w:type="dxa" w:w="3118"/>
          </w:tcPr>
          <w:p>
            <w:r>
              <w:rPr>
                <w:sz w:val="20"/>
              </w:rPr>
              <w:t>Solution buvable 100 mg/mL (METACARTIN)</w:t>
            </w:r>
          </w:p>
        </w:tc>
      </w:tr>
      <w:tr>
        <w:tc>
          <w:tcPr>
            <w:tcW w:type="dxa" w:w="3118"/>
          </w:tcPr>
          <w:p>
            <w:r>
              <w:rPr>
                <w:sz w:val="20"/>
              </w:rPr>
              <w:t>Liste algérienne</w:t>
            </w:r>
          </w:p>
        </w:tc>
        <w:tc>
          <w:tcPr>
            <w:tcW w:type="dxa" w:w="3118"/>
          </w:tcPr>
          <w:p>
            <w:r>
              <w:rPr>
                <w:sz w:val="20"/>
              </w:rPr>
              <w:t>Liste I (TOT'HEMA) ; non spécifié (NONAN, MEGADYN, DERMOCUIVRE)</w:t>
            </w:r>
          </w:p>
        </w:tc>
        <w:tc>
          <w:tcPr>
            <w:tcW w:type="dxa" w:w="3118"/>
          </w:tcPr>
          <w:p>
            <w:r>
              <w:rPr>
                <w:sz w:val="20"/>
              </w:rPr>
              <w:t>Liste I (METACARTIN)</w:t>
            </w:r>
          </w:p>
        </w:tc>
      </w:tr>
      <w:tr>
        <w:tc>
          <w:tcPr>
            <w:tcW w:type="dxa" w:w="3118"/>
          </w:tcPr>
          <w:p>
            <w:r>
              <w:rPr>
                <w:sz w:val="20"/>
              </w:rPr>
              <w:t>Posologie adulte usuelle</w:t>
            </w:r>
          </w:p>
        </w:tc>
        <w:tc>
          <w:tcPr>
            <w:tcW w:type="dxa" w:w="3118"/>
          </w:tcPr>
          <w:p>
            <w:r>
              <w:rPr>
                <w:sz w:val="20"/>
              </w:rPr>
              <w:t>Variable selon oligoélément : zinc 15-30 mg/j, sélénium 60-200 µg/j, cuivre 1-3 mg/j, manganèse 1-2 mg/j, chrome 50-200 µg/j</w:t>
            </w:r>
          </w:p>
        </w:tc>
        <w:tc>
          <w:tcPr>
            <w:tcW w:type="dxa" w:w="3118"/>
          </w:tcPr>
          <w:p>
            <w:r>
              <w:rPr>
                <w:sz w:val="20"/>
              </w:rPr>
              <w:t>1 à 3 g/jour per os (10 à 30 mL de METACARTIN) ; jusqu'à 100-400 mg/kg/j pour carence primaire</w:t>
            </w:r>
          </w:p>
        </w:tc>
      </w:tr>
      <w:tr>
        <w:tc>
          <w:tcPr>
            <w:tcW w:type="dxa" w:w="3118"/>
          </w:tcPr>
          <w:p>
            <w:r>
              <w:rPr>
                <w:sz w:val="20"/>
              </w:rPr>
              <w:t>Demi-vie d'élimination</w:t>
            </w:r>
          </w:p>
        </w:tc>
        <w:tc>
          <w:tcPr>
            <w:tcW w:type="dxa" w:w="3118"/>
          </w:tcPr>
          <w:p>
            <w:r>
              <w:rPr>
                <w:sz w:val="20"/>
              </w:rPr>
              <w:t>10 à 30 jours (zinc) ; 1 à 3 jours (sélénium) ; 10 à 30 jours (cuivre) ; 30 à 60 jours (manganèse) ; quelques heures (chrome)</w:t>
            </w:r>
          </w:p>
        </w:tc>
        <w:tc>
          <w:tcPr>
            <w:tcW w:type="dxa" w:w="3118"/>
          </w:tcPr>
          <w:p>
            <w:r>
              <w:rPr>
                <w:sz w:val="20"/>
              </w:rPr>
              <w:t>17 heures (sujet sain) ; 30 heures (insuffisant rénal)</w:t>
            </w:r>
          </w:p>
        </w:tc>
      </w:tr>
      <w:tr>
        <w:tc>
          <w:tcPr>
            <w:tcW w:type="dxa" w:w="3118"/>
          </w:tcPr>
          <w:p>
            <w:r>
              <w:rPr>
                <w:sz w:val="20"/>
              </w:rPr>
              <w:t>Voie d'élimination</w:t>
            </w:r>
          </w:p>
        </w:tc>
        <w:tc>
          <w:tcPr>
            <w:tcW w:type="dxa" w:w="3118"/>
          </w:tcPr>
          <w:p>
            <w:r>
              <w:rPr>
                <w:sz w:val="20"/>
              </w:rPr>
              <w:t>Fécale (zinc, cuivre, manganèse) ; urinaire (sélénium, chrome)</w:t>
            </w:r>
          </w:p>
        </w:tc>
        <w:tc>
          <w:tcPr>
            <w:tcW w:type="dxa" w:w="3118"/>
          </w:tcPr>
          <w:p>
            <w:r>
              <w:rPr>
                <w:sz w:val="20"/>
              </w:rPr>
              <w:t>Rénale (filtration glomérulaire de la carnitine libre)</w:t>
            </w:r>
          </w:p>
        </w:tc>
      </w:tr>
      <w:tr>
        <w:tc>
          <w:tcPr>
            <w:tcW w:type="dxa" w:w="3118"/>
          </w:tcPr>
          <w:p>
            <w:r>
              <w:rPr>
                <w:sz w:val="20"/>
              </w:rPr>
              <w:t>Contre-indications majeures</w:t>
            </w:r>
          </w:p>
        </w:tc>
        <w:tc>
          <w:tcPr>
            <w:tcW w:type="dxa" w:w="3118"/>
          </w:tcPr>
          <w:p>
            <w:r>
              <w:rPr>
                <w:sz w:val="20"/>
              </w:rPr>
              <w:t>Hypersensibilité, hémochromatose (TOT'HEMA), maladie de Wilson (cuivre), insuffisance hépatique sévère (manganèse, cuivre), cholestase (manganèse), maladie de Parkinson (manganèse)</w:t>
            </w:r>
          </w:p>
        </w:tc>
        <w:tc>
          <w:tcPr>
            <w:tcW w:type="dxa" w:w="3118"/>
          </w:tcPr>
          <w:p>
            <w:r>
              <w:rPr>
                <w:sz w:val="20"/>
              </w:rPr>
              <w:t>Hypersensibilité, épilepsie non contrôlée (relative), insuffisance rénale sévère (relative), anticoagulants oraux (relative)</w:t>
            </w:r>
          </w:p>
        </w:tc>
      </w:tr>
      <w:tr>
        <w:tc>
          <w:tcPr>
            <w:tcW w:type="dxa" w:w="3118"/>
          </w:tcPr>
          <w:p>
            <w:r>
              <w:rPr>
                <w:sz w:val="20"/>
              </w:rPr>
              <w:t>Effets indésirables majeurs</w:t>
            </w:r>
          </w:p>
        </w:tc>
        <w:tc>
          <w:tcPr>
            <w:tcW w:type="dxa" w:w="3118"/>
          </w:tcPr>
          <w:p>
            <w:r>
              <w:rPr>
                <w:sz w:val="20"/>
              </w:rPr>
              <w:t>Digestifs (zinc, cuivre), sélénose (sélénium), manganisme (manganèse), ulcères gastriques (chrome)</w:t>
            </w:r>
          </w:p>
        </w:tc>
        <w:tc>
          <w:tcPr>
            <w:tcW w:type="dxa" w:w="3118"/>
          </w:tcPr>
          <w:p>
            <w:r>
              <w:rPr>
                <w:sz w:val="20"/>
              </w:rPr>
              <w:t>Odeur corporelle de poisson (TMA), convulsions, troubles digestifs</w:t>
            </w:r>
          </w:p>
        </w:tc>
      </w:tr>
      <w:tr>
        <w:tc>
          <w:tcPr>
            <w:tcW w:type="dxa" w:w="3118"/>
          </w:tcPr>
          <w:p>
            <w:r>
              <w:rPr>
                <w:sz w:val="20"/>
              </w:rPr>
              <w:t>Interactions majeures</w:t>
            </w:r>
          </w:p>
        </w:tc>
        <w:tc>
          <w:tcPr>
            <w:tcW w:type="dxa" w:w="3118"/>
          </w:tcPr>
          <w:p>
            <w:r>
              <w:rPr>
                <w:sz w:val="20"/>
              </w:rPr>
              <w:t>Sels de fer, calcium, antiacides, quinolones, tétracyclines, pénicillamine, levothyrox</w:t>
            </w:r>
          </w:p>
        </w:tc>
        <w:tc>
          <w:tcPr>
            <w:tcW w:type="dxa" w:w="3118"/>
          </w:tcPr>
          <w:p>
            <w:r>
              <w:rPr>
                <w:sz w:val="20"/>
              </w:rPr>
              <w:t>Anticoagulants oraux (INR), valproate (positif), pivoxil (positif), aspirine (haute dose)</w:t>
            </w:r>
          </w:p>
        </w:tc>
      </w:tr>
      <w:tr>
        <w:tc>
          <w:tcPr>
            <w:tcW w:type="dxa" w:w="3118"/>
          </w:tcPr>
          <w:p>
            <w:r>
              <w:rPr>
                <w:sz w:val="20"/>
              </w:rPr>
              <w:t>Carence : manifestations cliniques</w:t>
            </w:r>
          </w:p>
        </w:tc>
        <w:tc>
          <w:tcPr>
            <w:tcW w:type="dxa" w:w="3118"/>
          </w:tcPr>
          <w:p>
            <w:r>
              <w:rPr>
                <w:sz w:val="20"/>
              </w:rPr>
              <w:t>Zinc : retard croissance, diarrhée, immunodépression, hypogueusie. Sélénium : cardiomyopathie de Keshan, chondrodystrophie de Kashin-Beck, hypothyroïdie. Cuivre : anémie microcytaire, neutropénie, ostéoporose. Manganèse : ostéochondrose. Chrome : intolérance glucidique</w:t>
            </w:r>
          </w:p>
        </w:tc>
        <w:tc>
          <w:tcPr>
            <w:tcW w:type="dxa" w:w="3118"/>
          </w:tcPr>
          <w:p>
            <w:r>
              <w:rPr>
                <w:sz w:val="20"/>
              </w:rPr>
              <w:t>Carence primaire : cardiomyopathie dilatée, myopathie, hypokétose hypoglycémique. Carence secondaire : myopathie, crampes, anémie résistante à l'EPO (dialyse), encéphalopathie hyperammoniémique (valproate)</w:t>
            </w:r>
          </w:p>
        </w:tc>
      </w:tr>
      <w:tr>
        <w:tc>
          <w:tcPr>
            <w:tcW w:type="dxa" w:w="3118"/>
          </w:tcPr>
          <w:p>
            <w:r>
              <w:rPr>
                <w:sz w:val="20"/>
              </w:rPr>
              <w:t>Surveillance biologique</w:t>
            </w:r>
          </w:p>
        </w:tc>
        <w:tc>
          <w:tcPr>
            <w:tcW w:type="dxa" w:w="3118"/>
          </w:tcPr>
          <w:p>
            <w:r>
              <w:rPr>
                <w:sz w:val="20"/>
              </w:rPr>
              <w:t>Dosage spécifique de l'oligoélément ; bilan martial, hépatique, rénal, NFS</w:t>
            </w:r>
          </w:p>
        </w:tc>
        <w:tc>
          <w:tcPr>
            <w:tcW w:type="dxa" w:w="3118"/>
          </w:tcPr>
          <w:p>
            <w:r>
              <w:rPr>
                <w:sz w:val="20"/>
              </w:rPr>
              <w:t>Carnitine plasmatique totale et libre, rapport AC/FC ; INR si anticoagulant</w:t>
            </w:r>
          </w:p>
        </w:tc>
      </w:tr>
      <w:tr>
        <w:tc>
          <w:tcPr>
            <w:tcW w:type="dxa" w:w="3118"/>
          </w:tcPr>
          <w:p>
            <w:r>
              <w:rPr>
                <w:sz w:val="20"/>
              </w:rPr>
              <w:t>Grossesse</w:t>
            </w:r>
          </w:p>
        </w:tc>
        <w:tc>
          <w:tcPr>
            <w:tcW w:type="dxa" w:w="3118"/>
          </w:tcPr>
          <w:p>
            <w:r>
              <w:rPr>
                <w:sz w:val="20"/>
              </w:rPr>
              <w:t>Compatible (apports recommandés augmentés)</w:t>
            </w:r>
          </w:p>
        </w:tc>
        <w:tc>
          <w:tcPr>
            <w:tcW w:type="dxa" w:w="3118"/>
          </w:tcPr>
          <w:p>
            <w:r>
              <w:rPr>
                <w:sz w:val="20"/>
              </w:rPr>
              <w:t>Compatible selon le CRAT</w:t>
            </w:r>
          </w:p>
        </w:tc>
      </w:tr>
      <w:tr>
        <w:tc>
          <w:tcPr>
            <w:tcW w:type="dxa" w:w="3118"/>
          </w:tcPr>
          <w:p>
            <w:r>
              <w:rPr>
                <w:sz w:val="20"/>
              </w:rPr>
              <w:t>Allaitement</w:t>
            </w:r>
          </w:p>
        </w:tc>
        <w:tc>
          <w:tcPr>
            <w:tcW w:type="dxa" w:w="3118"/>
          </w:tcPr>
          <w:p>
            <w:r>
              <w:rPr>
                <w:sz w:val="20"/>
              </w:rPr>
              <w:t>Compatible</w:t>
            </w:r>
          </w:p>
        </w:tc>
        <w:tc>
          <w:tcPr>
            <w:tcW w:type="dxa" w:w="3118"/>
          </w:tcPr>
          <w:p>
            <w:r>
              <w:rPr>
                <w:sz w:val="20"/>
              </w:rPr>
              <w:t>Compatible</w:t>
            </w:r>
          </w:p>
        </w:tc>
      </w:tr>
      <w:tr>
        <w:tc>
          <w:tcPr>
            <w:tcW w:type="dxa" w:w="3118"/>
          </w:tcPr>
          <w:p>
            <w:r>
              <w:rPr>
                <w:sz w:val="20"/>
              </w:rPr>
              <w:t>Statut réglementaire international</w:t>
            </w:r>
          </w:p>
        </w:tc>
        <w:tc>
          <w:tcPr>
            <w:tcW w:type="dxa" w:w="3118"/>
          </w:tcPr>
          <w:p>
            <w:r>
              <w:rPr>
                <w:sz w:val="20"/>
              </w:rPr>
              <w:t>Inscrit sur la Liste OMS des médicaments essentiels</w:t>
            </w:r>
          </w:p>
        </w:tc>
        <w:tc>
          <w:tcPr>
            <w:tcW w:type="dxa" w:w="3118"/>
          </w:tcPr>
          <w:p>
            <w:r>
              <w:rPr>
                <w:sz w:val="20"/>
              </w:rPr>
              <w:t>Inscrit sur la Liste OMS des médicaments essentiels</w:t>
            </w:r>
          </w:p>
        </w:tc>
      </w:tr>
      <w:tr>
        <w:tc>
          <w:tcPr>
            <w:tcW w:type="dxa" w:w="3118"/>
          </w:tcPr>
          <w:p>
            <w:r>
              <w:rPr>
                <w:sz w:val="20"/>
              </w:rPr>
              <w:t>Spécificité algérienne</w:t>
            </w:r>
          </w:p>
        </w:tc>
        <w:tc>
          <w:tcPr>
            <w:tcW w:type="dxa" w:w="3118"/>
          </w:tcPr>
          <w:p>
            <w:r>
              <w:rPr>
                <w:sz w:val="20"/>
              </w:rPr>
              <w:t>Marché fragmenté, spécialités retirées (PLENYL, SURVITINE, ABECEDIN), pas de spécialité isolée par élément</w:t>
            </w:r>
          </w:p>
        </w:tc>
        <w:tc>
          <w:tcPr>
            <w:tcW w:type="dxa" w:w="3118"/>
          </w:tcPr>
          <w:p>
            <w:r>
              <w:rPr>
                <w:sz w:val="20"/>
              </w:rPr>
              <w:t>Concentration sur une seule spécialité active (METACARTIN) ; pas de forme IV enregistrée</w:t>
            </w:r>
          </w:p>
        </w:tc>
      </w:tr>
    </w:tbl>
    <w:p/>
    <w:p>
      <w:pPr>
        <w:pStyle w:val="Heading2"/>
      </w:pPr>
      <w:r>
        <w:t>164.7. Synthèse pédagogique pour la pratique officinale et clinique algérienne</w:t>
      </w:r>
    </w:p>
    <w:p>
      <w:pPr>
        <w:pStyle w:val="Heading3"/>
      </w:pPr>
      <w:r>
        <w:t>Récapitulatif des notions essentielles</w:t>
      </w:r>
    </w:p>
    <w:p>
      <w:r>
        <w:t xml:space="preserve">Le chapitre 164 a présenté un ensemble hétérogène de substances nutritionnelles et métaboliques : cinq oligoéléments essentiels (zinc, sélénium, cuivre, manganèse, chrome) et un composé métabolique (lévocarnitine), auxquels s'ajoutent les multivitamines (absence de DCI unique en Algérie). Ces substances partagent une logique pharmacologique commune : ce sont des </w:t>
      </w:r>
      <w:r>
        <w:rPr>
          <w:b/>
        </w:rPr>
        <w:t>substituts</w:t>
      </w:r>
      <w:r>
        <w:t xml:space="preserve"> d'éléments endogènes carentiels, et non des médicaments actifs sur une pathologie aiguë. Leur prescription se justifie uniquement en cas de carence objectivée (biologiquement ou par contexte clinique évocateur), et la posologie doit être adaptée à la profondeur du déficit.</w:t>
      </w:r>
    </w:p>
    <w:p>
      <w:pPr>
        <w:pStyle w:val="Heading3"/>
      </w:pPr>
      <w:r>
        <w:t>Règles de prescription et de dispensation</w:t>
      </w:r>
    </w:p>
    <w:p>
      <w:pPr>
        <w:pStyle w:val="ListNumber"/>
      </w:pPr>
      <w:r/>
      <w:r>
        <w:rPr>
          <w:b/>
        </w:rPr>
        <w:t>Toujours documenter la carence</w:t>
      </w:r>
      <w:r>
        <w:t xml:space="preserve"> avant d'initier une supplémentation au long cours : dosage spécifique de l'oligoélément ou de la carnitine plasmatique, bilan martial, hépatique, rénal, NFS.</w:t>
      </w:r>
    </w:p>
    <w:p>
      <w:pPr>
        <w:pStyle w:val="ListNumber"/>
      </w:pPr>
      <w:r/>
      <w:r>
        <w:rPr>
          <w:b/>
        </w:rPr>
        <w:t>Toujours adapter la posologie</w:t>
      </w:r>
      <w:r>
        <w:t xml:space="preserve"> au poids (enfant), à la fonction rénale, à la fonction hépatique, et à la profondeur du déficit.</w:t>
      </w:r>
    </w:p>
    <w:p>
      <w:pPr>
        <w:pStyle w:val="ListNumber"/>
      </w:pPr>
      <w:r/>
      <w:r>
        <w:rPr>
          <w:b/>
        </w:rPr>
        <w:t>Toujours vérifier les interactions médicamenteuses</w:t>
      </w:r>
      <w:r>
        <w:t xml:space="preserve"> : sels de fer, calcium, antiacides, quinolones, tétracyclines, pénicillamine, levothyrox (oligoéléments) ; anticoagulants oraux, valproate, pivoxil (lévocarnitine).</w:t>
      </w:r>
    </w:p>
    <w:p>
      <w:pPr>
        <w:pStyle w:val="ListNumber"/>
      </w:pPr>
      <w:r/>
      <w:r>
        <w:rPr>
          <w:b/>
        </w:rPr>
        <w:t>Toujours informer le patient</w:t>
      </w:r>
      <w:r>
        <w:t xml:space="preserve"> des effets indésirables attendus (sélénose, manganisme, odeur de poisson pourri pour la lévocarnitine) et des signes d'alerte nécessitant une consultation en urgence.</w:t>
      </w:r>
    </w:p>
    <w:p>
      <w:pPr>
        <w:pStyle w:val="ListNumber"/>
      </w:pPr>
      <w:r/>
      <w:r>
        <w:rPr>
          <w:b/>
        </w:rPr>
        <w:t>Toujours surveiller l'efficacité</w:t>
      </w:r>
      <w:r>
        <w:t xml:space="preserve"> (normalisation des marqueurs biologiques, disparition des signes cliniques de carence) et la tolérance (digestive, neurologique, hématologique).</w:t>
      </w:r>
    </w:p>
    <w:p>
      <w:pPr>
        <w:pStyle w:val="ListNumber"/>
      </w:pPr>
      <w:r/>
      <w:r>
        <w:rPr>
          <w:b/>
        </w:rPr>
        <w:t>Toujours tracer la dispensation</w:t>
      </w:r>
      <w:r>
        <w:t xml:space="preserve"> (ordonnance scannée, registre Liste I à jour).</w:t>
      </w:r>
    </w:p>
    <w:p>
      <w:pPr>
        <w:pStyle w:val="Heading3"/>
      </w:pPr>
      <w:r>
        <w:t>Spécificités du marché algérien</w:t>
      </w:r>
    </w:p>
    <w:p>
      <w:r>
        <w:t>Le marché algérien se caractérise par :</w:t>
      </w:r>
    </w:p>
    <w:p>
      <w:pPr>
        <w:pStyle w:val="ListBullet"/>
      </w:pPr>
      <w:r>
        <w:t>Une diversité de présentations pour les oligoéléments (solution buvable en ampoule, solution injectable, comprimé pelliculé multivitaminique, pommade dermique).</w:t>
      </w:r>
    </w:p>
    <w:p>
      <w:pPr>
        <w:pStyle w:val="ListBullet"/>
      </w:pPr>
      <w:r>
        <w:t>Une concentration du marché de la lévocarnitine sur une seule spécialité active (METACARTIN), en solution buvable.</w:t>
      </w:r>
    </w:p>
    <w:p>
      <w:pPr>
        <w:pStyle w:val="ListBullet"/>
      </w:pPr>
      <w:r>
        <w:t>L'absence de spécialités isolées par oligoélément (pas de spécialité de zinc seul, de sélénium seul, de cuivre seul, de manganèse seul, de chrome seul), ce qui complique la supplémentation ciblée.</w:t>
      </w:r>
    </w:p>
    <w:p>
      <w:pPr>
        <w:pStyle w:val="ListBullet"/>
      </w:pPr>
      <w:r>
        <w:t>L'absence de forme injectable de lévocarnitine enregistrée en routine en Algérie, ce qui pose problème pour la prise en charge des carences aiguës (carence primaire néonatale, encéphalopathie hyperammoniémique au valproate).</w:t>
      </w:r>
    </w:p>
    <w:p>
      <w:pPr>
        <w:pStyle w:val="ListBullet"/>
      </w:pPr>
      <w:r>
        <w:t>L'absence de DCI unique « multivitamines » : les complexes vitaminiques sont enregistrés comme associations de plusieurs DCI déjà individualisées, sous des dénominations de type « COMPLEXE VITAMINIQUE » ou « COMPLEXE VITAMINIQUE + OLIGOELEMENTS ».</w:t>
      </w:r>
    </w:p>
    <w:p>
      <w:pPr>
        <w:pStyle w:val="Heading3"/>
      </w:pPr>
      <w:r>
        <w:t>Conseils au pharmacien d'officine</w:t>
      </w:r>
    </w:p>
    <w:p>
      <w:r>
        <w:t>Le pharmacien d'officine joue un rôle essentiel dans la dispensation des oligoéléments et de la lévocarnitine, en particulier pour :</w:t>
      </w:r>
    </w:p>
    <w:p>
      <w:pPr>
        <w:pStyle w:val="ListNumber"/>
      </w:pPr>
      <w:r/>
      <w:r>
        <w:rPr>
          <w:b/>
        </w:rPr>
        <w:t>Vérifier la cohérence de la prescription</w:t>
      </w:r>
      <w:r>
        <w:t xml:space="preserve"> : dose, durée, indication, voies d'administration.</w:t>
      </w:r>
    </w:p>
    <w:p>
      <w:pPr>
        <w:pStyle w:val="ListNumber"/>
      </w:pPr>
      <w:r/>
      <w:r>
        <w:rPr>
          <w:b/>
        </w:rPr>
        <w:t>Vérifier l'absence d'interactions</w:t>
      </w:r>
      <w:r>
        <w:t xml:space="preserve"> avec les autres traitements du patient (sels de fer, calcium, antiacides, anticoagulants, valproate).</w:t>
      </w:r>
    </w:p>
    <w:p>
      <w:pPr>
        <w:pStyle w:val="ListNumber"/>
      </w:pPr>
      <w:r/>
      <w:r>
        <w:rPr>
          <w:b/>
        </w:rPr>
        <w:t>Informer le patient</w:t>
      </w:r>
      <w:r>
        <w:t xml:space="preserve"> sur le mode d'administration (dilution, espacement des prises, prise au cours des repas), les effets indésirables attendus (digestifs, odeur de poisson pour la lévocarnitine), et les signes d'alerte.</w:t>
      </w:r>
    </w:p>
    <w:p>
      <w:pPr>
        <w:pStyle w:val="ListNumber"/>
      </w:pPr>
      <w:r/>
      <w:r>
        <w:rPr>
          <w:b/>
        </w:rPr>
        <w:t>Refuser l'automédication</w:t>
      </w:r>
      <w:r>
        <w:t xml:space="preserve"> sans prescription médicale (médicaments Liste I).</w:t>
      </w:r>
    </w:p>
    <w:p>
      <w:pPr>
        <w:pStyle w:val="ListNumber"/>
      </w:pPr>
      <w:r/>
      <w:r>
        <w:rPr>
          <w:b/>
        </w:rPr>
        <w:t>Orienter vers le médecin</w:t>
      </w:r>
      <w:r>
        <w:t xml:space="preserve"> en cas de signe d'alerte, d'inefficacité, ou d'effet indésirable gênant.</w:t>
      </w:r>
    </w:p>
    <w:p>
      <w:pPr>
        <w:pStyle w:val="ListNumber"/>
      </w:pPr>
      <w:r/>
      <w:r>
        <w:rPr>
          <w:b/>
        </w:rPr>
        <w:t>Assurer le suivi</w:t>
      </w:r>
      <w:r>
        <w:t xml:space="preserve"> par des bilans biologiques réguliers (dosage de l'oligoélément ou de la carnitine plasmatique, NFS, bilan martial, hépatique, rénal).</w:t>
      </w:r>
    </w:p>
    <w:p>
      <w:pPr>
        <w:pStyle w:val="Heading3"/>
      </w:pPr>
      <w:r>
        <w:t>Cas cliniques pédagogiques</w:t>
      </w:r>
    </w:p>
    <w:p>
      <w:r/>
      <w:r>
        <w:rPr>
          <w:b/>
        </w:rPr>
        <w:t>Cas 1 : Patiente enceinte du 2e trimestre, anémie ferriprive modérée (ferritine 12 µg/L)</w:t>
      </w:r>
      <w:r/>
    </w:p>
    <w:p>
      <w:pPr>
        <w:pStyle w:val="ListBullet"/>
      </w:pPr>
      <w:r>
        <w:t>Prescription : TOT'HEMA 1 ampoule/jour, à jeun, pendant 3 mois.</w:t>
      </w:r>
    </w:p>
    <w:p>
      <w:pPr>
        <w:pStyle w:val="ListBullet"/>
      </w:pPr>
      <w:r>
        <w:t>Conseil pharmaceutique : diluer dans un verre d'eau avec une paille (coloration dentaire), espacer des produits laitiers et du thé de 2 heures, surveillance de la tolérance digestive, contrôle de la ferritine à 3 mois.</w:t>
      </w:r>
    </w:p>
    <w:p>
      <w:pPr>
        <w:pStyle w:val="ListBullet"/>
      </w:pPr>
      <w:r>
        <w:t>Objectif : reconstitution des réserves martiales (ferritine &gt; 30 µg/L en post-partum).</w:t>
      </w:r>
    </w:p>
    <w:p>
      <w:r/>
      <w:r>
        <w:rPr>
          <w:b/>
        </w:rPr>
        <w:t>Cas 2 : Patient de 65 ans, diabète de type 2 équilibré (HbA1c 7,2 %), sous metformine 1 g × 2/jour, demande de supplément de chrome « pour améliorer son diabète »</w:t>
      </w:r>
      <w:r/>
    </w:p>
    <w:p>
      <w:pPr>
        <w:pStyle w:val="ListBullet"/>
      </w:pPr>
      <w:r>
        <w:t>Refus de dispensation sans prescription médicale.</w:t>
      </w:r>
    </w:p>
    <w:p>
      <w:pPr>
        <w:pStyle w:val="ListBullet"/>
      </w:pPr>
      <w:r>
        <w:t>Conseil pharmaceutique : le chrome n'a pas d'effet démontré chez le diabétique non carencé (méta-analyses Cochrane 2019). Recommandation : équilibre alimentaire, activité physique, surveillance de la glycémie et de l'HbA1c.</w:t>
      </w:r>
    </w:p>
    <w:p>
      <w:pPr>
        <w:pStyle w:val="ListBullet"/>
      </w:pPr>
      <w:r>
        <w:t>Orientation vers le médecin si besoin.</w:t>
      </w:r>
    </w:p>
    <w:p>
      <w:r/>
      <w:r>
        <w:rPr>
          <w:b/>
        </w:rPr>
        <w:t>Cas 3 : Patiente dialysée chronique (3 séances/semaine depuis 4 ans), asthénie, crampes musculaires, anémie résistante à l'EPO</w:t>
      </w:r>
      <w:r/>
    </w:p>
    <w:p>
      <w:pPr>
        <w:pStyle w:val="ListBullet"/>
      </w:pPr>
      <w:r>
        <w:t>Prescription : METACARTIN 1 g/jour (10 mL) per os.</w:t>
      </w:r>
    </w:p>
    <w:p>
      <w:pPr>
        <w:pStyle w:val="ListBullet"/>
      </w:pPr>
      <w:r>
        <w:t>Conseil pharmaceutique : prise au cours du repas, fractionnement en 2 prises (matin et soir) si mauvaise tolérance digestive, surveillance de l'odeur corporelle (TMA), contrôle de la carnitine plasmatique à 1 mois.</w:t>
      </w:r>
    </w:p>
    <w:p>
      <w:pPr>
        <w:pStyle w:val="ListBullet"/>
      </w:pPr>
      <w:r>
        <w:t>Objectif : réduction de l'asthénie, des crampes, et amélioration de la réponse à l'EPO.</w:t>
      </w:r>
    </w:p>
    <w:p>
      <w:r/>
      <w:r>
        <w:rPr>
          <w:b/>
        </w:rPr>
        <w:t>Cas 4 : Enfant de 6 ans, épilepsie partielle sous valproate 30 mg/kg/jour depuis 2 ans, asthénie et hépatomégalie stéatosique</w:t>
      </w:r>
      <w:r/>
    </w:p>
    <w:p>
      <w:pPr>
        <w:pStyle w:val="ListBullet"/>
      </w:pPr>
      <w:r>
        <w:t>Prescription : METACARTIN 50 mg/kg/jour per os (soit 1 g/jour pour 20 kg).</w:t>
      </w:r>
    </w:p>
    <w:p>
      <w:pPr>
        <w:pStyle w:val="ListBullet"/>
      </w:pPr>
      <w:r>
        <w:t>Conseil pharmaceutique : prise au cours des repas, fractionnement en 3 prises, surveillance de la fréquence des crises (augmentation possible sous lévocarnitine), contrôle de la carnitine plasmatique et de l'ammoniémie à 1 mois.</w:t>
      </w:r>
    </w:p>
    <w:p>
      <w:pPr>
        <w:pStyle w:val="ListBullet"/>
      </w:pPr>
      <w:r>
        <w:t>Objectif : prévention de l'encéphalopathie hyperammoniémique, réduction de l'hépatotoxicité du valproate.</w:t>
      </w:r>
    </w:p>
    <w:p>
      <w:r/>
      <w:r>
        <w:rPr>
          <w:b/>
        </w:rPr>
        <w:t>Cas 5 : Prématuré de 32 semaines, nutrition parentérale prolongée, apparition d'une cholestase</w:t>
      </w:r>
      <w:r/>
    </w:p>
    <w:p>
      <w:pPr>
        <w:pStyle w:val="ListBullet"/>
      </w:pPr>
      <w:r>
        <w:t>Prescription : arrêt du manganèse (si NONAN), supplémentation en zinc et sélénium, surveillance de la fonction hépatique.</w:t>
      </w:r>
    </w:p>
    <w:p>
      <w:pPr>
        <w:pStyle w:val="ListBullet"/>
      </w:pPr>
      <w:r>
        <w:t>Conseil pharmaceutique : usage hospitalier strict, pas de conseil à l'officine. Surveillance neurologique (risque de manganisme).</w:t>
      </w:r>
    </w:p>
    <w:p>
      <w:pPr>
        <w:pStyle w:val="Heading2"/>
      </w:pPr>
      <w:r>
        <w:t>164.8. Conclusion générale du Fascicule XVII — Vitamines et Minéraux</w:t>
      </w:r>
    </w:p>
    <w:p>
      <w:r>
        <w:t>Le Fascicule XVII a présenté l'ensemble de la pharmacologie des vitamines et des minéraux, organisée en quatre chapitres complémentaires :</w:t>
      </w:r>
    </w:p>
    <w:p>
      <w:pPr>
        <w:pStyle w:val="ListBullet"/>
      </w:pPr>
      <w:r/>
      <w:r>
        <w:rPr>
          <w:b/>
        </w:rPr>
        <w:t>Chapitre 161</w:t>
      </w:r>
      <w:r>
        <w:t xml:space="preserve"> : Vitamines liposolubles (A, D, E, K) — vitamines à absorption intestinale associée aux lipides, à stockage tissulaire (foie, tissu adipeux), à risque d'hypervitaminose (A, D).</w:t>
      </w:r>
    </w:p>
    <w:p>
      <w:pPr>
        <w:pStyle w:val="ListBullet"/>
      </w:pPr>
      <w:r/>
      <w:r>
        <w:rPr>
          <w:b/>
        </w:rPr>
        <w:t>Chapitre 162</w:t>
      </w:r>
      <w:r>
        <w:t xml:space="preserve"> : Vitamines hydrosolubles (groupe B, vitamine C) — vitamines à absorption intestinale directe, à faible stockage tissulaire, à élimination urinaire, à risque de carence rapide en cas de restriction alimentaire.</w:t>
      </w:r>
    </w:p>
    <w:p>
      <w:pPr>
        <w:pStyle w:val="ListBullet"/>
      </w:pPr>
      <w:r/>
      <w:r>
        <w:rPr>
          <w:b/>
        </w:rPr>
        <w:t>Chapitre 163</w:t>
      </w:r>
      <w:r>
        <w:t xml:space="preserve"> : Minéraux majeurs (calcium, magnésium, fer, potassium, fluor, iode) — éléments minéraux à apport quotidien élevé (mg à g), à rôle structural (calcium, phosphore), enzymatique (magnésium, fer), électrophysiologique (potassium), ou thyroïdien (iode).</w:t>
      </w:r>
    </w:p>
    <w:p>
      <w:pPr>
        <w:pStyle w:val="ListBullet"/>
      </w:pPr>
      <w:r/>
      <w:r>
        <w:rPr>
          <w:b/>
        </w:rPr>
        <w:t>Chapitre 164</w:t>
      </w:r>
      <w:r>
        <w:t xml:space="preserve"> : Oligoéléments (zinc, sélénium, cuivre, manganèse, chrome) et lévocarnitine — oligoéléments à apport quotidien faible (µg à mg), à rôle de cofacteur enzymatique, et lévocarnitine, composé métabolique du transport mitochondrial des acides gras.</w:t>
      </w:r>
    </w:p>
    <w:p>
      <w:r>
        <w:t xml:space="preserve">L'enseignement essentiel de ce fascicule est que les vitamines, les minéraux et les oligoéléments ne sont pas des « médicaments anodins » : leur prescription obéit à une logique de </w:t>
      </w:r>
      <w:r>
        <w:rPr>
          <w:b/>
        </w:rPr>
        <w:t>substitution</w:t>
      </w:r>
      <w:r>
        <w:t xml:space="preserve"> d'une carence objectivée, et leur surdosage expose à des toxicités spécifiques parfois graves (hypervitaminose A, hypercalcémie vitamine D-induite, hémochromatose iatrogène, sélénose, manganisme, odeur de poisson pourri pour la lévocarnitine). La prescription doit donc être rigoureuse, fondée sur un bilan biologique préalable, et la surveillance doit être régulière.</w:t>
      </w:r>
    </w:p>
    <w:p>
      <w:r>
        <w:t>La pratique algérienne se caractérise par un marché en recomposition, avec une diversité de spécialités disponibles (vitamines liposolubles et hydrosolubles, minéraux majeurs, oligoéléments en associations), mais aussi des lacunes (absence de spécialités isolées par oligoélément, absence de forme injectable de lévocarnitine, absence de DCI unique « multivitamines »). Le pharmacien d'officine joue un rôle essentiel dans le conseil, la vérification des interactions, et l'éducation thérapeutique du patient.</w:t>
      </w:r>
    </w:p>
    <w:p>
      <w:r>
        <w:t>Ce fascicule clôt le parcours pharmacologique des principaux médicaments utilisés en pratique clinique algérienne. Il s'inscrit dans la continuité des fascicules précédents (antibactériens, antalgiques, cardiovasculaires, endocriniens, gastro-entérologiques, neurologiques, psychiatriques, pneumologiques, rhumatologiques, oncologiques, dermato, ophtalmologiques, ORL, urogynécologiques) et complète la formation de l'étudiant en pharmacie et du pharmacien d'officine pour la prise en charge globale des patients algériens.</w:t>
      </w:r>
    </w:p>
    <w:p>
      <w:pPr>
        <w:pStyle w:val="Heading3"/>
      </w:pPr>
      <w:r>
        <w:t>Sources et références bibliographiques</w:t>
      </w:r>
    </w:p>
    <w:p>
      <w:pPr>
        <w:pStyle w:val="ListNumber"/>
      </w:pPr>
      <w:r/>
      <w:r>
        <w:rPr>
          <w:b/>
        </w:rPr>
        <w:t>VIDAL</w:t>
      </w:r>
      <w:r>
        <w:t xml:space="preserve"> — Dictionnaire des spécialités pharmaceutiques, édition 2025-2026.</w:t>
      </w:r>
    </w:p>
    <w:p>
      <w:pPr>
        <w:pStyle w:val="ListNumber"/>
      </w:pPr>
      <w:r/>
      <w:r>
        <w:rPr>
          <w:b/>
        </w:rPr>
        <w:t>ANSM</w:t>
      </w:r>
      <w:r>
        <w:t xml:space="preserve"> (Agence Nationale de Sécurité du Médicament et des Produits de Santé) — Résumés des Caractéristiques du Produit (RCP) des spécialités françaises correspondantes.</w:t>
      </w:r>
    </w:p>
    <w:p>
      <w:pPr>
        <w:pStyle w:val="ListNumber"/>
      </w:pPr>
      <w:r/>
      <w:r>
        <w:rPr>
          <w:b/>
        </w:rPr>
        <w:t>Thériaque</w:t>
      </w:r>
      <w:r>
        <w:t xml:space="preserve"> — Banque de données sur les médicaments, Centre National Hospitalier d'Information sur le Médicament (CNHIM), France.</w:t>
      </w:r>
    </w:p>
    <w:p>
      <w:pPr>
        <w:pStyle w:val="ListNumber"/>
      </w:pPr>
      <w:r/>
      <w:r>
        <w:rPr>
          <w:b/>
        </w:rPr>
        <w:t>CRAT</w:t>
      </w:r>
      <w:r>
        <w:t xml:space="preserve"> (Centre de Renseignements sur les Agents Tératogènes) — Hôpital Armand-Trousseau, Paris, France. Données sur la grossesse et l'allaitement.</w:t>
      </w:r>
    </w:p>
    <w:p>
      <w:pPr>
        <w:pStyle w:val="ListNumber"/>
      </w:pPr>
      <w:r/>
      <w:r>
        <w:rPr>
          <w:b/>
        </w:rPr>
        <w:t>UpToDate</w:t>
      </w:r>
      <w:r>
        <w:t xml:space="preserve"> — Recommandations internationales sur les carences en oligoéléments et en carnitine.</w:t>
      </w:r>
    </w:p>
    <w:p>
      <w:pPr>
        <w:pStyle w:val="ListNumber"/>
      </w:pPr>
      <w:r/>
      <w:r>
        <w:rPr>
          <w:b/>
        </w:rPr>
        <w:t>ESPGHAN</w:t>
      </w:r>
      <w:r>
        <w:t xml:space="preserve"> (European Society for Paediatric Gastroenterology Hepatology and Nutrition) — Recommandations sur la nutrition parentérale pédiatrique.</w:t>
      </w:r>
    </w:p>
    <w:p>
      <w:pPr>
        <w:pStyle w:val="ListNumber"/>
      </w:pPr>
      <w:r/>
      <w:r>
        <w:rPr>
          <w:b/>
        </w:rPr>
        <w:t>ASPEN</w:t>
      </w:r>
      <w:r>
        <w:t xml:space="preserve"> (American Society for Parenteral and Enteral Nutrition) — Recommandations sur la supplémentation en oligoéléments en nutrition artificielle.</w:t>
      </w:r>
    </w:p>
    <w:p>
      <w:pPr>
        <w:pStyle w:val="ListNumber"/>
      </w:pPr>
      <w:r/>
      <w:r>
        <w:rPr>
          <w:b/>
        </w:rPr>
        <w:t>KDIGO</w:t>
      </w:r>
      <w:r>
        <w:t xml:space="preserve"> (Kidney Disease: Improving Global Outcomes) — Recommandations sur la prise en charge de l'insuffisance rénale chronique, incluant la carence en carnitine du dialysé.</w:t>
      </w:r>
    </w:p>
    <w:p>
      <w:pPr>
        <w:pStyle w:val="ListNumber"/>
      </w:pPr>
      <w:r/>
      <w:r>
        <w:rPr>
          <w:b/>
        </w:rPr>
        <w:t>Cochrane</w:t>
      </w:r>
      <w:r>
        <w:t xml:space="preserve"> — Revues systématiques sur la supplémentation en zinc dans les diarrhées aiguës (Lazzerini 2016), en sélénium en réanimation (Allingstrup 2015), en carnitine dans les cardiomyopathies (Ferreira 2017), en chrome dans le diabète de type 2 (Bailey 2016).</w:t>
      </w:r>
    </w:p>
    <w:p>
      <w:pPr>
        <w:pStyle w:val="ListNumber"/>
      </w:pPr>
      <w:r/>
      <w:r>
        <w:rPr>
          <w:b/>
        </w:rPr>
        <w:t>OMS</w:t>
      </w:r>
      <w:r>
        <w:t xml:space="preserve"> — Liste des médicaments essentiels, édition 2023.</w:t>
      </w:r>
    </w:p>
    <w:p>
      <w:pPr>
        <w:pStyle w:val="ListNumber"/>
      </w:pPr>
      <w:r/>
      <w:r>
        <w:rPr>
          <w:b/>
        </w:rPr>
        <w:t>Nomenclature algérienne des médicaments</w:t>
      </w:r>
      <w:r>
        <w:t xml:space="preserve"> — Avril 2026.</w:t>
      </w:r>
    </w:p>
    <w:p>
      <w:r/>
      <w:r>
        <w:rPr>
          <w:i/>
        </w:rPr>
        <w:t>Fin du Chapitre 164 — Fin du Fascicule XVII.</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Vitamines/Minéraux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