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000000"/>
          <w:sz w:val="24"/>
        </w:rPr>
      </w:r>
    </w:p>
    <w:p>
      <w:pPr>
        <w:spacing w:after="240"/>
        <w:jc w:val="center"/>
      </w:pPr>
      <w:r>
        <w:rPr>
          <w:rFonts w:ascii="Calibri" w:hAnsi="Calibri"/>
          <w:b/>
          <w:i w:val="0"/>
          <w:color w:val="0B3D91"/>
          <w:sz w:val="72"/>
        </w:rPr>
        <w:t>LIVRE TECHNIQUE</w:t>
        <w:br/>
        <w:t>DE PHARMACOLOGIE CLINIQUE</w:t>
      </w:r>
    </w:p>
    <w:p>
      <w:pPr>
        <w:spacing w:before="240" w:after="120"/>
        <w:jc w:val="center"/>
      </w:pPr>
      <w:r>
        <w:rPr>
          <w:rFonts w:ascii="Calibri" w:hAnsi="Calibri"/>
          <w:b/>
          <w:i w:val="0"/>
          <w:color w:val="8B0000"/>
          <w:sz w:val="56"/>
        </w:rPr>
        <w:t>ANESTHÉSIE</w:t>
      </w:r>
    </w:p>
    <w:p>
      <w:pPr>
        <w:jc w:val="center"/>
      </w:pPr>
      <w:r>
        <w:rPr>
          <w:rFonts w:ascii="Calibri" w:hAnsi="Calibri"/>
          <w:b/>
          <w:i w:val="0"/>
          <w:color w:val="808080"/>
          <w:sz w:val="40"/>
        </w:rPr>
        <w:t>&amp;</w:t>
      </w:r>
    </w:p>
    <w:p>
      <w:pPr>
        <w:spacing w:after="120"/>
        <w:jc w:val="center"/>
      </w:pPr>
      <w:r>
        <w:rPr>
          <w:rFonts w:ascii="Calibri" w:hAnsi="Calibri"/>
          <w:b/>
          <w:i w:val="0"/>
          <w:color w:val="1F4E79"/>
          <w:sz w:val="52"/>
        </w:rPr>
        <w:t>RÉANIMATION</w:t>
      </w:r>
    </w:p>
    <w:p>
      <w:pPr>
        <w:jc w:val="center"/>
      </w:pPr>
      <w:r>
        <w:rPr>
          <w:rFonts w:ascii="Calibri" w:hAnsi="Calibri"/>
          <w:b w:val="0"/>
          <w:i/>
          <w:color w:val="606060"/>
          <w:sz w:val="40"/>
        </w:rPr>
        <w:t>en Algérie</w:t>
      </w:r>
    </w:p>
    <w:p>
      <w:pPr>
        <w:spacing w:before="400" w:after="400"/>
        <w:jc w:val="center"/>
      </w:pPr>
      <w:r>
        <w:rPr>
          <w:rFonts w:ascii="Calibri" w:hAnsi="Calibri"/>
          <w:b/>
          <w:i w:val="0"/>
          <w:color w:val="0B3D91"/>
          <w:sz w:val="28"/>
        </w:rPr>
        <w:t>━━━━━━━━━━━━━━━━━━━━━━━━━━━━━━</w:t>
      </w:r>
    </w:p>
    <w:p>
      <w:pPr>
        <w:jc w:val="center"/>
      </w:pPr>
      <w:r>
        <w:rPr>
          <w:rFonts w:ascii="Calibri" w:hAnsi="Calibri"/>
          <w:b/>
          <w:i w:val="0"/>
          <w:color w:val="1F4E79"/>
          <w:sz w:val="36"/>
        </w:rPr>
        <w:t>Fascicule XIX</w:t>
      </w:r>
    </w:p>
    <w:p>
      <w:pPr>
        <w:jc w:val="center"/>
      </w:pPr>
      <w:r>
        <w:rPr>
          <w:rFonts w:ascii="Calibri" w:hAnsi="Calibri"/>
          <w:b w:val="0"/>
          <w:i/>
          <w:color w:val="606060"/>
          <w:sz w:val="28"/>
        </w:rPr>
        <w:t>Anesthésie-Réanimation</w:t>
      </w:r>
    </w:p>
    <w:p>
      <w:pPr>
        <w:spacing w:before="1600"/>
        <w:jc w:val="center"/>
      </w:pPr>
      <w:r>
        <w:rPr>
          <w:rFonts w:ascii="Calibri" w:hAnsi="Calibri"/>
          <w:b/>
          <w:i w:val="0"/>
          <w:color w:val="000000"/>
          <w:sz w:val="24"/>
        </w:rPr>
      </w:r>
    </w:p>
    <w:p>
      <w:pPr>
        <w:jc w:val="center"/>
      </w:pPr>
      <w:r>
        <w:rPr>
          <w:rFonts w:ascii="Calibri" w:hAnsi="Calibri"/>
          <w:b w:val="0"/>
          <w:i w:val="0"/>
          <w:color w:val="404040"/>
          <w:sz w:val="24"/>
        </w:rPr>
        <w:t>Manuel académique et pratique pour étudiants en pharmacie d'officine</w:t>
      </w:r>
    </w:p>
    <w:p>
      <w:pPr>
        <w:jc w:val="center"/>
      </w:pPr>
      <w:r>
        <w:rPr>
          <w:rFonts w:ascii="Calibri" w:hAnsi="Calibri"/>
          <w:b w:val="0"/>
          <w:i/>
          <w:color w:val="606060"/>
          <w:sz w:val="22"/>
        </w:rPr>
        <w:t>Basé sur la nomenclature officielle des médicaments enregistrés en Algérie (Avril 2026)</w:t>
      </w:r>
    </w:p>
    <w:p>
      <w:pPr>
        <w:spacing w:before="1200"/>
        <w:jc w:val="center"/>
      </w:pPr>
      <w:r>
        <w:rPr>
          <w:rFonts w:ascii="Calibri" w:hAnsi="Calibri"/>
          <w:b/>
          <w:i w:val="0"/>
          <w:color w:val="000000"/>
          <w:sz w:val="24"/>
        </w:rPr>
      </w:r>
    </w:p>
    <w:p>
      <w:pPr>
        <w:jc w:val="center"/>
      </w:pPr>
      <w:r>
        <w:rPr>
          <w:rFonts w:ascii="Calibri" w:hAnsi="Calibri"/>
          <w:b/>
          <w:i w:val="0"/>
          <w:color w:val="0B3D91"/>
          <w:sz w:val="22"/>
        </w:rPr>
        <w:t>23 DCI traitées  •  150+ spécialités commerciales  •  4 chapitres thématiques</w:t>
      </w:r>
    </w:p>
    <w:p>
      <w:pPr>
        <w:spacing w:before="1600"/>
        <w:jc w:val="center"/>
      </w:pPr>
      <w:r>
        <w:rPr>
          <w:rFonts w:ascii="Calibri" w:hAnsi="Calibri"/>
          <w:b/>
          <w:i w:val="0"/>
          <w:color w:val="000000"/>
          <w:sz w:val="24"/>
        </w:rPr>
      </w:r>
    </w:p>
    <w:p>
      <w:pPr>
        <w:jc w:val="center"/>
      </w:pPr>
      <w:r>
        <w:rPr>
          <w:rFonts w:ascii="Calibri" w:hAnsi="Calibri"/>
          <w:b/>
          <w:i w:val="0"/>
          <w:color w:val="404040"/>
          <w:sz w:val="28"/>
        </w:rPr>
        <w:t>Édition Août 2026</w:t>
      </w:r>
    </w:p>
    <w:p>
      <w:pPr>
        <w:jc w:val="center"/>
      </w:pPr>
      <w:r>
        <w:rPr>
          <w:rFonts w:ascii="Calibri" w:hAnsi="Calibri"/>
          <w:b w:val="0"/>
          <w:i/>
          <w:color w:val="808080"/>
          <w:sz w:val="18"/>
        </w:rPr>
        <w:t>Sources : VIDAL • ANSM • Thériaque • CRAT • SFAR • ERC • UpToDate • Micromedex</w:t>
      </w:r>
    </w:p>
    <w:p>
      <w:r>
        <w:br w:type="page"/>
      </w:r>
    </w:p>
    <w:p>
      <w:pPr>
        <w:pStyle w:val="Heading1"/>
      </w:pPr>
      <w:r>
        <w:rPr>
          <w:color w:val="0B3D91"/>
        </w:rPr>
        <w:t>Table des matières</w:t>
      </w:r>
    </w:p>
    <w:p>
      <w:r>
        <w:fldChar w:fldCharType="begin"/>
        <w:instrText xml:space="preserve">TOC \o "1-3" \h \z \u</w:instrText>
        <w:fldChar w:fldCharType="separate"/>
        <w:t>Mettre à jour le TOC (F9)</w:t>
        <w:fldChar w:fldCharType="end"/>
      </w:r>
    </w:p>
    <w:p>
      <w:r>
        <w:br w:type="page"/>
      </w:r>
    </w:p>
    <w:p>
      <w:pPr>
        <w:pStyle w:val="Heading2"/>
      </w:pPr>
      <w:r>
        <w:t>Fascicule XIX : Anesthésie-Réanimation</w:t>
      </w:r>
    </w:p>
    <w:p>
      <w:pPr>
        <w:pStyle w:val="Heading2"/>
      </w:pPr>
      <w:r>
        <w:t>Avant-propos et méthodologie du Fascicule XIX</w:t>
      </w:r>
    </w:p>
    <w:p>
      <w:pPr>
        <w:pStyle w:val="Heading3"/>
      </w:pPr>
      <w:r>
        <w:t>1. Objet du fascicule</w:t>
      </w:r>
    </w:p>
    <w:p>
      <w:r>
        <w:t>Le présent fascicule constitue le dix-neuvième volet du traité technique de pharmacologie clinique destiné aux étudiants en pharmacie d'officine et aux praticiens exerçant sur le territoire algérien. Il poursuit la démarche engagée dans les Fascicules I-XVIII en traitant de manière exhaustive les anesthésiques, curares, antagonistes et médicaments de réanimation enregistrés auprès du Ministère de la Santé algérien.</w:t>
      </w:r>
    </w:p>
    <w:p>
      <w:r>
        <w:t xml:space="preserve">La base réglementaire de référence utilisée est le fichier officiel </w:t>
      </w:r>
      <w:r>
        <w:rPr>
          <w:b/>
        </w:rPr>
        <w:t>« COMPLETE LISTE.xlsx »</w:t>
      </w:r>
      <w:r>
        <w:t xml:space="preserve"> (nomenclature algérienne Avril 2026).</w:t>
      </w:r>
    </w:p>
    <w:p>
      <w:pPr>
        <w:pStyle w:val="Heading3"/>
      </w:pPr>
      <w:r>
        <w:t>2. Contexte épidémiologique algérien</w:t>
      </w:r>
    </w:p>
    <w:p>
      <w:pPr>
        <w:pStyle w:val="ListBullet"/>
      </w:pPr>
      <w:r/>
      <w:r>
        <w:rPr>
          <w:b/>
        </w:rPr>
        <w:t>Chirurgie</w:t>
      </w:r>
      <w:r>
        <w:t xml:space="preserve"> : ~800 000 actes chirurgicaux/an en Algérie</w:t>
      </w:r>
    </w:p>
    <w:p>
      <w:pPr>
        <w:pStyle w:val="ListBullet"/>
      </w:pPr>
      <w:r/>
      <w:r>
        <w:rPr>
          <w:b/>
        </w:rPr>
        <w:t>Réanimation</w:t>
      </w:r>
      <w:r>
        <w:t xml:space="preserve"> : ~2 000 lits de réanimation répartis sur le territoire</w:t>
      </w:r>
    </w:p>
    <w:p>
      <w:pPr>
        <w:pStyle w:val="ListBullet"/>
      </w:pPr>
      <w:r/>
      <w:r>
        <w:rPr>
          <w:b/>
        </w:rPr>
        <w:t>Anesthésie locorégionale</w:t>
      </w:r>
      <w:r>
        <w:t xml:space="preserve"> : développement croissant (rachianesthésie, péridurale)</w:t>
      </w:r>
    </w:p>
    <w:p>
      <w:pPr>
        <w:pStyle w:val="ListBullet"/>
      </w:pPr>
      <w:r/>
      <w:r>
        <w:rPr>
          <w:b/>
        </w:rPr>
        <w:t>Hyperthermie maligne</w:t>
      </w:r>
      <w:r>
        <w:t xml:space="preserve"> : risque rare (1/10 000 à 1/100 000) mais potentiellement mortel</w:t>
      </w:r>
    </w:p>
    <w:p>
      <w:pPr>
        <w:pStyle w:val="ListBullet"/>
      </w:pPr>
      <w:r/>
      <w:r>
        <w:rPr>
          <w:b/>
        </w:rPr>
        <w:t>Choc septique</w:t>
      </w:r>
      <w:r>
        <w:t xml:space="preserve"> : première cause d'admission en réanimation</w:t>
      </w:r>
    </w:p>
    <w:p>
      <w:pPr>
        <w:pStyle w:val="Heading3"/>
      </w:pPr>
      <w:r>
        <w:t>3. Périmètre de ce fascicule</w:t>
      </w:r>
    </w:p>
    <w:p>
      <w:r>
        <w:t xml:space="preserve">Ce fascicule couvre </w:t>
      </w:r>
      <w:r>
        <w:rPr>
          <w:b/>
        </w:rPr>
        <w:t>23 DCI</w:t>
      </w:r>
      <w:r>
        <w:t xml:space="preserve"> réparties sur </w:t>
      </w:r>
      <w:r>
        <w:rPr>
          <w:b/>
        </w:rPr>
        <w:t>17 sous-classes</w:t>
      </w:r>
      <w:r>
        <w:t xml:space="preserve"> pharmacologiques :</w:t>
      </w:r>
    </w:p>
    <w:p>
      <w:pPr>
        <w:pStyle w:val="ListNumber"/>
      </w:pPr>
      <w:r>
        <w:t>Anesthésiques généraux (IV et volatils) (7 DCI)</w:t>
      </w:r>
    </w:p>
    <w:p>
      <w:pPr>
        <w:pStyle w:val="ListNumber"/>
      </w:pPr>
      <w:r>
        <w:t>Anesthésiques locaux et curares (7 DCI)</w:t>
      </w:r>
    </w:p>
    <w:p>
      <w:pPr>
        <w:pStyle w:val="ListNumber"/>
      </w:pPr>
      <w:r>
        <w:t>Antagonistes et réversibilité (2 DCI)</w:t>
      </w:r>
    </w:p>
    <w:p>
      <w:pPr>
        <w:pStyle w:val="ListNumber"/>
      </w:pPr>
      <w:r>
        <w:t>Réanimation - Vasopresseurs, solutés et urgences (7 DCI)</w:t>
      </w:r>
    </w:p>
    <w:p>
      <w:pPr>
        <w:pStyle w:val="Heading2"/>
      </w:pPr>
      <w:r>
        <w:t>Sommaire général du Fascicule XIX</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Chapitre</w:t>
            </w:r>
          </w:p>
        </w:tc>
        <w:tc>
          <w:tcPr>
            <w:tcW w:type="dxa" w:w="3118"/>
          </w:tcPr>
          <w:p>
            <w:r>
              <w:rPr>
                <w:b/>
                <w:sz w:val="20"/>
              </w:rPr>
              <w:t>Sous-classes traitées</w:t>
            </w:r>
          </w:p>
        </w:tc>
        <w:tc>
          <w:tcPr>
            <w:tcW w:type="dxa" w:w="3118"/>
          </w:tcPr>
          <w:p>
            <w:r>
              <w:rPr>
                <w:b/>
                <w:sz w:val="20"/>
              </w:rPr>
              <w:t>Nombre de DCI</w:t>
            </w:r>
          </w:p>
        </w:tc>
      </w:tr>
      <w:tr>
        <w:tc>
          <w:tcPr>
            <w:tcW w:type="dxa" w:w="3118"/>
          </w:tcPr>
          <w:p>
            <w:r>
              <w:rPr>
                <w:sz w:val="20"/>
              </w:rPr>
              <w:t>181</w:t>
            </w:r>
          </w:p>
        </w:tc>
        <w:tc>
          <w:tcPr>
            <w:tcW w:type="dxa" w:w="3118"/>
          </w:tcPr>
          <w:p>
            <w:r>
              <w:rPr>
                <w:sz w:val="20"/>
              </w:rPr>
              <w:t>Anesthésiques généraux (IV et volatils)</w:t>
            </w:r>
          </w:p>
        </w:tc>
        <w:tc>
          <w:tcPr>
            <w:tcW w:type="dxa" w:w="3118"/>
          </w:tcPr>
          <w:p>
            <w:r>
              <w:rPr>
                <w:sz w:val="20"/>
              </w:rPr>
              <w:t>7</w:t>
            </w:r>
          </w:p>
        </w:tc>
      </w:tr>
      <w:tr>
        <w:tc>
          <w:tcPr>
            <w:tcW w:type="dxa" w:w="3118"/>
          </w:tcPr>
          <w:p>
            <w:r>
              <w:rPr>
                <w:sz w:val="20"/>
              </w:rPr>
              <w:t>182</w:t>
            </w:r>
          </w:p>
        </w:tc>
        <w:tc>
          <w:tcPr>
            <w:tcW w:type="dxa" w:w="3118"/>
          </w:tcPr>
          <w:p>
            <w:r>
              <w:rPr>
                <w:sz w:val="20"/>
              </w:rPr>
              <w:t>Anesthésiques locaux et curares</w:t>
            </w:r>
          </w:p>
        </w:tc>
        <w:tc>
          <w:tcPr>
            <w:tcW w:type="dxa" w:w="3118"/>
          </w:tcPr>
          <w:p>
            <w:r>
              <w:rPr>
                <w:sz w:val="20"/>
              </w:rPr>
              <w:t>7</w:t>
            </w:r>
          </w:p>
        </w:tc>
      </w:tr>
      <w:tr>
        <w:tc>
          <w:tcPr>
            <w:tcW w:type="dxa" w:w="3118"/>
          </w:tcPr>
          <w:p>
            <w:r>
              <w:rPr>
                <w:sz w:val="20"/>
              </w:rPr>
              <w:t>183</w:t>
            </w:r>
          </w:p>
        </w:tc>
        <w:tc>
          <w:tcPr>
            <w:tcW w:type="dxa" w:w="3118"/>
          </w:tcPr>
          <w:p>
            <w:r>
              <w:rPr>
                <w:sz w:val="20"/>
              </w:rPr>
              <w:t>Antagonistes et réversibilité</w:t>
            </w:r>
          </w:p>
        </w:tc>
        <w:tc>
          <w:tcPr>
            <w:tcW w:type="dxa" w:w="3118"/>
          </w:tcPr>
          <w:p>
            <w:r>
              <w:rPr>
                <w:sz w:val="20"/>
              </w:rPr>
              <w:t>2</w:t>
            </w:r>
          </w:p>
        </w:tc>
      </w:tr>
      <w:tr>
        <w:tc>
          <w:tcPr>
            <w:tcW w:type="dxa" w:w="3118"/>
          </w:tcPr>
          <w:p>
            <w:r>
              <w:rPr>
                <w:sz w:val="20"/>
              </w:rPr>
              <w:t>184</w:t>
            </w:r>
          </w:p>
        </w:tc>
        <w:tc>
          <w:tcPr>
            <w:tcW w:type="dxa" w:w="3118"/>
          </w:tcPr>
          <w:p>
            <w:r>
              <w:rPr>
                <w:sz w:val="20"/>
              </w:rPr>
              <w:t>Réanimation - Vasopresseurs, solutés et urgences</w:t>
            </w:r>
          </w:p>
        </w:tc>
        <w:tc>
          <w:tcPr>
            <w:tcW w:type="dxa" w:w="3118"/>
          </w:tcPr>
          <w:p>
            <w:r>
              <w:rPr>
                <w:sz w:val="20"/>
              </w:rPr>
              <w:t>7</w:t>
            </w:r>
          </w:p>
        </w:tc>
      </w:tr>
      <w:tr>
        <w:tc>
          <w:tcPr>
            <w:tcW w:type="dxa" w:w="3118"/>
          </w:tcPr>
          <w:p>
            <w:r>
              <w:rPr>
                <w:sz w:val="20"/>
              </w:rPr>
              <w:t>**Total**</w:t>
            </w:r>
          </w:p>
        </w:tc>
        <w:tc>
          <w:tcPr>
            <w:tcW w:type="dxa" w:w="3118"/>
          </w:tcPr>
          <w:p>
            <w:r>
              <w:rPr>
                <w:sz w:val="20"/>
              </w:rPr>
            </w:r>
          </w:p>
        </w:tc>
        <w:tc>
          <w:tcPr>
            <w:tcW w:type="dxa" w:w="3118"/>
          </w:tcPr>
          <w:p>
            <w:r>
              <w:rPr>
                <w:sz w:val="20"/>
              </w:rPr>
              <w:t>**23**</w:t>
            </w:r>
          </w:p>
        </w:tc>
      </w:tr>
    </w:tbl>
    <w:p/>
    <w:p>
      <w:pPr>
        <w:pStyle w:val="Heading1"/>
      </w:pPr>
      <w:r>
        <w:t>Chapitre 181 — Anesthésiques généraux : intraveineux et volatils</w:t>
      </w:r>
    </w:p>
    <w:p>
      <w:pPr>
        <w:pStyle w:val="Heading2"/>
      </w:pPr>
      <w:r>
        <w:t>Fascicule XIX — Anesthésie-Réanimation</w:t>
      </w:r>
    </w:p>
    <w:p>
      <w:pPr>
        <w:pStyle w:val="Heading2"/>
      </w:pPr>
      <w:r>
        <w:t>181.0 Introduction au chapitre 181</w:t>
      </w:r>
    </w:p>
    <w:p>
      <w:r>
        <w:t>L'anesthésie générale constitue l'un des actes médicaux les plus complexes et les plus encadrés de la pratique hospitalière : elle repose sur la mise en œuvre coordonnée de médicaments psychoactifs majeurs dont la marge thérapeutique est étroite et dont la maîtrise conditionne simultanément la sécurité du patient, la qualité du geste chirurgical et la rapidité du réveil. Le chapitre 181 du Livre de Pharmacologie Clinique ouvre le Fascicule XIX consacré à l'Anesthésie-Réanimation et traite les sept dénominations communes internationales (DCI) qui constituent le socle pharmacologique de l'anesthésie générale en Algérie : le propofol, le thiopental, l'étomidate, la kétamine, le midazolam (dans son usage anesthésique), le sévoflurane et l'isoflurane.</w:t>
      </w:r>
    </w:p>
    <w:p>
      <w:r>
        <w:t>L'histoire de l'anesthésie moderne commence le 16 octobre 1846 à Boston, lorsque le dentiste William T. G. Morton démontre publiquement l'anesthésie par éther diéthylique au Massachusetts General Hospital. La chloroformisation de la reine Victoria en 1853 par John Snow consacre l'usage obstétrical des anesthésiques volatils. Mais ce n'est qu'au XXᵉ siècle que la pharmacologie de l'anesthésie connaît sa véritable révolution : en 1934, John Lundy introduit le thiopental, barbiturique ultra-court mis au point par Volwiler et Tabern chez Abbott, et fonde le concept d'anesthésie intraveineuse d'induction. La démarche de Ralph Waters, qui formalise en 1942 le concept d'anesthésie balancée (associant un hypnotique, un curare et un analgésique morphinique), structure encore la pratique contemporaine. La kétamine, synthétisée en 1962 par Stevens chez Parke-Davis et introduite en clinique en 1970, ouvre la voie des anesthésiques dissociatifs. L'étomidate, imidazolé mis au point par Janssen Pharmaceutica en 1972, est introduit en clinique en 1973 avec la promesse d'une stabilité hémodynamique remarquable. Le propofol, dérivé phénolique synthétisé en 1973 par ICI (devenu AstraZeneca puis Aspen), n'obtient son autorisation qu'en 1986 sous le nom de Diprivan, en raison de la difficulté à formuler cette molécule lipophile et irritante : la solution viendra de l'émulsion lipidique de soja, qui a révolutionné la tolérance veineuse et a fait du propofol l'hypnotique IV de référence mondial.</w:t>
      </w:r>
    </w:p>
    <w:p>
      <w:r>
        <w:t>La décennie 1990 voit l'essor du sévoflurane (commercialisé au Japon en 1990 par Maruishi puis aux États-Unis en 1995 par Abbott), halogéné non irritant dont la faible solubilité sanguine autorise une induction par masque en quelques minutes chez l'enfant comme chez l'adulte. L'isoflurane, introduit en 1971 par Terrell chez Ohio Medical Products et commercialisé dès 1980, demeure l'halogéné de référence pour la maintenance économique de l'anesthésie et pour la neuro-anesthésie en raison de sa capacité à réduire la consommation cérébrale d'oxygène.</w:t>
      </w:r>
    </w:p>
    <w:p>
      <w:r>
        <w:t>La pratique algérienne contemporaine repose sur un socle de sept DCI réunies dans ce chapitre. La nomenclature nationale (Avril 2026) recense pour ces molécules une trentaine de spécialités, dont un peu plus de la moitié demeurent actives (commercialisées), tandis que d'autres sont non renouvelables (commercialisation suspendue transitoirement) ou définitivement retirées du marché. Cette diversité de statuts traduit la dynamique du marché pharmaceutique national, marqué par le retrait progressif des princeps historiques (Diprivan, Ketalar, Penthotal, Nesdonal, Dormicum) et l'émergence de producteurs locaux (Fresenius Kabi Algérie, El Kendi, Liorad, Frater Razes, Inpha-Medis, Hikma Pharma Algeria, Saidal) et régionaux (Mylan SAS, AbbVie, Baxter, Piramal, Tabuk, MS Pharma Jordan) qui assurent désormais l'essentiel de l'approvisionnement.</w:t>
      </w:r>
    </w:p>
    <w:p>
      <w:r>
        <w:t xml:space="preserve">L'enseignement de ces molécules doit intégrer quatre dimensions complémentaires. </w:t>
      </w:r>
      <w:r>
        <w:rPr>
          <w:b/>
        </w:rPr>
        <w:t>Pharmacodynamique</w:t>
      </w:r>
      <w:r>
        <w:t xml:space="preserve"> : chaque agent possède une cible moléculaire (récepteur GABA-A pour le propofol, le thiopental, l'étomidate et le midazolam ; récepteur NMDA pour la kétamine ; canaux sodiques et calciques voltage-dépendants pour les halogénés) qui détermine son profil clinique. </w:t>
      </w:r>
      <w:r>
        <w:rPr>
          <w:b/>
        </w:rPr>
        <w:t>Pharmacocinétique</w:t>
      </w:r>
      <w:r>
        <w:t xml:space="preserve"> : la lipophilie, la demi-vie de redistribution et le métabolisme conditionnent la cinétique d'induction et de réveil, ainsi que la tolérance à l'accumulation en cas de perfusion prolongée. </w:t>
      </w:r>
      <w:r>
        <w:rPr>
          <w:b/>
        </w:rPr>
        <w:t>Sécurité d'emploi</w:t>
      </w:r>
      <w:r>
        <w:t xml:space="preserve"> : le propofol expose au syndrome d'infusion prolongée (PRIS) au-delà de 4 mg/kg/h pendant plus de 48 heures ; le thiopental est contre-indiqué en cas de porphyrie et d'asthme sévère ; l'étomidate inhibe la 11β-hydroxylase surrénalienne et induit une insuffisance surrénale corticotrope prolongée ; la kétamine provoque des réactions d'émergence à type d'hallucinations et une stimulation sympathique (HTA, tachycardie) qui contre-indiquent son usage isolé chez le coronarien ; le midazolam expose à la dépression respiratoire, antagonisable par le flumazénil ; le sévoflurane est incriminé dans des cas d'hyperkaliémie maligne à l'induction chez les dystrophies musculaires de Duchenne et fait l'objet d'un avertissement FDA sur la neurotoxicité chez l'enfant de moins de trois ans ; l'isoflurane induit une vasodilatation coronarienne susceptible de voler le débit myocardique (vol coronarien), particulièrement délétère en cas de sténose du tronc commun ou de maladie tritronculaire. </w:t>
      </w:r>
      <w:r>
        <w:rPr>
          <w:b/>
        </w:rPr>
        <w:t>Contexte réglementaire</w:t>
      </w:r>
      <w:r>
        <w:t xml:space="preserve"> : le classement sur la Liste I (stupéfiants potentiellement détournables comme la kétamine, ou à prescription hospitalière stricte) ou Liste II (thiopental) encadre la dispensation.</w:t>
      </w:r>
    </w:p>
    <w:p>
      <w:r>
        <w:t>La structure de ce chapitre suit la logique pharmacologique classique : anesthésiques intraveineux d'induction classés par famille chimique (hypnotiques non barbituriques, barbituriques, imidazolés, antagonistes NMDA, benzodiazépines), puis anesthésiques volatils halogénés d'entretien. Chaque DCI fait l'objet d'une fiche structurée en douze sections standardisées, intégrant le tableau exhaustif des spécialités disponibles en Algérie, le mécanisme d'action moléculaire et cellulaire, le profil pharmacocinétique, les indications et contre-indications, les effets indésirables et leur prévention, les interactions médicamenteuses, les données CRAT sur la grossesse et l'allaitement, la posologie détaillée par âge et indication, l'arbitrage des formes galéniques disponibles, les conseils au patient, et les pièges au comptoir regroupés en règles d'or pédagogiques. Une table comparative synthétise en fin de chapitre les caractéristiques clés des sept molécules, suivie d'une synthèse transversale destinée à l'étudiant en pharmacie et au médecin prescripteur.</w:t>
      </w:r>
    </w:p>
    <w:p>
      <w:pPr>
        <w:pStyle w:val="Heading2"/>
      </w:pPr>
      <w:r>
        <w:t>181.1 Sous-classe : Anesthésiques généraux IV — Hypnotiques (Propofol)</w:t>
      </w:r>
    </w:p>
    <w:p>
      <w:r>
        <w:t>L'induction anesthésique par voie intraveineuse repose aujourd'hui principalement sur le propofol, seul représentant de la sous-classe des hypnotiques non barbituriques utilisé en routine clinique. Cette sous-classe s'est individualisée à partir des années 1980 grâce à la mise au point d'une formulation en émulsion lipidique qui a résolu le double problème de la lipophilie extrême de la molécule (log P ≈ 4) et de sa toxicité veineuse directe. Le propofol a progressivement supplanté le thiopental comme agent d'induction de référence dans la plupart des pays, au point de représenter aujourd'hui plus de 80 % des inductions anesthésiques en France et dans les pays occidentaux, et plus de 70 % en Algérie selon les données SFAR.</w:t>
      </w:r>
    </w:p>
    <w:p>
      <w:r>
        <w:t>Le profil pharmacologique du propofol associe une entrée d'action très rapide (30 à 60 secondes), une durée d'action brève (5 à 10 minutes) liée à une redistribution tissulaire massive, un réveil rapide et de qualité (peu de confusion post-opératoire), une réduction de la pression intracrânienne et une action antiémétante propre. Ces propriétés en font l'agent de choix pour l'anesthésie ambulatoire, la sédation procédurale (coloscopie, endoscopie, radiologie interventionnelle), la sédation en réanimation et l'entretien de l'anesthésie par perfusion continue (AIVOC - Anesthésie IntraVeineuse à Objectif de Concentration).</w:t>
      </w:r>
    </w:p>
    <w:p>
      <w:r>
        <w:t>Cependant, le propofol n'est pas dénué de risques. Sa formulation en émulsion lipidique (huile de soja, lécithine d'œuf, glycérol) expose à des réactions allergiques, à une charge lipidique en perfusion prolongée, et surtout à un effet dépresseur myocardique et respiratoire marqué. Le Propofol Infusion Syndrome (PRIS), décrit par Parke en 1992 chez des enfants en réanimation, est une complication rare mais gravissime (mortelle dans 50 à 80 % des cas) survenant lorsque la dose dépasse 4 mg/kg/h pendant plus de 48 heures : acidose métabolique lactique, bradyarythmie réfractaire, rhabdomyolyse, myoglobinurie, stéatose hépatique, insuffisance rénale et défaillance multiviscérale. Sa reconnaissance précoce impose l'arrêt immédiat du propofol, le relais par un autre sédatif, et la mise en œuvre d'une réanimation symptomatique.</w:t>
      </w:r>
    </w:p>
    <w:p>
      <w:r>
        <w:t>En Algérie, le propofol est disponible sous trois spécialités actives : Propofol Fresenius 1% (Fresenius Kabi), Propofol Kabi (Fresenius Kabi), et Provive (El Kendi Industrie du Médicament, production locale). Les formes historiques princeps Diprivan (Zeneca Pharma puis Aspen Pharma) et Recofol (Schering) ne sont plus commercialisées, mais leurs conditionnements en seringues pré-remplies de 50 mL (Aspen) restent dans la mémoire réglementaire.</w:t>
      </w:r>
    </w:p>
    <w:p>
      <w:pPr>
        <w:pStyle w:val="Heading2"/>
      </w:pPr>
      <w:r>
        <w:t>181.2 Sous-classe : Anesthésiques généraux IV — Barbituriques (Thiopental)</w:t>
      </w:r>
    </w:p>
    <w:p>
      <w:r>
        <w:t>Les barbituriques, dérivés de l'acide barbiturique synthétisé en 1864 par Adolf von Baeyer, ont dominé l'anesthésie intraveineuse de 1934 (introduction du thiopental par Lundy et Waters à la Mayo Clinic) jusqu'au milieu des années 1980. Le thiopental, dérivé thiobarbiturique à chaîne latérale pentyle, en demeure aujourd'hui le seul représentant utilisé en clinique anesthésique, essentiellement pour des indications de sauvetage : induction en séquence rapide en obstétrique, status epilepticus réfractaire, hypertension intracrânienne aiguë, et protocoles d'urgence en milieu précaire ou militaire.</w:t>
      </w:r>
    </w:p>
    <w:p>
      <w:r>
        <w:t>Le mécanisme du thiopental repose sur l'allostérie positive du récepteur GABA-A : la molécule se fixe sur un site distinct de celui du GABA et prolonge l'ouverture du canal chlore, hyperpolarisant la membrane postsynaptique et inhibant la neurotransmission excitatrice. Aux doses anesthésiques, le thiopental induit une perte de conscience rapide (10 à 20 secondes après injection IV), une dépression respiratoire et une vasodilatation périphérique pouvant mener à une hypotension marquée chez le patient hypovolémique. Sa lipophilie exceptionnelle (log P ≈ 2,8) explique son passage cérébral quasi-immédiat et sa redistribution rapide vers les tissus gras, qui termine son effet en 5 à 10 minutes.</w:t>
      </w:r>
    </w:p>
    <w:p>
      <w:r>
        <w:t>Les contre-indications du thiopental sont historiquement structurantes : la porphyrie aiguë intermittente, la variegata et la coproporphyrie héréditaire constituent des contre-indications absolues car le thiopental est un inducteur enzymatique de l'ALA-synthase hépatique qui précipite les crises neuroviscérales potentiellement mortelles ; l'asthme sévère et l'insuffisance respiratoire décompensée en raison de la dépression centrale ; le choc hypovolémique non corrigé en raison de l'effet dépresseur myocardique. La statut de Liste II en Algérie reflète son potentiel d'usage détourné (addiction, euthanasie), comme l'illustre l'usage historique aux États-Unis pour l'injection létale dans les exécutions capitales.</w:t>
      </w:r>
    </w:p>
    <w:p>
      <w:r>
        <w:t>En Algérie, le thiopental reste disponible sous la spécialité Thiopental Vuab (Vuab Pharma, Turquie) en flacons de 0,5 g et 1 g de poudre pour solution injectable. Les formes historiques Nesdonal (Rhône-Poulenc Rorer), Penthotal (Abbott), Thiosas (El Kendi), Thiopental Sandoz, Thiopental Rotexmedica et Thiopental Pharmadrug ne sont plus commercialisées (non renouvelables ou retirées), mais leur mémoire pharmacologique et leurs protocoles restent opérants dans les anciennes formations hospitalières.</w:t>
      </w:r>
    </w:p>
    <w:p>
      <w:pPr>
        <w:pStyle w:val="Heading2"/>
      </w:pPr>
      <w:r>
        <w:t>181.3 Sous-classe : Anesthésiques généraux IV — Imidazolés (Étomidate)</w:t>
      </w:r>
    </w:p>
    <w:p>
      <w:r>
        <w:t>Les anesthésiques imidazolés sont représentés en clinique par une seule molécule : l'étomidate, synthétisé en 1964 par Janssen Pharmaceutica (Belgique) et introduit en pratique clinique en 1973 sous le nom d'Hypnomidate. La molécule, dérivée du noyau imidazole carboxylate, présente la particularité d'offrir une induction anesthésique sans dépression hémodynamique significative, ce qui en fait l'agent d'induction de référence chez le patient en état de choc, en insuffisance cardiaque décompensée, en traumatisme grave avec hypovolémie ou chez le coronarien à haut risque.</w:t>
      </w:r>
    </w:p>
    <w:p>
      <w:r>
        <w:t>Le mécanisme de l'étomidate repose, comme le propofol et le thiopental, sur la modulation allostérique positive du récepteur GABA-A, mais il se distingue des autres hypnotiques par son absence d'effet hémodynamique dépresseur : la pression artérielle, la fréquence cardiaque et le débit cardiaque sont préservés à l'induction, ce qui en fait le choix privilégié pour les patients vasculaires instables.</w:t>
      </w:r>
    </w:p>
    <w:p>
      <w:r>
        <w:t>Cependant, l'étomidate possède une particularité pharmacologique qui en limite l'usage : il inhibe de manière dose-dépendante et prolongée la 11β-hydroxylase surrénalienne, enzyme mitochondriale essentielle à la synthèse du cortisol et de l'aldostérone. Une dose unique d'induction (0,3 mg/kg) suffit à induire une insuffisance surrénale corticotrope détectable biologique pendant 24 à 48 heures, et parfois jusqu'à 72 heures. Chez les patients de réanimation ou de traumatologie graves, cette insuffisance surrénale iatrogène peut aggraver le pronostic vital, notamment en cas de sepsis sévère ou de choc hémorragique. Cette donnée a fait l'objet d'un débat international intense depuis les années 2000 (étude CORTICUS 2008, méta-analyses Komatsu 2014 et Gu 2015) et explique que l'étomidate soit aujourd'hui contre-indiqué en cas d'insuffisance surrénale connue ou de sepsis sévère, et que son usage en induction en séquence rapide chez le patient de réanimation soit l'objet de recommandations prudentes.</w:t>
      </w:r>
    </w:p>
    <w:p>
      <w:r>
        <w:t>L'étomidate présente également l'inconvénient d'une douleur à l'injection (liée au solvant propylène glycol dans la formulation classique) et de myoclonies à l'induction dans 30 à 50 % des cas, qui peuvent être atténuées par prémédication par curare non dépolarisant ou par étomidate en formulation lipidique (Etomidate-Lipuro, non disponible en Algérie).</w:t>
      </w:r>
    </w:p>
    <w:p>
      <w:r>
        <w:t>En Algérie, l'étomidate reste disponible sous une seule spécialité active : Hypnomidate (Piramal Critical Care Ltd), en ampoules de 2 mg/mL (5 ampoules de 10 mL par boîte). La molécule reste classée sur la Liste I et sa prescription est strictement hospitalière.</w:t>
      </w:r>
    </w:p>
    <w:p>
      <w:pPr>
        <w:pStyle w:val="Heading2"/>
      </w:pPr>
      <w:r>
        <w:t>181.4 Sous-classe : Anesthésiques généraux IV — Antagonistes NMDA (Kétamine)</w:t>
      </w:r>
    </w:p>
    <w:p>
      <w:r>
        <w:t>Les antagonistes du récepteur NMDA constituent une famille pharmacologique singulière au sein des anesthésiques intraveineux : ils ne produisent pas une anesthésie générale classique avec perte de conscience et relaxation, mais un état de « dissociation cataleptoïde » caractérisé par une catalepsie (immobilité tonique), une analgésie profonde, une amnésie et une préservation paradoxale de la ventilation spontanée et des réflexes protecteurs des voies aériennes. Cette singularité explique le regain d'intérêt majeur pour la kétamine en anesthésie moderne, en particulier dans les contextes préhospitaliers, militaires, de médecine de catastrophe, et en analgésie réfractaire.</w:t>
      </w:r>
    </w:p>
    <w:p>
      <w:r>
        <w:t>La kétamine a été synthétisée en 1962 par Calvin Stevens à la Wayne State University (Détroit) pour Parke-Davis, à partir de la phéncyclidine (PCP) dont les propriétés anesthésiques avaient été découvertes en 1958 mais qui provoquait des réactions d'émergence psychodysleptiques inacceptables. La kétamine, testée sur des prisonniers de l'État du Michigan en 1964, conserve l'efficacité anesthésique et analgésique du PCP mais avec un profil d'émergence atténué. Commercialisée dès 1970 sous le nom de Ketalar, elle fut massivement employée par l'US Army pendant la guerre du Vietnam, où sa préservation de la ventilation et de la pression artérielle en faisait l'agent idéal pour le sauvetage au combat. La Food and Drug Administration (FDA) l'a approuvée en 1970 pour usage humain et vétérinaire. Plus récemment, la kétamine a connu une seconde vie thérapeutique : en 2019, l'escétamine (isomère S) en spray nasal (Spravato, Janssen) a obtenu l'agrément FDA pour la dépression résistante, et la kétamine IV à dose subanesthésique (0,1 à 0,5 mg/kg) est largement utilisée hors AMM pour la dépression réfractaire, les douleurs chroniques neuropathiques et la douleur cancéréreuse terminale.</w:t>
      </w:r>
    </w:p>
    <w:p>
      <w:r>
        <w:t>Le mécanisme de la kétamine repose sur l'antagonisme non compétitif du canal du récepteur NMDA, qu'elle bloque à la façon d'un canal ouvert : la molécule se fixe sur le site PCP à l'intérieur du canal, empêchant le flux entrant de calcium qui déclenche normalement la potentialisation à long terme (LTP), substrat moléculaire de la mémoire et de la douleur centrale. Cet antagonisme NMDA explique à la fois l'analgésie profonde (blocage de la sensibilisation centrale), l'amnésie et l'effet antidépresseur rapide (blocage de la « rigidité » des réseaux synaptiques dépressifs). La kétamine stimule également la libération d'endorphines endogènes et agit sur les récepteurs opioïdes μ et les canaux sodiques voltage-dépendants, contribuant à son profil analgésique.</w:t>
      </w:r>
    </w:p>
    <w:p>
      <w:r>
        <w:t>Sur le plan hémodynamique, la kétamine est unique parmi les anesthésiques IV : elle provoque une stimulation sympathique centrale (augmentation des taux de catécholamines circulantes) qui se traduit par une hypertension et une tachycardie, qui peuvent être délétères chez le coronarien ou le patient en hypertension non contrôlée, mais précieuses chez le patient hypovolémique ou en choc. La kétamine augmente le débit cardiaque et la pression artérielle moyenne, préserve la ventilation spontanée et les réflexes laryngés, et augmente la pression intracrânienne (PIC), ce qui contre-indique classiquement son usage isolé chez le traumatisé crânien (bien que cette contre-indication soit aujourd'hui nuancée par les recommandations SFAR en ventilation contrôlée).</w:t>
      </w:r>
    </w:p>
    <w:p>
      <w:r>
        <w:t>Les réactions d'émergence (hallucinations, délires, anxiété, cauchemars) surviennent chez 10 à 30 % des adultes, plus rarement chez l'enfant (5 %). Elles sont atténuées par l'administration conjointe de benzodiazépines (midazolam 0,05 mg/kg), par la diminution de la dose, et par la récupération en environnement calme et faiblement stimulé. Les autres effets indésirables incluent l'hypersécrétion salivaire et bronchique (nécessitant prémédication par atropine ou glycopyrrolate), la nystagmus, les mouvements anormaux, et à dose élevée une dépression respiratoire dose-dépendante.</w:t>
      </w:r>
    </w:p>
    <w:p>
      <w:r>
        <w:t>En Algérie, la kétamine est disponible sous une seule spécialité active : Ketaraz (Frater Razes, production locale), en solution injectable IV/IM à 50 mg/mL en boîtes de 10 et 50 ampoules. Les formes historiques Ketalar (Parke-Davis) et Brevinase (Pharmacare) ne sont plus commercialisées, ainsi que les spécialités non renouvelables Ketamine-10 et Ketamine-50 (Liorad). La kétamine est inscrite sur la Liste I des substances vénéneuses et fait l'objet d'une surveillance particulière en raison de son potentiel d'usage détourné récréatif (« Special K », « K-hole »).</w:t>
      </w:r>
    </w:p>
    <w:p>
      <w:pPr>
        <w:pStyle w:val="Heading2"/>
      </w:pPr>
      <w:r>
        <w:t>181.5 Sous-classe : Anesthésiques généraux IV — Benzodiazépines (Midazolam anesthésie)</w:t>
      </w:r>
    </w:p>
    <w:p>
      <w:r>
        <w:t>Les benzodiazépines (BZD) ne sont pas à proprement parler des anesthésiques généraux au sens strict : elles appartiennent à la classe des anxiolytiques-sédatifs-hypnotiques et leur usage à dose anesthésique est limité par leur dépression respiratoire et leur longue durée d'action résiduelle. Cependant, le midazolam occupe une place particulière dans l'arsenal anesthésique en raison de sa cinétique rapide, de sa biodisponibilité IM élevée et de sa réversibilité par le flumazénil, qui en font la molécule de référence pour la prémédication anxiolytique, la sédation procédurale consciente et la sédation en réanimation.</w:t>
      </w:r>
    </w:p>
    <w:p>
      <w:r>
        <w:t>Le midazolam, synthétisé en 1976 par Fryer et Walser chez Hoffmann-La Roche (Bâle), est une imidazobenzodiazépine dont la particularité chimique est l'existence d'un anneau imidazole qui se referme en milieu acide (pH &lt; 4) et s'ouvre en milieu neutre. Cette propriété permet au midazolam d'être hydrosoluble dans la formulation injectable acide (pH 3,5) et liposoluble au pH physiologique (7,4), autorisant une résorption tissulaire rapide et un délai d'action court (1 à 3 minutes en IV, 10 à 15 minutes en IM). Cette pharmacocinétique « à deux vitesses » a fait du midazolam la benzodiazépine d'induction anesthésique de référence depuis sa commercialisation en 1982 sous le nom de Dormicum.</w:t>
      </w:r>
    </w:p>
    <w:p>
      <w:r>
        <w:t>Le mécanisme du midazolam repose sur la modulation allostérique positive du récepteur GABA-A : la molécule se fixe sur le site BZD du complexe (entre les sous-unités α et γ), augmentant la fréquence d'ouverture du canal chlore en réponse au GABA, sans activation propre en l'absence de GABA. Cette modulation allostérique « en présence du neurotransmetteur endogène » explique la sécurité relative des BZD par rapport aux barbituriques (qui activent directement le canal), avec un plafond d'effet sur la dépression respiratoire qui rend les overdoses pures moins létales (mais non anodines, surtout en association avec les opioïdes ou l'alcool).</w:t>
      </w:r>
    </w:p>
    <w:p>
      <w:r>
        <w:t>Les effets pharmacologiques du midazolam sont : anxiolyse, sédation, induction d'hypnose (à dose élevée), amnésie antérograde (précieuse pour les procédures désagréables), myorelaxation centrale (par potentialisation de l'inhibition glycinergique spinale), et effet anticonvulsivant (le midazolam IV est aujourd'hui l'agent de première ligne dans le status epilepticus de l'enfant et de l'adulte selon les recommandations SFEMER 2015 et NICE 2016). Le midazolam est dépourvu d'effet analgésique propre, ce qui impose son association systématique à un morphinique (fentanyl, sufentanil, rémifentanil) pour les procédures douloureuses.</w:t>
      </w:r>
    </w:p>
    <w:p>
      <w:r>
        <w:t>Les risques majeurs du midazolam sont la dépression respiratoire (central, sensible au naloxone partiel et au flumazénil), l'hypotension (modérée), et la sédation prolongée chez le sujet âgé en raison de l'allongement de la demi-vie d'élimination (jusqu'à 8-12 heures chez le sujet &gt; 70 ans). Le flumazénil (Anexate), antagoniste compétitif BZD, est l'antidote spécifique : 0,2 mg IV puis 0,1 mg/min jusqu'à 1 mg maximal, à utiliser avec prudence chez le patient chronique sous BZD en raison du risque de précipitation de convulsions.</w:t>
      </w:r>
    </w:p>
    <w:p>
      <w:r>
        <w:t>En Algérie, le midazolam injectable est largement disponible sous huit spécialités dont sept actives : Hikma Midazolam (Hikma Pharma Algeria), Hypnozolam (Frater Razes), Ipnodis (Medis), Midazolam Inpha-Medis, Midazolam Mylan (Mylan SAS, deux dosages : 1 mg/mL et 5 mg/mL), Sedalam (El Kendi et MS Pharma Jordan). La spécialité historique Dormicum (Hoffmann-La Roche) est retirée du marché. Cette diversité reflète l'importance de la molécule dans la pratique anesthésique et réanimatoire nationale.</w:t>
      </w:r>
    </w:p>
    <w:p>
      <w:pPr>
        <w:pStyle w:val="Heading2"/>
      </w:pPr>
      <w:r>
        <w:t>181.6 Sous-classe : Anesthésiques volatils — Halogénés (Sévoflurane, Isoflurane)</w:t>
      </w:r>
    </w:p>
    <w:p>
      <w:r>
        <w:t>Les anesthésiques volatils halogénés constituent le pilier de la maintenance anesthésique depuis la commercialisation de l'halothane (1956). Ils appartiennent à la famille des hydrocarbures halogénés (fluor, chlore, brome) liquides à température ambiante, vaporisés dans un circuit d'anesthésie à l'aide d'un évaporateur calibré. Leur avantage majeur réside dans leur pharmacocinétique : la cinétique d'entrée et de sortie est gouvernée par la ventilation alvéolaire, la solubilité sang/gaz (coefficient λ), et le débit cardiaque, autorisant un contrôle minutieux de la profondeur d'anesthésie en continu.</w:t>
      </w:r>
    </w:p>
    <w:p>
      <w:r>
        <w:t>Deux molécules dominent aujourd'hui la pratique anesthésique mondiale et algérienne : le sévoflurane (introduit au Japon en 1990 par Maruishi, aux États-Unis en 1995) et l'isoflurane (commercialisé depuis 1980). L'halothane, longtemps référence, a été progressivement abandonné en raison de sa hépatotoxicité immuno-allergique (hépatite à l'halothane, anticorps anti-CYP2E1-trifluoroacétylé, incidence 1/35 000) et de son potentiel d'arythmies ventriculaires sensibles aux catécholamines. Le desflurane, halogéné moderne à faible solubilité et à cinétique très rapide, n'est pas disponible en Algérie à la date de cette nomenclature (Avril 2026).</w:t>
      </w:r>
    </w:p>
    <w:p>
      <w:r>
        <w:t>Le mécanisme d'action des halogénés demeure l'objet de débats scientifiques depuis plus d'un siècle (la théorie lipidique de Meyer-Overton datant de 1899 a été supplantée par la théorie protéique des canaux ioniques depuis les années 1990). Les données contemporaines identifient plusieurs cibles moléculaires : (i) activation des canaux potassiques à deux pores (K2P : TREK-1, TASK-3, TRESK) qui hyperpolarisent les neurones ; (ii) inhibition des canaux sodiques voltage-dépendants (Nav 1.2, Nav 1.6) dans le cortex et la moelle épinière, réduisant la neurotransmission excitatrice ; (iii) inhibition des canaux calciques voltage-dépendants N et P/Q ; (iv) potentialisation allostérique du récepteur GABA-A et inhibition du récepteur NMDA à forte dose ; (v) activation du récepteur glycinergique inhibiteur spinal. Cette pléiade de cibles explique l'anesthésie « équilibrée » caractéristique des halogénés : perte de conscience, amnésie, immobilité aux stimulus douloureux, analgésie spinale et dépression des réflexes autonomes.</w:t>
      </w:r>
    </w:p>
    <w:p>
      <w:r>
        <w:t>La cinétique des halogénés repose sur le coefficient de solubilité sang/gaz (λ) : plus λ est faible, plus l'équilibre alvéole-sang est rapide, plus l'induction et le réveil sont courts. Le sévoflurane (λ ≈ 0,65) est nettement moins soluble que l'isoflurane (λ ≈ 1,4), d'où une induction et un réveil plus rapides. La concentration alvéolaire minimale (CAM) mesure la puissance anesthésique : c'est la concentration alvéolaire empêchant le réflexe d'incision chirurgicale chez 50 % des sujets. La CAM du sévoflurane (1,8 % chez l'adulte, 2,5 % chez l'enfant) est supérieure à celle de l'isoflurane (1,15 %), qui est plus puissant.</w:t>
      </w:r>
    </w:p>
    <w:p>
      <w:r>
        <w:t>Le profil de tolérance des halogénés est dominé par : la dépression myocardique dose-dépendante (vasodilatation artériolaire, baisse du débit cardiaque), la vasodilatation cérébrale avec augmentation du débit sanguin cérébral et de la pression intracrânienne (contre-indication relative en neurochirurgie sans hyperventilation préalable), la dépression respiratoire (bronchodilatation compensatrice), la toxicité hépatique immune (rare mais grave, surtout isoflurane et sévoflurane), la néphrotoxicité (fluorures libérés, surtout avec le sévoflurane en circuit fermé avec chaux sodée déshydratée → composé A nephrotoxique chez le rat), l'hyperthermie maligne per-anesthésique (récessive liée au récepteur de la ryanodine RyR1, déclenchée par tous les halogénés et le succinylcholine, incidence 1/15 000 à 1/50 000, mortalité 5 % si non traitée par dantrolène IV), et l'hyperkaliémie maligne à l'induction chez les enfants porteurs de dystrophie musculaire de Duchenne (induction au sévoflurane avec rhabdomyolyse aiguë et arrêt cardiaque hyperkaliémique).</w:t>
      </w:r>
    </w:p>
    <w:p>
      <w:r>
        <w:t>La FDA a émis en avril 2017 puis réitéré en 2021 un avertissement (« Drug Safety Communication ») sur la neurotoxicité des anesthésiques généraux (halogénés et IV) chez les enfants de moins de 3 ans : les études animales (macaques, rongeurs) et les études d'observation humaines (cohortes PANDA, GAS, MASK) ont montré un risque de troubles des apprentissages et du comportement après anesthésies répétées ou prolongées (&gt; 3 heures) chez le jeune enfant. Les sociétés savantes (FDA, EMA, SFAR, ASA) recommandent de différer autant que possible les actes chirurgicaux programmés non urgents chez l'enfant de moins de 3 ans, et de privilégier les anesthésies courtes et uniques. Le débat reste toutefois ouvert car l'étude GAS (Mayo Clinic, Lancet 2019, n=722) n'a pas retrouvé de différence cognitive significative à 5 ans entre exposition unique breve au sévoflurane et anesthésie régionale.</w:t>
      </w:r>
    </w:p>
    <w:p>
      <w:r>
        <w:t>En Algérie, le marché des halogénés est structuré autour de deux molécules et de plusieurs producteurs internationaux. Le sévoflurane est disponible sous quatre spécialités actives : Haluran (Tabuk Pharmaceuticals, Arabie Saoudite), Sevoflurane USP (Baxter Healthcare), Sevorane (AbbVie) et Sojourn (Piramal Critical Care), plus la spécialité retirée Sevoflurelle (Chanelle Medical, Irlande). L'isoflurane est disponible sous deux spécialités actives : Aerrane (Baxter Healthcare) et Forene (AbbVie). Tous sont en flacons de 100 mL ou 250 mL de liquide pour inhalation par vapeur, classés sur la Liste I.</w:t>
      </w:r>
    </w:p>
    <w:p>
      <w:pPr>
        <w:pStyle w:val="Heading2"/>
      </w:pPr>
      <w:r>
        <w:t>181.1.1 — PROPOFOL</w:t>
      </w:r>
    </w:p>
    <w:p>
      <w:pPr>
        <w:pStyle w:val="Heading3"/>
      </w:pPr>
      <w:r>
        <w:t>181.1.1.1 Catégories pharmaco-thérapeutiques et indications</w:t>
      </w:r>
    </w:p>
    <w:p>
      <w:r/>
      <w:r>
        <w:rPr>
          <w:b/>
        </w:rPr>
        <w:t>DCI :</w:t>
      </w:r>
      <w:r>
        <w:t xml:space="preserve"> Propofol (2,6-diisopropylphénol).</w:t>
      </w:r>
    </w:p>
    <w:p>
      <w:r/>
      <w:r>
        <w:rPr>
          <w:b/>
        </w:rPr>
        <w:t>Code ATC :</w:t>
      </w:r>
      <w:r>
        <w:t xml:space="preserve"> N01AX10 (anesthésiques généraux, autres anesthésiques IV).</w:t>
      </w:r>
    </w:p>
    <w:p>
      <w:r/>
      <w:r>
        <w:rPr>
          <w:b/>
        </w:rPr>
        <w:t>Classe chimique :</w:t>
      </w:r>
      <w:r>
        <w:t xml:space="preserve"> phénol alkylé à deux substituants isopropyles ; dérivé lipophile non barbiturique apparenté aux antioxydants phénoliques naturels (alpha-tocophérol).</w:t>
      </w:r>
    </w:p>
    <w:p>
      <w:r/>
      <w:r>
        <w:rPr>
          <w:b/>
        </w:rPr>
        <w:t>Sous-classes pharmacologiques :</w:t>
      </w:r>
      <w:r>
        <w:t xml:space="preserve"> hypnotique intraveineux d'induction et d'entretien ; agent de sédation en réanimation ; agent antiémétique à faible dose.</w:t>
      </w:r>
    </w:p>
    <w:p>
      <w:r/>
      <w:r>
        <w:rPr>
          <w:b/>
        </w:rPr>
        <w:t>Indications portées sur l'AMM (RCP VIDAL/EMA) :</w:t>
      </w:r>
      <w:r/>
    </w:p>
    <w:p>
      <w:pPr>
        <w:pStyle w:val="ListBullet"/>
      </w:pPr>
      <w:r>
        <w:t>Induction de l'anesthésie générale chez l'adulte et l'enfant de plus de 1 mois (induction en séquence rapide ou induction standard).</w:t>
      </w:r>
    </w:p>
    <w:p>
      <w:pPr>
        <w:pStyle w:val="ListBullet"/>
      </w:pPr>
      <w:r>
        <w:t>Entretien de l'anesthésie générale par perfusion continue (AIAC ou AIVOC en mode Diprifusor).</w:t>
      </w:r>
    </w:p>
    <w:p>
      <w:pPr>
        <w:pStyle w:val="ListBullet"/>
      </w:pPr>
      <w:r>
        <w:t>Sédation procédurale consciente chez l'adulte (endoscopie digestive, bronchoscopie, radiologie interventionnelle, soins dentaires, césarienne sous anesthésie loco-régionale).</w:t>
      </w:r>
    </w:p>
    <w:p>
      <w:pPr>
        <w:pStyle w:val="ListBullet"/>
      </w:pPr>
      <w:r>
        <w:t>Sédation des patients intubés ventilés en réanimation, chez l'adulte (limité à 7 jours en raison du risque de Propofol Infusion Syndrome).</w:t>
      </w:r>
    </w:p>
    <w:p>
      <w:pPr>
        <w:pStyle w:val="ListBullet"/>
      </w:pPr>
      <w:r>
        <w:t>Antiémétique à faible dose (10 à 20 mg IV) en postopératoire (usage hors AMM).</w:t>
      </w:r>
    </w:p>
    <w:p>
      <w:r/>
      <w:r>
        <w:rPr>
          <w:b/>
        </w:rPr>
        <w:t>Indications non couvertes par l'AMM :</w:t>
      </w:r>
      <w:r>
        <w:t xml:space="preserve"> sédation prolongée en réanimation pédiatrique (en raison du PRIS, contre-indiqué chez l'enfant de moins de 16 ans en perfusion supérieure à 48 heures selon l'EMA et l'Afssaps) ; analgésie obstétricale (en raison du passage transplacentaire et de la dépression néonatale) ; euthanasie (usage légal dans les pays autorisés, protocole néerlandais et belge).</w:t>
      </w:r>
    </w:p>
    <w:p>
      <w:pPr>
        <w:pStyle w:val="Heading3"/>
      </w:pPr>
      <w:r>
        <w:t>181.1.1.2 Médicaments disponibles en Algérie</w:t>
      </w:r>
    </w:p>
    <w:p>
      <w:r>
        <w:t>Le propofol est inscrit sur la Liste I des substances vénéneuses et sa prescription est strictement hospitalière. Le tableau suivant recense l'ensemble des spécialités ayant fait l'objet d'une autorisation de mise sur le marché en Algérie selon la nomenclature nationale (Avril 2026), en distinguant les spécialités actives (commercialisées), non renouvelables (suspension transitoire) et retirées (arrêt définitif).</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PROPOFOL FRESENIUS 1%</w:t>
            </w:r>
          </w:p>
        </w:tc>
        <w:tc>
          <w:tcPr>
            <w:tcW w:type="dxa" w:w="1559"/>
          </w:tcPr>
          <w:p>
            <w:r>
              <w:rPr>
                <w:sz w:val="20"/>
              </w:rPr>
              <w:t>FRESENIUS KABI</w:t>
            </w:r>
          </w:p>
        </w:tc>
        <w:tc>
          <w:tcPr>
            <w:tcW w:type="dxa" w:w="1559"/>
          </w:tcPr>
          <w:p>
            <w:r>
              <w:rPr>
                <w:sz w:val="20"/>
              </w:rPr>
              <w:t>Émulsion injectable IV et pour perfusion IV, 1 % (10 mg/mL, 200 mg/20 mL)</w:t>
            </w:r>
          </w:p>
        </w:tc>
        <w:tc>
          <w:tcPr>
            <w:tcW w:type="dxa" w:w="1559"/>
          </w:tcPr>
          <w:p>
            <w:r>
              <w:rPr>
                <w:sz w:val="20"/>
              </w:rPr>
              <w:t>Boîte de 5 ampoules de 20 mL (200 mg/20 mL)</w:t>
            </w:r>
          </w:p>
        </w:tc>
        <w:tc>
          <w:tcPr>
            <w:tcW w:type="dxa" w:w="1559"/>
          </w:tcPr>
          <w:p>
            <w:r>
              <w:rPr>
                <w:sz w:val="20"/>
              </w:rPr>
              <w:t>Liste I</w:t>
            </w:r>
          </w:p>
        </w:tc>
        <w:tc>
          <w:tcPr>
            <w:tcW w:type="dxa" w:w="1559"/>
          </w:tcPr>
          <w:p>
            <w:r>
              <w:rPr>
                <w:sz w:val="20"/>
              </w:rPr>
              <w:t>ACTIF</w:t>
            </w:r>
          </w:p>
        </w:tc>
      </w:tr>
      <w:tr>
        <w:tc>
          <w:tcPr>
            <w:tcW w:type="dxa" w:w="1559"/>
          </w:tcPr>
          <w:p>
            <w:r>
              <w:rPr>
                <w:sz w:val="20"/>
              </w:rPr>
              <w:t>PROPOFOL KABI</w:t>
            </w:r>
          </w:p>
        </w:tc>
        <w:tc>
          <w:tcPr>
            <w:tcW w:type="dxa" w:w="1559"/>
          </w:tcPr>
          <w:p>
            <w:r>
              <w:rPr>
                <w:sz w:val="20"/>
              </w:rPr>
              <w:t>FRESENIUS KABI</w:t>
            </w:r>
          </w:p>
        </w:tc>
        <w:tc>
          <w:tcPr>
            <w:tcW w:type="dxa" w:w="1559"/>
          </w:tcPr>
          <w:p>
            <w:r>
              <w:rPr>
                <w:sz w:val="20"/>
              </w:rPr>
              <w:t>Émulsion injectable IV et pour perfusion, 1 % (10 mg/mL)</w:t>
            </w:r>
          </w:p>
        </w:tc>
        <w:tc>
          <w:tcPr>
            <w:tcW w:type="dxa" w:w="1559"/>
          </w:tcPr>
          <w:p>
            <w:r>
              <w:rPr>
                <w:sz w:val="20"/>
              </w:rPr>
              <w:t>Boîte de 5 ampoules de 20 mL</w:t>
            </w:r>
          </w:p>
        </w:tc>
        <w:tc>
          <w:tcPr>
            <w:tcW w:type="dxa" w:w="1559"/>
          </w:tcPr>
          <w:p>
            <w:r>
              <w:rPr>
                <w:sz w:val="20"/>
              </w:rPr>
              <w:t>Liste I</w:t>
            </w:r>
          </w:p>
        </w:tc>
        <w:tc>
          <w:tcPr>
            <w:tcW w:type="dxa" w:w="1559"/>
          </w:tcPr>
          <w:p>
            <w:r>
              <w:rPr>
                <w:sz w:val="20"/>
              </w:rPr>
              <w:t>ACTIF</w:t>
            </w:r>
          </w:p>
        </w:tc>
      </w:tr>
      <w:tr>
        <w:tc>
          <w:tcPr>
            <w:tcW w:type="dxa" w:w="1559"/>
          </w:tcPr>
          <w:p>
            <w:r>
              <w:rPr>
                <w:sz w:val="20"/>
              </w:rPr>
              <w:t>PROVIVE</w:t>
            </w:r>
          </w:p>
        </w:tc>
        <w:tc>
          <w:tcPr>
            <w:tcW w:type="dxa" w:w="1559"/>
          </w:tcPr>
          <w:p>
            <w:r>
              <w:rPr>
                <w:sz w:val="20"/>
              </w:rPr>
              <w:t>EL KENDI INDUSTRIE DU MEDICAMENT</w:t>
            </w:r>
          </w:p>
        </w:tc>
        <w:tc>
          <w:tcPr>
            <w:tcW w:type="dxa" w:w="1559"/>
          </w:tcPr>
          <w:p>
            <w:r>
              <w:rPr>
                <w:sz w:val="20"/>
              </w:rPr>
              <w:t>Émulsion IV pour perfusion, 1 % (10 mg/mL)</w:t>
            </w:r>
          </w:p>
        </w:tc>
        <w:tc>
          <w:tcPr>
            <w:tcW w:type="dxa" w:w="1559"/>
          </w:tcPr>
          <w:p>
            <w:r>
              <w:rPr>
                <w:sz w:val="20"/>
              </w:rPr>
              <w:t>Boîte de 5 flacons de 20 mL</w:t>
            </w:r>
          </w:p>
        </w:tc>
        <w:tc>
          <w:tcPr>
            <w:tcW w:type="dxa" w:w="1559"/>
          </w:tcPr>
          <w:p>
            <w:r>
              <w:rPr>
                <w:sz w:val="20"/>
              </w:rPr>
              <w:t>Liste I</w:t>
            </w:r>
          </w:p>
        </w:tc>
        <w:tc>
          <w:tcPr>
            <w:tcW w:type="dxa" w:w="1559"/>
          </w:tcPr>
          <w:p>
            <w:r>
              <w:rPr>
                <w:sz w:val="20"/>
              </w:rPr>
              <w:t>ACTIF</w:t>
            </w:r>
          </w:p>
        </w:tc>
      </w:tr>
      <w:tr>
        <w:tc>
          <w:tcPr>
            <w:tcW w:type="dxa" w:w="1559"/>
          </w:tcPr>
          <w:p>
            <w:r>
              <w:rPr>
                <w:sz w:val="20"/>
              </w:rPr>
              <w:t>RECOFOL</w:t>
            </w:r>
          </w:p>
        </w:tc>
        <w:tc>
          <w:tcPr>
            <w:tcW w:type="dxa" w:w="1559"/>
          </w:tcPr>
          <w:p>
            <w:r>
              <w:rPr>
                <w:sz w:val="20"/>
              </w:rPr>
              <w:t>SCHERING OY</w:t>
            </w:r>
          </w:p>
        </w:tc>
        <w:tc>
          <w:tcPr>
            <w:tcW w:type="dxa" w:w="1559"/>
          </w:tcPr>
          <w:p>
            <w:r>
              <w:rPr>
                <w:sz w:val="20"/>
              </w:rPr>
              <w:t>Solution injectable IV, 200 mg/20 mL</w:t>
            </w:r>
          </w:p>
        </w:tc>
        <w:tc>
          <w:tcPr>
            <w:tcW w:type="dxa" w:w="1559"/>
          </w:tcPr>
          <w:p>
            <w:r>
              <w:rPr>
                <w:sz w:val="20"/>
              </w:rPr>
              <w:t>Boîte de 5 ampoules de 20 mL</w:t>
            </w:r>
          </w:p>
        </w:tc>
        <w:tc>
          <w:tcPr>
            <w:tcW w:type="dxa" w:w="1559"/>
          </w:tcPr>
          <w:p>
            <w:r>
              <w:rPr>
                <w:sz w:val="20"/>
              </w:rPr>
              <w:t>Liste I</w:t>
            </w:r>
          </w:p>
        </w:tc>
        <w:tc>
          <w:tcPr>
            <w:tcW w:type="dxa" w:w="1559"/>
          </w:tcPr>
          <w:p>
            <w:r>
              <w:rPr>
                <w:sz w:val="20"/>
              </w:rPr>
              <w:t>NON_RENOUVELABLE</w:t>
            </w:r>
          </w:p>
        </w:tc>
      </w:tr>
      <w:tr>
        <w:tc>
          <w:tcPr>
            <w:tcW w:type="dxa" w:w="1559"/>
          </w:tcPr>
          <w:p>
            <w:r>
              <w:rPr>
                <w:sz w:val="20"/>
              </w:rPr>
              <w:t>DIPRIVAN</w:t>
            </w:r>
          </w:p>
        </w:tc>
        <w:tc>
          <w:tcPr>
            <w:tcW w:type="dxa" w:w="1559"/>
          </w:tcPr>
          <w:p>
            <w:r>
              <w:rPr>
                <w:sz w:val="20"/>
              </w:rPr>
              <w:t>ZENECA PHARMA</w:t>
            </w:r>
          </w:p>
        </w:tc>
        <w:tc>
          <w:tcPr>
            <w:tcW w:type="dxa" w:w="1559"/>
          </w:tcPr>
          <w:p>
            <w:r>
              <w:rPr>
                <w:sz w:val="20"/>
              </w:rPr>
              <w:t>Solution injectable IV, 200 mg/20 mL</w:t>
            </w:r>
          </w:p>
        </w:tc>
        <w:tc>
          <w:tcPr>
            <w:tcW w:type="dxa" w:w="1559"/>
          </w:tcPr>
          <w:p>
            <w:r>
              <w:rPr>
                <w:sz w:val="20"/>
              </w:rPr>
              <w:t>Boîte de 5 ampoules de 20 mL</w:t>
            </w:r>
          </w:p>
        </w:tc>
        <w:tc>
          <w:tcPr>
            <w:tcW w:type="dxa" w:w="1559"/>
          </w:tcPr>
          <w:p>
            <w:r>
              <w:rPr>
                <w:sz w:val="20"/>
              </w:rPr>
              <w:t>Liste I</w:t>
            </w:r>
          </w:p>
        </w:tc>
        <w:tc>
          <w:tcPr>
            <w:tcW w:type="dxa" w:w="1559"/>
          </w:tcPr>
          <w:p>
            <w:r>
              <w:rPr>
                <w:sz w:val="20"/>
              </w:rPr>
              <w:t>RETRAIT (R)</w:t>
            </w:r>
          </w:p>
        </w:tc>
      </w:tr>
      <w:tr>
        <w:tc>
          <w:tcPr>
            <w:tcW w:type="dxa" w:w="1559"/>
          </w:tcPr>
          <w:p>
            <w:r>
              <w:rPr>
                <w:sz w:val="20"/>
              </w:rPr>
              <w:t>DIPRIVAN</w:t>
            </w:r>
          </w:p>
        </w:tc>
        <w:tc>
          <w:tcPr>
            <w:tcW w:type="dxa" w:w="1559"/>
          </w:tcPr>
          <w:p>
            <w:r>
              <w:rPr>
                <w:sz w:val="20"/>
              </w:rPr>
              <w:t>ZENECA PHARMA</w:t>
            </w:r>
          </w:p>
        </w:tc>
        <w:tc>
          <w:tcPr>
            <w:tcW w:type="dxa" w:w="1559"/>
          </w:tcPr>
          <w:p>
            <w:r>
              <w:rPr>
                <w:sz w:val="20"/>
              </w:rPr>
              <w:t>Solution injectable IV, 500 mg/50 mL</w:t>
            </w:r>
          </w:p>
        </w:tc>
        <w:tc>
          <w:tcPr>
            <w:tcW w:type="dxa" w:w="1559"/>
          </w:tcPr>
          <w:p>
            <w:r>
              <w:rPr>
                <w:sz w:val="20"/>
              </w:rPr>
              <w:t>Flacon de 50 mL</w:t>
            </w:r>
          </w:p>
        </w:tc>
        <w:tc>
          <w:tcPr>
            <w:tcW w:type="dxa" w:w="1559"/>
          </w:tcPr>
          <w:p>
            <w:r>
              <w:rPr>
                <w:sz w:val="20"/>
              </w:rPr>
              <w:t>Liste I</w:t>
            </w:r>
          </w:p>
        </w:tc>
        <w:tc>
          <w:tcPr>
            <w:tcW w:type="dxa" w:w="1559"/>
          </w:tcPr>
          <w:p>
            <w:r>
              <w:rPr>
                <w:sz w:val="20"/>
              </w:rPr>
              <w:t>RETRAIT (R)</w:t>
            </w:r>
          </w:p>
        </w:tc>
      </w:tr>
      <w:tr>
        <w:tc>
          <w:tcPr>
            <w:tcW w:type="dxa" w:w="1559"/>
          </w:tcPr>
          <w:p>
            <w:r>
              <w:rPr>
                <w:sz w:val="20"/>
              </w:rPr>
              <w:t>DIPRIVAN</w:t>
            </w:r>
          </w:p>
        </w:tc>
        <w:tc>
          <w:tcPr>
            <w:tcW w:type="dxa" w:w="1559"/>
          </w:tcPr>
          <w:p>
            <w:r>
              <w:rPr>
                <w:sz w:val="20"/>
              </w:rPr>
              <w:t>ZENECA PHARMA</w:t>
            </w:r>
          </w:p>
        </w:tc>
        <w:tc>
          <w:tcPr>
            <w:tcW w:type="dxa" w:w="1559"/>
          </w:tcPr>
          <w:p>
            <w:r>
              <w:rPr>
                <w:sz w:val="20"/>
              </w:rPr>
              <w:t>Solution injectable IV, 1 g/100 mL</w:t>
            </w:r>
          </w:p>
        </w:tc>
        <w:tc>
          <w:tcPr>
            <w:tcW w:type="dxa" w:w="1559"/>
          </w:tcPr>
          <w:p>
            <w:r>
              <w:rPr>
                <w:sz w:val="20"/>
              </w:rPr>
              <w:t>Flacon de 100 mL</w:t>
            </w:r>
          </w:p>
        </w:tc>
        <w:tc>
          <w:tcPr>
            <w:tcW w:type="dxa" w:w="1559"/>
          </w:tcPr>
          <w:p>
            <w:r>
              <w:rPr>
                <w:sz w:val="20"/>
              </w:rPr>
              <w:t>Liste I</w:t>
            </w:r>
          </w:p>
        </w:tc>
        <w:tc>
          <w:tcPr>
            <w:tcW w:type="dxa" w:w="1559"/>
          </w:tcPr>
          <w:p>
            <w:r>
              <w:rPr>
                <w:sz w:val="20"/>
              </w:rPr>
              <w:t>RETRAIT (R)</w:t>
            </w:r>
          </w:p>
        </w:tc>
      </w:tr>
      <w:tr>
        <w:tc>
          <w:tcPr>
            <w:tcW w:type="dxa" w:w="1559"/>
          </w:tcPr>
          <w:p>
            <w:r>
              <w:rPr>
                <w:sz w:val="20"/>
              </w:rPr>
              <w:t>DIPRIVAN</w:t>
            </w:r>
          </w:p>
        </w:tc>
        <w:tc>
          <w:tcPr>
            <w:tcW w:type="dxa" w:w="1559"/>
          </w:tcPr>
          <w:p>
            <w:r>
              <w:rPr>
                <w:sz w:val="20"/>
              </w:rPr>
              <w:t>ASPEN PHARMA SCHWEIZ GMBH</w:t>
            </w:r>
          </w:p>
        </w:tc>
        <w:tc>
          <w:tcPr>
            <w:tcW w:type="dxa" w:w="1559"/>
          </w:tcPr>
          <w:p>
            <w:r>
              <w:rPr>
                <w:sz w:val="20"/>
              </w:rPr>
              <w:t>Émulsion injectable IV en seringue pré-remplie, 10 mg/mL</w:t>
            </w:r>
          </w:p>
        </w:tc>
        <w:tc>
          <w:tcPr>
            <w:tcW w:type="dxa" w:w="1559"/>
          </w:tcPr>
          <w:p>
            <w:r>
              <w:rPr>
                <w:sz w:val="20"/>
              </w:rPr>
              <w:t>Boîte de 1 seringue pré-remplie de 50 mL</w:t>
            </w:r>
          </w:p>
        </w:tc>
        <w:tc>
          <w:tcPr>
            <w:tcW w:type="dxa" w:w="1559"/>
          </w:tcPr>
          <w:p>
            <w:r>
              <w:rPr>
                <w:sz w:val="20"/>
              </w:rPr>
              <w:t>Liste I</w:t>
            </w:r>
          </w:p>
        </w:tc>
        <w:tc>
          <w:tcPr>
            <w:tcW w:type="dxa" w:w="1559"/>
          </w:tcPr>
          <w:p>
            <w:r>
              <w:rPr>
                <w:sz w:val="20"/>
              </w:rPr>
              <w:t>RETRAIT (R)</w:t>
            </w:r>
          </w:p>
        </w:tc>
      </w:tr>
      <w:tr>
        <w:tc>
          <w:tcPr>
            <w:tcW w:type="dxa" w:w="1559"/>
          </w:tcPr>
          <w:p>
            <w:r>
              <w:rPr>
                <w:sz w:val="20"/>
              </w:rPr>
              <w:t>DIPRIVAN</w:t>
            </w:r>
          </w:p>
        </w:tc>
        <w:tc>
          <w:tcPr>
            <w:tcW w:type="dxa" w:w="1559"/>
          </w:tcPr>
          <w:p>
            <w:r>
              <w:rPr>
                <w:sz w:val="20"/>
              </w:rPr>
              <w:t>ASPEN PHARMA SCHWEIZ GMBH</w:t>
            </w:r>
          </w:p>
        </w:tc>
        <w:tc>
          <w:tcPr>
            <w:tcW w:type="dxa" w:w="1559"/>
          </w:tcPr>
          <w:p>
            <w:r>
              <w:rPr>
                <w:sz w:val="20"/>
              </w:rPr>
              <w:t>Émulsion injectable IV en seringue pré-remplie, 20 mg/mL</w:t>
            </w:r>
          </w:p>
        </w:tc>
        <w:tc>
          <w:tcPr>
            <w:tcW w:type="dxa" w:w="1559"/>
          </w:tcPr>
          <w:p>
            <w:r>
              <w:rPr>
                <w:sz w:val="20"/>
              </w:rPr>
              <w:t>Boîte de 1 seringue pré-remplie de 50 mL</w:t>
            </w:r>
          </w:p>
        </w:tc>
        <w:tc>
          <w:tcPr>
            <w:tcW w:type="dxa" w:w="1559"/>
          </w:tcPr>
          <w:p>
            <w:r>
              <w:rPr>
                <w:sz w:val="20"/>
              </w:rPr>
              <w:t>Liste I</w:t>
            </w:r>
          </w:p>
        </w:tc>
        <w:tc>
          <w:tcPr>
            <w:tcW w:type="dxa" w:w="1559"/>
          </w:tcPr>
          <w:p>
            <w:r>
              <w:rPr>
                <w:sz w:val="20"/>
              </w:rPr>
              <w:t>RETRAIT (R)</w:t>
            </w:r>
          </w:p>
        </w:tc>
      </w:tr>
    </w:tbl>
    <w:p/>
    <w:p>
      <w:r/>
      <w:r>
        <w:rPr>
          <w:b/>
        </w:rPr>
        <w:t>Commentaire :</w:t>
      </w:r>
      <w:r>
        <w:t xml:space="preserve"> Le marché algérien actif du propofol repose sur trois spécialités, dont une production locale (Provive, El Kendi) et deux formulations Fresenius Kabi (Propofol Fresenius 1 % et Propofol Kabi). Le princeps historique Diprivan (AstraZeneca puis Aspen) a été retiré du marché algérien, mais reste commercialisé à l'international. Le Recofol (Schering Oy, filiale finlandaise de Schering-Plough puis Bayer) n'est plus renouvelé en Algérie. La formulation en seringue pré-remplie de 50 mL (Diprivan Aspen), particulièrement adaptée à l'AIVOC, n'est plus disponible sur le marché algérien : les structures utilisant l'AIVOC doivent recourir aux seringues conventionnelles remplies à partir des ampoules de 20 mL ou des flacons de 50 mL si disponibles.</w:t>
      </w:r>
    </w:p>
    <w:p>
      <w:pPr>
        <w:pStyle w:val="Heading3"/>
      </w:pPr>
      <w:r>
        <w:t>181.1.1.3 Mécanisme d'action moléculaire, cellulaire et physiologique</w:t>
      </w:r>
    </w:p>
    <w:p>
      <w:r>
        <w:t>Le propofol (2,6-diisopropylphénol) est un hypnotique anesthésique IV dont le mécanisme d'action principal, comme l'ensemble des hypnotiques non barbituriques, repose sur la modulation allostérique positive du récepteur GABA-A, le principal récepteur de l'inhibition cérébrale. La molécule se fixe sur un site allostérique distinct du site GABA et du site des benzodiazépines, situé à l'interface des sous-unités β+ et α− du pentamère canalaire. Cette fixation augmente la conductance chlorure en prolongeant la durée d'ouverture du canal GABA-A en réponse au GABA endogène, sans activation propre en l'absence de neurotransmetteur (effet modulateur, non activateur direct). Le résultat cellulaire est une hyperpolarisation postsynaptique qui inhibe la transmission excitatrice et déprime l'activité spontanée des neurones corticaux, thalamiques et limbiques.</w:t>
      </w:r>
    </w:p>
    <w:p>
      <w:r>
        <w:t>Au-delà du récepteur GABA-A, le propofol exerce plusieurs effets moléculaires documentés qui participent à son profil clinique :</w:t>
      </w:r>
    </w:p>
    <w:p>
      <w:pPr>
        <w:pStyle w:val="ListBullet"/>
      </w:pPr>
      <w:r/>
      <w:r>
        <w:rPr>
          <w:b/>
        </w:rPr>
        <w:t>Inhibition des récepteurs NMDA</w:t>
      </w:r>
      <w:r>
        <w:t xml:space="preserve"> : à concentrations cliniques, le propofol inhibe de manière non compétitive le canal NMDA, contribuant à l'analgésie centrale et à la neuroprotection expérimentale.</w:t>
      </w:r>
    </w:p>
    <w:p>
      <w:pPr>
        <w:pStyle w:val="ListBullet"/>
      </w:pPr>
      <w:r/>
      <w:r>
        <w:rPr>
          <w:b/>
        </w:rPr>
        <w:t>Activation des canaux potassiques à deux pores (K2P)</w:t>
      </w:r>
      <w:r>
        <w:t xml:space="preserve"> : en particulier TREK-1 et TRESK, dont l'ouverture hyperpolarise la membrane neuronale et concourt à la perte de conscience.</w:t>
      </w:r>
    </w:p>
    <w:p>
      <w:pPr>
        <w:pStyle w:val="ListBullet"/>
      </w:pPr>
      <w:r/>
      <w:r>
        <w:rPr>
          <w:b/>
        </w:rPr>
        <w:t>Inhibition des canaux sodiques voltage-dépendants (Nav)</w:t>
      </w:r>
      <w:r>
        <w:t xml:space="preserve"> et des canaux calciques (Cav 2.2, Cav 3.1) : dépression de la neurotransmission excitatrice glutamatergique et de la transmission nociceptive spinale.</w:t>
      </w:r>
    </w:p>
    <w:p>
      <w:pPr>
        <w:pStyle w:val="ListBullet"/>
      </w:pPr>
      <w:r/>
      <w:r>
        <w:rPr>
          <w:b/>
        </w:rPr>
        <w:t>Potentialisation du récepteur glycinergique</w:t>
      </w:r>
      <w:r>
        <w:t xml:space="preserve"> spinal : effet myorelaxant central modéré.</w:t>
      </w:r>
    </w:p>
    <w:p>
      <w:r/>
      <w:r>
        <w:rPr>
          <w:b/>
        </w:rPr>
        <w:t>Physiologie intégrée :</w:t>
      </w:r>
      <w:r>
        <w:t xml:space="preserve"> à dose d'induction (1,5 à 2,5 mg/kg IV), le propofol induit une perte de conscience en 30 à 60 secondes (un bras-circulation), suivie d'une perte des réflexes protecteurs, d'une amnésie antérograde et d'une discrète analgésie (qui ne dispense pas de l'adjonction d'un morphinique pour la chirurgie). La relaxation musculaire est modeste et insuffisante pour la chirurgie abdominale : un curare est nécessaire. Le propofol est remarquable par son profil neuro-hémodynamique : il réduit la pression intracrânienne (PIC), la consommation cérébrale d'oxygène (CMRO2) et le débit sanguin cérébral (DSC), préservant l'autorégulation cérébrale si la pression de perfusion cérébrale (PPC = PAM – PIC) est maintenue &gt; 60 mmHg. Cette propriété en fait l'agent d'induction de choix en neuro-anesthésie.</w:t>
      </w:r>
    </w:p>
    <w:p>
      <w:r/>
      <w:r>
        <w:rPr>
          <w:b/>
        </w:rPr>
        <w:t>Effets extracérébraux :</w:t>
      </w:r>
      <w:r>
        <w:t xml:space="preserve"> le propofol est un dépresseur myocardique direct (inhibition du canal calcique L-type cardiaque), qui réduit la contractilité (effet inotrope négatif) et la précharge (vasodilatation veineuse), pouvant mener à une hypotension artérielle marquée à l'induction (20 à 30 % de baisse de la PAM), particulièrement chez le patient hypovolémique ou âgé. Le propofol inhibe la réponse baroréflexe, ce qui majore la baisse tensionnelle. Sur le plan respiratoire, le propofol déprime la réponse centrale au CO2 (apnée fréquente à l'induction), bronchodilate modérément, et n'irrite pas les voies aériennes (avantage sur le thiopental). Son effet antiémétique propre, démontré à faible dose (10-20 mg IV), est lié à la diminution de l'activité du area postrema bulbaire.</w:t>
      </w:r>
    </w:p>
    <w:p>
      <w:pPr>
        <w:pStyle w:val="Heading3"/>
      </w:pPr>
      <w:r>
        <w:t>181.1.1.4 Pharmacocinétique (Profil PK)</w:t>
      </w:r>
    </w:p>
    <w:p>
      <w:r/>
      <w:r>
        <w:rPr>
          <w:b/>
        </w:rPr>
        <w:t>Absorption :</w:t>
      </w:r>
      <w:r>
        <w:t xml:space="preserve"> le propofol est administré exclusivement par voie intraveineuse (IM impossible en raison de la douleur et de l'inefficacité). La biodisponibilité est donc de 100 % par définition. L'injection IV rapide (bolus de 2 mg/kg sur 5 à 10 secondes) produit une concentration cérébrale pic en 30 à 60 secondes, corrélée à la perte de conscience.</w:t>
      </w:r>
    </w:p>
    <w:p>
      <w:r/>
      <w:r>
        <w:rPr>
          <w:b/>
        </w:rPr>
        <w:t>Distribution :</w:t>
      </w:r>
      <w:r>
        <w:t xml:space="preserve"> le propofol est extrêmement lipophile (log P = 4,16) et fortement lié aux protéines plasmatiques (98 %, surtout l'albumine et la lipoprotéine HDL). Le volume de distribution à l'équilibre (Vdss) est élevé (60 à 80 L/kg) en raison d'une fixation tissulaire massive, en particulier dans les compartiments graisseux. La distribution est tri-compartimentale : compartiment central (sang et organes richement vascularisés), compartiment périphérique rapide (muscle) et compartiment périphérique lent (tissu adipeux). La demi-vie de redistribution t1/2α est courte (1 à 3 minutes) et explique la brièveté de l'effet d'induction. La demi-vie d'élimination t1/2β est de 30 à 60 minutes, et la demi-vie terminale t1/2γ (lavage du compartiment profond) est de 200 à 700 minutes, responsable de l'accumulation en perfusion prolongée.</w:t>
      </w:r>
    </w:p>
    <w:p>
      <w:r/>
      <w:r>
        <w:rPr>
          <w:b/>
        </w:rPr>
        <w:t>Métabolisme :</w:t>
      </w:r>
      <w:r>
        <w:t xml:space="preserve"> le propofol est métabolisé à 95 % par conjugaison hépatique (glucuronoconjugaison par UGT1A9 et UGT2B15) et hydroxylation (CYP2B6 et CYP2C9) en métabolites inactifs (propofol-glucuronide, 4-hydroxypropofol). Une partie du métabolisme est extra-hépatique (pulmonaire et rénale), expliquant la conservation d'une clearance acceptable en cas d'insuffisance hépatique modérée.</w:t>
      </w:r>
    </w:p>
    <w:p>
      <w:r/>
      <w:r>
        <w:rPr>
          <w:b/>
        </w:rPr>
        <w:t>Élimination :</w:t>
      </w:r>
      <w:r>
        <w:t xml:space="preserve"> clearance totale 25 à 50 mL/kg/min, supérieure au débit sanguin hépatique, confirmant l'existence d'un métabolisme extra-hépatique. L'élimination est rénale (métabolites glucuronoconjugués), avec une demi-vie d'élimination effective de 30 à 60 minutes après bolus unique, mais qui peut s'allonger à plusieurs heures en perfusion continue &gt; 48 heures (accumulation dans les graisses).</w:t>
      </w:r>
    </w:p>
    <w:p>
      <w:r/>
      <w:r>
        <w:rPr>
          <w:b/>
        </w:rPr>
        <w:t>Effet de premier passage cérébral :</w:t>
      </w:r>
      <w:r>
        <w:t xml:space="preserve"> la phase d'induction est gouvernée par l'atteinte rapide de la concentration cérébrale effective (pic à 30-60 s), suivie d'une redistribution vers les tissus périphériques qui termine l'effet hypnotique après 5-10 minutes. Cette cinétique d'entrée-sortie rapide autorise l'AIVOC (anesthésie IV à objectif de concentration) au mode Diprifusor, qui vise une concentration cérébrale cible de 2 à 6 µg/mL selon la profondeur désirée.</w:t>
      </w:r>
    </w:p>
    <w:p>
      <w:r/>
      <w:r>
        <w:rPr>
          <w:b/>
        </w:rPr>
        <w:t>Populations particulières :</w:t>
      </w:r>
      <w:r/>
    </w:p>
    <w:p>
      <w:pPr>
        <w:pStyle w:val="ListBullet"/>
      </w:pPr>
      <w:r/>
      <w:r>
        <w:rPr>
          <w:b/>
        </w:rPr>
        <w:t>Enfant &lt; 3 ans :</w:t>
      </w:r>
      <w:r>
        <w:t xml:space="preserve"> Vd plus élevé, clearance plus rapide (mg/kg plus élevé nécessaire : 3 mg/kg à l'induction vs 2 mg/kg chez l'adulte).</w:t>
      </w:r>
    </w:p>
    <w:p>
      <w:pPr>
        <w:pStyle w:val="ListBullet"/>
      </w:pPr>
      <w:r/>
      <w:r>
        <w:rPr>
          <w:b/>
        </w:rPr>
        <w:t>Sujet âgé &gt; 65 ans :</w:t>
      </w:r>
      <w:r>
        <w:t xml:space="preserve"> Vd central réduit, clearance diminuée, sensibilité accrue → réduire la dose d'induction de 30 à 40 % (1,5 mg/kg suffisent).</w:t>
      </w:r>
    </w:p>
    <w:p>
      <w:pPr>
        <w:pStyle w:val="ListBullet"/>
      </w:pPr>
      <w:r/>
      <w:r>
        <w:rPr>
          <w:b/>
        </w:rPr>
        <w:t>Insuffisant hépatique :</w:t>
      </w:r>
      <w:r>
        <w:t xml:space="preserve"> clearance conservée en cas d'atteinte modérée ; allongée en cas d'insuffisance sévère (enfant cirrhotique : prudence).</w:t>
      </w:r>
    </w:p>
    <w:p>
      <w:pPr>
        <w:pStyle w:val="ListBullet"/>
      </w:pPr>
      <w:r/>
      <w:r>
        <w:rPr>
          <w:b/>
        </w:rPr>
        <w:t>Insuffisant rénal :</w:t>
      </w:r>
      <w:r>
        <w:t xml:space="preserve"> pas d'adaptation (métabolites inactifs) sauf en dialyse où une hypoprotidémie peut augmenter la fraction libre.</w:t>
      </w:r>
    </w:p>
    <w:p>
      <w:pPr>
        <w:pStyle w:val="ListBullet"/>
      </w:pPr>
      <w:r/>
      <w:r>
        <w:rPr>
          <w:b/>
        </w:rPr>
        <w:t>Obèse :</w:t>
      </w:r>
      <w:r>
        <w:t xml:space="preserve"> adapter le poids à la masse maigre (LBW) pour éviter surdosage ; Vd augmenté mais clearance augmentée proportionnellement.</w:t>
      </w:r>
    </w:p>
    <w:p>
      <w:pPr>
        <w:pStyle w:val="Heading3"/>
      </w:pPr>
      <w:r>
        <w:t>181.1.1.5 Indications thérapeutiques (détail AMM et hors AMM)</w:t>
      </w:r>
    </w:p>
    <w:p>
      <w:r/>
      <w:r>
        <w:rPr>
          <w:b/>
        </w:rPr>
        <w:t>Indications AMM principales :</w:t>
      </w:r>
      <w:r/>
    </w:p>
    <w:p>
      <w:pPr>
        <w:pStyle w:val="ListNumber"/>
      </w:pPr>
      <w:r/>
      <w:r>
        <w:rPr>
          <w:b/>
        </w:rPr>
        <w:t>Induction de l'anesthésie générale</w:t>
      </w:r>
      <w:r>
        <w:t xml:space="preserve"> chez l'adulte (1,5 à 2,5 mg/kg IV) et l'enfant de plus de 1 mois (2,5 à 3,5 mg/kg IV). Induction en séquence rapide possible (ne dispense pas du curare d'action rapide type rocuronium ou succinylcholine).</w:t>
      </w:r>
    </w:p>
    <w:p>
      <w:pPr>
        <w:pStyle w:val="ListNumber"/>
      </w:pPr>
      <w:r/>
      <w:r>
        <w:rPr>
          <w:b/>
        </w:rPr>
        <w:t>Entretien de l'anesthésie</w:t>
      </w:r>
      <w:r>
        <w:t xml:space="preserve"> par perfusion continue : AIAC (Anesthésie IntraVeineuse à Concentration Administrée) à débit constant (4 à 12 mg/kg/h) ou AIVOC (mode Diprifusor) ciblant une concentration cérébrale de 2 à 8 µg/mL. Alternative aux halogénés, particulièrement indiquée en cas de sensibilité aux halogénés (antécédent d'hyperthermie maligne), de risque de nausées et vomissements post-opératoires (NVPO), ou de chirurgie en ambiance particulière (neurochirurgie avec monitorage EEG).</w:t>
      </w:r>
    </w:p>
    <w:p>
      <w:pPr>
        <w:pStyle w:val="ListNumber"/>
      </w:pPr>
      <w:r/>
      <w:r>
        <w:rPr>
          <w:b/>
        </w:rPr>
        <w:t>Sédation procédurale consciente</w:t>
      </w:r>
      <w:r>
        <w:t xml:space="preserve"> chez l'adulte : bolus de 0,5 à 1 mg/kg IV puis perfusion 1,5 à 4,5 mg/kg/h pour endoscopie digestive, bronchoscopie, radiologie interventionnelle, césarienne sous anesthésie locorégionale, soins dentaires. Patient en ventilation spontanée.</w:t>
      </w:r>
    </w:p>
    <w:p>
      <w:pPr>
        <w:pStyle w:val="ListNumber"/>
      </w:pPr>
      <w:r/>
      <w:r>
        <w:rPr>
          <w:b/>
        </w:rPr>
        <w:t>Sédation en réanimation</w:t>
      </w:r>
      <w:r>
        <w:t xml:space="preserve"> chez le patient intubé ventilé : perfusion continue 0,3 à 4 mg/kg/h, durée limitée à 7 jours en raison du risque de Propofol Infusion Syndrome (PRIS).</w:t>
      </w:r>
    </w:p>
    <w:p>
      <w:pPr>
        <w:pStyle w:val="ListNumber"/>
      </w:pPr>
      <w:r/>
      <w:r>
        <w:rPr>
          <w:b/>
        </w:rPr>
        <w:t>Antiémétique</w:t>
      </w:r>
      <w:r>
        <w:t xml:space="preserve"> : 10 à 20 mg IV en postopératoire immédiat (effet démontré versus placebo, mécanisme central sur l'area postrema).</w:t>
      </w:r>
    </w:p>
    <w:p>
      <w:r/>
      <w:r>
        <w:rPr>
          <w:b/>
        </w:rPr>
        <w:t>Indications hors AMM fréquentes :</w:t>
      </w:r>
      <w:r/>
    </w:p>
    <w:p>
      <w:pPr>
        <w:pStyle w:val="ListBullet"/>
      </w:pPr>
      <w:r>
        <w:t>Sédation prolongée en réanimation pédiatrique (à manier avec prudence extrême chez l'enfant &lt; 16 ans).</w:t>
      </w:r>
    </w:p>
    <w:p>
      <w:pPr>
        <w:pStyle w:val="ListBullet"/>
      </w:pPr>
      <w:r>
        <w:t>Anesthésie obstétricale pour césarienne programmée sous anesthésie générale (induction en séquence rapide).</w:t>
      </w:r>
    </w:p>
    <w:p>
      <w:pPr>
        <w:pStyle w:val="ListBullet"/>
      </w:pPr>
      <w:r>
        <w:t>Anesthésie du patient coronarien à haut risque (propofol à dose réduite, parfois en association avec étomidate).</w:t>
      </w:r>
    </w:p>
    <w:p>
      <w:pPr>
        <w:pStyle w:val="ListBullet"/>
      </w:pPr>
      <w:r>
        <w:t>Sédation du patient en état de mal épileptique réfractaire (en association avec midazolam).</w:t>
      </w:r>
    </w:p>
    <w:p>
      <w:r/>
      <w:r>
        <w:rPr>
          <w:b/>
        </w:rPr>
        <w:t>Contre-indications formelles :</w:t>
      </w:r>
      <w:r/>
    </w:p>
    <w:p>
      <w:pPr>
        <w:pStyle w:val="ListBullet"/>
      </w:pPr>
      <w:r>
        <w:t>Allergie connue au propofol ou à l'un des excipients (huile de soja, lécithine d'œuf, glycérol, oléate de sodium) — contre-indication absolue.</w:t>
      </w:r>
    </w:p>
    <w:p>
      <w:pPr>
        <w:pStyle w:val="ListBullet"/>
      </w:pPr>
      <w:r>
        <w:t>Allergie à l'arachide ou au soja (réactivité croisée avec l'huile de soja) — contre-indication relative, à nuancer selon les données allergologiques récentes (l'huile de soja purifiée est généralement tolérée).</w:t>
      </w:r>
    </w:p>
    <w:p>
      <w:pPr>
        <w:pStyle w:val="ListBullet"/>
      </w:pPr>
      <w:r>
        <w:t>Insuffisance surrénale connue (risque d'aggravation par le propofol à dose élevée).</w:t>
      </w:r>
    </w:p>
    <w:p>
      <w:pPr>
        <w:pStyle w:val="ListBullet"/>
      </w:pPr>
      <w:r>
        <w:t>Porphyrie aiguë intermittente : le propofol est généralement considéré comme sûr (à la différence du thiopental), mais prudence en raison d'effets inducteurs enzymatiques résiduels.</w:t>
      </w:r>
    </w:p>
    <w:p>
      <w:pPr>
        <w:pStyle w:val="ListBullet"/>
      </w:pPr>
      <w:r>
        <w:t>Sédation prolongée en réanimation chez l'enfant de moins de 16 ans en raison du risque de PRIS (prudence EMA).</w:t>
      </w:r>
    </w:p>
    <w:p>
      <w:pPr>
        <w:pStyle w:val="Heading3"/>
      </w:pPr>
      <w:r>
        <w:t>181.1.1.6 Effets indésirables et prévention</w:t>
      </w:r>
    </w:p>
    <w:p>
      <w:r/>
      <w:r>
        <w:rPr>
          <w:b/>
        </w:rPr>
        <w:t>Effets indésirables fréquents (&gt; 1/100) :</w:t>
      </w:r>
      <w:r/>
    </w:p>
    <w:p>
      <w:pPr>
        <w:pStyle w:val="ListBullet"/>
      </w:pPr>
      <w:r/>
      <w:r>
        <w:rPr>
          <w:b/>
        </w:rPr>
        <w:t>Hypotension artérielle à l'induction</w:t>
      </w:r>
      <w:r>
        <w:t xml:space="preserve"> : 20 à 30 % de réduction de la pression artérielle moyenne, par vasodilatation veineuse et dépression myocardique directe. Prévention : réduction de la dose chez le sujet âgé, hypovolémique ou coronarien (1 à 1,5 mg/kg suffisent) ; remplissage vasculaire préalable ; monitoring continu de la PAM ; utiliser l'étomidate en alternative chez le patient en état de choc.</w:t>
      </w:r>
    </w:p>
    <w:p>
      <w:pPr>
        <w:pStyle w:val="ListBullet"/>
      </w:pPr>
      <w:r/>
      <w:r>
        <w:rPr>
          <w:b/>
        </w:rPr>
        <w:t>Apnée à l'induction</w:t>
      </w:r>
      <w:r>
        <w:t xml:space="preserve"> : 25 à 35 % des cas, brève (30 à 60 s), mais pouvant nécessiter ventilation au masque. Prévention : préparation du matériel d'intubation et d'oxygénation avant injection ; monitoring de la SpO2 continue.</w:t>
      </w:r>
    </w:p>
    <w:p>
      <w:pPr>
        <w:pStyle w:val="ListBullet"/>
      </w:pPr>
      <w:r/>
      <w:r>
        <w:rPr>
          <w:b/>
        </w:rPr>
        <w:t>Douleur à l'injection</w:t>
      </w:r>
      <w:r>
        <w:t xml:space="preserve"> : 30 à 70 % sans prévention, due à la formulation lipidique (phase aqueuse entre les gouttelettes d'huile). Prévention : injection dans une grosse veine (avant-bras ou pli du coude), pré-injection de lidocaïne 1 % (1 mg/kg) ou de remifentanil 0,5 µg/kg, utilisation de la formulation à 2 % moins douloureuse (non disponible en Algérie).</w:t>
      </w:r>
    </w:p>
    <w:p>
      <w:pPr>
        <w:pStyle w:val="ListBullet"/>
      </w:pPr>
      <w:r/>
      <w:r>
        <w:rPr>
          <w:b/>
        </w:rPr>
        <w:t>Frissons post-opératoires</w:t>
      </w:r>
      <w:r>
        <w:t xml:space="preserve"> : 10 à 20 %, mécanisme mal élucidé (thermorégulation altérée). Prévention : réchauffement peropératoire, pétidine 0,25 mg/kg IV en fin d'intervention.</w:t>
      </w:r>
    </w:p>
    <w:p>
      <w:pPr>
        <w:pStyle w:val="ListBullet"/>
      </w:pPr>
      <w:r/>
      <w:r>
        <w:rPr>
          <w:b/>
        </w:rPr>
        <w:t>Nausées et vomissements post-opératoires (NVPO)</w:t>
      </w:r>
      <w:r>
        <w:t xml:space="preserve"> : 5 à 10 %, nettement moindres qu'avec les halogénés (effet antiémétique propre du propofol). Prévention : association à de la dexaméthasone 4-8 mg IV et de l'ondansétron 4 mg IV pour les patientes à haut risque.</w:t>
      </w:r>
    </w:p>
    <w:p>
      <w:r/>
      <w:r>
        <w:rPr>
          <w:b/>
        </w:rPr>
        <w:t>Effets indésirables rares (1/1000 à 1/100) :</w:t>
      </w:r>
      <w:r/>
    </w:p>
    <w:p>
      <w:pPr>
        <w:pStyle w:val="ListBullet"/>
      </w:pPr>
      <w:r/>
      <w:r>
        <w:rPr>
          <w:b/>
        </w:rPr>
        <w:t>Convulsions, myoclonies, mouvements anormaux</w:t>
      </w:r>
      <w:r>
        <w:t xml:space="preserve"> : 1 à 3 %, parfois confondus avec une activité épileptique mais généralement bénignes. Prévention : prémédication par midazolam 0,03 mg/kg.</w:t>
      </w:r>
    </w:p>
    <w:p>
      <w:pPr>
        <w:pStyle w:val="ListBullet"/>
      </w:pPr>
      <w:r/>
      <w:r>
        <w:rPr>
          <w:b/>
        </w:rPr>
        <w:t>Bronchospasme et réactions anaphylactoïdes</w:t>
      </w:r>
      <w:r>
        <w:t xml:space="preserve"> : 1/1000 à 1/10 000. Mécanisme mixte (histaminolibération non immunologique et véritable allergie IgE-dépendante). Prévention : interrogatoire allergologique soigneux (allergie arachide, soja, œuf) ; disponibilité du matériel de réanimation.</w:t>
      </w:r>
    </w:p>
    <w:p>
      <w:pPr>
        <w:pStyle w:val="ListBullet"/>
      </w:pPr>
      <w:r/>
      <w:r>
        <w:rPr>
          <w:b/>
        </w:rPr>
        <w:t>Désinhibition sexuelle, propos incohérents au réveil</w:t>
      </w:r>
      <w:r>
        <w:t xml:space="preserve"> : 1 à 2 %. Prévention : environnement calme et intime en SSPI.</w:t>
      </w:r>
    </w:p>
    <w:p>
      <w:r/>
      <w:r>
        <w:rPr>
          <w:b/>
        </w:rPr>
        <w:t>Effets indésirables graves (1/10 000 à 1/100 000) :</w:t>
      </w:r>
      <w:r/>
    </w:p>
    <w:p>
      <w:pPr>
        <w:pStyle w:val="ListBullet"/>
      </w:pPr>
      <w:r/>
      <w:r>
        <w:rPr>
          <w:b/>
        </w:rPr>
        <w:t>Propofol Infusion Syndrome (PRIS)</w:t>
      </w:r>
      <w:r>
        <w:t xml:space="preserve"> : complication rare mais gravissime, décrite pour la première fois par Parke en 1992 chez des enfants en réanimation pédiatrique. Survient typiquement lors d'une perfusion &gt; 4 mg/kg/h pendant plus de 48 heures, mais des cas ont été rapportés à des doses moindres. La physiopathologie implique un blocage de la chaîne respiratoire mitochondriale (inhibition du complexe II et de la β-oxydation des acides gras par le propofol), conduisant à une production d'ATP insuffisante et à un défaut d'utilisation des acides gras. La présentation clinique associe : acidose métabolique lactique (bicarbonates &lt; 12 mmol/L), bradyarythmie réfractaire (degradation du segment PQ, élargissement du QRS, bloc AV, torsades de pointe, asystolie), rhabdomyolyse (CPK &gt; 10 000 UI/L), myoglobinurie, stéatose hépatique (cytolyse et cholestase), insuffisance rénale aiguë, défaillance multiviscérale et décès dans 50 à 80 % des cas. Prévention : ne pas dépasser 4 mg/kg/h pendant plus de 48 heures ; surveillance CPK, lactates, gaz du sang et triglycérides toutes les 24 h en perfusion prolongée ; relais par midazolam ou sédatif alternatif au-delà de 5-7 jours. </w:t>
      </w:r>
      <w:r>
        <w:rPr>
          <w:b/>
        </w:rPr>
        <w:t>Traitement</w:t>
      </w:r>
      <w:r>
        <w:t xml:space="preserve"> : arrêt immédiat du propofol, perfusion de glucosé insuliné (rente KATP), dialyse si rhabdomyolyse majeure, assistance circulatoire si défaillance cardiaque réfractaire.</w:t>
      </w:r>
    </w:p>
    <w:p>
      <w:pPr>
        <w:pStyle w:val="ListBullet"/>
      </w:pPr>
      <w:r/>
      <w:r>
        <w:rPr>
          <w:b/>
        </w:rPr>
        <w:t>Anaphylaxie sévère</w:t>
      </w:r>
      <w:r>
        <w:t xml:space="preserve"> (choc anaphylactique IgE-dépendant) : 1/30 000 à 1/60 000, mortalité 5 à 10 %. Prévention : interrogatoire allergologique ; disponibilité adrénaline 1 mg/mL.</w:t>
      </w:r>
    </w:p>
    <w:p>
      <w:pPr>
        <w:pStyle w:val="ListBullet"/>
      </w:pPr>
      <w:r/>
      <w:r>
        <w:rPr>
          <w:b/>
        </w:rPr>
        <w:t>Infection liée à l'émulsion lipidique</w:t>
      </w:r>
      <w:r>
        <w:t xml:space="preserve"> : la formulation lipide du propofol favorise la croissance bactérienne (S. aureus, Enterobacter, Candida). Prévention : technique d'asepsie rigoureuse (lavage des cols, ampoule ouverte utilisée dans les 6 heures, seringue étiquetée avec date/heure) ; utilisation de formulations avec EDTA (Diprivan EDTA) ou métabisulfite (non disponibles en Algérie).</w:t>
      </w:r>
    </w:p>
    <w:p>
      <w:pPr>
        <w:pStyle w:val="ListBullet"/>
      </w:pPr>
      <w:r/>
      <w:r>
        <w:rPr>
          <w:b/>
        </w:rPr>
        <w:t>Pancréatite aiguë</w:t>
      </w:r>
      <w:r>
        <w:t xml:space="preserve"> : rare, liée à l'hypertriglycéridémie en perfusion prolongée. Prévention : surveillance triglycérides si perfusion &gt; 48 h.</w:t>
      </w:r>
    </w:p>
    <w:p>
      <w:pPr>
        <w:pStyle w:val="Heading3"/>
      </w:pPr>
      <w:r>
        <w:t>181.1.1.7 Interactions médicamenteuses</w:t>
      </w:r>
    </w:p>
    <w:p>
      <w:r>
        <w:t>Le propofol est essentiellement métabolisé par conjugaison (UGT) et secondairement par le CYP2B6/CYP2C9. Le nombre d'interactions médicamenteuses cliniquement significatives est modéré.</w:t>
      </w:r>
    </w:p>
    <w:p>
      <w:r/>
      <w:r>
        <w:rPr>
          <w:b/>
        </w:rPr>
        <w:t>Interactions pharmacodynamiques majeures :</w:t>
      </w:r>
      <w:r/>
    </w:p>
    <w:p>
      <w:pPr>
        <w:pStyle w:val="ListBullet"/>
      </w:pPr>
      <w:r/>
      <w:r>
        <w:rPr>
          <w:b/>
        </w:rPr>
        <w:t>Avec les opioïdes (fentanyl, sufentanil, rémifentanil, alfentanil, morphine) :</w:t>
      </w:r>
      <w:r>
        <w:t xml:space="preserve"> potentialisation de l'hypotension, de la dépression respiratoire et de la sédation. Réduction de la dose d'induction de 30 à 50 % en cas d'association. Effet recherché en anesthésie balancée.</w:t>
      </w:r>
    </w:p>
    <w:p>
      <w:pPr>
        <w:pStyle w:val="ListBullet"/>
      </w:pPr>
      <w:r/>
      <w:r>
        <w:rPr>
          <w:b/>
        </w:rPr>
        <w:t>Avec les benzodiazépines (midazolam, diazépam) :</w:t>
      </w:r>
      <w:r>
        <w:t xml:space="preserve"> potentialisation de la sédation et de la dépression respiratoire. Réduction de la dose de propofol de 25 à 40 % si prémédication par midazolam.</w:t>
      </w:r>
    </w:p>
    <w:p>
      <w:pPr>
        <w:pStyle w:val="ListBullet"/>
      </w:pPr>
      <w:r/>
      <w:r>
        <w:rPr>
          <w:b/>
        </w:rPr>
        <w:t>Avec les halogénés (sévoflurane, isoflurane, desflurane) :</w:t>
      </w:r>
      <w:r>
        <w:t xml:space="preserve"> effet additif sur l'hypnose, économie de l'agent halogéné (effet d'épargne). Hypotension potentialisée.</w:t>
      </w:r>
    </w:p>
    <w:p>
      <w:pPr>
        <w:pStyle w:val="ListBullet"/>
      </w:pPr>
      <w:r/>
      <w:r>
        <w:rPr>
          <w:b/>
        </w:rPr>
        <w:t>Avec les curares (rocuronium, succinylcholine, cisatracurium) :</w:t>
      </w:r>
      <w:r>
        <w:t xml:space="preserve"> pas d'interaction pharmacocinétique significative ; le propofol ne modifie pas la durée du bloc curare. Possibilité de bradycardie et asystolie transitoire si association propofol + brétilium + succinylcholine (réflexe vagal).</w:t>
      </w:r>
    </w:p>
    <w:p>
      <w:pPr>
        <w:pStyle w:val="ListBullet"/>
      </w:pPr>
      <w:r/>
      <w:r>
        <w:rPr>
          <w:b/>
        </w:rPr>
        <w:t>Avec les vasopresseurs (noradrénaline, éphédrine, phényléphrine) :</w:t>
      </w:r>
      <w:r>
        <w:t xml:space="preserve"> le propofol potentialise la vasoconstriction (effet inhibiteur sur le baroréflexe). Prudence dans l'adaptation des doses de catécholamines.</w:t>
      </w:r>
    </w:p>
    <w:p>
      <w:pPr>
        <w:pStyle w:val="ListBullet"/>
      </w:pPr>
      <w:r/>
      <w:r>
        <w:rPr>
          <w:b/>
        </w:rPr>
        <w:t>Avec les β-bloquants et inhibiteurs calciques :</w:t>
      </w:r>
      <w:r>
        <w:t xml:space="preserve"> potentialisation de la bradycardie et de l'hypotension ; risque d'asystolie si association avec vérapamil IV.</w:t>
      </w:r>
    </w:p>
    <w:p>
      <w:r/>
      <w:r>
        <w:rPr>
          <w:b/>
        </w:rPr>
        <w:t>Interactions pharmacocinétiques :</w:t>
      </w:r>
      <w:r/>
    </w:p>
    <w:p>
      <w:pPr>
        <w:pStyle w:val="ListBullet"/>
      </w:pPr>
      <w:r/>
      <w:r>
        <w:rPr>
          <w:b/>
        </w:rPr>
        <w:t>Avec les inducteurs enzymatiques (rifampicine, phénytoïne, carbamazépine, millepertuis) :</w:t>
      </w:r>
      <w:r>
        <w:t xml:space="preserve"> augmentation marginale de la clearance du propofol, peu cliniquement significative en usage court.</w:t>
      </w:r>
    </w:p>
    <w:p>
      <w:pPr>
        <w:pStyle w:val="ListBullet"/>
      </w:pPr>
      <w:r/>
      <w:r>
        <w:rPr>
          <w:b/>
        </w:rPr>
        <w:t>Avec les inhibiteurs enzymatiques (azolés, macrolides, inhibiteurs de protéase) :</w:t>
      </w:r>
      <w:r>
        <w:t xml:space="preserve"> effet négligeable sur la clearance du propofol (métabolisme principal par UGT).</w:t>
      </w:r>
    </w:p>
    <w:p>
      <w:pPr>
        <w:pStyle w:val="ListBullet"/>
      </w:pPr>
      <w:r/>
      <w:r>
        <w:rPr>
          <w:b/>
        </w:rPr>
        <w:t>Avec le fentanyl et le sufentanil :</w:t>
      </w:r>
      <w:r>
        <w:t xml:space="preserve"> le propofol réduit la clearance du fentanyl de 20 à 30 % en perfusion combinée (effet de réduction du débit sanguin hépatique).</w:t>
      </w:r>
    </w:p>
    <w:p>
      <w:pPr>
        <w:pStyle w:val="ListBullet"/>
      </w:pPr>
      <w:r/>
      <w:r>
        <w:rPr>
          <w:b/>
        </w:rPr>
        <w:t>Avec la cimétidine et le métoclopramide :</w:t>
      </w:r>
      <w:r>
        <w:t xml:space="preserve"> réduction discrète de la dose d'induction nécessaire.</w:t>
      </w:r>
    </w:p>
    <w:p>
      <w:r/>
      <w:r>
        <w:rPr>
          <w:b/>
        </w:rPr>
        <w:t>Précautions alimentaires :</w:t>
      </w:r>
      <w:r>
        <w:t xml:space="preserve"> aucun régime particulier nécessaire. L'huile de soja de la formulation expose théoriquement à une allergie croisée en cas d'allergie sévère à l'arachide ou au soja, mais les données récentes montrent que l'huile purifiée est généralement tolérée.</w:t>
      </w:r>
    </w:p>
    <w:p>
      <w:pPr>
        <w:pStyle w:val="Heading3"/>
      </w:pPr>
      <w:r>
        <w:t>181.1.1.8 Grossesse, allaitement et CRAT</w:t>
      </w:r>
    </w:p>
    <w:p>
      <w:r/>
      <w:r>
        <w:rPr>
          <w:b/>
        </w:rPr>
        <w:t>Grossesse :</w:t>
      </w:r>
      <w:r>
        <w:t xml:space="preserve"> le propofol traverse la barrière placentaire (rapport ftéo-maternel 0,7). Le CRAT (Centre de Renseignement sur les Agents Tératogènes) classe le propofol comme « non tératogène chez l'animal et chez l'humain aux doses anesthésiques », avec « effet malformatif non attendu » dans les enquêtes observationnelles (cohorte FDA, n &gt; 5 000 expositions au 1er trimestre). Cependant, l'usage répété ou prolongé pendant le 1er trimestre doit rester prudent (données animales évocatrices d'un effet apoptosis neuronal chez le fœtus de primates, non confirmées en clinique humaine).</w:t>
      </w:r>
    </w:p>
    <w:p>
      <w:r/>
      <w:r>
        <w:rPr>
          <w:b/>
        </w:rPr>
        <w:t>Césarienne programmée sous anesthésie générale :</w:t>
      </w:r>
      <w:r>
        <w:t xml:space="preserve"> le propofol est utilisé pour l'induction en séquence rapide (2 mg/kg IV) en association avec succinylcholine 1 mg/kg et un opioïde (sufentanil 0,2 µg/kg) après clampage du cordon. La dose d'induction peut être réduite à 1,5 mg/kg en cas d'hypotension maternelle préexistante. Le propofol n'a pas d'effet tocolytique significatif.</w:t>
      </w:r>
    </w:p>
    <w:p>
      <w:r/>
      <w:r>
        <w:rPr>
          <w:b/>
        </w:rPr>
        <w:t>Allaitement :</w:t>
      </w:r>
      <w:r>
        <w:t xml:space="preserve"> le propofol passe dans le lait maternel (rapport lait/plasma 1,0), mais en quantité négligeable après anesthésie unique (dose reçue par le nourrisson &lt; 0,1 % de la dose maternelle). L'allaitement peut être repris dès que la mère est suffisamment éveillée pour tenir son enfant (selon le CRAT et l'Academy of Breastfeeding Medicine, reprise possible dès 4 heures post-anesthésie en l'absence de signes de sédation résiduelle).</w:t>
      </w:r>
    </w:p>
    <w:p>
      <w:r/>
      <w:r>
        <w:rPr>
          <w:b/>
        </w:rPr>
        <w:t>Grossesse et sédation procédurale :</w:t>
      </w:r>
      <w:r>
        <w:t xml:space="preserve"> le propofol est utilisé pour la sédation procédurale pendant la grossesse (cœlioscopie diagnostique, cerclage utérin, biopsie) avec un profil rassurant. La Société Française d'Anesthésie-Réanimation (SFAR) et l'American College of Obstetricians and Gynecologists (ACOG) recommandent toutefois de privilégier les alternatives non pharmacologiques et l'anesthésie loco-régionale lorsque possible pendant le 1er trimestre.</w:t>
      </w:r>
    </w:p>
    <w:p>
      <w:r/>
      <w:r>
        <w:rPr>
          <w:b/>
        </w:rPr>
        <w:t>Conseil CRAT :</w:t>
      </w:r>
      <w:r>
        <w:t xml:space="preserve"> « Le propofol est utilisable pendant la grossesse, à toutes les étapes, dans ses indications autorisées. En cas d'anesthésie générale pour césarienne, l'induction en séquence rapide par propofol-succinylcholine-sufentanil est un protocole validé. »</w:t>
      </w:r>
    </w:p>
    <w:p>
      <w:pPr>
        <w:pStyle w:val="Heading3"/>
      </w:pPr>
      <w:r>
        <w:t>181.1.1.9 Posologie et mode d'administration</w:t>
      </w:r>
    </w:p>
    <w:p>
      <w:r/>
      <w:r>
        <w:rPr>
          <w:b/>
        </w:rPr>
        <w:t>Induction de l'anesthésie générale :</w:t>
      </w:r>
      <w:r/>
    </w:p>
    <w:p>
      <w:pPr>
        <w:pStyle w:val="ListBullet"/>
      </w:pPr>
      <w:r>
        <w:t>Adulte sain de moins de 55 ans : 2 à 2,5 mg/kg IV (bolus sur 5 à 10 secondes dans une veine de gros calibre).</w:t>
      </w:r>
    </w:p>
    <w:p>
      <w:pPr>
        <w:pStyle w:val="ListBullet"/>
      </w:pPr>
      <w:r>
        <w:t>Adulte de 55 ans ou plus : 1,5 à 1,8 mg/kg IV (réduction de 20 à 40 %).</w:t>
      </w:r>
    </w:p>
    <w:p>
      <w:pPr>
        <w:pStyle w:val="ListBullet"/>
      </w:pPr>
      <w:r>
        <w:t>Patient ASA III-IV (insuffisant cardiaque, hypovolémique) : 1 à 1,5 mg/kg IV.</w:t>
      </w:r>
    </w:p>
    <w:p>
      <w:pPr>
        <w:pStyle w:val="ListBullet"/>
      </w:pPr>
      <w:r>
        <w:t>Enfant de plus de 1 mois et de moins de 8 ans : 2,5 à 3,5 mg/kg IV.</w:t>
      </w:r>
    </w:p>
    <w:p>
      <w:pPr>
        <w:pStyle w:val="ListBullet"/>
      </w:pPr>
      <w:r>
        <w:t>Enfant de 8 ans à 16 ans : 2 à 3 mg/kg IV.</w:t>
      </w:r>
    </w:p>
    <w:p>
      <w:r/>
      <w:r>
        <w:rPr>
          <w:b/>
        </w:rPr>
        <w:t>Entretien de l'anesthésie :</w:t>
      </w:r>
      <w:r/>
    </w:p>
    <w:p>
      <w:pPr>
        <w:pStyle w:val="ListBullet"/>
      </w:pPr>
      <w:r>
        <w:t>AIAC (perfusions continues manuelles) : 4 à 12 mg/kg/h, adapté à la profondeur d'anesthésie (monitoring EEG ou BIS).</w:t>
      </w:r>
    </w:p>
    <w:p>
      <w:pPr>
        <w:pStyle w:val="ListBullet"/>
      </w:pPr>
      <w:r>
        <w:t>AIVOC (mode Diprifusor ou système TCI) : concentration cible cérébrale de 2 à 6 µg/mL selon le geste et l'adjonction de morphiniques.</w:t>
      </w:r>
    </w:p>
    <w:p>
      <w:pPr>
        <w:pStyle w:val="ListBullet"/>
      </w:pPr>
      <w:r>
        <w:t>Association halogéné : 2 à 6 mg/kg/h de propofol + MAC 0,5-0,7 d'halogéné (anesthésie balancée).</w:t>
      </w:r>
    </w:p>
    <w:p>
      <w:r/>
      <w:r>
        <w:rPr>
          <w:b/>
        </w:rPr>
        <w:t>Sédation procédurale :</w:t>
      </w:r>
      <w:r/>
    </w:p>
    <w:p>
      <w:pPr>
        <w:pStyle w:val="ListBullet"/>
      </w:pPr>
      <w:r>
        <w:t>Adulte : bolus initial 0,5 à 1 mg/kg IV (slow), perfusion d'entretien 1,5 à 4,5 mg/kg/h, ou bolus répétés 0,5 mg/kg toutes les 5 minutes.</w:t>
      </w:r>
    </w:p>
    <w:p>
      <w:pPr>
        <w:pStyle w:val="ListBullet"/>
      </w:pPr>
      <w:r>
        <w:t>Patient âgé : réduire la dose de 30 %.</w:t>
      </w:r>
    </w:p>
    <w:p>
      <w:r/>
      <w:r>
        <w:rPr>
          <w:b/>
        </w:rPr>
        <w:t>Sédation en réanimation :</w:t>
      </w:r>
      <w:r/>
    </w:p>
    <w:p>
      <w:pPr>
        <w:pStyle w:val="ListBullet"/>
      </w:pPr>
      <w:r>
        <w:t>Adulte : 0,3 à 4 mg/kg/h en perfusion continue par seringue électrique, durée maximale recommandée de 7 jours.</w:t>
      </w:r>
    </w:p>
    <w:p>
      <w:pPr>
        <w:pStyle w:val="ListBullet"/>
      </w:pPr>
      <w:r>
        <w:t>Patient âgé et insuffisant hépatique : réduire de 50 %.</w:t>
      </w:r>
    </w:p>
    <w:p>
      <w:pPr>
        <w:pStyle w:val="ListBullet"/>
      </w:pPr>
      <w:r>
        <w:t>Enfant &gt; 16 ans : 1 à 4 mg/kg/h, surveillance CPK et lactates toutes les 24 heures.</w:t>
      </w:r>
    </w:p>
    <w:p>
      <w:r/>
      <w:r>
        <w:rPr>
          <w:b/>
        </w:rPr>
        <w:t>Antiémétique :</w:t>
      </w:r>
      <w:r/>
    </w:p>
    <w:p>
      <w:pPr>
        <w:pStyle w:val="ListBullet"/>
      </w:pPr>
      <w:r>
        <w:t>Adulte : 10 à 20 mg IV en postopératoire immédiat.</w:t>
      </w:r>
    </w:p>
    <w:p>
      <w:r/>
      <w:r>
        <w:rPr>
          <w:b/>
        </w:rPr>
        <w:t>Mode d'administration pratique :</w:t>
      </w:r>
      <w:r/>
    </w:p>
    <w:p>
      <w:pPr>
        <w:pStyle w:val="ListBullet"/>
      </w:pPr>
      <w:r>
        <w:t>Injecter dans une veine périphérique de gros calibre (avant-bras ou pli du coude) pour minimiser la douleur à l'injection.</w:t>
      </w:r>
    </w:p>
    <w:p>
      <w:pPr>
        <w:pStyle w:val="ListBullet"/>
      </w:pPr>
      <w:r>
        <w:t>Respecter l'asepsie : désinfecter le col de l'ampoule ou du flacon avant prélèvement ; étiqueter la seringue avec nom du médicament, dosage, date et heure d'ouverture.</w:t>
      </w:r>
    </w:p>
    <w:p>
      <w:pPr>
        <w:pStyle w:val="ListBullet"/>
      </w:pPr>
      <w:r>
        <w:t>Utiliser la seringue dans les 6 heures suivant le prélèvement (risque bactérien).</w:t>
      </w:r>
    </w:p>
    <w:p>
      <w:pPr>
        <w:pStyle w:val="ListBullet"/>
      </w:pPr>
      <w:r>
        <w:t>Ne pas mélanger avec d'autres médicaments dans la même seringue (incompatibilités physico-chimiques nombreuses).</w:t>
      </w:r>
    </w:p>
    <w:p>
      <w:pPr>
        <w:pStyle w:val="ListBullet"/>
      </w:pPr>
      <w:r>
        <w:t>Vérifier l'absence de trouble ou de séparation de phase de l'émulsion avant injection.</w:t>
      </w:r>
    </w:p>
    <w:p>
      <w:r/>
      <w:r>
        <w:rPr>
          <w:b/>
        </w:rPr>
        <w:t>Adaptations :</w:t>
      </w:r>
      <w:r/>
    </w:p>
    <w:p>
      <w:pPr>
        <w:pStyle w:val="ListBullet"/>
      </w:pPr>
      <w:r>
        <w:t>Sujet âgé : réduire la dose d'induction de 30-40 %.</w:t>
      </w:r>
    </w:p>
    <w:p>
      <w:pPr>
        <w:pStyle w:val="ListBullet"/>
      </w:pPr>
      <w:r>
        <w:t>Insuffisance hépatique : pas d'adaptation si modérée, prudence si sévère.</w:t>
      </w:r>
    </w:p>
    <w:p>
      <w:pPr>
        <w:pStyle w:val="ListBullet"/>
      </w:pPr>
      <w:r>
        <w:t>Insuffisance rénale : pas d'adaptation (métabolites inactifs).</w:t>
      </w:r>
    </w:p>
    <w:p>
      <w:pPr>
        <w:pStyle w:val="ListBullet"/>
      </w:pPr>
      <w:r>
        <w:t>Obésité morbide : utiliser la masse maigre (LBW) et non le poids total pour le calcul de la dose d'induction.</w:t>
      </w:r>
    </w:p>
    <w:p>
      <w:pPr>
        <w:pStyle w:val="Heading3"/>
      </w:pPr>
      <w:r>
        <w:t>181.1.1.10 Arbitrage et bénéfices des formes galéniques disponibles</w:t>
      </w:r>
    </w:p>
    <w:p>
      <w:r/>
      <w:r>
        <w:rPr>
          <w:b/>
        </w:rPr>
        <w:t>Forme émulsion lipidique à 1 % (10 mg/mL) — Propofol Fresenius 1%, Propofol Kabi, Provive :</w:t>
      </w:r>
      <w:r/>
    </w:p>
    <w:p>
      <w:pPr>
        <w:pStyle w:val="ListBullet"/>
      </w:pPr>
      <w:r/>
      <w:r>
        <w:rPr>
          <w:b/>
        </w:rPr>
        <w:t>Présentation :</w:t>
      </w:r>
      <w:r>
        <w:t xml:space="preserve"> ampoules de 20 mL contenant 200 mg de propofol, en émulsion d'huile de soja (100 mg/mL), lécithine d'œuf (12 mg/mL), glycérol (22,5 mg/mL), oléate de sodium (sodium hydroxyde q.s.).</w:t>
      </w:r>
    </w:p>
    <w:p>
      <w:pPr>
        <w:pStyle w:val="ListBullet"/>
      </w:pPr>
      <w:r/>
      <w:r>
        <w:rPr>
          <w:b/>
        </w:rPr>
        <w:t>Avantages :</w:t>
      </w:r>
      <w:r>
        <w:t xml:space="preserve"> formulation standard internationale, faible douleur à l'injection comparée à l'ancienne formulation en Crémo-phor (retraite 1980), tolérance veineuse correcte, durée d'action courte, facilité d'administration en AIAC comme en AIVOC.</w:t>
      </w:r>
    </w:p>
    <w:p>
      <w:pPr>
        <w:pStyle w:val="ListBullet"/>
      </w:pPr>
      <w:r/>
      <w:r>
        <w:rPr>
          <w:b/>
        </w:rPr>
        <w:t>Inconvénients :</w:t>
      </w:r>
      <w:r>
        <w:t xml:space="preserve"> risque allergique (huile de soja, lécithine d'œuf), charge lipidique en perfusion prolongée (1 g de lipides pour 100 mg de propofol, soit 50-150 g de lipides/j à dose sédative), risque de PRIS en perfusion prolongée &gt; 4 mg/kg/h &gt; 48 h, risque bactérien après ouverture.</w:t>
      </w:r>
    </w:p>
    <w:p>
      <w:pPr>
        <w:pStyle w:val="ListBullet"/>
      </w:pPr>
      <w:r/>
      <w:r>
        <w:rPr>
          <w:b/>
        </w:rPr>
        <w:t>Indications :</w:t>
      </w:r>
      <w:r>
        <w:t xml:space="preserve"> induction, entretien, sédation procédurale, sédation en réanimation (limitée à 7 jours).</w:t>
      </w:r>
    </w:p>
    <w:p>
      <w:r/>
      <w:r>
        <w:rPr>
          <w:b/>
        </w:rPr>
        <w:t>Forme en seringue pré-remplie de 50 mL — Diprivan (Aspen, retirée du marché algérien) :</w:t>
      </w:r>
      <w:r/>
    </w:p>
    <w:p>
      <w:pPr>
        <w:pStyle w:val="ListBullet"/>
      </w:pPr>
      <w:r/>
      <w:r>
        <w:rPr>
          <w:b/>
        </w:rPr>
        <w:t>Présentation :</w:t>
      </w:r>
      <w:r>
        <w:t xml:space="preserve"> seringue pré-remplie de 50 mL à 10 mg/mL (500 mg/50 mL) ou à 20 mg/mL (1000 mg/50 mL), adaptée au mode AIVOC Diprifusor.</w:t>
      </w:r>
    </w:p>
    <w:p>
      <w:pPr>
        <w:pStyle w:val="ListBullet"/>
      </w:pPr>
      <w:r/>
      <w:r>
        <w:rPr>
          <w:b/>
        </w:rPr>
        <w:t>Avantages :</w:t>
      </w:r>
      <w:r>
        <w:t xml:space="preserve"> système fermé (réduction du risque bactérien), facilité d'administration en AIVOC (compatibilité Diprifusor), étiquetage RFID pour reconnaissance automatique par la pompe, gain de temps de préparation.</w:t>
      </w:r>
    </w:p>
    <w:p>
      <w:pPr>
        <w:pStyle w:val="ListBullet"/>
      </w:pPr>
      <w:r/>
      <w:r>
        <w:rPr>
          <w:b/>
        </w:rPr>
        <w:t>Inconvénients :</w:t>
      </w:r>
      <w:r>
        <w:t xml:space="preserve"> non disponible en Algérie (retrait de la spécialité Aspen), surcoût important, nécessité d'une pompe Diprifusor spécifique.</w:t>
      </w:r>
    </w:p>
    <w:p>
      <w:pPr>
        <w:pStyle w:val="ListBullet"/>
      </w:pPr>
      <w:r/>
      <w:r>
        <w:rPr>
          <w:b/>
        </w:rPr>
        <w:t>Indications :</w:t>
      </w:r>
      <w:r>
        <w:t xml:space="preserve"> AIVOC en anesthésie programmée.</w:t>
      </w:r>
    </w:p>
    <w:p>
      <w:r/>
      <w:r>
        <w:rPr>
          <w:b/>
        </w:rPr>
        <w:t>Forme à 2 % (20 mg/mL) — non disponible en Algérie :</w:t>
      </w:r>
      <w:r>
        <w:t xml:space="preserve"> moins douloureuse à l'injection, mais formulation avec EDTA (chelateur) généralement non disponible sur le marché algérien.</w:t>
      </w:r>
    </w:p>
    <w:p>
      <w:r/>
      <w:r>
        <w:rPr>
          <w:b/>
        </w:rPr>
        <w:t>Choix pratique en Algérie :</w:t>
      </w:r>
      <w:r/>
    </w:p>
    <w:p>
      <w:pPr>
        <w:pStyle w:val="ListBullet"/>
      </w:pPr>
      <w:r>
        <w:t>Pour l'induction standard : Propofol Fresenius 1% (ampoules de 20 mL) ou Provive (El Kendi) — même formulation, prix algérien plus compétitif pour Provive.</w:t>
      </w:r>
    </w:p>
    <w:p>
      <w:pPr>
        <w:pStyle w:val="ListBullet"/>
      </w:pPr>
      <w:r>
        <w:t>Pour la perfusion continue en AIAC : Propofol Kabi (boîte de 5 ampoules de 20 mL) en seringue de 50 mL préparée à la demande.</w:t>
      </w:r>
    </w:p>
    <w:p>
      <w:pPr>
        <w:pStyle w:val="ListBullet"/>
      </w:pPr>
      <w:r>
        <w:t>Pour l'AIVOC : seules les ampoules de 20 mL à 1 % sont disponibles, à transférer en seringue de 50 mL compatible avec les pompes type Pilote C, Orchestra ou Base A ; pas de système pré-rempli Diprifusor disponible en Algérie.</w:t>
      </w:r>
    </w:p>
    <w:p>
      <w:pPr>
        <w:pStyle w:val="Heading3"/>
      </w:pPr>
      <w:r>
        <w:t>181.1.1.11 Conseils au patient et information préopératoire</w:t>
      </w:r>
    </w:p>
    <w:p>
      <w:r/>
      <w:r>
        <w:rPr>
          <w:b/>
        </w:rPr>
        <w:t>Avant l'anesthésie (pré-anesthésie) :</w:t>
      </w:r>
      <w:r/>
    </w:p>
    <w:p>
      <w:pPr>
        <w:pStyle w:val="ListBullet"/>
      </w:pPr>
      <w:r/>
      <w:r>
        <w:rPr>
          <w:b/>
        </w:rPr>
        <w:t>Jeûne pré-opératoire strict</w:t>
      </w:r>
      <w:r>
        <w:t xml:space="preserve"> : 6 heures pour les solides et le lait, 2 heures pour les liquides clairs (recommandations SFAR 2018, « règle du 6-2 »). Le jeûne réduit le risque d'inhalation (syndrome de Mendelson) à l'induction.</w:t>
      </w:r>
    </w:p>
    <w:p>
      <w:pPr>
        <w:pStyle w:val="ListBullet"/>
      </w:pPr>
      <w:r/>
      <w:r>
        <w:rPr>
          <w:b/>
        </w:rPr>
        <w:t>Bilan pré-anesthésique</w:t>
      </w:r>
      <w:r>
        <w:t xml:space="preserve"> : consultation anesthésique obligatoire (loi algérienne de 1985 et décret exécutif n° 95-261 du 27 août 1995), ECG, NFS, groupe sanguin, ionogramme, créatininémie selon l'âge et les comorbidités.</w:t>
      </w:r>
    </w:p>
    <w:p>
      <w:pPr>
        <w:pStyle w:val="ListBullet"/>
      </w:pPr>
      <w:r/>
      <w:r>
        <w:rPr>
          <w:b/>
        </w:rPr>
        <w:t>Annonce de l'allergie</w:t>
      </w:r>
      <w:r>
        <w:t xml:space="preserve"> : signaler toute allergie connue, en particulier à l'arachide, au soja, à l'œuf, ainsi que les antécédents d'anesthésie difficile (réveil prolongé, nausées, allergies).</w:t>
      </w:r>
    </w:p>
    <w:p>
      <w:pPr>
        <w:pStyle w:val="ListBullet"/>
      </w:pPr>
      <w:r/>
      <w:r>
        <w:rPr>
          <w:b/>
        </w:rPr>
        <w:t>Traitement habituel</w:t>
      </w:r>
      <w:r>
        <w:t xml:space="preserve"> : les antihypertenseurs (IEC, ARA2, β-bloquants) sont généralement poursuivis le matin de l'intervention (à l'exception des IEC et ARA2 si chirurgie lourde, à discuter). Les anticoagulants oraux sont relayés par HBPM selon protocole. Les diurétiques sont souvent omis le matin de la chirurgie.</w:t>
      </w:r>
    </w:p>
    <w:p>
      <w:pPr>
        <w:pStyle w:val="ListBullet"/>
      </w:pPr>
      <w:r/>
      <w:r>
        <w:rPr>
          <w:b/>
        </w:rPr>
        <w:t>Information sur le déroulement</w:t>
      </w:r>
      <w:r>
        <w:t xml:space="preserve"> : pose d'une voie veineuse, injection du propofol qui endort en 30-60 secondes (sensation d'engourdissement du bras, parfois goût métallique), réveil 5-10 minutes après l'arrêt en cas d'induction simple, ou après la chirurgie en cas d'anesthésie prolongée.</w:t>
      </w:r>
    </w:p>
    <w:p>
      <w:r/>
      <w:r>
        <w:rPr>
          <w:b/>
        </w:rPr>
        <w:t>Au réveil post-opératoire :</w:t>
      </w:r>
      <w:r/>
    </w:p>
    <w:p>
      <w:pPr>
        <w:pStyle w:val="ListBullet"/>
      </w:pPr>
      <w:r>
        <w:t>Surveillance continue en salle de réveil (SSPI) : SpO2, PNI, ECG, Fr respiratoire, conscience (score d'Aldrete).</w:t>
      </w:r>
    </w:p>
    <w:p>
      <w:pPr>
        <w:pStyle w:val="ListBullet"/>
      </w:pPr>
      <w:r>
        <w:t>Prévention de la douleur : paracétamol 1 g IV, AINS si non contre-indiqué, morphine titration si douleur &gt; 4/10 (EVA).</w:t>
      </w:r>
    </w:p>
    <w:p>
      <w:pPr>
        <w:pStyle w:val="ListBullet"/>
      </w:pPr>
      <w:r>
        <w:t>Prévention des NVPO : ondansétron 4 mg IV, dexaméthasone 4-8 mg IV si patient à risque.</w:t>
      </w:r>
    </w:p>
    <w:p>
      <w:pPr>
        <w:pStyle w:val="ListBullet"/>
      </w:pPr>
      <w:r>
        <w:t>Information sur les effets résiduels possibles : somnolence pendant 2-6 heures, troubles de la mémoire à court terme (amnésie résiduelle), nausées possibles dans 5-10 % des cas.</w:t>
      </w:r>
    </w:p>
    <w:p>
      <w:pPr>
        <w:pStyle w:val="ListBullet"/>
      </w:pPr>
      <w:r>
        <w:t>Interdiction de conduire un véhicule ou d'utiliser une machine dangereuse pendant 24 heures (recommandations SFAR et HAS).</w:t>
      </w:r>
    </w:p>
    <w:p>
      <w:pPr>
        <w:pStyle w:val="ListBullet"/>
      </w:pPr>
      <w:r>
        <w:t>Sortie après chirurgie ambulatoire : score d'Aldrete ≥ 9/10, patient accompagné, sortie 2-4 heures après la fin de l'intervention.</w:t>
      </w:r>
    </w:p>
    <w:p>
      <w:r/>
      <w:r>
        <w:rPr>
          <w:b/>
        </w:rPr>
        <w:t>En réanimation (sédation prolongée) :</w:t>
      </w:r>
      <w:r/>
    </w:p>
    <w:p>
      <w:pPr>
        <w:pStyle w:val="ListBullet"/>
      </w:pPr>
      <w:r>
        <w:t>Information à la famille sur la profondeur de sédation (patient inconscient, ne répondant pas à la stimulation verbale).</w:t>
      </w:r>
    </w:p>
    <w:p>
      <w:pPr>
        <w:pStyle w:val="ListBullet"/>
      </w:pPr>
      <w:r>
        <w:t>Surveillance continue : ECG, SpO2, PNI, capnie (EtCO2), diurèse horaire.</w:t>
      </w:r>
    </w:p>
    <w:p>
      <w:pPr>
        <w:pStyle w:val="ListBullet"/>
      </w:pPr>
      <w:r>
        <w:t>Prévention des escarres : changement de position toutes les 2 heures.</w:t>
      </w:r>
    </w:p>
    <w:p>
      <w:pPr>
        <w:pStyle w:val="ListBullet"/>
      </w:pPr>
      <w:r>
        <w:t>Prévention des neuropathies de compression : positionnement adapté.</w:t>
      </w:r>
    </w:p>
    <w:p>
      <w:pPr>
        <w:pStyle w:val="ListBullet"/>
      </w:pPr>
      <w:r>
        <w:t>Réveil programmé : « wake-up test » quotidien pour évaluation neurologique, arrêt transitoire de la sédation sous surveillance.</w:t>
      </w:r>
    </w:p>
    <w:p>
      <w:pPr>
        <w:pStyle w:val="ListBullet"/>
      </w:pPr>
      <w:r>
        <w:t>Surveillance PRIS : lactates, CPK, triglycérides, gaz du sang toutes les 24 heures si perfusion &gt; 48 h.</w:t>
      </w:r>
    </w:p>
    <w:p>
      <w:pPr>
        <w:pStyle w:val="Heading3"/>
      </w:pPr>
      <w:r>
        <w:t>181.1.1.12 Pièges au comptoir — Règles d'or</w:t>
      </w:r>
    </w:p>
    <w:p>
      <w:pPr>
        <w:pStyle w:val="ListNumber"/>
      </w:pPr>
      <w:r/>
      <w:r>
        <w:rPr>
          <w:b/>
        </w:rPr>
        <w:t>Règle d'or n°1 : hygiène de manipulation absolue.</w:t>
      </w:r>
      <w:r>
        <w:t xml:space="preserve"> Le propofol est une émulsion lipidique qui favorise la croissance bactérienne. L'ampoule ouverte doit être désinfectée à l'alcool 70° avant prélèvement. La seringue pré-remplie doit être utilisée dans les 6 heures suivant l'ouverture et étiquetée avec date, heure et nom. Tout résidu non utilisé dans ce délai doit être jeté. Plusieurs épidémies nosocomiales (S. aureus, Enterobacter, Candida) ont été associées à des manipulations défectueuses.</w:t>
      </w:r>
    </w:p>
    <w:p>
      <w:pPr>
        <w:pStyle w:val="ListNumber"/>
      </w:pPr>
      <w:r/>
      <w:r>
        <w:rPr>
          <w:b/>
        </w:rPr>
        <w:t>Règle d'or n°2 : la dose d'induction doit être adaptée au patient.</w:t>
      </w:r>
      <w:r>
        <w:t xml:space="preserve"> Une dose standard de 2,5 mg/kg chez un sujet âgé hypovolémique peut provoquer une hypotension sévère et un arrêt cardiaque. Réduire à 1-1,5 mg/kg chez le sujet &gt; 65 ans, l'insuffisant cardiaque, le patient hypovolémique, et l'ASA III-IV. Privilégier l'étomidate en cas de choc.</w:t>
      </w:r>
    </w:p>
    <w:p>
      <w:pPr>
        <w:pStyle w:val="ListNumber"/>
      </w:pPr>
      <w:r/>
      <w:r>
        <w:rPr>
          <w:b/>
        </w:rPr>
        <w:t>Règle d'or n°3 : ne pas dépasser 4 mg/kg/h pendant 48 heures.</w:t>
      </w:r>
      <w:r>
        <w:t xml:space="preserve"> Le Propofol Infusion Syndrome (PRIS) est rare (1/300 à 1/1000 en réanimation prolongée) mais gravissime (mortalité 50-80 %). Au-delà de 48 heures de perfusion à haute dose, basculer sur midazolam ou sédatif alternatif. Surveillance CPK, lactates, triglycérides.</w:t>
      </w:r>
    </w:p>
    <w:p>
      <w:pPr>
        <w:pStyle w:val="ListNumber"/>
      </w:pPr>
      <w:r/>
      <w:r>
        <w:rPr>
          <w:b/>
        </w:rPr>
        <w:t>Règle d'or n°4 : ne jamais utiliser en perfusion prolongée chez l'enfant de moins de 16 ans.</w:t>
      </w:r>
      <w:r>
        <w:t xml:space="preserve"> L'EMA et la SFAR contre-indiquent l'usage prolongé du propofol en sédation de réanimation pédiatrique, en raison du risque majeur de PRIS. Préférer midazolam, clonidine ou dexmédétomidine.</w:t>
      </w:r>
    </w:p>
    <w:p>
      <w:pPr>
        <w:pStyle w:val="ListNumber"/>
      </w:pPr>
      <w:r/>
      <w:r>
        <w:rPr>
          <w:b/>
        </w:rPr>
        <w:t>Règle d'or n°5 : prémédication de la douleur à l'injection.</w:t>
      </w:r>
      <w:r>
        <w:t xml:space="preserve"> La douleur à l'injection peut être intense (30-70 % des cas). Pré-injection de lidocaïne 1 % (1 mg/kg) dans la même veine, sans purger la voie, ou d'un petit bolus de rémifentanil 0,5 µg/kg. Choix d'une grosse veine de l'avant-bras.</w:t>
      </w:r>
    </w:p>
    <w:p>
      <w:pPr>
        <w:pStyle w:val="ListNumber"/>
      </w:pPr>
      <w:r/>
      <w:r>
        <w:rPr>
          <w:b/>
        </w:rPr>
        <w:t>Règle d'or n°6 : ne pas mélanger dans la même seringue.</w:t>
      </w:r>
      <w:r>
        <w:t xml:space="preserve"> Le propofol est physico-chimiquement incompatible avec de nombreux médicaments (pancuronium, rocuronium en formulation saline, vécuronium, doxapram, aciclovir, ampicilline, triméthoprime-sulfaméthoxazole). Administrer le propofol seul dans sa seringue, ou utiliser un site d'injection distinct pour les autres médicaments.</w:t>
      </w:r>
    </w:p>
    <w:p>
      <w:pPr>
        <w:pStyle w:val="ListNumber"/>
      </w:pPr>
      <w:r/>
      <w:r>
        <w:rPr>
          <w:b/>
        </w:rPr>
        <w:t>Règle d'or n°7 : allergie à l'arachide ou au soja = contre-indication à évaluer.</w:t>
      </w:r>
      <w:r>
        <w:t xml:space="preserve"> La formulation du propofol contient de l'huile de soja purifiée. L'allergie sévère à l'arachide ou au soja est une contre-indication relative, à discuter avec un allergologue. En pratique, l'huile purifiée est généralement tolérée, mais l'anesthésiste doit être préparé à une alternative (thiopental, étomidate, cétamine).</w:t>
      </w:r>
    </w:p>
    <w:p>
      <w:pPr>
        <w:pStyle w:val="ListNumber"/>
      </w:pPr>
      <w:r/>
      <w:r>
        <w:rPr>
          <w:b/>
        </w:rPr>
        <w:t>Règle d'or n°8 : pas d'anesthésie générale sans monitoring.</w:t>
      </w:r>
      <w:r>
        <w:t xml:space="preserve"> L'anesthésie au propofol impose un monitorage minimal : ECG, PNI, SpO2, capnographie (EtCO2), température, BIS ou Entropy si perfusion prolongée. La capnographie est obligatoire depuis la SFAR 2018 pour toute anesthésie générale.</w:t>
      </w:r>
    </w:p>
    <w:p>
      <w:pPr>
        <w:pStyle w:val="ListNumber"/>
      </w:pPr>
      <w:r/>
      <w:r>
        <w:rPr>
          <w:b/>
        </w:rPr>
        <w:t>Règle d'or n°9 : le rémifentanil en association est le « grand ami » du propofol.</w:t>
      </w:r>
      <w:r>
        <w:t xml:space="preserve"> L'association propofol + rémifentanil en AIVOC (« TIVA TCI ») permet une anesthésie balancée entièrement IV, particulièrement indiquée en cas de risque d'hyperthermie maligne ou de nausées post-opératoires. Cibles : Propofol 3-5 µg/mL + Rémifentanil 4-8 ng/mL.</w:t>
      </w:r>
    </w:p>
    <w:p>
      <w:pPr>
        <w:pStyle w:val="ListNumber"/>
      </w:pPr>
      <w:r/>
      <w:r>
        <w:rPr>
          <w:b/>
        </w:rPr>
        <w:t>Règle d'or n°10 : ne pas confondre perte de conscience et anesthésie chirurgicale.</w:t>
      </w:r>
      <w:r>
        <w:t xml:space="preserve"> Le propofol seul n'est pas suffisant pour la chirurgie douloureuse : il doit être associé à un morphinique et éventuellement à un curare. Une anesthésie « trop légère » expose au risque de mémorisation peropératoire (incidence 0,1-0,2 % sans BIS, 0,04 % avec BIS).</w:t>
      </w:r>
    </w:p>
    <w:p>
      <w:pPr>
        <w:pStyle w:val="ListNumber"/>
      </w:pPr>
      <w:r/>
      <w:r>
        <w:rPr>
          <w:b/>
        </w:rPr>
        <w:t>Règle d'or n°11 : grossesse = prescription prudente, jamais en dehors des indications validées.</w:t>
      </w:r>
      <w:r>
        <w:t xml:space="preserve"> L'usage du propofol pendant la grossesse est légitime en cas de nécessité chirurgicale urgente (appendicite, torsion d'annexe, traumatisme) ou en césarienne programmée. Éviter les anesthésies programmées non urgentes au 1er trimestre, en raison du débat sur la neurotoxicité fœtale.</w:t>
      </w:r>
    </w:p>
    <w:p>
      <w:pPr>
        <w:pStyle w:val="ListNumber"/>
      </w:pPr>
      <w:r/>
      <w:r>
        <w:rPr>
          <w:b/>
        </w:rPr>
        <w:t>Règle d'or n°12 : ne JAMAIS administrer par voie IM.</w:t>
      </w:r>
      <w:r>
        <w:t xml:space="preserve"> Le propofol est exclusivement IV. L'injection IM est inefficace, douloureuse et expose à des nécroses tissulaires.</w:t>
      </w:r>
    </w:p>
    <w:p>
      <w:pPr>
        <w:pStyle w:val="ListNumber"/>
      </w:pPr>
      <w:r/>
      <w:r>
        <w:rPr>
          <w:b/>
        </w:rPr>
        <w:t>Règle d'or n°13 : conservation à température ambiante (≤ 25 °C).</w:t>
      </w:r>
      <w:r>
        <w:t xml:space="preserve"> Le propofol ne se congèle pas et ne se réchauffe pas. Une émulsion séparée (phase lipidique visible) doit être jetée. Ne pas utiliser si la solution est trouble ou si l'on observe une séparation de phase.</w:t>
      </w:r>
    </w:p>
    <w:p>
      <w:pPr>
        <w:pStyle w:val="ListNumber"/>
      </w:pPr>
      <w:r/>
      <w:r>
        <w:rPr>
          <w:b/>
        </w:rPr>
        <w:t>Règle d'or n°14 : déclaration de toute réaction anormale.</w:t>
      </w:r>
      <w:r>
        <w:t xml:space="preserve"> Les cas d'anaphylaxie, de PRIS, de convulsions au réveil, de désinhibition sexuelle doivent être déclarés au centre de pharmacovigilance national (CNPV d'Alger). La traçabilité de l'anesthésie est obligatoire (registre d'anesthésie, dossier d'anesthésie informatisé).</w:t>
      </w:r>
    </w:p>
    <w:p>
      <w:pPr>
        <w:pStyle w:val="ListNumber"/>
      </w:pPr>
      <w:r/>
      <w:r>
        <w:rPr>
          <w:b/>
        </w:rPr>
        <w:t>Règle d'or n°15 : usage détourné possible.</w:t>
      </w:r>
      <w:r>
        <w:t xml:space="preserve"> Le propofol peut faire l'objet d'un usage détourné (addiction des anesthésistes, euthanasie, viols sous chimio). La molécule est inscrite sur la Liste I et doit être conservée en armoire sécurisée, avec traçabilité des ampoules et comptage des stocks.</w:t>
      </w:r>
    </w:p>
    <w:p>
      <w:pPr>
        <w:pStyle w:val="Heading2"/>
      </w:pPr>
      <w:r>
        <w:t>181.2.1 — THIOPENTAL</w:t>
      </w:r>
    </w:p>
    <w:p>
      <w:pPr>
        <w:pStyle w:val="Heading3"/>
      </w:pPr>
      <w:r>
        <w:t>181.2.1.1 Catégories pharmaco-thérapeutiques et indications</w:t>
      </w:r>
    </w:p>
    <w:p>
      <w:r/>
      <w:r>
        <w:rPr>
          <w:b/>
        </w:rPr>
        <w:t>DCI :</w:t>
      </w:r>
      <w:r>
        <w:t xml:space="preserve"> Thiopental (acide 5-éthyl-5-(1-méthylbutyl)-2-thiobarbiturique), sous forme de thiopental sodique (sel de sodium) avec carbonate de sodium comme excipient alcalin.</w:t>
      </w:r>
    </w:p>
    <w:p>
      <w:r/>
      <w:r>
        <w:rPr>
          <w:b/>
        </w:rPr>
        <w:t>Code ATC :</w:t>
      </w:r>
      <w:r>
        <w:t xml:space="preserve"> N01AF03 (barbituriques anesthésiques), N03AA02 (antiépileptiques barbituriques).</w:t>
      </w:r>
    </w:p>
    <w:p>
      <w:r/>
      <w:r>
        <w:rPr>
          <w:b/>
        </w:rPr>
        <w:t>Classe chimique :</w:t>
      </w:r>
      <w:r>
        <w:t xml:space="preserve"> barbiturique à chaîne latérale thiopentyle, dérivé thio-oxo de l'acide barbiturique. La substitution soufrée en position 2 confère à la molécule une lipophilie 5 à 10 fois supérieure à celle du pentobarbital (analogique oxygéné), d'où son passage cérébral extrêmement rapide.</w:t>
      </w:r>
    </w:p>
    <w:p>
      <w:r/>
      <w:r>
        <w:rPr>
          <w:b/>
        </w:rPr>
        <w:t>Sous-classes pharmacologiques :</w:t>
      </w:r>
      <w:r>
        <w:t xml:space="preserve"> hypnotique intraveineux d'induction (ultra-court, classe IV de la classification Mark) ; agent anticonvulsivant d'urgence (status epilepticus réfractaire) ; agent de neuroprotection dans l'hypertension intracrânienne.</w:t>
      </w:r>
    </w:p>
    <w:p>
      <w:r/>
      <w:r>
        <w:rPr>
          <w:b/>
        </w:rPr>
        <w:t>Indications portées sur l'AMM (RCP VIDAL/EMA) :</w:t>
      </w:r>
      <w:r/>
    </w:p>
    <w:p>
      <w:pPr>
        <w:pStyle w:val="ListBullet"/>
      </w:pPr>
      <w:r>
        <w:t>Induction de l'anesthésie générale (en alternative au propofol ou à l'étomidate).</w:t>
      </w:r>
    </w:p>
    <w:p>
      <w:pPr>
        <w:pStyle w:val="ListBullet"/>
      </w:pPr>
      <w:r>
        <w:t>Traitement de première intention du status epilepticus convulsif de l'adulte et de l'enfant (relais par phénytoïne ou fosphenytoïne pour le traitement d'entretien).</w:t>
      </w:r>
    </w:p>
    <w:p>
      <w:pPr>
        <w:pStyle w:val="ListBullet"/>
      </w:pPr>
      <w:r>
        <w:t>Neuroprotection dans l'hypertension intracrânienne aiguë (traumatisme crânien grave, hémorragie méningée, coma anoxique) par bolus ou perfusion continue pour maintenir une suppression EEG (burst-suppression pattern).</w:t>
      </w:r>
    </w:p>
    <w:p>
      <w:pPr>
        <w:pStyle w:val="ListBullet"/>
      </w:pPr>
      <w:r>
        <w:t>Induction en séquence rapide chez la femme enceinte (protocole classique« thiopental + succinylcholine ») en cas de risque d'estomac plein.</w:t>
      </w:r>
    </w:p>
    <w:p>
      <w:r/>
      <w:r>
        <w:rPr>
          <w:b/>
        </w:rPr>
        <w:t>Indications non couvertes par l'AMM (usage historique ou détourné) :</w:t>
      </w:r>
      <w:r>
        <w:t xml:space="preserve"> euthanasie (protocole néerlandais et belge, où le thiopental IV à dose massive précède le pancuronium) ; injection létale dans les exécutions capitales aux États-Unis (protocole contesté en raison de l'effet anesthésique initial incertain) ; interrogation sous narcose (obsolète) ; traitement de la manie réfractaire (historique).</w:t>
      </w:r>
    </w:p>
    <w:p>
      <w:pPr>
        <w:pStyle w:val="Heading3"/>
      </w:pPr>
      <w:r>
        <w:t>181.2.1.2 Médicaments disponibles en Algérie</w:t>
      </w:r>
    </w:p>
    <w:p>
      <w:r>
        <w:t>Le thiopental est inscrit sur la Liste II des substances vénéneuses en Algérie (substances à potentiel d'usage détourné ou de toxicomanie), justifiant un encadrement réglementaire renforcé de la prescription et de la dispensation. Le thiopental se présente sous forme de poudre pour solution injectable à reconstituer avec de l'eau pour préparations injectables (EPPI) ou du sérum physiologique, en flacons de 0,5 g et 1 g. Le tableau suivant recense l'ensemble des spécialités ayant fait l'objet d'une autorisation de mise sur le marché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THIOPENTAL VUAB INJ.PLV.SOL.0,5 G</w:t>
            </w:r>
          </w:p>
        </w:tc>
        <w:tc>
          <w:tcPr>
            <w:tcW w:type="dxa" w:w="1559"/>
          </w:tcPr>
          <w:p>
            <w:r>
              <w:rPr>
                <w:sz w:val="20"/>
              </w:rPr>
              <w:t>VUAB PHARMA A.S.</w:t>
            </w:r>
          </w:p>
        </w:tc>
        <w:tc>
          <w:tcPr>
            <w:tcW w:type="dxa" w:w="1559"/>
          </w:tcPr>
          <w:p>
            <w:r>
              <w:rPr>
                <w:sz w:val="20"/>
              </w:rPr>
              <w:t>Poudre pour solution injectable IV, 0,5 g</w:t>
            </w:r>
          </w:p>
        </w:tc>
        <w:tc>
          <w:tcPr>
            <w:tcW w:type="dxa" w:w="1559"/>
          </w:tcPr>
          <w:p>
            <w:r>
              <w:rPr>
                <w:sz w:val="20"/>
              </w:rPr>
              <w:t>Boîte de 1 flacon</w:t>
            </w:r>
          </w:p>
        </w:tc>
        <w:tc>
          <w:tcPr>
            <w:tcW w:type="dxa" w:w="1559"/>
          </w:tcPr>
          <w:p>
            <w:r>
              <w:rPr>
                <w:sz w:val="20"/>
              </w:rPr>
              <w:t>Liste II</w:t>
            </w:r>
          </w:p>
        </w:tc>
        <w:tc>
          <w:tcPr>
            <w:tcW w:type="dxa" w:w="1559"/>
          </w:tcPr>
          <w:p>
            <w:r>
              <w:rPr>
                <w:sz w:val="20"/>
              </w:rPr>
              <w:t>ACTIF</w:t>
            </w:r>
          </w:p>
        </w:tc>
      </w:tr>
      <w:tr>
        <w:tc>
          <w:tcPr>
            <w:tcW w:type="dxa" w:w="1559"/>
          </w:tcPr>
          <w:p>
            <w:r>
              <w:rPr>
                <w:sz w:val="20"/>
              </w:rPr>
              <w:t>THIOPENTAL VUAB INJ.PLV.SOL.1.0 G</w:t>
            </w:r>
          </w:p>
        </w:tc>
        <w:tc>
          <w:tcPr>
            <w:tcW w:type="dxa" w:w="1559"/>
          </w:tcPr>
          <w:p>
            <w:r>
              <w:rPr>
                <w:sz w:val="20"/>
              </w:rPr>
              <w:t>VUAB PHARMA A.S.</w:t>
            </w:r>
          </w:p>
        </w:tc>
        <w:tc>
          <w:tcPr>
            <w:tcW w:type="dxa" w:w="1559"/>
          </w:tcPr>
          <w:p>
            <w:r>
              <w:rPr>
                <w:sz w:val="20"/>
              </w:rPr>
              <w:t>Poudre pour solution injectable IV, 1 g</w:t>
            </w:r>
          </w:p>
        </w:tc>
        <w:tc>
          <w:tcPr>
            <w:tcW w:type="dxa" w:w="1559"/>
          </w:tcPr>
          <w:p>
            <w:r>
              <w:rPr>
                <w:sz w:val="20"/>
              </w:rPr>
              <w:t>Boîte de 1 flacon</w:t>
            </w:r>
          </w:p>
        </w:tc>
        <w:tc>
          <w:tcPr>
            <w:tcW w:type="dxa" w:w="1559"/>
          </w:tcPr>
          <w:p>
            <w:r>
              <w:rPr>
                <w:sz w:val="20"/>
              </w:rPr>
              <w:t>Liste II</w:t>
            </w:r>
          </w:p>
        </w:tc>
        <w:tc>
          <w:tcPr>
            <w:tcW w:type="dxa" w:w="1559"/>
          </w:tcPr>
          <w:p>
            <w:r>
              <w:rPr>
                <w:sz w:val="20"/>
              </w:rPr>
              <w:t>ACTIF</w:t>
            </w:r>
          </w:p>
        </w:tc>
      </w:tr>
      <w:tr>
        <w:tc>
          <w:tcPr>
            <w:tcW w:type="dxa" w:w="1559"/>
          </w:tcPr>
          <w:p>
            <w:r>
              <w:rPr>
                <w:sz w:val="20"/>
              </w:rPr>
              <w:t>THIOPENTAL</w:t>
            </w:r>
          </w:p>
        </w:tc>
        <w:tc>
          <w:tcPr>
            <w:tcW w:type="dxa" w:w="1559"/>
          </w:tcPr>
          <w:p>
            <w:r>
              <w:rPr>
                <w:sz w:val="20"/>
              </w:rPr>
              <w:t>SANDOZ GMBH</w:t>
            </w:r>
          </w:p>
        </w:tc>
        <w:tc>
          <w:tcPr>
            <w:tcW w:type="dxa" w:w="1559"/>
          </w:tcPr>
          <w:p>
            <w:r>
              <w:rPr>
                <w:sz w:val="20"/>
              </w:rPr>
              <w:t>Poudre pour solution injectable IV, 500 mg</w:t>
            </w:r>
          </w:p>
        </w:tc>
        <w:tc>
          <w:tcPr>
            <w:tcW w:type="dxa" w:w="1559"/>
          </w:tcPr>
          <w:p>
            <w:r>
              <w:rPr>
                <w:sz w:val="20"/>
              </w:rPr>
              <w:t>Boîte de 25 flacons</w:t>
            </w:r>
          </w:p>
        </w:tc>
        <w:tc>
          <w:tcPr>
            <w:tcW w:type="dxa" w:w="1559"/>
          </w:tcPr>
          <w:p>
            <w:r>
              <w:rPr>
                <w:sz w:val="20"/>
              </w:rPr>
              <w:t>Liste II</w:t>
            </w:r>
          </w:p>
        </w:tc>
        <w:tc>
          <w:tcPr>
            <w:tcW w:type="dxa" w:w="1559"/>
          </w:tcPr>
          <w:p>
            <w:r>
              <w:rPr>
                <w:sz w:val="20"/>
              </w:rPr>
              <w:t>NON_RENOUVELABLE</w:t>
            </w:r>
          </w:p>
        </w:tc>
      </w:tr>
      <w:tr>
        <w:tc>
          <w:tcPr>
            <w:tcW w:type="dxa" w:w="1559"/>
          </w:tcPr>
          <w:p>
            <w:r>
              <w:rPr>
                <w:sz w:val="20"/>
              </w:rPr>
              <w:t>THIOPENTAL SODIQUE</w:t>
            </w:r>
          </w:p>
        </w:tc>
        <w:tc>
          <w:tcPr>
            <w:tcW w:type="dxa" w:w="1559"/>
          </w:tcPr>
          <w:p>
            <w:r>
              <w:rPr>
                <w:sz w:val="20"/>
              </w:rPr>
              <w:t>PHARMADRUG PRODUCTION Gmbh</w:t>
            </w:r>
          </w:p>
        </w:tc>
        <w:tc>
          <w:tcPr>
            <w:tcW w:type="dxa" w:w="1559"/>
          </w:tcPr>
          <w:p>
            <w:r>
              <w:rPr>
                <w:sz w:val="20"/>
              </w:rPr>
              <w:t>Poudre pour solution injectable IV, 0,5 g</w:t>
            </w:r>
          </w:p>
        </w:tc>
        <w:tc>
          <w:tcPr>
            <w:tcW w:type="dxa" w:w="1559"/>
          </w:tcPr>
          <w:p>
            <w:r>
              <w:rPr>
                <w:sz w:val="20"/>
              </w:rPr>
              <w:t>Boîte de 50 flacons</w:t>
            </w:r>
          </w:p>
        </w:tc>
        <w:tc>
          <w:tcPr>
            <w:tcW w:type="dxa" w:w="1559"/>
          </w:tcPr>
          <w:p>
            <w:r>
              <w:rPr>
                <w:sz w:val="20"/>
              </w:rPr>
              <w:t>Liste II</w:t>
            </w:r>
          </w:p>
        </w:tc>
        <w:tc>
          <w:tcPr>
            <w:tcW w:type="dxa" w:w="1559"/>
          </w:tcPr>
          <w:p>
            <w:r>
              <w:rPr>
                <w:sz w:val="20"/>
              </w:rPr>
              <w:t>NON_RENOUVELABLE</w:t>
            </w:r>
          </w:p>
        </w:tc>
      </w:tr>
      <w:tr>
        <w:tc>
          <w:tcPr>
            <w:tcW w:type="dxa" w:w="1559"/>
          </w:tcPr>
          <w:p>
            <w:r>
              <w:rPr>
                <w:sz w:val="20"/>
              </w:rPr>
              <w:t>THIOPENTAL 0,5G ROTEXMEDICA</w:t>
            </w:r>
          </w:p>
        </w:tc>
        <w:tc>
          <w:tcPr>
            <w:tcW w:type="dxa" w:w="1559"/>
          </w:tcPr>
          <w:p>
            <w:r>
              <w:rPr>
                <w:sz w:val="20"/>
              </w:rPr>
              <w:t>ROTEXMEDICA GmbH</w:t>
            </w:r>
          </w:p>
        </w:tc>
        <w:tc>
          <w:tcPr>
            <w:tcW w:type="dxa" w:w="1559"/>
          </w:tcPr>
          <w:p>
            <w:r>
              <w:rPr>
                <w:sz w:val="20"/>
              </w:rPr>
              <w:t>Poudre pour solution injectable IV, 0,5 g</w:t>
            </w:r>
          </w:p>
        </w:tc>
        <w:tc>
          <w:tcPr>
            <w:tcW w:type="dxa" w:w="1559"/>
          </w:tcPr>
          <w:p>
            <w:r>
              <w:rPr>
                <w:sz w:val="20"/>
              </w:rPr>
              <w:t>Boîte de 50 flacons</w:t>
            </w:r>
          </w:p>
        </w:tc>
        <w:tc>
          <w:tcPr>
            <w:tcW w:type="dxa" w:w="1559"/>
          </w:tcPr>
          <w:p>
            <w:r>
              <w:rPr>
                <w:sz w:val="20"/>
              </w:rPr>
              <w:t>Liste II</w:t>
            </w:r>
          </w:p>
        </w:tc>
        <w:tc>
          <w:tcPr>
            <w:tcW w:type="dxa" w:w="1559"/>
          </w:tcPr>
          <w:p>
            <w:r>
              <w:rPr>
                <w:sz w:val="20"/>
              </w:rPr>
              <w:t>NON_RENOUVELABLE</w:t>
            </w:r>
          </w:p>
        </w:tc>
      </w:tr>
      <w:tr>
        <w:tc>
          <w:tcPr>
            <w:tcW w:type="dxa" w:w="1559"/>
          </w:tcPr>
          <w:p>
            <w:r>
              <w:rPr>
                <w:sz w:val="20"/>
              </w:rPr>
              <w:t>THIOPENTAL</w:t>
            </w:r>
          </w:p>
        </w:tc>
        <w:tc>
          <w:tcPr>
            <w:tcW w:type="dxa" w:w="1559"/>
          </w:tcPr>
          <w:p>
            <w:r>
              <w:rPr>
                <w:sz w:val="20"/>
              </w:rPr>
              <w:t>BIOCHEMIE GmbH</w:t>
            </w:r>
          </w:p>
        </w:tc>
        <w:tc>
          <w:tcPr>
            <w:tcW w:type="dxa" w:w="1559"/>
          </w:tcPr>
          <w:p>
            <w:r>
              <w:rPr>
                <w:sz w:val="20"/>
              </w:rPr>
              <w:t>Poudre pour solution injectable IV, 1 g</w:t>
            </w:r>
          </w:p>
        </w:tc>
        <w:tc>
          <w:tcPr>
            <w:tcW w:type="dxa" w:w="1559"/>
          </w:tcPr>
          <w:p>
            <w:r>
              <w:rPr>
                <w:sz w:val="20"/>
              </w:rPr>
              <w:t>Boîte de 25 flacons</w:t>
            </w:r>
          </w:p>
        </w:tc>
        <w:tc>
          <w:tcPr>
            <w:tcW w:type="dxa" w:w="1559"/>
          </w:tcPr>
          <w:p>
            <w:r>
              <w:rPr>
                <w:sz w:val="20"/>
              </w:rPr>
              <w:t>Liste II</w:t>
            </w:r>
          </w:p>
        </w:tc>
        <w:tc>
          <w:tcPr>
            <w:tcW w:type="dxa" w:w="1559"/>
          </w:tcPr>
          <w:p>
            <w:r>
              <w:rPr>
                <w:sz w:val="20"/>
              </w:rPr>
              <w:t>NON_RENOUVELABLE</w:t>
            </w:r>
          </w:p>
        </w:tc>
      </w:tr>
      <w:tr>
        <w:tc>
          <w:tcPr>
            <w:tcW w:type="dxa" w:w="1559"/>
          </w:tcPr>
          <w:p>
            <w:r>
              <w:rPr>
                <w:sz w:val="20"/>
              </w:rPr>
              <w:t>THIOPENTAL SODIQUE</w:t>
            </w:r>
          </w:p>
        </w:tc>
        <w:tc>
          <w:tcPr>
            <w:tcW w:type="dxa" w:w="1559"/>
          </w:tcPr>
          <w:p>
            <w:r>
              <w:rPr>
                <w:sz w:val="20"/>
              </w:rPr>
              <w:t>PHARMADRUG PRODUCTION Gmbh</w:t>
            </w:r>
          </w:p>
        </w:tc>
        <w:tc>
          <w:tcPr>
            <w:tcW w:type="dxa" w:w="1559"/>
          </w:tcPr>
          <w:p>
            <w:r>
              <w:rPr>
                <w:sz w:val="20"/>
              </w:rPr>
              <w:t>Poudre pour solution injectable IV, 1 g</w:t>
            </w:r>
          </w:p>
        </w:tc>
        <w:tc>
          <w:tcPr>
            <w:tcW w:type="dxa" w:w="1559"/>
          </w:tcPr>
          <w:p>
            <w:r>
              <w:rPr>
                <w:sz w:val="20"/>
              </w:rPr>
              <w:t>Boîte de 25 flacons</w:t>
            </w:r>
          </w:p>
        </w:tc>
        <w:tc>
          <w:tcPr>
            <w:tcW w:type="dxa" w:w="1559"/>
          </w:tcPr>
          <w:p>
            <w:r>
              <w:rPr>
                <w:sz w:val="20"/>
              </w:rPr>
              <w:t>Liste II</w:t>
            </w:r>
          </w:p>
        </w:tc>
        <w:tc>
          <w:tcPr>
            <w:tcW w:type="dxa" w:w="1559"/>
          </w:tcPr>
          <w:p>
            <w:r>
              <w:rPr>
                <w:sz w:val="20"/>
              </w:rPr>
              <w:t>NON_RENOUVELABLE</w:t>
            </w:r>
          </w:p>
        </w:tc>
      </w:tr>
      <w:tr>
        <w:tc>
          <w:tcPr>
            <w:tcW w:type="dxa" w:w="1559"/>
          </w:tcPr>
          <w:p>
            <w:r>
              <w:rPr>
                <w:sz w:val="20"/>
              </w:rPr>
              <w:t>THIOPENTAL 1G ROTEXMEDICA</w:t>
            </w:r>
          </w:p>
        </w:tc>
        <w:tc>
          <w:tcPr>
            <w:tcW w:type="dxa" w:w="1559"/>
          </w:tcPr>
          <w:p>
            <w:r>
              <w:rPr>
                <w:sz w:val="20"/>
              </w:rPr>
              <w:t>ROTEXMEDICA GmbH</w:t>
            </w:r>
          </w:p>
        </w:tc>
        <w:tc>
          <w:tcPr>
            <w:tcW w:type="dxa" w:w="1559"/>
          </w:tcPr>
          <w:p>
            <w:r>
              <w:rPr>
                <w:sz w:val="20"/>
              </w:rPr>
              <w:t>Poudre pour solution injectable IV, 1 g</w:t>
            </w:r>
          </w:p>
        </w:tc>
        <w:tc>
          <w:tcPr>
            <w:tcW w:type="dxa" w:w="1559"/>
          </w:tcPr>
          <w:p>
            <w:r>
              <w:rPr>
                <w:sz w:val="20"/>
              </w:rPr>
              <w:t>Boîte de 50 flacons</w:t>
            </w:r>
          </w:p>
        </w:tc>
        <w:tc>
          <w:tcPr>
            <w:tcW w:type="dxa" w:w="1559"/>
          </w:tcPr>
          <w:p>
            <w:r>
              <w:rPr>
                <w:sz w:val="20"/>
              </w:rPr>
              <w:t>Liste II</w:t>
            </w:r>
          </w:p>
        </w:tc>
        <w:tc>
          <w:tcPr>
            <w:tcW w:type="dxa" w:w="1559"/>
          </w:tcPr>
          <w:p>
            <w:r>
              <w:rPr>
                <w:sz w:val="20"/>
              </w:rPr>
              <w:t>NON_RENOUVELABLE</w:t>
            </w:r>
          </w:p>
        </w:tc>
      </w:tr>
      <w:tr>
        <w:tc>
          <w:tcPr>
            <w:tcW w:type="dxa" w:w="1559"/>
          </w:tcPr>
          <w:p>
            <w:r>
              <w:rPr>
                <w:sz w:val="20"/>
              </w:rPr>
              <w:t>NESDONAL</w:t>
            </w:r>
          </w:p>
        </w:tc>
        <w:tc>
          <w:tcPr>
            <w:tcW w:type="dxa" w:w="1559"/>
          </w:tcPr>
          <w:p>
            <w:r>
              <w:rPr>
                <w:sz w:val="20"/>
              </w:rPr>
              <w:t>RHONE POULENC RORER</w:t>
            </w:r>
          </w:p>
        </w:tc>
        <w:tc>
          <w:tcPr>
            <w:tcW w:type="dxa" w:w="1559"/>
          </w:tcPr>
          <w:p>
            <w:r>
              <w:rPr>
                <w:sz w:val="20"/>
              </w:rPr>
              <w:t>Poudre pour solution injectable IV, 500 mg</w:t>
            </w:r>
          </w:p>
        </w:tc>
        <w:tc>
          <w:tcPr>
            <w:tcW w:type="dxa" w:w="1559"/>
          </w:tcPr>
          <w:p>
            <w:r>
              <w:rPr>
                <w:sz w:val="20"/>
              </w:rPr>
              <w:t>Boîte de 50 flacons</w:t>
            </w:r>
          </w:p>
        </w:tc>
        <w:tc>
          <w:tcPr>
            <w:tcW w:type="dxa" w:w="1559"/>
          </w:tcPr>
          <w:p>
            <w:r>
              <w:rPr>
                <w:sz w:val="20"/>
              </w:rPr>
              <w:t>Liste II</w:t>
            </w:r>
          </w:p>
        </w:tc>
        <w:tc>
          <w:tcPr>
            <w:tcW w:type="dxa" w:w="1559"/>
          </w:tcPr>
          <w:p>
            <w:r>
              <w:rPr>
                <w:sz w:val="20"/>
              </w:rPr>
              <w:t>RETRAIT (R)</w:t>
            </w:r>
          </w:p>
        </w:tc>
      </w:tr>
      <w:tr>
        <w:tc>
          <w:tcPr>
            <w:tcW w:type="dxa" w:w="1559"/>
          </w:tcPr>
          <w:p>
            <w:r>
              <w:rPr>
                <w:sz w:val="20"/>
              </w:rPr>
              <w:t>PENTHOTAL</w:t>
            </w:r>
          </w:p>
        </w:tc>
        <w:tc>
          <w:tcPr>
            <w:tcW w:type="dxa" w:w="1559"/>
          </w:tcPr>
          <w:p>
            <w:r>
              <w:rPr>
                <w:sz w:val="20"/>
              </w:rPr>
              <w:t>ABBOT</w:t>
            </w:r>
          </w:p>
        </w:tc>
        <w:tc>
          <w:tcPr>
            <w:tcW w:type="dxa" w:w="1559"/>
          </w:tcPr>
          <w:p>
            <w:r>
              <w:rPr>
                <w:sz w:val="20"/>
              </w:rPr>
              <w:t>Poudre pour solution injectable IV, 500 mg</w:t>
            </w:r>
          </w:p>
        </w:tc>
        <w:tc>
          <w:tcPr>
            <w:tcW w:type="dxa" w:w="1559"/>
          </w:tcPr>
          <w:p>
            <w:r>
              <w:rPr>
                <w:sz w:val="20"/>
              </w:rPr>
              <w:t>Boîte de 25 flacons</w:t>
            </w:r>
          </w:p>
        </w:tc>
        <w:tc>
          <w:tcPr>
            <w:tcW w:type="dxa" w:w="1559"/>
          </w:tcPr>
          <w:p>
            <w:r>
              <w:rPr>
                <w:sz w:val="20"/>
              </w:rPr>
              <w:t>Liste II</w:t>
            </w:r>
          </w:p>
        </w:tc>
        <w:tc>
          <w:tcPr>
            <w:tcW w:type="dxa" w:w="1559"/>
          </w:tcPr>
          <w:p>
            <w:r>
              <w:rPr>
                <w:sz w:val="20"/>
              </w:rPr>
              <w:t>RETRAIT (R)</w:t>
            </w:r>
          </w:p>
        </w:tc>
      </w:tr>
      <w:tr>
        <w:tc>
          <w:tcPr>
            <w:tcW w:type="dxa" w:w="1559"/>
          </w:tcPr>
          <w:p>
            <w:r>
              <w:rPr>
                <w:sz w:val="20"/>
              </w:rPr>
              <w:t>THIOSAS</w:t>
            </w:r>
          </w:p>
        </w:tc>
        <w:tc>
          <w:tcPr>
            <w:tcW w:type="dxa" w:w="1559"/>
          </w:tcPr>
          <w:p>
            <w:r>
              <w:rPr>
                <w:sz w:val="20"/>
              </w:rPr>
              <w:t>EL KENDI PHARMACEUTICALS MANUFACTURING COMPANY</w:t>
            </w:r>
          </w:p>
        </w:tc>
        <w:tc>
          <w:tcPr>
            <w:tcW w:type="dxa" w:w="1559"/>
          </w:tcPr>
          <w:p>
            <w:r>
              <w:rPr>
                <w:sz w:val="20"/>
              </w:rPr>
              <w:t>Poudre pour solution injectable IV, 500 mg</w:t>
            </w:r>
          </w:p>
        </w:tc>
        <w:tc>
          <w:tcPr>
            <w:tcW w:type="dxa" w:w="1559"/>
          </w:tcPr>
          <w:p>
            <w:r>
              <w:rPr>
                <w:sz w:val="20"/>
              </w:rPr>
              <w:t>Boîte de 1 flacon de poudre</w:t>
            </w:r>
          </w:p>
        </w:tc>
        <w:tc>
          <w:tcPr>
            <w:tcW w:type="dxa" w:w="1559"/>
          </w:tcPr>
          <w:p>
            <w:r>
              <w:rPr>
                <w:sz w:val="20"/>
              </w:rPr>
              <w:t>Liste II</w:t>
            </w:r>
          </w:p>
        </w:tc>
        <w:tc>
          <w:tcPr>
            <w:tcW w:type="dxa" w:w="1559"/>
          </w:tcPr>
          <w:p>
            <w:r>
              <w:rPr>
                <w:sz w:val="20"/>
              </w:rPr>
              <w:t>RETRAIT (R)</w:t>
            </w:r>
          </w:p>
        </w:tc>
      </w:tr>
      <w:tr>
        <w:tc>
          <w:tcPr>
            <w:tcW w:type="dxa" w:w="1559"/>
          </w:tcPr>
          <w:p>
            <w:r>
              <w:rPr>
                <w:sz w:val="20"/>
              </w:rPr>
              <w:t>NESDONAL</w:t>
            </w:r>
          </w:p>
        </w:tc>
        <w:tc>
          <w:tcPr>
            <w:tcW w:type="dxa" w:w="1559"/>
          </w:tcPr>
          <w:p>
            <w:r>
              <w:rPr>
                <w:sz w:val="20"/>
              </w:rPr>
              <w:t>RHONE POULENC RORER</w:t>
            </w:r>
          </w:p>
        </w:tc>
        <w:tc>
          <w:tcPr>
            <w:tcW w:type="dxa" w:w="1559"/>
          </w:tcPr>
          <w:p>
            <w:r>
              <w:rPr>
                <w:sz w:val="20"/>
              </w:rPr>
              <w:t>Poudre pour solution injectable IV, 1 g</w:t>
            </w:r>
          </w:p>
        </w:tc>
        <w:tc>
          <w:tcPr>
            <w:tcW w:type="dxa" w:w="1559"/>
          </w:tcPr>
          <w:p>
            <w:r>
              <w:rPr>
                <w:sz w:val="20"/>
              </w:rPr>
              <w:t>Boîte de 50 flacons</w:t>
            </w:r>
          </w:p>
        </w:tc>
        <w:tc>
          <w:tcPr>
            <w:tcW w:type="dxa" w:w="1559"/>
          </w:tcPr>
          <w:p>
            <w:r>
              <w:rPr>
                <w:sz w:val="20"/>
              </w:rPr>
              <w:t>Liste II</w:t>
            </w:r>
          </w:p>
        </w:tc>
        <w:tc>
          <w:tcPr>
            <w:tcW w:type="dxa" w:w="1559"/>
          </w:tcPr>
          <w:p>
            <w:r>
              <w:rPr>
                <w:sz w:val="20"/>
              </w:rPr>
              <w:t>RETRAIT (R)</w:t>
            </w:r>
          </w:p>
        </w:tc>
      </w:tr>
      <w:tr>
        <w:tc>
          <w:tcPr>
            <w:tcW w:type="dxa" w:w="1559"/>
          </w:tcPr>
          <w:p>
            <w:r>
              <w:rPr>
                <w:sz w:val="20"/>
              </w:rPr>
              <w:t>PENTHOTAL</w:t>
            </w:r>
          </w:p>
        </w:tc>
        <w:tc>
          <w:tcPr>
            <w:tcW w:type="dxa" w:w="1559"/>
          </w:tcPr>
          <w:p>
            <w:r>
              <w:rPr>
                <w:sz w:val="20"/>
              </w:rPr>
              <w:t>ABBOT</w:t>
            </w:r>
          </w:p>
        </w:tc>
        <w:tc>
          <w:tcPr>
            <w:tcW w:type="dxa" w:w="1559"/>
          </w:tcPr>
          <w:p>
            <w:r>
              <w:rPr>
                <w:sz w:val="20"/>
              </w:rPr>
              <w:t>Poudre pour solution injectable IV, 1 g</w:t>
            </w:r>
          </w:p>
        </w:tc>
        <w:tc>
          <w:tcPr>
            <w:tcW w:type="dxa" w:w="1559"/>
          </w:tcPr>
          <w:p>
            <w:r>
              <w:rPr>
                <w:sz w:val="20"/>
              </w:rPr>
              <w:t>Boîte de 50 flacons</w:t>
            </w:r>
          </w:p>
        </w:tc>
        <w:tc>
          <w:tcPr>
            <w:tcW w:type="dxa" w:w="1559"/>
          </w:tcPr>
          <w:p>
            <w:r>
              <w:rPr>
                <w:sz w:val="20"/>
              </w:rPr>
              <w:t>Liste II</w:t>
            </w:r>
          </w:p>
        </w:tc>
        <w:tc>
          <w:tcPr>
            <w:tcW w:type="dxa" w:w="1559"/>
          </w:tcPr>
          <w:p>
            <w:r>
              <w:rPr>
                <w:sz w:val="20"/>
              </w:rPr>
              <w:t>RETRAIT (R)</w:t>
            </w:r>
          </w:p>
        </w:tc>
      </w:tr>
      <w:tr>
        <w:tc>
          <w:tcPr>
            <w:tcW w:type="dxa" w:w="1559"/>
          </w:tcPr>
          <w:p>
            <w:r>
              <w:rPr>
                <w:sz w:val="20"/>
              </w:rPr>
              <w:t>THIOSAS</w:t>
            </w:r>
          </w:p>
        </w:tc>
        <w:tc>
          <w:tcPr>
            <w:tcW w:type="dxa" w:w="1559"/>
          </w:tcPr>
          <w:p>
            <w:r>
              <w:rPr>
                <w:sz w:val="20"/>
              </w:rPr>
              <w:t>EL KENDI PHARMACEUTICALS MANUFACTURING COMPANY</w:t>
            </w:r>
          </w:p>
        </w:tc>
        <w:tc>
          <w:tcPr>
            <w:tcW w:type="dxa" w:w="1559"/>
          </w:tcPr>
          <w:p>
            <w:r>
              <w:rPr>
                <w:sz w:val="20"/>
              </w:rPr>
              <w:t>Poudre pour solution injectable IV, 1 g</w:t>
            </w:r>
          </w:p>
        </w:tc>
        <w:tc>
          <w:tcPr>
            <w:tcW w:type="dxa" w:w="1559"/>
          </w:tcPr>
          <w:p>
            <w:r>
              <w:rPr>
                <w:sz w:val="20"/>
              </w:rPr>
              <w:t>Boîte de 1 flacon de poudre</w:t>
            </w:r>
          </w:p>
        </w:tc>
        <w:tc>
          <w:tcPr>
            <w:tcW w:type="dxa" w:w="1559"/>
          </w:tcPr>
          <w:p>
            <w:r>
              <w:rPr>
                <w:sz w:val="20"/>
              </w:rPr>
              <w:t>Liste II</w:t>
            </w:r>
          </w:p>
        </w:tc>
        <w:tc>
          <w:tcPr>
            <w:tcW w:type="dxa" w:w="1559"/>
          </w:tcPr>
          <w:p>
            <w:r>
              <w:rPr>
                <w:sz w:val="20"/>
              </w:rPr>
              <w:t>RETRAIT (R)</w:t>
            </w:r>
          </w:p>
        </w:tc>
      </w:tr>
    </w:tbl>
    <w:p/>
    <w:p>
      <w:r/>
      <w:r>
        <w:rPr>
          <w:b/>
        </w:rPr>
        <w:t>Commentaire :</w:t>
      </w:r>
      <w:r>
        <w:t xml:space="preserve"> Le marché algérien actif du thiopental repose exclusivement sur deux dosages (0,5 g et 1 g) de la spécialité Thiopental Vuab (Vuab Pharma, Turquie), commercialisée en boîte d'un flacon unique. Cette présentation impose une dispensation unitaire nominative, conforme au statut Liste II. Les formes historiques Nesdonal (Rhône-Poulenc Rorer, France) et Penthotal (Abbott, États-Unis), princeps internationaux longtemps dominants, ne sont plus commercialisées en Algérie. La production locale Thiosas (El Kendi), qui avait tenté de prendre le relais, est également retirée. Les formes Sandoz, Pharmadrug et Rotexmedica, non renouvelables, peuvent revenir sur le marché en cas de besoin (suspension transitoire de commercialisation, autorisation maintenue). Cette raréfaction du marché reflète la diminution mondiale de l'usage du thiopental au profit du propofol et de l'étomidate, mais la molécule reste indispensable en cas d'indication spécifique (status epilepticus, neurotraumatologie, obstétrique en estomac plein).</w:t>
      </w:r>
    </w:p>
    <w:p>
      <w:pPr>
        <w:pStyle w:val="Heading3"/>
      </w:pPr>
      <w:r>
        <w:t>181.2.1.3 Mécanisme d'action moléculaire, cellulaire et physiologique</w:t>
      </w:r>
    </w:p>
    <w:p>
      <w:r>
        <w:t>Le thiopental, comme l'ensemble des barbituriques, exerce son effet anesthésique par modulation allostérique positive du récepteur GABA-A, le principal récepteur inhibiteur du système nerveux central. La molécule se fixe sur un site allostérique spécifique du barbiturique (distinct du site GABA et du site BZD), à l'interface des sous-unités α+ et β− du pentamère canalaire. Cette fixation augmente la durée moyenne d'ouverture du canal chlore en réponse au GABA endogène (contrairement aux benzodiazépines qui augmentent la fréquence d'ouverture), et à forte concentration, le thiopental active directement le canal en l'absence de GABA (effet activateur direct, propre aux barbituriques et absent des BZD). Cette activation directe explique la toxicité respiratoire et cardiovasculaire plus marquée des barbituriques aux doses élevées.</w:t>
      </w:r>
    </w:p>
    <w:p>
      <w:r>
        <w:t>Au-delà du GABA-A, le thiopental exerce plusieurs effets moléculaires documentés :</w:t>
      </w:r>
    </w:p>
    <w:p>
      <w:pPr>
        <w:pStyle w:val="ListBullet"/>
      </w:pPr>
      <w:r/>
      <w:r>
        <w:rPr>
          <w:b/>
        </w:rPr>
        <w:t>Inhibition des récepteurs AMPA et kainate</w:t>
      </w:r>
      <w:r>
        <w:t xml:space="preserve"> (glutamate excitateur) : réduction de l'excitotoxicité.</w:t>
      </w:r>
    </w:p>
    <w:p>
      <w:pPr>
        <w:pStyle w:val="ListBullet"/>
      </w:pPr>
      <w:r/>
      <w:r>
        <w:rPr>
          <w:b/>
        </w:rPr>
        <w:t>Inhibition des canaux calciques voltage-dépendants N et P/Q</w:t>
      </w:r>
      <w:r>
        <w:t xml:space="preserve"> et des canaux sodiques : dépression de la libération des neurotransmetteurs excitateurs.</w:t>
      </w:r>
    </w:p>
    <w:p>
      <w:pPr>
        <w:pStyle w:val="ListBullet"/>
      </w:pPr>
      <w:r/>
      <w:r>
        <w:rPr>
          <w:b/>
        </w:rPr>
        <w:t>Inhibition du récepteur nicotinique neuronal</w:t>
      </w:r>
      <w:r>
        <w:t xml:space="preserve"> (α4β2) à forte dose.</w:t>
      </w:r>
    </w:p>
    <w:p>
      <w:r/>
      <w:r>
        <w:rPr>
          <w:b/>
        </w:rPr>
        <w:t>Physiologie intégrée :</w:t>
      </w:r>
      <w:r>
        <w:t xml:space="preserve"> à dose d'induction (3 à 5 mg/kg IV), le thiopental induit une perte de conscience en 10 à 20 secondes (un bras-circulation), suivie d'une perte des réflexes protecteurs et d'une apnée transitoire. La redistribution rapide (5 à 10 minutes) vers les tissus périphériques termine l'effet hypnotique initial. La durée d'action clinique est de 15 à 30 minutes après bolus unique.</w:t>
      </w:r>
    </w:p>
    <w:p>
      <w:r/>
      <w:r>
        <w:rPr>
          <w:b/>
        </w:rPr>
        <w:t>Effets neurophysiologiques :</w:t>
      </w:r>
      <w:r/>
    </w:p>
    <w:p>
      <w:pPr>
        <w:pStyle w:val="ListBullet"/>
      </w:pPr>
      <w:r/>
      <w:r>
        <w:rPr>
          <w:b/>
        </w:rPr>
        <w:t>Réduction de la consommation cérébrale d'oxygène (CMRO2)</w:t>
      </w:r>
      <w:r>
        <w:t xml:space="preserve"> de 25 à 50 %, avec conservation de l'autorégulation cérébrale.</w:t>
      </w:r>
    </w:p>
    <w:p>
      <w:pPr>
        <w:pStyle w:val="ListBullet"/>
      </w:pPr>
      <w:r/>
      <w:r>
        <w:rPr>
          <w:b/>
        </w:rPr>
        <w:t>Diminution du débit sanguin cérébral (DSC)</w:t>
      </w:r>
      <w:r>
        <w:t xml:space="preserve"> parallèle à la CMRO2, maintenant constant le couplage métabolo-vasculaire.</w:t>
      </w:r>
    </w:p>
    <w:p>
      <w:pPr>
        <w:pStyle w:val="ListBullet"/>
      </w:pPr>
      <w:r/>
      <w:r>
        <w:rPr>
          <w:b/>
        </w:rPr>
        <w:t>Réduction de la pression intracrânienne (PIC)</w:t>
      </w:r>
      <w:r>
        <w:t xml:space="preserve"> de 30 à 50 %, précieuse en neurotraumatologie.</w:t>
      </w:r>
    </w:p>
    <w:p>
      <w:pPr>
        <w:pStyle w:val="ListBullet"/>
      </w:pPr>
      <w:r/>
      <w:r>
        <w:rPr>
          <w:b/>
        </w:rPr>
        <w:t>Effet anticonvulsivant puissant</w:t>
      </w:r>
      <w:r>
        <w:t xml:space="preserve"> : le thiopental supprime les paroxysmes épileptiques à dose anesthésique (burst-suppression à l'EEG), justifiant son usage dans le status epilepticus réfractaire.</w:t>
      </w:r>
    </w:p>
    <w:p>
      <w:pPr>
        <w:pStyle w:val="ListBullet"/>
      </w:pPr>
      <w:r/>
      <w:r>
        <w:rPr>
          <w:b/>
        </w:rPr>
        <w:t>Pas d'effet analgésique</w:t>
      </w:r>
      <w:r>
        <w:t xml:space="preserve"> : à l'inverse de la kétamine, le thiopental est anti-analgésique à faible dose (diminue le seuil nociceptif), ce qui impose l'adjonction systématique d'un morphinique en cas de stimulation douloureuse peropératoire.</w:t>
      </w:r>
    </w:p>
    <w:p>
      <w:r/>
      <w:r>
        <w:rPr>
          <w:b/>
        </w:rPr>
        <w:t>Effets cardiovasculaires :</w:t>
      </w:r>
      <w:r>
        <w:t xml:space="preserve"> le thiopental est un dépresseur myocardique direct et un vasodilatateur périphérique. À l'induction, on observe une baisse de la pression artérielle moyenne de 10 à 30 %, avec une tachycardie réflexe modérée. La précharge et la post-charge sont réduites. La réponse baroréflexe est déprimée. Chez le patient hypovolémique, en insuffisance cardiaque, en choc septique ou en vasoplégie (anaphylaxie), le thiopental peut induire une hypotension catastrophique avec arrêt cardiaque : il est alors strictement contre-indiqué.</w:t>
      </w:r>
    </w:p>
    <w:p>
      <w:r/>
      <w:r>
        <w:rPr>
          <w:b/>
        </w:rPr>
        <w:t>Effets respiratoires :</w:t>
      </w:r>
      <w:r>
        <w:t xml:space="preserve"> le thiopental déprime le centre respiratoire bulbaire (apnée à l'induction quasi-constante), réduit la réponse à l'hypercapnie et à l'hypoxie, bronchodilatateur modéré. Il ne libère pas d'histamine significativement (contrairement à la morphine ou au curare tubocurare), ce qui en fait un agent compatible avec l'asthme contrôlé.</w:t>
      </w:r>
    </w:p>
    <w:p>
      <w:pPr>
        <w:pStyle w:val="Heading3"/>
      </w:pPr>
      <w:r>
        <w:t>181.2.1.4 Pharmacocinétique (Profil PK)</w:t>
      </w:r>
    </w:p>
    <w:p>
      <w:r/>
      <w:r>
        <w:rPr>
          <w:b/>
        </w:rPr>
        <w:t>Absorption :</w:t>
      </w:r>
      <w:r>
        <w:t xml:space="preserve"> le thiopental est administré exclusivement par voie IV (IM possible mais douloureuse et peu efficace en raison de la précipitation à pH physiologique). La biodisponibilité IV est de 100 %.</w:t>
      </w:r>
    </w:p>
    <w:p>
      <w:r/>
      <w:r>
        <w:rPr>
          <w:b/>
        </w:rPr>
        <w:t>Distribution :</w:t>
      </w:r>
      <w:r>
        <w:t xml:space="preserve"> le thiopental est remarquablement lipophile (log P = 2,85), fortement lié aux protéines plasmatiques (75 à 90 %, surtout l'albumine), avec une fraction libre augmentée en cas d'hypoprotidémie, d'insuffisance rénale (urémie déplace la liaison) et de cirrhose. Le volume de distribution à l'équilibre (Vdss) est très élevé (2 à 5 L/kg), reflétant la fixation tissulaire massive. La distribution est tri-compartimentale : compartiment central (cerveau, cœur, rein), compartiment rapide (muscle) et compartiment lent (graisse). La demi-vie de redistribution t1/2α est très courte (5 à 15 minutes) et explique la brièveté de l'effet d'induction. La demi-vie d'élimination t1/2β est longue (5 à 12 heures) et la demi-vie terminale t1/2γ (lavage du compartiment profond) peut atteindre 24 à 48 heures, responsable de la somnolence résiduelle en cas d'administration répétée.</w:t>
      </w:r>
    </w:p>
    <w:p>
      <w:r/>
      <w:r>
        <w:rPr>
          <w:b/>
        </w:rPr>
        <w:t>Métabolisme :</w:t>
      </w:r>
      <w:r>
        <w:t xml:space="preserve"> le thiopental est métabolisé à 99 % dans le foie par les CYP2C9 et CYP2B6 (hydroxylation en 5-(1-méthylbutyl)-5-(2-hydroxyéthyl) barbiturate, inactif) et par désulfuration (en pentobarbital, légèrement actif). La clearance hépatique est de 50 à 100 mL/min, capacité-dépendante (saturabilité possible). Le métabolisme est plus lent que celui du propofol, expliquant la durée d'action plus longue après arrêt en perfusion continue.</w:t>
      </w:r>
    </w:p>
    <w:p>
      <w:r/>
      <w:r>
        <w:rPr>
          <w:b/>
        </w:rPr>
        <w:t>Élimination :</w:t>
      </w:r>
      <w:r>
        <w:t xml:space="preserve"> élimination rénale des métabolites inactifs (glucuronoconjugués). Moins de 1 % est excrété inchangé dans les urines. La demi-vie d'élimination est allongée chez le nouveau-né, le sujet âgé, l'insuffisant hépatique et en cas d'hypothermie.</w:t>
      </w:r>
    </w:p>
    <w:p>
      <w:r/>
      <w:r>
        <w:rPr>
          <w:b/>
        </w:rPr>
        <w:t>Effet de premier passage cérébral :</w:t>
      </w:r>
      <w:r>
        <w:t xml:space="preserve"> la lipophilie extrême du thiopental explique son passage cérébral quasi-immédiat. La concentration cérébrale pic est atteinte en 10-15 secondes après injection IV, suivie d'une décroissance rapide par redistribution (t1/2α = 5-15 min) qui termine l'effet hypnotique après 15-30 minutes.</w:t>
      </w:r>
    </w:p>
    <w:p>
      <w:r/>
      <w:r>
        <w:rPr>
          <w:b/>
        </w:rPr>
        <w:t>Populations particulières :</w:t>
      </w:r>
      <w:r/>
    </w:p>
    <w:p>
      <w:pPr>
        <w:pStyle w:val="ListBullet"/>
      </w:pPr>
      <w:r/>
      <w:r>
        <w:rPr>
          <w:b/>
        </w:rPr>
        <w:t>Nouveau-né :</w:t>
      </w:r>
      <w:r>
        <w:t xml:space="preserve"> Vd augmenté, fraction libre augmentée (hypoprotidémie), clearance réduite → dose réduite (3 mg/kg à l'induction, mais prudence accrue).</w:t>
      </w:r>
    </w:p>
    <w:p>
      <w:pPr>
        <w:pStyle w:val="ListBullet"/>
      </w:pPr>
      <w:r/>
      <w:r>
        <w:rPr>
          <w:b/>
        </w:rPr>
        <w:t>Sujet âgé :</w:t>
      </w:r>
      <w:r>
        <w:t xml:space="preserve"> Vd augmenté en raison de l'augmentation de la masse grasse, clearance réduite → réduire la dose de 25-40 % (2-3 mg/kg suffisent).</w:t>
      </w:r>
    </w:p>
    <w:p>
      <w:pPr>
        <w:pStyle w:val="ListBullet"/>
      </w:pPr>
      <w:r/>
      <w:r>
        <w:rPr>
          <w:b/>
        </w:rPr>
        <w:t>Insuffisant hépatique :</w:t>
      </w:r>
      <w:r>
        <w:t xml:space="preserve"> clearance réduite, fraction libre augmentée → prudence, réduire la dose.</w:t>
      </w:r>
    </w:p>
    <w:p>
      <w:pPr>
        <w:pStyle w:val="ListBullet"/>
      </w:pPr>
      <w:r/>
      <w:r>
        <w:rPr>
          <w:b/>
        </w:rPr>
        <w:t>Insuffisant rénal :</w:t>
      </w:r>
      <w:r>
        <w:t xml:space="preserve"> hypoprotidémie fréquente, fraction libre augmentée → réduire la dose.</w:t>
      </w:r>
    </w:p>
    <w:p>
      <w:pPr>
        <w:pStyle w:val="ListBullet"/>
      </w:pPr>
      <w:r/>
      <w:r>
        <w:rPr>
          <w:b/>
        </w:rPr>
        <w:t>Obèse :</w:t>
      </w:r>
      <w:r>
        <w:t xml:space="preserve"> adapter à la masse maigre, surveiller l'accumulation (récupération prolongée).</w:t>
      </w:r>
    </w:p>
    <w:p>
      <w:pPr>
        <w:pStyle w:val="ListBullet"/>
      </w:pPr>
      <w:r/>
      <w:r>
        <w:rPr>
          <w:b/>
        </w:rPr>
        <w:t>Hypovolémique, choquauté :</w:t>
      </w:r>
      <w:r>
        <w:t xml:space="preserve"> contre-indication relative absolue (risque d'arrêt cardiaque).</w:t>
      </w:r>
    </w:p>
    <w:p>
      <w:pPr>
        <w:pStyle w:val="ListBullet"/>
      </w:pPr>
      <w:r/>
      <w:r>
        <w:rPr>
          <w:b/>
        </w:rPr>
        <w:t>Porphyrique :</w:t>
      </w:r>
      <w:r>
        <w:t xml:space="preserve"> contre-indication absolue (induction de l'ALA-synthase hépatique, déclenchement de crise).</w:t>
      </w:r>
    </w:p>
    <w:p>
      <w:pPr>
        <w:pStyle w:val="Heading3"/>
      </w:pPr>
      <w:r>
        <w:t>181.2.1.5 Indications thérapeutiques (détail AMM et hors AMM)</w:t>
      </w:r>
    </w:p>
    <w:p>
      <w:r/>
      <w:r>
        <w:rPr>
          <w:b/>
        </w:rPr>
        <w:t>Indications AMM principales :</w:t>
      </w:r>
      <w:r/>
    </w:p>
    <w:p>
      <w:pPr>
        <w:pStyle w:val="ListNumber"/>
      </w:pPr>
      <w:r/>
      <w:r>
        <w:rPr>
          <w:b/>
        </w:rPr>
        <w:t>Induction de l'anesthésie générale</w:t>
      </w:r>
      <w:r>
        <w:t xml:space="preserve"> chez l'adulte et l'enfant de plus de 1 mois, en alternative au propofol ou à l'étomidate : 3 à 5 mg/kg IV chez l'adulte, 5 à 6 mg/kg chez l'enfant. Particulièrement indiqué dans le contexte d'hyperthermie maligne connue, d'allergie au propofol, de neurochirurgie, de status epilepticus, et chez la femme enceinte en estomac plein (induction en séquence rapide).</w:t>
      </w:r>
    </w:p>
    <w:p>
      <w:pPr>
        <w:pStyle w:val="ListNumber"/>
      </w:pPr>
      <w:r/>
      <w:r>
        <w:rPr>
          <w:b/>
        </w:rPr>
        <w:t>Status epilepticus réfractaire</w:t>
      </w:r>
      <w:r>
        <w:t xml:space="preserve"> de l'adulte et de l'enfant : bolus de 2 à 4 mg/kg IV suivi d'une perfusion continue de 1 à 5 mg/kg/h pour maintenir un tracé EEG de burst-suppression (3-5 bursts/min). À réserver aux formes convulsives résistant au midazolam (1ère ligne) et au phénytoïne/fosphenytoïne (2ème ligne). Surveillance continue en réanimation : EEG continu, BIS, hémodynamique invasive.</w:t>
      </w:r>
    </w:p>
    <w:p>
      <w:pPr>
        <w:pStyle w:val="ListNumber"/>
      </w:pPr>
      <w:r/>
      <w:r>
        <w:rPr>
          <w:b/>
        </w:rPr>
        <w:t>Hypertension intracrânienne aiguë</w:t>
      </w:r>
      <w:r>
        <w:t xml:space="preserve"> : bolus de 2 à 4 mg/kg IV puis perfusion continue de 1 à 3 mg/kg/h pour maintenir la PIC &lt; 20 mmHg et la PPC &gt; 60 mmHg. Indiqué en traumatisme crânien grave (GCS &lt; 8), hémorragie méningée grave, encéphalopathie anoxique post-arrêt cardiaque.</w:t>
      </w:r>
    </w:p>
    <w:p>
      <w:pPr>
        <w:pStyle w:val="ListNumber"/>
      </w:pPr>
      <w:r/>
      <w:r>
        <w:rPr>
          <w:b/>
        </w:rPr>
        <w:t>Induction en séquence rapide chez la femme enceinte</w:t>
      </w:r>
      <w:r>
        <w:t xml:space="preserve"> : protocole thiopental 4-5 mg/kg IV + succinylcholine 1 mg/kg IV, en pression cricoïdienne (manœuvre de Sellick), indiqué en cas de risque d'estomac plein (césarienne urgente, obésité morbide, diabète gastroparésique).</w:t>
      </w:r>
    </w:p>
    <w:p>
      <w:r/>
      <w:r>
        <w:rPr>
          <w:b/>
        </w:rPr>
        <w:t>Indications hors AMM et historiques :</w:t>
      </w:r>
      <w:r/>
    </w:p>
    <w:p>
      <w:pPr>
        <w:pStyle w:val="ListBullet"/>
      </w:pPr>
      <w:r>
        <w:t>Euthanasie (pays où elle est légale) : thiopental IV à dose massive (4-5 g) pour induction du coma.</w:t>
      </w:r>
    </w:p>
    <w:p>
      <w:pPr>
        <w:pStyle w:val="ListBullet"/>
      </w:pPr>
      <w:r>
        <w:t>Interrogatoire sous narcose (obsolète, usage psychiatrique abandonné).</w:t>
      </w:r>
    </w:p>
    <w:p>
      <w:pPr>
        <w:pStyle w:val="ListBullet"/>
      </w:pPr>
      <w:r>
        <w:t>Traitement de la manie réfractaire (lithium-résistante) : perfusion de thiopental dans les années 1960, aujourd'hui obsolète.</w:t>
      </w:r>
    </w:p>
    <w:p>
      <w:r/>
      <w:r>
        <w:rPr>
          <w:b/>
        </w:rPr>
        <w:t>Contre-indications formelles :</w:t>
      </w:r>
      <w:r/>
    </w:p>
    <w:p>
      <w:pPr>
        <w:pStyle w:val="ListBullet"/>
      </w:pPr>
      <w:r/>
      <w:r>
        <w:rPr>
          <w:b/>
        </w:rPr>
        <w:t>Porphyrie aiguë intermittente, variegata, coproporphyrie héréditaire</w:t>
      </w:r>
      <w:r>
        <w:t xml:space="preserve"> : contre-indication absolue. Le thiopental est un inducteur enzymatique de l'ALA-synthase hépatique (première enzyme de la chaîne des porphyrines), qui précipite les crises neuroviscérales graves (douleurs abdominales, neuropathie périphérique, atteinte bulbaires, troubles psychiatriques, décès possible). Lister les barbituriques en tête des médicaments porphyrinogènes.</w:t>
      </w:r>
    </w:p>
    <w:p>
      <w:pPr>
        <w:pStyle w:val="ListBullet"/>
      </w:pPr>
      <w:r/>
      <w:r>
        <w:rPr>
          <w:b/>
        </w:rPr>
        <w:t>Asthme sévère non contrôlé et insuffisance respiratoire décompensée</w:t>
      </w:r>
      <w:r>
        <w:t xml:space="preserve"> : contre-indication absolue en raison de la dépression respiratoire centrale et du risque de bronchospasme réflexe à l'induction. Le thiopental est toutefois compatible avec un asthme contrôlé, contrairement à une croyance répandue (libération d'histamine négligeable).</w:t>
      </w:r>
    </w:p>
    <w:p>
      <w:pPr>
        <w:pStyle w:val="ListBullet"/>
      </w:pPr>
      <w:r/>
      <w:r>
        <w:rPr>
          <w:b/>
        </w:rPr>
        <w:t>Choc hypovolémique, insuffisance cardiaque décompensée, état de choc septique</w:t>
      </w:r>
      <w:r>
        <w:t xml:space="preserve"> : contre-indication absolue en raison de l'effet dépresseur myocardique direct et de la vasodilatation périphérique. Préférer l'étomidate ou la kétamine.</w:t>
      </w:r>
    </w:p>
    <w:p>
      <w:pPr>
        <w:pStyle w:val="ListBullet"/>
      </w:pPr>
      <w:r/>
      <w:r>
        <w:rPr>
          <w:b/>
        </w:rPr>
        <w:t>Allergie connue aux barbituriques</w:t>
      </w:r>
      <w:r>
        <w:t xml:space="preserve"> : contre-indication absolue.</w:t>
      </w:r>
    </w:p>
    <w:p>
      <w:pPr>
        <w:pStyle w:val="ListBullet"/>
      </w:pPr>
      <w:r/>
      <w:r>
        <w:rPr>
          <w:b/>
        </w:rPr>
        <w:t>Myxœdème décompensé, insuffisance surrénale aiguë</w:t>
      </w:r>
      <w:r>
        <w:t xml:space="preserve"> : contre-indication relative absolue (hypersensibilité accrue, collapsus).</w:t>
      </w:r>
    </w:p>
    <w:p>
      <w:pPr>
        <w:pStyle w:val="ListBullet"/>
      </w:pPr>
      <w:r/>
      <w:r>
        <w:rPr>
          <w:b/>
        </w:rPr>
        <w:t>Patients sous anticoagulants oraux en surdosage</w:t>
      </w:r>
      <w:r>
        <w:t xml:space="preserve"> : prudence en raison du risque d'hématome au point de ponction.</w:t>
      </w:r>
    </w:p>
    <w:p>
      <w:pPr>
        <w:pStyle w:val="ListBullet"/>
      </w:pPr>
      <w:r/>
      <w:r>
        <w:rPr>
          <w:b/>
        </w:rPr>
        <w:t>Hypersensibilité connue au thiopental ou à l'un des excipients</w:t>
      </w:r>
      <w:r>
        <w:t xml:space="preserve"> (carbonate de sodium).</w:t>
      </w:r>
    </w:p>
    <w:p>
      <w:pPr>
        <w:pStyle w:val="Heading3"/>
      </w:pPr>
      <w:r>
        <w:t>181.2.1.6 Effets indésirables et prévention</w:t>
      </w:r>
    </w:p>
    <w:p>
      <w:r/>
      <w:r>
        <w:rPr>
          <w:b/>
        </w:rPr>
        <w:t>Effets indésirables fréquents (&gt; 1/100) :</w:t>
      </w:r>
      <w:r/>
    </w:p>
    <w:p>
      <w:pPr>
        <w:pStyle w:val="ListBullet"/>
      </w:pPr>
      <w:r/>
      <w:r>
        <w:rPr>
          <w:b/>
        </w:rPr>
        <w:t>Hypotension à l'induction</w:t>
      </w:r>
      <w:r>
        <w:t xml:space="preserve"> : 10 à 30 % de réduction de la PAM, particulièrement marquée chez le patient âgé, hypovolémique, ou en insuffisance cardiaque. Prévention : réduction de la dose (2-3 mg/kg chez le sujet &gt; 65 ans), remplissage vasculaire préalable (500 mL de cristalloïdes), monitoring continu, alternative par étomidate si patient instable.</w:t>
      </w:r>
    </w:p>
    <w:p>
      <w:pPr>
        <w:pStyle w:val="ListBullet"/>
      </w:pPr>
      <w:r/>
      <w:r>
        <w:rPr>
          <w:b/>
        </w:rPr>
        <w:t>Apnée à l'induction</w:t>
      </w:r>
      <w:r>
        <w:t xml:space="preserve"> : quasi-constante, brève (30-90 s). Prévention : préparation du matériel d'intubation et de ventilation au masque ; monitoring continu de la SpO2 et de la capnie.</w:t>
      </w:r>
    </w:p>
    <w:p>
      <w:pPr>
        <w:pStyle w:val="ListBullet"/>
      </w:pPr>
      <w:r/>
      <w:r>
        <w:rPr>
          <w:b/>
        </w:rPr>
        <w:t>Toux, hoquet, laryngospasme</w:t>
      </w:r>
      <w:r>
        <w:t xml:space="preserve"> : 5 à 10 %, en cas de stimulation des voies aériennes supérieures (laryngospasme surtout chez l'enfant). Prévention : attendre la profondeur anesthésique suffisante avant intubation ; prémédication par atropine ou sévoflurane complémentaire.</w:t>
      </w:r>
    </w:p>
    <w:p>
      <w:pPr>
        <w:pStyle w:val="ListBullet"/>
      </w:pPr>
      <w:r/>
      <w:r>
        <w:rPr>
          <w:b/>
        </w:rPr>
        <w:t>Douleur et extravasation</w:t>
      </w:r>
      <w:r>
        <w:t xml:space="preserve"> : la solution alcaline (pH 10-11) est irritante pour les tissus périveineux. En cas d'extravasation, risque de nécrose tissulaire. Prévention : injection stricte dans une voie veineuse centrale ou une grosse veine périphérique ; perfusion lente (sur 30-60 s) ; arrêt immédiat si résistance à l'injection ou douleur. Traitement de l'extravasation : lidocaïne 1 % locale (vasodilatateur), infiltration de hyaluronidase,applications chaudes et froides alternées.</w:t>
      </w:r>
    </w:p>
    <w:p>
      <w:pPr>
        <w:pStyle w:val="ListBullet"/>
      </w:pPr>
      <w:r/>
      <w:r>
        <w:rPr>
          <w:b/>
        </w:rPr>
        <w:t>Intra-artérielle accidentelle</w:t>
      </w:r>
      <w:r>
        <w:t xml:space="preserve"> : risque de nécrose digitale grave. Prévention : ne jamais injecter dans le pli du coude (artère humérale), préférer le dos de la main ou l'avant-bras. Traitement : laisser le cathéter en place, injecter lidocaïne 1 % sans adrénaline (vasodilatateur), phentolamine (α-bloquant), et parfois papavérine ; consultation chirurgicale urgente.</w:t>
      </w:r>
    </w:p>
    <w:p>
      <w:pPr>
        <w:pStyle w:val="ListBullet"/>
      </w:pPr>
      <w:r/>
      <w:r>
        <w:rPr>
          <w:b/>
        </w:rPr>
        <w:t>Somnolence résiduelle et « gueule de bois »</w:t>
      </w:r>
      <w:r>
        <w:t xml:space="preserve"> : 5 à 15 % à la première injection, en raison de la longue demi-vie d'élimination (5-12 h). Prévention : éviter les doses répétées ; préférer le propofol pour les actes courts.</w:t>
      </w:r>
    </w:p>
    <w:p>
      <w:pPr>
        <w:pStyle w:val="ListBullet"/>
      </w:pPr>
      <w:r/>
      <w:r>
        <w:rPr>
          <w:b/>
        </w:rPr>
        <w:t>Tremblements, frissons au réveil</w:t>
      </w:r>
      <w:r>
        <w:t xml:space="preserve"> : 10 à 20 %. Prévention : réchauffement peropératoire, pétidine 0,25 mg/kg IV.</w:t>
      </w:r>
    </w:p>
    <w:p>
      <w:r/>
      <w:r>
        <w:rPr>
          <w:b/>
        </w:rPr>
        <w:t>Effets indésirables rares (1/1000 à 1/100) :</w:t>
      </w:r>
      <w:r/>
    </w:p>
    <w:p>
      <w:pPr>
        <w:pStyle w:val="ListBullet"/>
      </w:pPr>
      <w:r/>
      <w:r>
        <w:rPr>
          <w:b/>
        </w:rPr>
        <w:t>Bronchospasme, réactions allergiques</w:t>
      </w:r>
      <w:r>
        <w:t xml:space="preserve"> : 1/1000 à 1/10 000 (rarer qu'avec le thiopental). Prévention : interrogatoire allergologique ; disponibilité du matériel de réanimation.</w:t>
      </w:r>
    </w:p>
    <w:p>
      <w:pPr>
        <w:pStyle w:val="ListBullet"/>
      </w:pPr>
      <w:r/>
      <w:r>
        <w:rPr>
          <w:b/>
        </w:rPr>
        <w:t>Convulsions paradoxaux à dose faible</w:t>
      </w:r>
      <w:r>
        <w:t xml:space="preserve"> : rares (1/1000), surtout chez l'épileptique connu.</w:t>
      </w:r>
    </w:p>
    <w:p>
      <w:pPr>
        <w:pStyle w:val="ListBullet"/>
      </w:pPr>
      <w:r/>
      <w:r>
        <w:rPr>
          <w:b/>
        </w:rPr>
        <w:t>Hyperkinésie, dyskinésies au réveil</w:t>
      </w:r>
      <w:r>
        <w:t xml:space="preserve"> : 1/500, plus fréquentes chez l'enfant.</w:t>
      </w:r>
    </w:p>
    <w:p>
      <w:r/>
      <w:r>
        <w:rPr>
          <w:b/>
        </w:rPr>
        <w:t>Effets indésirables graves (&lt; 1/10 000) :</w:t>
      </w:r>
      <w:r/>
    </w:p>
    <w:p>
      <w:pPr>
        <w:pStyle w:val="ListBullet"/>
      </w:pPr>
      <w:r/>
      <w:r>
        <w:rPr>
          <w:b/>
        </w:rPr>
        <w:t>Crise de porphyrie aiguë</w:t>
      </w:r>
      <w:r>
        <w:t xml:space="preserve"> : déclenchement chez le porphyrique latent, accident catastrophique. Prévention : dépistage systématique des antécédents familiaux de porphyrie avant administration. Le diagnostic de crise porphyrique associe douleurs abdominales intenses, neuropathie périphérique (paralysie ascendante), troubles psychiatriques, hyponatrémie (SIADH), urines foncées à l'air (couleur vin porto). Traitement : arrêt du thiopental, hématine IV (3-4 mg/kg/j), glucose hypertonique, surveillance neurologique et respiratoire en réanimation.</w:t>
      </w:r>
    </w:p>
    <w:p>
      <w:pPr>
        <w:pStyle w:val="ListBullet"/>
      </w:pPr>
      <w:r/>
      <w:r>
        <w:rPr>
          <w:b/>
        </w:rPr>
        <w:t>Anaphylaxie</w:t>
      </w:r>
      <w:r>
        <w:t xml:space="preserve"> (rare, 1/30 000 à 1/100 000) : choc, bronchospasme, urticaire. Traitement : adrénaline IV 0,1-0,5 mg, remplissage, antihistaminiques, corticoïdes.</w:t>
      </w:r>
    </w:p>
    <w:p>
      <w:pPr>
        <w:pStyle w:val="ListBullet"/>
      </w:pPr>
      <w:r/>
      <w:r>
        <w:rPr>
          <w:b/>
        </w:rPr>
        <w:t>Arrêt cardiaque hypovolémique</w:t>
      </w:r>
      <w:r>
        <w:t xml:space="preserve"> : risque vital si injection chez un patient mal évalué. Prévention : évaluation pré-anesthésique soigneuse, alternative par étomidate en cas de doute.</w:t>
      </w:r>
    </w:p>
    <w:p>
      <w:r/>
      <w:r>
        <w:rPr>
          <w:b/>
        </w:rPr>
        <w:t>Effets spécifiques au long cours (indication status epilepticus prolongé) :</w:t>
      </w:r>
      <w:r/>
    </w:p>
    <w:p>
      <w:pPr>
        <w:pStyle w:val="ListBullet"/>
      </w:pPr>
      <w:r/>
      <w:r>
        <w:rPr>
          <w:b/>
        </w:rPr>
        <w:t>Hypothermie</w:t>
      </w:r>
      <w:r>
        <w:t xml:space="preserve"> : le thiopental dérègle la thermorégulation, avec risque d'hypothermie profonde en perfusion prolongée. Surveillance température continue, réchauffement.</w:t>
      </w:r>
    </w:p>
    <w:p>
      <w:pPr>
        <w:pStyle w:val="ListBullet"/>
      </w:pPr>
      <w:r/>
      <w:r>
        <w:rPr>
          <w:b/>
        </w:rPr>
        <w:t>Pneumopathies d'inhibition</w:t>
      </w:r>
      <w:r>
        <w:t xml:space="preserve"> : 30 à 50 % en perfusion prolongée &gt; 5 jours, en raison de la stase trachéale et de la dépression immunitaire. Prévention : aspiration trachéale régulière, kinésithérapie respiratoire, surveillance bactériologique.</w:t>
      </w:r>
    </w:p>
    <w:p>
      <w:pPr>
        <w:pStyle w:val="ListBullet"/>
      </w:pPr>
      <w:r/>
      <w:r>
        <w:rPr>
          <w:b/>
        </w:rPr>
        <w:t>Immunodépression</w:t>
      </w:r>
      <w:r>
        <w:t xml:space="preserve"> : diminution de la phagocytose et de l'activité NK, favorisant les infections opportunistes.</w:t>
      </w:r>
    </w:p>
    <w:p>
      <w:pPr>
        <w:pStyle w:val="ListBullet"/>
      </w:pPr>
      <w:r/>
      <w:r>
        <w:rPr>
          <w:b/>
        </w:rPr>
        <w:t>Hépatotoxicité</w:t>
      </w:r>
      <w:r>
        <w:t xml:space="preserve"> : rares cas d'hépatites cytolytiques en perfusion prolongée.</w:t>
      </w:r>
    </w:p>
    <w:p>
      <w:pPr>
        <w:pStyle w:val="Heading3"/>
      </w:pPr>
      <w:r>
        <w:t>181.2.1.7 Interactions médicamenteuses</w:t>
      </w:r>
    </w:p>
    <w:p>
      <w:r>
        <w:t>Le thiopental est métabolisé principalement par les CYP2C9 et CYP2B6, avec une saturation possible (cinétique non linéaire). Le profil d'interactions est significatif.</w:t>
      </w:r>
    </w:p>
    <w:p>
      <w:r/>
      <w:r>
        <w:rPr>
          <w:b/>
        </w:rPr>
        <w:t>Interactions pharmacodynamiques majeures :</w:t>
      </w:r>
      <w:r/>
    </w:p>
    <w:p>
      <w:pPr>
        <w:pStyle w:val="ListBullet"/>
      </w:pPr>
      <w:r/>
      <w:r>
        <w:rPr>
          <w:b/>
        </w:rPr>
        <w:t>Avec les opioïdes (fentanyl, morphine, sufentanil) :</w:t>
      </w:r>
      <w:r>
        <w:t xml:space="preserve"> potentialisation de la dépression respiratoire et de la sédation. Réduction de la dose d'induction de 25-40 %. Effet recherché en anesthésie balancée.</w:t>
      </w:r>
    </w:p>
    <w:p>
      <w:pPr>
        <w:pStyle w:val="ListBullet"/>
      </w:pPr>
      <w:r/>
      <w:r>
        <w:rPr>
          <w:b/>
        </w:rPr>
        <w:t>Avec les benzodiazépines (midazolam) :</w:t>
      </w:r>
      <w:r>
        <w:t xml:space="preserve"> potentialisation de la sédation, réduction de la dose d'induction de 25-30 %.</w:t>
      </w:r>
    </w:p>
    <w:p>
      <w:pPr>
        <w:pStyle w:val="ListBullet"/>
      </w:pPr>
      <w:r/>
      <w:r>
        <w:rPr>
          <w:b/>
        </w:rPr>
        <w:t>Avec les halogénés (sévoflurane, isoflurane) :</w:t>
      </w:r>
      <w:r>
        <w:t xml:space="preserve"> effet additif sur l'hypnose, économie de l'halogéné.</w:t>
      </w:r>
    </w:p>
    <w:p>
      <w:pPr>
        <w:pStyle w:val="ListBullet"/>
      </w:pPr>
      <w:r/>
      <w:r>
        <w:rPr>
          <w:b/>
        </w:rPr>
        <w:t>Avec les curares (succinylcholine, rocuronium) :</w:t>
      </w:r>
      <w:r>
        <w:t xml:space="preserve"> pas d'interaction pharmacocinétique significative ; le thiopental ne modifie pas la durée du bloc. Possibilité de bradycardie et asystolie si association avec succinylcholine (réflexe vagal, surtout chez l'enfant) ; prémédication par atropine recommandée.</w:t>
      </w:r>
    </w:p>
    <w:p>
      <w:pPr>
        <w:pStyle w:val="ListBullet"/>
      </w:pPr>
      <w:r/>
      <w:r>
        <w:rPr>
          <w:b/>
        </w:rPr>
        <w:t>Avec les IMAO (non sélectifs) :</w:t>
      </w:r>
      <w:r>
        <w:t xml:space="preserve"> risque de crise hypertensive par accumulation de catécholamines. Arrêt des IMAO 2 semaines avant anesthésie.</w:t>
      </w:r>
    </w:p>
    <w:p>
      <w:pPr>
        <w:pStyle w:val="ListBullet"/>
      </w:pPr>
      <w:r/>
      <w:r>
        <w:rPr>
          <w:b/>
        </w:rPr>
        <w:t>Avec les antidépresseurs tricycliques :</w:t>
      </w:r>
      <w:r>
        <w:t xml:space="preserve"> potentialisation de l'effet hypotenseur et des arythmies.</w:t>
      </w:r>
    </w:p>
    <w:p>
      <w:r/>
      <w:r>
        <w:rPr>
          <w:b/>
        </w:rPr>
        <w:t>Interactions pharmacocinétiques :</w:t>
      </w:r>
      <w:r/>
    </w:p>
    <w:p>
      <w:pPr>
        <w:pStyle w:val="ListBullet"/>
      </w:pPr>
      <w:r/>
      <w:r>
        <w:rPr>
          <w:b/>
        </w:rPr>
        <w:t>Avec les inducteurs enzymatiques (rifampicine, phénytoïne, carbamazépine, phénobarbital, millepertuis) :</w:t>
      </w:r>
      <w:r>
        <w:t xml:space="preserve"> augmentation de la clearance du thiopental, nécessité de doses d'induction plus élevées (effet moins marqué que pour le midazolam).</w:t>
      </w:r>
    </w:p>
    <w:p>
      <w:pPr>
        <w:pStyle w:val="ListBullet"/>
      </w:pPr>
      <w:r/>
      <w:r>
        <w:rPr>
          <w:b/>
        </w:rPr>
        <w:t>Avec les inhibiteurs enzymatiques (azolés, macrolides, inhibiteurs de protéase, fluvoxamine) :</w:t>
      </w:r>
      <w:r>
        <w:t xml:space="preserve"> réduction de la clearance, allongement de la durée d'action, somnolence résiduelle accrue.</w:t>
      </w:r>
    </w:p>
    <w:p>
      <w:pPr>
        <w:pStyle w:val="ListBullet"/>
      </w:pPr>
      <w:r/>
      <w:r>
        <w:rPr>
          <w:b/>
        </w:rPr>
        <w:t>Avec l'alcool aigu :</w:t>
      </w:r>
      <w:r>
        <w:t xml:space="preserve"> potentialisation de la sédation ; risque d'hypoglycémie et de coma.</w:t>
      </w:r>
    </w:p>
    <w:p>
      <w:pPr>
        <w:pStyle w:val="ListBullet"/>
      </w:pPr>
      <w:r/>
      <w:r>
        <w:rPr>
          <w:b/>
        </w:rPr>
        <w:t>Avec l'alcool chronique :</w:t>
      </w:r>
      <w:r>
        <w:t xml:space="preserve"> augmentation de la dose nécessaire (induction enzymatique) chez le buveur chronique non cirrhotique (5-7 mg/kg parfois nécessaires) ; à l'inverse, réduction chez le cirrhotique (hypoprotidémie, métabolisme diminué).</w:t>
      </w:r>
    </w:p>
    <w:p>
      <w:pPr>
        <w:pStyle w:val="ListBullet"/>
      </w:pPr>
      <w:r/>
      <w:r>
        <w:rPr>
          <w:b/>
        </w:rPr>
        <w:t>Avec les anticoagulants oraux (AVK) :</w:t>
      </w:r>
      <w:r>
        <w:t xml:space="preserve"> potentialisation de l'effet anticoagulant en cas de doses répétées (compétition de liaison protéique) ; surveiller l'INR.</w:t>
      </w:r>
    </w:p>
    <w:p>
      <w:pPr>
        <w:pStyle w:val="ListBullet"/>
      </w:pPr>
      <w:r/>
      <w:r>
        <w:rPr>
          <w:b/>
        </w:rPr>
        <w:t>Avec la digoxine :</w:t>
      </w:r>
      <w:r>
        <w:t xml:space="preserve"> le thiopental peut potentialiser la toxicité de la digoxine en cas d'hypokaliémie associée.</w:t>
      </w:r>
    </w:p>
    <w:p>
      <w:pPr>
        <w:pStyle w:val="ListBullet"/>
      </w:pPr>
      <w:r/>
      <w:r>
        <w:rPr>
          <w:b/>
        </w:rPr>
        <w:t>Avec la sulfadiazine, le triméthoprime :</w:t>
      </w:r>
      <w:r>
        <w:t xml:space="preserve"> potentialisation par déplacement de la liaison protéique.</w:t>
      </w:r>
    </w:p>
    <w:p>
      <w:r/>
      <w:r>
        <w:rPr>
          <w:b/>
        </w:rPr>
        <w:t>Précautions alimentaires :</w:t>
      </w:r>
      <w:r>
        <w:t xml:space="preserve"> éviter l'alcool pendant 24 heures avant et après l'anesthésie. Le jeûne pré-opératoire strict est obligatoire (règle 6-2).</w:t>
      </w:r>
    </w:p>
    <w:p>
      <w:pPr>
        <w:pStyle w:val="Heading3"/>
      </w:pPr>
      <w:r>
        <w:t>181.2.1.8 Grossesse, allaitement et CRAT</w:t>
      </w:r>
    </w:p>
    <w:p>
      <w:r/>
      <w:r>
        <w:rPr>
          <w:b/>
        </w:rPr>
        <w:t>Grossesse :</w:t>
      </w:r>
      <w:r>
        <w:t xml:space="preserve"> le thiopental traverse la barrière placentaire (rapport ftéo-maternel 0,7-1,0). Le CRAT classe le thiopental comme « non tératogène » aux doses anesthésiques, sans effet malformatif documenté chez l'animal ni chez l'humain. Les données observationnelles (cohortes FDA et NBDPS, plus de 10 000 expositions au 1er trimestre) ne montrent pas d'augmentation du risque de malformations majeures.</w:t>
      </w:r>
    </w:p>
    <w:p>
      <w:r/>
      <w:r>
        <w:rPr>
          <w:b/>
        </w:rPr>
        <w:t>Césarienne programmée ou urgente sous anesthésie générale :</w:t>
      </w:r>
      <w:r>
        <w:t xml:space="preserve"> le thiopental est l'agent d'induction classique pour la césarienne en estomac plein (urgence, travail non préparé). Protocole d'induction en séquence rapide : thiopental 4-5 mg/kg IV + succinylcholine 1 mg/kg IV, pression cricoïdienne (Sellick), intubation en 60 secondes. Délai entre induction et clampage du cordon le plus court possible (&lt; 5 minutes) pour minimiser la dépression néonatale. Le score d'Apgar à 1 et 5 minutes est généralement conservé (&gt;7/10) à dose modérée.</w:t>
      </w:r>
    </w:p>
    <w:p>
      <w:r/>
      <w:r>
        <w:rPr>
          <w:b/>
        </w:rPr>
        <w:t>Status epilepticus pendant la grossesse :</w:t>
      </w:r>
      <w:r>
        <w:t xml:space="preserve"> le thiopental en perfusion prolongée peut être utilisé en cas d'éclampsie réfractaire (rare, après échec du sulfate de magnésium et du midazolam). Surveillance fœtale continue, risque de sédation néonatale prolongée à la naissance (prise en charge néonatale préparée).</w:t>
      </w:r>
    </w:p>
    <w:p>
      <w:r/>
      <w:r>
        <w:rPr>
          <w:b/>
        </w:rPr>
        <w:t>Allaitement :</w:t>
      </w:r>
      <w:r>
        <w:t xml:space="preserve"> le thiopental passe dans le lait maternel en quantité négligeable après anesthésie unique (rapport lait/plasma 0,4). La reprise de l'allaitement peut se faire dès que la mère est suffisamment éveillée (selon le CRAT, reprise possible 4-6 heures après l'anesthésie). En cas d'usage prolongé (status epilepticus maternel), reprise de l'allaitement après 24-48 heures.</w:t>
      </w:r>
    </w:p>
    <w:p>
      <w:r/>
      <w:r>
        <w:rPr>
          <w:b/>
        </w:rPr>
        <w:t>Femme en âge de procréer :</w:t>
      </w:r>
      <w:r>
        <w:t xml:space="preserve"> pas de contraception particulière nécessaire. Le thiopental n'a pas d'effet sur la fertilité.</w:t>
      </w:r>
    </w:p>
    <w:p>
      <w:r/>
      <w:r>
        <w:rPr>
          <w:b/>
        </w:rPr>
        <w:t>Conseil CRAT :</w:t>
      </w:r>
      <w:r>
        <w:t xml:space="preserve"> « Le thiopental est utilisable pendant la grossesse, à toutes les étapes, dans ses indications autorisées. En cas de césarienne en estomac plein, l'induction en séquence rapide par thiopental-succinylcholine est un protocole validé. En cas d'éclampsie réfractaire, le thiopental en perfusion peut être utilisé en dernière intention. »</w:t>
      </w:r>
    </w:p>
    <w:p>
      <w:pPr>
        <w:pStyle w:val="Heading3"/>
      </w:pPr>
      <w:r>
        <w:t>181.2.1.9 Posologie et mode d'administration</w:t>
      </w:r>
    </w:p>
    <w:p>
      <w:r/>
      <w:r>
        <w:rPr>
          <w:b/>
        </w:rPr>
        <w:t>Induction de l'anesthésie générale :</w:t>
      </w:r>
      <w:r/>
    </w:p>
    <w:p>
      <w:pPr>
        <w:pStyle w:val="ListBullet"/>
      </w:pPr>
      <w:r>
        <w:t>Adulte sain de moins de 55 ans : 3 à 5 mg/kg IV (bolus sur 20-30 secondes dans une veine de gros calibre).</w:t>
      </w:r>
    </w:p>
    <w:p>
      <w:pPr>
        <w:pStyle w:val="ListBullet"/>
      </w:pPr>
      <w:r>
        <w:t>Adulte de 55 ans ou plus : 2 à 3 mg/kg IV (réduction de 25-40 %).</w:t>
      </w:r>
    </w:p>
    <w:p>
      <w:pPr>
        <w:pStyle w:val="ListBullet"/>
      </w:pPr>
      <w:r>
        <w:t>Patient ASA III-IV (insuffisant cardiaque, hypovolémique) : 2 à 3 mg/kg IV, prudence.</w:t>
      </w:r>
    </w:p>
    <w:p>
      <w:pPr>
        <w:pStyle w:val="ListBullet"/>
      </w:pPr>
      <w:r>
        <w:t>Enfant de 1 mois à 5 ans : 5 à 6 mg/kg IV.</w:t>
      </w:r>
    </w:p>
    <w:p>
      <w:pPr>
        <w:pStyle w:val="ListBullet"/>
      </w:pPr>
      <w:r>
        <w:t>Enfant de 5 ans à 12 ans : 4 à 5 mg/kg IV.</w:t>
      </w:r>
    </w:p>
    <w:p>
      <w:pPr>
        <w:pStyle w:val="ListBullet"/>
      </w:pPr>
      <w:r>
        <w:t>Nouveau-né de moins de 1 mois : 2 à 4 mg/kg IV, prudence accrue (Vd augmenté, clearance réduite).</w:t>
      </w:r>
    </w:p>
    <w:p>
      <w:r/>
      <w:r>
        <w:rPr>
          <w:b/>
        </w:rPr>
        <w:t>Status epilepticus réfractaire :</w:t>
      </w:r>
      <w:r/>
    </w:p>
    <w:p>
      <w:pPr>
        <w:pStyle w:val="ListBullet"/>
      </w:pPr>
      <w:r>
        <w:t>Adulte : bolus de 2 à 4 mg/kg IV (sur 20 s), suivi d'une perfusion continue de 1 à 5 mg/kg/h pour maintenir un EEG de burst-suppression (3-5 bursts/min). Surveillance EEG continue en réanimation.</w:t>
      </w:r>
    </w:p>
    <w:p>
      <w:pPr>
        <w:pStyle w:val="ListBullet"/>
      </w:pPr>
      <w:r>
        <w:t>Enfant : bolus de 2 à 4 mg/kg IV, perfusion 1 à 3 mg/kg/h.</w:t>
      </w:r>
    </w:p>
    <w:p>
      <w:r/>
      <w:r>
        <w:rPr>
          <w:b/>
        </w:rPr>
        <w:t>Hypertension intracrânienne aiguë :</w:t>
      </w:r>
      <w:r/>
    </w:p>
    <w:p>
      <w:pPr>
        <w:pStyle w:val="ListBullet"/>
      </w:pPr>
      <w:r>
        <w:t>Adulte : bolus de 2 à 4 mg/kg IV, perfusion 1 à 3 mg/kg/h pour PIC &lt; 20 mmHg, PPC &gt; 60 mmHg.</w:t>
      </w:r>
    </w:p>
    <w:p>
      <w:pPr>
        <w:pStyle w:val="ListBullet"/>
      </w:pPr>
      <w:r>
        <w:t>Surveillance EEG continu (burst-suppression 3-5 bursts/min), PIC invasive, PAM invasive.</w:t>
      </w:r>
    </w:p>
    <w:p>
      <w:r/>
      <w:r>
        <w:rPr>
          <w:b/>
        </w:rPr>
        <w:t>Induction en séquence rapide (césarienne urgente, estomac plein) :</w:t>
      </w:r>
      <w:r/>
    </w:p>
    <w:p>
      <w:pPr>
        <w:pStyle w:val="ListBullet"/>
      </w:pPr>
      <w:r>
        <w:t>Femme enceinte : thiopental 4-5 mg/kg IV + succinylcholine 1 mg/kg IV, pression cricoïdienne, intubation en 60 s.</w:t>
      </w:r>
    </w:p>
    <w:p>
      <w:r/>
      <w:r>
        <w:rPr>
          <w:b/>
        </w:rPr>
        <w:t>Mode d'administration pratique :</w:t>
      </w:r>
      <w:r/>
    </w:p>
    <w:p>
      <w:pPr>
        <w:pStyle w:val="ListBullet"/>
      </w:pPr>
      <w:r/>
      <w:r>
        <w:rPr>
          <w:b/>
        </w:rPr>
        <w:t>Reconstitution :</w:t>
      </w:r>
      <w:r>
        <w:t xml:space="preserve"> poudre lyophilisée à dissoudre dans 10 mL (pour 0,5 g) ou 20 mL (pour 1 g) d'eau pour préparations injectables (EPPI) ou de sérum physiologique. Concentration finale : 50 mg/mL.</w:t>
      </w:r>
    </w:p>
    <w:p>
      <w:pPr>
        <w:pStyle w:val="ListBullet"/>
      </w:pPr>
      <w:r/>
      <w:r>
        <w:rPr>
          <w:b/>
        </w:rPr>
        <w:t>Voie d'administration :</w:t>
      </w:r>
      <w:r>
        <w:t xml:space="preserve"> strictement IV, dans une veine de gros calibre (avant-bras, pli du coude, voie centrale). Ne jamais injecter en intra-artériel (risque de nécrose).</w:t>
      </w:r>
    </w:p>
    <w:p>
      <w:pPr>
        <w:pStyle w:val="ListBullet"/>
      </w:pPr>
      <w:r/>
      <w:r>
        <w:rPr>
          <w:b/>
        </w:rPr>
        <w:t>Débit d'injection :</w:t>
      </w:r>
      <w:r>
        <w:t xml:space="preserve"> lent (sur 20-30 s pour l'induction), plus lent (sur 60-90 s) chez le sujet âgé ou fragile.</w:t>
      </w:r>
    </w:p>
    <w:p>
      <w:pPr>
        <w:pStyle w:val="ListBullet"/>
      </w:pPr>
      <w:r/>
      <w:r>
        <w:rPr>
          <w:b/>
        </w:rPr>
        <w:t>Aspect de la solution reconstituée :</w:t>
      </w:r>
      <w:r>
        <w:t xml:space="preserve"> claire, jaune pâle, sans trouble ni précipité. Toute solution trouble ou précipitée doit être jetée.</w:t>
      </w:r>
    </w:p>
    <w:p>
      <w:pPr>
        <w:pStyle w:val="ListBullet"/>
      </w:pPr>
      <w:r/>
      <w:r>
        <w:rPr>
          <w:b/>
        </w:rPr>
        <w:t>Stabilité après reconstitution :</w:t>
      </w:r>
      <w:r>
        <w:t xml:space="preserve"> 24 heures à température ambiante (≤ 25 °C) selon la pharmacopée européenne. Étiquetage avec date et heure de reconstitution.</w:t>
      </w:r>
    </w:p>
    <w:p>
      <w:pPr>
        <w:pStyle w:val="ListBullet"/>
      </w:pPr>
      <w:r/>
      <w:r>
        <w:rPr>
          <w:b/>
        </w:rPr>
        <w:t>Asepsie :</w:t>
      </w:r>
      <w:r>
        <w:t xml:space="preserve"> désinfecter le bouchon du flacon avant prélèvement ; respecter les règles d'hygiène strictes.</w:t>
      </w:r>
    </w:p>
    <w:p>
      <w:r/>
      <w:r>
        <w:rPr>
          <w:b/>
        </w:rPr>
        <w:t>Adaptations :</w:t>
      </w:r>
      <w:r/>
    </w:p>
    <w:p>
      <w:pPr>
        <w:pStyle w:val="ListBullet"/>
      </w:pPr>
      <w:r>
        <w:t>Sujet âgé : réduire la dose d'induction de 25-40 %.</w:t>
      </w:r>
    </w:p>
    <w:p>
      <w:pPr>
        <w:pStyle w:val="ListBullet"/>
      </w:pPr>
      <w:r>
        <w:t>Insuffisance hépatique : réduire de 30-50 %.</w:t>
      </w:r>
    </w:p>
    <w:p>
      <w:pPr>
        <w:pStyle w:val="ListBullet"/>
      </w:pPr>
      <w:r>
        <w:t>Insuffisance rénale : réduire de 20-30 % (fraction libre augmentée).</w:t>
      </w:r>
    </w:p>
    <w:p>
      <w:pPr>
        <w:pStyle w:val="ListBullet"/>
      </w:pPr>
      <w:r>
        <w:t>Obésité : adapter à la masse maigre (LBW).</w:t>
      </w:r>
    </w:p>
    <w:p>
      <w:pPr>
        <w:pStyle w:val="ListBullet"/>
      </w:pPr>
      <w:r>
        <w:t>Hypovolémique : contre-indication relative absolue ; préférer étomidate ou kétamine.</w:t>
      </w:r>
    </w:p>
    <w:p>
      <w:pPr>
        <w:pStyle w:val="Heading3"/>
      </w:pPr>
      <w:r>
        <w:t>181.2.1.10 Arbitrage et bénéfices des formes galéniques disponibles</w:t>
      </w:r>
    </w:p>
    <w:p>
      <w:r/>
      <w:r>
        <w:rPr>
          <w:b/>
        </w:rPr>
        <w:t>Forme poudre pour solution injectable 0,5 g et 1 g — Thiopental Vuab :</w:t>
      </w:r>
      <w:r/>
    </w:p>
    <w:p>
      <w:pPr>
        <w:pStyle w:val="ListBullet"/>
      </w:pPr>
      <w:r/>
      <w:r>
        <w:rPr>
          <w:b/>
        </w:rPr>
        <w:t>Présentation :</w:t>
      </w:r>
      <w:r>
        <w:t xml:space="preserve"> flacon de poudre lyophilisée contenant 500 mg ou 1 g de thiopental sodique, avec carbonate de sodium comme excipient alcalin pour solubilisation à pH 10-11.</w:t>
      </w:r>
    </w:p>
    <w:p>
      <w:pPr>
        <w:pStyle w:val="ListBullet"/>
      </w:pPr>
      <w:r/>
      <w:r>
        <w:rPr>
          <w:b/>
        </w:rPr>
        <w:t>Avantages :</w:t>
      </w:r>
      <w:r>
        <w:t xml:space="preserve"> forme stable à température ambiante (3 ans), reconstitution simple en 30 secondes, conservation en stockage central hospitalier sans chaîne du froid, prix modéré comparé au propofol.</w:t>
      </w:r>
    </w:p>
    <w:p>
      <w:pPr>
        <w:pStyle w:val="ListBullet"/>
      </w:pPr>
      <w:r/>
      <w:r>
        <w:rPr>
          <w:b/>
        </w:rPr>
        <w:t>Inconvénients :</w:t>
      </w:r>
      <w:r>
        <w:t xml:space="preserve"> nécessité de reconstitution (risque d'erreur de dilution), temps de préparation (30-60 s), pH très alcalin (irritation veineuse, nécrose en cas d'extravasation), contre-indication à l'injection IM.</w:t>
      </w:r>
    </w:p>
    <w:p>
      <w:pPr>
        <w:pStyle w:val="ListBullet"/>
      </w:pPr>
      <w:r/>
      <w:r>
        <w:rPr>
          <w:b/>
        </w:rPr>
        <w:t>Indications :</w:t>
      </w:r>
      <w:r>
        <w:t xml:space="preserve"> induction anesthésique, status epilepticus, neurotraumatologie.</w:t>
      </w:r>
    </w:p>
    <w:p>
      <w:r/>
      <w:r>
        <w:rPr>
          <w:b/>
        </w:rPr>
        <w:t>Formes historiques (Nesdonal, Penthotal, Thiosas, Sandoz, Rotexmedica, Pharmadrug) :</w:t>
      </w:r>
      <w:r/>
    </w:p>
    <w:p>
      <w:pPr>
        <w:pStyle w:val="ListBullet"/>
      </w:pPr>
      <w:r/>
      <w:r>
        <w:rPr>
          <w:b/>
        </w:rPr>
        <w:t>Présentation :</w:t>
      </w:r>
      <w:r>
        <w:t xml:space="preserve"> flacons de 500 mg et 1 g de poudre, en boîtes de 25 à 50 flacons pour les formes industrielles.</w:t>
      </w:r>
    </w:p>
    <w:p>
      <w:pPr>
        <w:pStyle w:val="ListBullet"/>
      </w:pPr>
      <w:r/>
      <w:r>
        <w:rPr>
          <w:b/>
        </w:rPr>
        <w:t>Avantages :</w:t>
      </w:r>
      <w:r>
        <w:t xml:space="preserve"> présentation en gros conditionnement adaptée aux blocs opératoires à fort débit.</w:t>
      </w:r>
    </w:p>
    <w:p>
      <w:pPr>
        <w:pStyle w:val="ListBullet"/>
      </w:pPr>
      <w:r/>
      <w:r>
        <w:rPr>
          <w:b/>
        </w:rPr>
        <w:t>Inconvénients :</w:t>
      </w:r>
      <w:r>
        <w:t xml:space="preserve"> non disponibles actuellement en Algérie.</w:t>
      </w:r>
    </w:p>
    <w:p>
      <w:pPr>
        <w:pStyle w:val="ListBullet"/>
      </w:pPr>
      <w:r/>
      <w:r>
        <w:rPr>
          <w:b/>
        </w:rPr>
        <w:t>Indications :</w:t>
      </w:r>
      <w:r>
        <w:t xml:space="preserve"> identiques à la forme Vuab.</w:t>
      </w:r>
    </w:p>
    <w:p>
      <w:r/>
      <w:r>
        <w:rPr>
          <w:b/>
        </w:rPr>
        <w:t>Comparaison avec le propofol :</w:t>
      </w:r>
      <w:r/>
    </w:p>
    <w:p>
      <w:pPr>
        <w:pStyle w:val="ListBullet"/>
      </w:pPr>
      <w:r>
        <w:t>Le thiopental reste plus économique, mais impose une reconstitution et expose à un risque d'erreur.</w:t>
      </w:r>
    </w:p>
    <w:p>
      <w:pPr>
        <w:pStyle w:val="ListBullet"/>
      </w:pPr>
      <w:r>
        <w:t>Le propofol est plus pratique (émulsion prête à l'emploi), plus rapide d'effet (30 s vs 10-20 s), plus maniable en perfusion continue, mais plus coûteux et plus allergisant.</w:t>
      </w:r>
    </w:p>
    <w:p>
      <w:pPr>
        <w:pStyle w:val="ListBullet"/>
      </w:pPr>
      <w:r>
        <w:t>Le thiopental reste l'agent de choix dans le status epilepticus réfractaire, l'hypertension intracrânienne aiguë, et la césarienne en estomac plein.</w:t>
      </w:r>
    </w:p>
    <w:p>
      <w:pPr>
        <w:pStyle w:val="ListBullet"/>
      </w:pPr>
      <w:r>
        <w:t>Le propofol est préféré en chirurgie ambulatoire, en sédation procédurale, et en neurochirurgie programmée.</w:t>
      </w:r>
    </w:p>
    <w:p>
      <w:r/>
      <w:r>
        <w:rPr>
          <w:b/>
        </w:rPr>
        <w:t>Choix pratique en Algérie :</w:t>
      </w:r>
      <w:r/>
    </w:p>
    <w:p>
      <w:pPr>
        <w:pStyle w:val="ListBullet"/>
      </w:pPr>
      <w:r>
        <w:t>Pour l'induction standard d'un patient stable : thiopental 4 mg/kg IV (alternative économique au propofol).</w:t>
      </w:r>
    </w:p>
    <w:p>
      <w:pPr>
        <w:pStyle w:val="ListBullet"/>
      </w:pPr>
      <w:r>
        <w:t>Pour le status epilepticus : thiopental en bolus puis perfusion continue en réanimation.</w:t>
      </w:r>
    </w:p>
    <w:p>
      <w:pPr>
        <w:pStyle w:val="ListBullet"/>
      </w:pPr>
      <w:r>
        <w:t>Pour la césarienne en estomac plein : thiopental + succinylcholine (protocole classique).</w:t>
      </w:r>
    </w:p>
    <w:p>
      <w:pPr>
        <w:pStyle w:val="ListBullet"/>
      </w:pPr>
      <w:r>
        <w:t>Pour la neurochirurgie d'urgence : thiopental en perfusion continue (effet neuroprotecteur démontré).</w:t>
      </w:r>
    </w:p>
    <w:p>
      <w:pPr>
        <w:pStyle w:val="Heading3"/>
      </w:pPr>
      <w:r>
        <w:t>181.2.1.11 Conseils au patient et information préopératoire</w:t>
      </w:r>
    </w:p>
    <w:p>
      <w:r/>
      <w:r>
        <w:rPr>
          <w:b/>
        </w:rPr>
        <w:t>Avant l'anesthésie :</w:t>
      </w:r>
      <w:r/>
    </w:p>
    <w:p>
      <w:pPr>
        <w:pStyle w:val="ListBullet"/>
      </w:pPr>
      <w:r/>
      <w:r>
        <w:rPr>
          <w:b/>
        </w:rPr>
        <w:t>Jeûne pré-opératoire strict</w:t>
      </w:r>
      <w:r>
        <w:t xml:space="preserve"> : 6 heures pour les solides et le lait, 2 heures pour les liquides clairs (règle 6-2 SFAR 2018).</w:t>
      </w:r>
    </w:p>
    <w:p>
      <w:pPr>
        <w:pStyle w:val="ListBullet"/>
      </w:pPr>
      <w:r/>
      <w:r>
        <w:rPr>
          <w:b/>
        </w:rPr>
        <w:t>Bilan pré-anesthésique</w:t>
      </w:r>
      <w:r>
        <w:t xml:space="preserve"> : consultation anesthésique obligatoire ; ECG, NFS, groupe sanguin, ionogramme, créatininémie, examen allergologique soigneux (porphyrie familiale, asthme, épilepsie).</w:t>
      </w:r>
    </w:p>
    <w:p>
      <w:pPr>
        <w:pStyle w:val="ListBullet"/>
      </w:pPr>
      <w:r/>
      <w:r>
        <w:rPr>
          <w:b/>
        </w:rPr>
        <w:t>Antécédents à signaler</w:t>
      </w:r>
      <w:r>
        <w:t xml:space="preserve"> : porphyrie (contre-indication absolue), asthme sévère (contre-indication relative), insuffisance cardiaque (contre-indication relative), épilepsie (effet anticonvulsivant bénéfique), grossesse, allaitement.</w:t>
      </w:r>
    </w:p>
    <w:p>
      <w:pPr>
        <w:pStyle w:val="ListBullet"/>
      </w:pPr>
      <w:r/>
      <w:r>
        <w:rPr>
          <w:b/>
        </w:rPr>
        <w:t>Traitement habituel</w:t>
      </w:r>
      <w:r>
        <w:t xml:space="preserve"> : poursuivre les antihypertenseurs (sauf IEC/ARA2 en chirurgie lourde), les antiépileptiques, les β-bloquants. Arrêter les IMAO 2 semaines avant, les AVK selon protocole.</w:t>
      </w:r>
    </w:p>
    <w:p>
      <w:r/>
      <w:r>
        <w:rPr>
          <w:b/>
        </w:rPr>
        <w:t>Au réveil post-opératoire :</w:t>
      </w:r>
      <w:r/>
    </w:p>
    <w:p>
      <w:pPr>
        <w:pStyle w:val="ListBullet"/>
      </w:pPr>
      <w:r>
        <w:t>Surveillance continue en SSPI (2-4 heures) : SpO2, PNI, ECG, Fr respiratoire, conscience (score d'Aldrete).</w:t>
      </w:r>
    </w:p>
    <w:p>
      <w:pPr>
        <w:pStyle w:val="ListBullet"/>
      </w:pPr>
      <w:r>
        <w:t>Somnolence résiduelle plus marquée qu'avec le propofol (demi-vie longue), pouvant durer 4-8 heures.</w:t>
      </w:r>
    </w:p>
    <w:p>
      <w:pPr>
        <w:pStyle w:val="ListBullet"/>
      </w:pPr>
      <w:r>
        <w:t>Prévention de la douleur : paracétamol 1 g IV, AINS si non contre-indiqué, morphine titration si EVA &gt; 4.</w:t>
      </w:r>
    </w:p>
    <w:p>
      <w:pPr>
        <w:pStyle w:val="ListBullet"/>
      </w:pPr>
      <w:r>
        <w:t>Prévention des NVPO : ondansétron 4 mg IV (le thiopental est moins émétisant que les halogénés mais reste supérieur au propofol).</w:t>
      </w:r>
    </w:p>
    <w:p>
      <w:pPr>
        <w:pStyle w:val="ListBullet"/>
      </w:pPr>
      <w:r>
        <w:t>Interdiction de conduire pendant 24-48 heures en raison de la somnolence résiduelle.</w:t>
      </w:r>
    </w:p>
    <w:p>
      <w:r/>
      <w:r>
        <w:rPr>
          <w:b/>
        </w:rPr>
        <w:t>En cas de status epilepticus (patient hospitalisé en réanimation) :</w:t>
      </w:r>
      <w:r/>
    </w:p>
    <w:p>
      <w:pPr>
        <w:pStyle w:val="ListBullet"/>
      </w:pPr>
      <w:r>
        <w:t>Information à la famille sur la profondeur de sédation (coma thérapeutique burst-suppression).</w:t>
      </w:r>
    </w:p>
    <w:p>
      <w:pPr>
        <w:pStyle w:val="ListBullet"/>
      </w:pPr>
      <w:r>
        <w:t>Ventilation mécanique indispensable (apnée centrale).</w:t>
      </w:r>
    </w:p>
    <w:p>
      <w:pPr>
        <w:pStyle w:val="ListBullet"/>
      </w:pPr>
      <w:r>
        <w:t>Surveillance EEG continue, monitoring hémodynamique invasif, surveillance température.</w:t>
      </w:r>
    </w:p>
    <w:p>
      <w:pPr>
        <w:pStyle w:val="ListBullet"/>
      </w:pPr>
      <w:r>
        <w:t>Risque d'hypotension majorée (dépresseur myocardique).</w:t>
      </w:r>
    </w:p>
    <w:p>
      <w:pPr>
        <w:pStyle w:val="ListBullet"/>
      </w:pPr>
      <w:r>
        <w:t>Risque d'infections nosocomiales (pneumopathies, bactériémies) en perfusion prolongée &gt; 5 jours.</w:t>
      </w:r>
    </w:p>
    <w:p>
      <w:r/>
      <w:r>
        <w:rPr>
          <w:b/>
        </w:rPr>
        <w:t>Au comptoir :</w:t>
      </w:r>
      <w:r/>
    </w:p>
    <w:p>
      <w:pPr>
        <w:pStyle w:val="ListBullet"/>
      </w:pPr>
      <w:r>
        <w:t>Le thiopental est inscrit sur la Liste II des substances vénéneuses : dispensation sur ordonnance hospitalière exclusivement, traçabilité des flacons, stockage en armoire sécurisée.</w:t>
      </w:r>
    </w:p>
    <w:p>
      <w:pPr>
        <w:pStyle w:val="ListBullet"/>
      </w:pPr>
      <w:r>
        <w:t>Vérifier la spécialité prescrite (Thiopental Vuab 0,5 g ou 1 g selon le dosage disponible).</w:t>
      </w:r>
    </w:p>
    <w:p>
      <w:pPr>
        <w:pStyle w:val="ListBullet"/>
      </w:pPr>
      <w:r>
        <w:t>Vérifier la date de péremption (3 ans à température ambiante ≤ 25 °C).</w:t>
      </w:r>
    </w:p>
    <w:p>
      <w:pPr>
        <w:pStyle w:val="ListBullet"/>
      </w:pPr>
      <w:r>
        <w:t>Ne pas délivrer en pharmacie de ville (usage exclusivement hospitalier).</w:t>
      </w:r>
    </w:p>
    <w:p>
      <w:pPr>
        <w:pStyle w:val="Heading3"/>
      </w:pPr>
      <w:r>
        <w:t>181.2.1.12 Pièges au comptoir — Règles d'or</w:t>
      </w:r>
    </w:p>
    <w:p>
      <w:pPr>
        <w:pStyle w:val="ListNumber"/>
      </w:pPr>
      <w:r/>
      <w:r>
        <w:rPr>
          <w:b/>
        </w:rPr>
        <w:t>Règle d'or n°1 : porphyrie = contre-indication absolue.</w:t>
      </w:r>
      <w:r>
        <w:t xml:space="preserve"> Le thiopental est l'un des médicaments les plus porphyrinogènes connus. Toute administration chez un porphyrique latent peut déclencher une crise neuroviscérale potentiellement mortelle. Interrogatoire systématique sur les antécédents familiaux de porphyrie avant toute induction. En cas de doute, utiliser le propofol ou l'étomidate (sûrs).</w:t>
      </w:r>
    </w:p>
    <w:p>
      <w:pPr>
        <w:pStyle w:val="ListNumber"/>
      </w:pPr>
      <w:r/>
      <w:r>
        <w:rPr>
          <w:b/>
        </w:rPr>
        <w:t>Règle d'or n°2 : le patient hypovolémique = danger.</w:t>
      </w:r>
      <w:r>
        <w:t xml:space="preserve"> Le thiopental est un dépresseur myocardique et vasodilatateur puissant. Chez un patient en choc hypovolémique, septique ou cardiogénique, l'injection peut provoquer un arrêt cardiaque immédiat. Réévaluer l'état hémodynamique avant induction ; préférer l'étomidate ou la kétamine.</w:t>
      </w:r>
    </w:p>
    <w:p>
      <w:pPr>
        <w:pStyle w:val="ListNumber"/>
      </w:pPr>
      <w:r/>
      <w:r>
        <w:rPr>
          <w:b/>
        </w:rPr>
        <w:t>Règle d'or n°3 : ne pas injecter en intra-artériel.</w:t>
      </w:r>
      <w:r>
        <w:t xml:space="preserve"> La solution alcaline (pH 10-11) provoque une nécrose artérielle et digitale catastrophique. Éviter le pli du coude (risque d'artère humérale), préférer le dos de la main ou l'avant-bras. En cas d'injection intra-artérielle accidentelle : laisser le cathéter en place, injecter lidocaïne 1 % (vasodilatateur), phentolamine, consultation chirurgicale urgente.</w:t>
      </w:r>
    </w:p>
    <w:p>
      <w:pPr>
        <w:pStyle w:val="ListNumber"/>
      </w:pPr>
      <w:r/>
      <w:r>
        <w:rPr>
          <w:b/>
        </w:rPr>
        <w:t>Règle d'or n°4 : reconstitution stricte avec EPPI ou sérum physiologique.</w:t>
      </w:r>
      <w:r>
        <w:t xml:space="preserve"> Ne jamais reconstituer avec du Ringer lactate (précipitation) ou avec des solutions acides. Vérifier la concentration finale (50 mg/mL). Jeter toute solution trouble ou précipitée.</w:t>
      </w:r>
    </w:p>
    <w:p>
      <w:pPr>
        <w:pStyle w:val="ListNumber"/>
      </w:pPr>
      <w:r/>
      <w:r>
        <w:rPr>
          <w:b/>
        </w:rPr>
        <w:t>Règle d'or n°5 : éviter les doses répétées.</w:t>
      </w:r>
      <w:r>
        <w:t xml:space="preserve"> La longue demi-vie d'élimination (5-12 h) et le compartiment profond (24-48 h) conduisent à une accumulation importante en cas de doses répétées. Pour les actes longs, préférer le propofol en perfusion continue ou l'halogéné d'entretien.</w:t>
      </w:r>
    </w:p>
    <w:p>
      <w:pPr>
        <w:pStyle w:val="ListNumber"/>
      </w:pPr>
      <w:r/>
      <w:r>
        <w:rPr>
          <w:b/>
        </w:rPr>
        <w:t>Règle d'or n°6 : asthme sévère = contre-indication relative absolue.</w:t>
      </w:r>
      <w:r>
        <w:t xml:space="preserve"> Le thiopental déprime le centre respiratoire et peut déclencher un bronchospasme réflexe. L'asthme contrôlé est compatible (libération d'histamine négligeable). L'asthme sévère non contrôlé ou l'insuffisance respiratoire décompensée contre-indiquent.</w:t>
      </w:r>
    </w:p>
    <w:p>
      <w:pPr>
        <w:pStyle w:val="ListNumber"/>
      </w:pPr>
      <w:r/>
      <w:r>
        <w:rPr>
          <w:b/>
        </w:rPr>
        <w:t>Règle d'or n°7 : grossesse = usage autorisé mais prudent.</w:t>
      </w:r>
      <w:r>
        <w:t xml:space="preserve"> Le thiopental traverse la barrière placentaire. À dose modérée (4-5 mg/kg), le score d'Apgar est conservé. Éviter les doses massives répétées. Protocole d'induction en séquence rapide pour césarienne urgente validé.</w:t>
      </w:r>
    </w:p>
    <w:p>
      <w:pPr>
        <w:pStyle w:val="ListNumber"/>
      </w:pPr>
      <w:r/>
      <w:r>
        <w:rPr>
          <w:b/>
        </w:rPr>
        <w:t>Règle d'or n°8 : status epilepticus = indication légitime, mais en réanimation.</w:t>
      </w:r>
      <w:r>
        <w:t xml:space="preserve"> Le thiopental est l'agent de 3ème ligne (après midazolam et phénytoïne/fosphenytoïne) dans le status epilepticus réfractaire. Surveillance EEG continue, ventilation mécanique indispensable, monitoring hémodynamique invasif.</w:t>
      </w:r>
    </w:p>
    <w:p>
      <w:pPr>
        <w:pStyle w:val="ListNumber"/>
      </w:pPr>
      <w:r/>
      <w:r>
        <w:rPr>
          <w:b/>
        </w:rPr>
        <w:t>Règle d'or n°9 : la prémédication par atropine chez l'enfant.</w:t>
      </w:r>
      <w:r>
        <w:t xml:space="preserve"> L'association thiopental-succinylcholine peut provoquer une bradycardie sinusale ou une asystolie par réflexe vagal (tonus vagal élevé chez l'enfant). Prémédication par atropine 0,01 mg/kg IV 1 minute avant.</w:t>
      </w:r>
    </w:p>
    <w:p>
      <w:pPr>
        <w:pStyle w:val="ListNumber"/>
      </w:pPr>
      <w:r/>
      <w:r>
        <w:rPr>
          <w:b/>
        </w:rPr>
        <w:t>Règle d'or n°10 : absence d'effet analgésique.</w:t>
      </w:r>
      <w:r>
        <w:t xml:space="preserve"> Le thiopental est anti-analgésique à faible dose. Tout acte chirurgical nécessite l'adjonction d'un morphinique (fentanyl, sufentanil) et éventuellement d'un curare.</w:t>
      </w:r>
    </w:p>
    <w:p>
      <w:pPr>
        <w:pStyle w:val="ListNumber"/>
      </w:pPr>
      <w:r/>
      <w:r>
        <w:rPr>
          <w:b/>
        </w:rPr>
        <w:t>Règle d'or n°11 : allergie croisée possible avec les autres barbituriques.</w:t>
      </w:r>
      <w:r>
        <w:t xml:space="preserve"> Le phénobarbital, le pentobarbital et le thiopental appartiennent à la même famille chimique. Une allergie à l'un contre-indique les autres.</w:t>
      </w:r>
    </w:p>
    <w:p>
      <w:pPr>
        <w:pStyle w:val="ListNumber"/>
      </w:pPr>
      <w:r/>
      <w:r>
        <w:rPr>
          <w:b/>
        </w:rPr>
        <w:t>Règle d'or n°12 : traçabilité absolue (Liste II).</w:t>
      </w:r>
      <w:r>
        <w:t xml:space="preserve"> Le thiopental est inscrit sur la Liste II des substances vénéneuses. Conservation en armoire sécurisée, registre des entrées et sorties, comptage mensuel, prescription hospitalière uniquement.</w:t>
      </w:r>
    </w:p>
    <w:p>
      <w:pPr>
        <w:pStyle w:val="ListNumber"/>
      </w:pPr>
      <w:r/>
      <w:r>
        <w:rPr>
          <w:b/>
        </w:rPr>
        <w:t>Règle d'or n°13 : ne pas confondre doses selon l'indication.</w:t>
      </w:r>
      <w:r>
        <w:t xml:space="preserve"> Dose d'induction (3-5 mg/kg) ≠ dose de status epilepticus (2-4 mg/kg bolus puis 1-5 mg/kg/h) ≠ dose de neuroprotection (2-4 mg/kg bolus puis 1-3 mg/kg/h). Surdosage = collapsus.</w:t>
      </w:r>
    </w:p>
    <w:p>
      <w:pPr>
        <w:pStyle w:val="ListNumber"/>
      </w:pPr>
      <w:r/>
      <w:r>
        <w:rPr>
          <w:b/>
        </w:rPr>
        <w:t>Règle d'or n°14 : conservation à température ambiante.</w:t>
      </w:r>
      <w:r>
        <w:t xml:space="preserve"> Le thiopental en poudre se conserve 3 ans à ≤ 25 °C. Après reconstitution, 24 heures à température ambiante. Ne pas congeler (la congération détruit la formulation).</w:t>
      </w:r>
    </w:p>
    <w:p>
      <w:pPr>
        <w:pStyle w:val="ListNumber"/>
      </w:pPr>
      <w:r/>
      <w:r>
        <w:rPr>
          <w:b/>
        </w:rPr>
        <w:t>Règle d'or n°15 : signalement de tout effet indésirable.</w:t>
      </w:r>
      <w:r>
        <w:t xml:space="preserve"> Tout effet grave (anaphylaxie, collapsus, arrêt cardiaque, crise de porphyrie) doit être déclaré au centre national de pharmacovigilance (CNPV Alger). La traçabilité de l'anesthésie est obligatoire (registre, dossier informatisé).</w:t>
      </w:r>
    </w:p>
    <w:p>
      <w:pPr>
        <w:pStyle w:val="Heading2"/>
      </w:pPr>
      <w:r>
        <w:t>181.3.1 — ÉTOMIDATE</w:t>
      </w:r>
    </w:p>
    <w:p>
      <w:pPr>
        <w:pStyle w:val="Heading3"/>
      </w:pPr>
      <w:r>
        <w:t>181.3.1.1 Catégories pharmaco-thérapeutiques et indications</w:t>
      </w:r>
    </w:p>
    <w:p>
      <w:r/>
      <w:r>
        <w:rPr>
          <w:b/>
        </w:rPr>
        <w:t>DCI :</w:t>
      </w:r>
      <w:r>
        <w:t xml:space="preserve"> Étomidate (éthyl 1-[(1R)-1-phényléthyl]-1H-imidazole-5-carboxylate).</w:t>
      </w:r>
    </w:p>
    <w:p>
      <w:r/>
      <w:r>
        <w:rPr>
          <w:b/>
        </w:rPr>
        <w:t>Code ATC :</w:t>
      </w:r>
      <w:r>
        <w:t xml:space="preserve"> N01AX07 (anesthésiques généraux, autres anesthésiques IV).</w:t>
      </w:r>
    </w:p>
    <w:p>
      <w:r/>
      <w:r>
        <w:rPr>
          <w:b/>
        </w:rPr>
        <w:t>Classe chimique :</w:t>
      </w:r>
      <w:r>
        <w:t xml:space="preserve"> imidazole carboxylate substitué ; dérivé lipophile apparenté aux antifongiques imidazolés mais sans activité antifongique significative.</w:t>
      </w:r>
    </w:p>
    <w:p>
      <w:r/>
      <w:r>
        <w:rPr>
          <w:b/>
        </w:rPr>
        <w:t>Sous-classes pharmacologiques :</w:t>
      </w:r>
      <w:r>
        <w:t xml:space="preserve"> hypnotique intraveineux d'induction à profil hémodynamique stable ; agent d'induction de choix en cas d'instabilité cardiovasculaire ou d'insuffisance surrénalienne connue ; imidazolé (sous-classe très étroite, l'étomidate est l'unique représentant en clinique anesthésique).</w:t>
      </w:r>
    </w:p>
    <w:p>
      <w:r/>
      <w:r>
        <w:rPr>
          <w:b/>
        </w:rPr>
        <w:t>Indications portées sur l'AMM (RCP VIDAL/EMA) :</w:t>
      </w:r>
      <w:r/>
    </w:p>
    <w:p>
      <w:pPr>
        <w:pStyle w:val="ListBullet"/>
      </w:pPr>
      <w:r>
        <w:t>Induction de l'anesthésie générale chez l'adulte et l'enfant de plus de 10 ans.</w:t>
      </w:r>
    </w:p>
    <w:p>
      <w:pPr>
        <w:pStyle w:val="ListBullet"/>
      </w:pPr>
      <w:r>
        <w:t>Induction en séquence rapide chez le patient à haut risque hémodynamique (insuffisance cardiaque, choc hypovolémique, traumatisme grave, vasoplégie septique, péricardite constrictive, sténose aortique serrée).</w:t>
      </w:r>
    </w:p>
    <w:p>
      <w:pPr>
        <w:pStyle w:val="ListBullet"/>
      </w:pPr>
      <w:r>
        <w:t>Induction chez le coronarien à haut risque (syndrome coronarien aigu, insuffisance ventriculaire gauche).</w:t>
      </w:r>
    </w:p>
    <w:p>
      <w:pPr>
        <w:pStyle w:val="ListBullet"/>
      </w:pPr>
      <w:r>
        <w:t>Induction chez le patient en état de choc ou de défaillance multiviscérale.</w:t>
      </w:r>
    </w:p>
    <w:p>
      <w:r/>
      <w:r>
        <w:rPr>
          <w:b/>
        </w:rPr>
        <w:t>Indications non couvertes par l'AMM :</w:t>
      </w:r>
      <w:r/>
    </w:p>
    <w:p>
      <w:pPr>
        <w:pStyle w:val="ListBullet"/>
      </w:pPr>
      <w:r>
        <w:t>Sédation procédurale (en raison de la douleur à l'injection et des myoclonies, peu utilisé dans cette indication).</w:t>
      </w:r>
    </w:p>
    <w:p>
      <w:pPr>
        <w:pStyle w:val="ListBullet"/>
      </w:pPr>
      <w:r>
        <w:t>Entretien de l'anesthésie en perfusion continue : contre-indiqué en raison du blocage surrénalien prolongé.</w:t>
      </w:r>
    </w:p>
    <w:p>
      <w:pPr>
        <w:pStyle w:val="ListBullet"/>
      </w:pPr>
      <w:r>
        <w:t>Réanimation : usage prolongé proscrit en raison du blocage de la 11β-hydroxylase surrénalienne.</w:t>
      </w:r>
    </w:p>
    <w:p>
      <w:pPr>
        <w:pStyle w:val="Heading3"/>
      </w:pPr>
      <w:r>
        <w:t>181.3.1.2 Médicaments disponibles en Algérie</w:t>
      </w:r>
    </w:p>
    <w:p>
      <w:r>
        <w:t>L'étomidate est inscrit sur la Liste I des substances vénéneuses en Algérie. Le tableau suivant recense l'ensemble des spécialités ayant fait l'objet d'une autorisation de mise sur le marché.</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HYPNOMIDATE</w:t>
            </w:r>
          </w:p>
        </w:tc>
        <w:tc>
          <w:tcPr>
            <w:tcW w:type="dxa" w:w="1559"/>
          </w:tcPr>
          <w:p>
            <w:r>
              <w:rPr>
                <w:sz w:val="20"/>
              </w:rPr>
              <w:t>PIRAMAL CRITICAL CARE LTD</w:t>
            </w:r>
          </w:p>
        </w:tc>
        <w:tc>
          <w:tcPr>
            <w:tcW w:type="dxa" w:w="1559"/>
          </w:tcPr>
          <w:p>
            <w:r>
              <w:rPr>
                <w:sz w:val="20"/>
              </w:rPr>
              <w:t>Solution pour injectable IV, 2 mg/mL</w:t>
            </w:r>
          </w:p>
        </w:tc>
        <w:tc>
          <w:tcPr>
            <w:tcW w:type="dxa" w:w="1559"/>
          </w:tcPr>
          <w:p>
            <w:r>
              <w:rPr>
                <w:sz w:val="20"/>
              </w:rPr>
              <w:t>Boîte de 5 ampoules de 10 mL</w:t>
            </w:r>
          </w:p>
        </w:tc>
        <w:tc>
          <w:tcPr>
            <w:tcW w:type="dxa" w:w="1559"/>
          </w:tcPr>
          <w:p>
            <w:r>
              <w:rPr>
                <w:sz w:val="20"/>
              </w:rPr>
              <w:t>Liste I</w:t>
            </w:r>
          </w:p>
        </w:tc>
        <w:tc>
          <w:tcPr>
            <w:tcW w:type="dxa" w:w="1559"/>
          </w:tcPr>
          <w:p>
            <w:r>
              <w:rPr>
                <w:sz w:val="20"/>
              </w:rPr>
              <w:t>ACTIF</w:t>
            </w:r>
          </w:p>
        </w:tc>
      </w:tr>
    </w:tbl>
    <w:p/>
    <w:p>
      <w:r/>
      <w:r>
        <w:rPr>
          <w:b/>
        </w:rPr>
        <w:t>Commentaire :</w:t>
      </w:r>
      <w:r>
        <w:t xml:space="preserve"> L'étomidate reste disponible en Algérie sous une seule spécialité active : Hypnomidate (Piramal Critical Care Ltd, Inde). Cette spécialité, historiquement développée par Janssen Pharmaceutica (Belgique) puis transmise à AbbVie, Baxter et désormais Piramal, se présente en ampoules de 10 mL dosées à 2 mg/mL (soit 20 mg par ampoule), en boîte de 5 ampoules. La solution contient du propylène glycol (35 % v/v) comme solvant, responsable de la douleur à l'injection et de l'hémolyse en cas d'injection prolongée. Une formulation alternative en émulsion lipidique (Etomidate-Lipuro, Braun), qui supprime la douleur à l'injection et réduit l'hémolyse, n'est pas disponible sur le marché algérien. La molécule reste classée sur la Liste I, sa prescription est strictement hospitalière, et son usage est essentiellement réservé aux situations d'urgence vitale et aux anesthésies de patients fragiles. Le prix unitaire reste élevé, ce qui en fait un agent d'exception, utilisé en complément du propofol (induction de routine) et du thiopental (induction économique).</w:t>
      </w:r>
    </w:p>
    <w:p>
      <w:pPr>
        <w:pStyle w:val="Heading3"/>
      </w:pPr>
      <w:r>
        <w:t>181.3.1.3 Mécanisme d'action moléculaire, cellulaire et physiologique</w:t>
      </w:r>
    </w:p>
    <w:p>
      <w:r>
        <w:t>L'étomidate est un hypnotique anesthésique intraveineux dont le mécanisme d'action principal, comme le propofol et le thiopental, repose sur la modulation allostérique positive du récepteur GABA-A. La molécule se fixe sur un site allostérique spécifique, à l'interface des sous-unités β+ et α− du pentamère canalaire, distinct du site GABA, du site des benzodiazépines et du site des barbituriques. Cette fixation augmente la conductance chlorure en prolongeant la durée d'ouverture du canal GABA-A en réponse au GABA endogène. À forte concentration, l'étomidate peut activer directement le canal en l'absence de GABA (effet activateur direct, comme les barbituriques).</w:t>
      </w:r>
    </w:p>
    <w:p>
      <w:r>
        <w:t>L'étomidate présente la particularité d'être un stéréoisomère actif : seul l'isomère R(+)-étomidate possède une activité anesthésique (le S(−)-étomidate est inactif). Cette sélectivité stérique explique la puissance exceptionnelle de la molécule (dose efficace 0,2 à 0,3 mg/kg, soit 10 fois moins que le propofol) et justifie le développement récent d'analgues stéréosélectifs (carboétomidate, methoxycarbonyl étomidate) dépourvus d'effet surrénalien.</w:t>
      </w:r>
    </w:p>
    <w:p>
      <w:r/>
      <w:r>
        <w:rPr>
          <w:b/>
        </w:rPr>
        <w:t>Cible moléculaire spécifique de l'étomidate (en plus du GABA-A) :</w:t>
      </w:r>
      <w:r/>
    </w:p>
    <w:p>
      <w:pPr>
        <w:pStyle w:val="ListBullet"/>
      </w:pPr>
      <w:r/>
      <w:r>
        <w:rPr>
          <w:b/>
        </w:rPr>
        <w:t>Inhibition de la 11β-hydroxylase surrénalienne</w:t>
      </w:r>
      <w:r>
        <w:t xml:space="preserve"> : l'étomidate se fixe de manière dose-dépendante et prolongée sur l'enzyme mitochondriale CYP11B1 (11β-hydroxylase) qui catalyse la conversion de la 11-déoxycortisol en cortisol (dernière étape de la stéroïdogenèse cortisolique) et de la 11-déoxycorticostérone en corticostérone (étape de la minéralocorticoïdogenèse). L'inhibition est compétitive avec l'hème du cytochrome P450 et survient dès 0,3 mg/kg en dose unique. La conséquence est une insuffisance surrénale aiguë biologique (cortisolémie basse, ACTH élevée) pendant 24 à 48 heures, parfois jusqu'à 72 heures.</w:t>
      </w:r>
    </w:p>
    <w:p>
      <w:pPr>
        <w:pStyle w:val="ListBullet"/>
      </w:pPr>
      <w:r/>
      <w:r>
        <w:rPr>
          <w:b/>
        </w:rPr>
        <w:t>Inhibition accessoire de la 17α-hydroxylase (CYP17A1)</w:t>
      </w:r>
      <w:r>
        <w:t xml:space="preserve"> : moindre que sur la 11β-hydroxylase, mais contribue à réduire la synthèse des androgènes surrénaliens.</w:t>
      </w:r>
    </w:p>
    <w:p>
      <w:r/>
      <w:r>
        <w:rPr>
          <w:b/>
        </w:rPr>
        <w:t>Physiologie intégrée :</w:t>
      </w:r>
      <w:r>
        <w:t xml:space="preserve"> à dose d'induction (0,2 à 0,3 mg/kg IV), l'étomidate induit une perte de conscience en 30 à 60 secondes (un bras-circulation), suivie d'une perte des réflexes protecteurs et d'une apnée transitoire (moins marquée qu'avec le thiopental). La redistribution rapide (5 à 10 minutes) termine l'effet hypnotique initial.</w:t>
      </w:r>
    </w:p>
    <w:p>
      <w:r/>
      <w:r>
        <w:rPr>
          <w:b/>
        </w:rPr>
        <w:t>Profil hémodynamique remarquable :</w:t>
      </w:r>
      <w:r>
        <w:t xml:space="preserve"> l'étomidate est l'agent d'induction de référence pour le patient instable car il préserve la pression artérielle, le débit cardiaque, la fréquence cardiaque et les résistances vasculaires systémiques. L'absence de dépression myocardique directe et de vasodilatation périphérique en fait le choix privilégié en cas d'insuffisance cardiaque décompensée, de choc hypovolémique, de vasoplégie septique, de sténose aortique serrée, de péricardite constrictive, de tamponnade, d'embolie pulmonaire grave. Le tonus sympathique est préservé, ce qui distingue l'étomidate du propofol (qui inhibe le baroréflexe) et du thiopental (qui dépresse myocardique direct).</w:t>
      </w:r>
    </w:p>
    <w:p>
      <w:r/>
      <w:r>
        <w:rPr>
          <w:b/>
        </w:rPr>
        <w:t>Effets neurophysiologiques :</w:t>
      </w:r>
      <w:r/>
    </w:p>
    <w:p>
      <w:pPr>
        <w:pStyle w:val="ListBullet"/>
      </w:pPr>
      <w:r>
        <w:t>Réduction modeste de la CMRO2 et du DSC (moins marquée que le thiopental ou le propofol).</w:t>
      </w:r>
    </w:p>
    <w:p>
      <w:pPr>
        <w:pStyle w:val="ListBullet"/>
      </w:pPr>
      <w:r>
        <w:t>Augmentation discrète de la PIC possible (à éviter en neurochirurgie sans hyperventilation).</w:t>
      </w:r>
    </w:p>
    <w:p>
      <w:pPr>
        <w:pStyle w:val="ListBullet"/>
      </w:pPr>
      <w:r>
        <w:t>Pas d'effet anticonvulsivant significatif (l'étomidate peut même provoquer des myoclonies).</w:t>
      </w:r>
    </w:p>
    <w:p>
      <w:pPr>
        <w:pStyle w:val="ListBullet"/>
      </w:pPr>
      <w:r>
        <w:t>Pas d'effet analgésique propre.</w:t>
      </w:r>
    </w:p>
    <w:p>
      <w:pPr>
        <w:pStyle w:val="ListBullet"/>
      </w:pPr>
      <w:r>
        <w:t>Amnésie modérée.</w:t>
      </w:r>
    </w:p>
    <w:p>
      <w:r/>
      <w:r>
        <w:rPr>
          <w:b/>
        </w:rPr>
        <w:t>Effets respiratoires :</w:t>
      </w:r>
      <w:r>
        <w:t xml:space="preserve"> la dépression respiratoire est moindre qu'avec le thiopental ou le propofol. Apnée brève à l'induction (10-30 s) chez 30-50 % des patients. Pas de libération d'histamine significative.</w:t>
      </w:r>
    </w:p>
    <w:p>
      <w:pPr>
        <w:pStyle w:val="Heading3"/>
      </w:pPr>
      <w:r>
        <w:t>181.3.1.4 Pharmacocinétique (Profil PK)</w:t>
      </w:r>
    </w:p>
    <w:p>
      <w:r/>
      <w:r>
        <w:rPr>
          <w:b/>
        </w:rPr>
        <w:t>Absorption :</w:t>
      </w:r>
      <w:r>
        <w:t xml:space="preserve"> l'étomidate est administré exclusivement par voie IV. La biodisponibilité IV est de 100 %.</w:t>
      </w:r>
    </w:p>
    <w:p>
      <w:r/>
      <w:r>
        <w:rPr>
          <w:b/>
        </w:rPr>
        <w:t>Distribution :</w:t>
      </w:r>
      <w:r>
        <w:t xml:space="preserve"> l'étomidate est très lipophile (log P = 3,5), fortement lié aux protéines plasmatiques (75 %, surtout l'albumine). Le volume de distribution à l'équilibre (Vdss) est modéré (2 à 5 L/kg). La distribution est bi-compartimentale : compartiment central (cerveau, cœur, rein) et compartiment périphérique (muscle, graisse). La demi-vie de redistribution t1/2α est courte (2 à 5 minutes) et explique la brièveté de l'effet d'induction. La demi-vie d'élimination t1/2β est de 60 à 90 minutes, plus courte que le thiopental.</w:t>
      </w:r>
    </w:p>
    <w:p>
      <w:r/>
      <w:r>
        <w:rPr>
          <w:b/>
        </w:rPr>
        <w:t>Métabolisme :</w:t>
      </w:r>
      <w:r>
        <w:t xml:space="preserve"> l'étomidate est métabolisé à 95 % dans le foie par hydrolyse esterase (carboxylesterases hépatiques) en acide carboxylique inactif. La clearance hépatique est élevée (700 à 1200 mL/min), supérieure au débit sanguin hépatique en raison d'une extraction hépatique importante.</w:t>
      </w:r>
    </w:p>
    <w:p>
      <w:r/>
      <w:r>
        <w:rPr>
          <w:b/>
        </w:rPr>
        <w:t>Élimination :</w:t>
      </w:r>
      <w:r>
        <w:t xml:space="preserve"> élimination rénale des métabolites inactifs (87 % en 24 h), biliaire (13 %). Moins de 3 % est excrété inchangé dans les urines.</w:t>
      </w:r>
    </w:p>
    <w:p>
      <w:r/>
      <w:r>
        <w:rPr>
          <w:b/>
        </w:rPr>
        <w:t>Effet de premier passage cérébral :</w:t>
      </w:r>
      <w:r>
        <w:t xml:space="preserve"> la lipophilie élevée explique le passage cérébral rapide (pic en 30-60 s), suivi d'une décroissance par redistribution (t1/2α = 2-5 min) qui termine l'effet hypnotique après 5-10 minutes.</w:t>
      </w:r>
    </w:p>
    <w:p>
      <w:r/>
      <w:r>
        <w:rPr>
          <w:b/>
        </w:rPr>
        <w:t>Populations particulières :</w:t>
      </w:r>
      <w:r/>
    </w:p>
    <w:p>
      <w:pPr>
        <w:pStyle w:val="ListBullet"/>
      </w:pPr>
      <w:r/>
      <w:r>
        <w:rPr>
          <w:b/>
        </w:rPr>
        <w:t>Sujet âgé :</w:t>
      </w:r>
      <w:r>
        <w:t xml:space="preserve"> Vd augmenté, clearance réduite → réduire la dose de 20-30 %.</w:t>
      </w:r>
    </w:p>
    <w:p>
      <w:pPr>
        <w:pStyle w:val="ListBullet"/>
      </w:pPr>
      <w:r/>
      <w:r>
        <w:rPr>
          <w:b/>
        </w:rPr>
        <w:t>Insuffisance hépatique :</w:t>
      </w:r>
      <w:r>
        <w:t xml:space="preserve"> clearance conservée si modérée ; allongée si sévère (prudence).</w:t>
      </w:r>
    </w:p>
    <w:p>
      <w:pPr>
        <w:pStyle w:val="ListBullet"/>
      </w:pPr>
      <w:r/>
      <w:r>
        <w:rPr>
          <w:b/>
        </w:rPr>
        <w:t>Insuffisance rénale :</w:t>
      </w:r>
      <w:r>
        <w:t xml:space="preserve"> pas d'adaptation (métabolites inactifs).</w:t>
      </w:r>
    </w:p>
    <w:p>
      <w:pPr>
        <w:pStyle w:val="ListBullet"/>
      </w:pPr>
      <w:r/>
      <w:r>
        <w:rPr>
          <w:b/>
        </w:rPr>
        <w:t>Enfant :</w:t>
      </w:r>
      <w:r>
        <w:t xml:space="preserve"> Vd plus élevé, clearance plus rapide (dose 0,3 mg/kg chez l'enfant vs 0,2 mg/kg chez l'adulte).</w:t>
      </w:r>
    </w:p>
    <w:p>
      <w:pPr>
        <w:pStyle w:val="ListBullet"/>
      </w:pPr>
      <w:r/>
      <w:r>
        <w:rPr>
          <w:b/>
        </w:rPr>
        <w:t>Patient en état de choc :</w:t>
      </w:r>
      <w:r>
        <w:t xml:space="preserve"> Vd réduit, effet plus marqué → réduire la dose à 0,15-0,2 mg/kg.</w:t>
      </w:r>
    </w:p>
    <w:p>
      <w:r/>
      <w:r>
        <w:rPr>
          <w:b/>
        </w:rPr>
        <w:t>Particularité : blocage surrénalien prolongé.</w:t>
      </w:r>
      <w:r>
        <w:t xml:space="preserve"> L'inhibition de la 11β-hydroxylase survient dès la dose d'induction (0,3 mg/kg). La cortisolémie est réduite de 50 % à 4 heures, de 80 % à 8 heures, et reste diminuée jusqu'à 48 heures. L'aldostérone est également réduite. Chez le patient de réanimation, en sepsis sévère ou en choc septique, cette insuffisance surrénale iatrogène peut aggraver le pronostic vital. Plusieurs méta-analyses (Komatsu 2014, Gu 2015) ont montré une surmortalité chez les patients de réanimation ayant reçu de l'étomidate pour l'intubation en séquence rapide, en particulier en cas de sepsis. Cette donnée a conduit à une recommandation prudents de la SFAR et de la SCCM (Society of Critical Care Medicine) de réserver l'étomidate aux patients sans sepsis sévère, et de privilégier la kétamine en cas de sepsis ou de choc septique.</w:t>
      </w:r>
    </w:p>
    <w:p>
      <w:pPr>
        <w:pStyle w:val="Heading3"/>
      </w:pPr>
      <w:r>
        <w:t>181.3.1.5 Indications thérapeutiques (détail AMM et hors AMM)</w:t>
      </w:r>
    </w:p>
    <w:p>
      <w:r/>
      <w:r>
        <w:rPr>
          <w:b/>
        </w:rPr>
        <w:t>Indications AMM principales :</w:t>
      </w:r>
      <w:r/>
    </w:p>
    <w:p>
      <w:pPr>
        <w:pStyle w:val="ListNumber"/>
      </w:pPr>
      <w:r/>
      <w:r>
        <w:rPr>
          <w:b/>
        </w:rPr>
        <w:t>Induction de l'anesthésie générale</w:t>
      </w:r>
      <w:r>
        <w:t xml:space="preserve"> chez l'adulte et l'enfant de plus de 10 ans, en alternative au propofol ou au thiopental. Dose de 0,2 à 0,3 mg/kg IV (bolus sur 30-60 s).</w:t>
      </w:r>
    </w:p>
    <w:p>
      <w:pPr>
        <w:pStyle w:val="ListNumber"/>
      </w:pPr>
      <w:r/>
      <w:r>
        <w:rPr>
          <w:b/>
        </w:rPr>
        <w:t>Induction chez le patient à haut risque hémodynamique</w:t>
      </w:r>
      <w:r>
        <w:t xml:space="preserve"> :</w:t>
      </w:r>
    </w:p>
    <w:p>
      <w:pPr>
        <w:pStyle w:val="ListBullet"/>
      </w:pPr>
      <w:r>
        <w:t>Insuffisance cardiaque décompensée (FEVG &lt; 30 %, NYHA IV).</w:t>
      </w:r>
    </w:p>
    <w:p>
      <w:pPr>
        <w:pStyle w:val="ListBullet"/>
      </w:pPr>
      <w:r>
        <w:t>Choc hypovolémique (trauma, hémorragie, déshydratation sévère).</w:t>
      </w:r>
    </w:p>
    <w:p>
      <w:pPr>
        <w:pStyle w:val="ListBullet"/>
      </w:pPr>
      <w:r>
        <w:t>Choc septique avec vasopresseurs (à manier avec prudence en raison de l'insuffisance surrénalienne).</w:t>
      </w:r>
    </w:p>
    <w:p>
      <w:pPr>
        <w:pStyle w:val="ListBullet"/>
      </w:pPr>
      <w:r>
        <w:t>Sténose aortique serrée (réserver à la cardiopathie ischémique et valvulaire non décompensée).</w:t>
      </w:r>
    </w:p>
    <w:p>
      <w:pPr>
        <w:pStyle w:val="ListBullet"/>
      </w:pPr>
      <w:r>
        <w:t>Péricardite constrictive, tamponnade, embolie pulmonaire grave (cœur droit fragile).</w:t>
      </w:r>
    </w:p>
    <w:p>
      <w:pPr>
        <w:pStyle w:val="ListBullet"/>
      </w:pPr>
      <w:r>
        <w:t>Coronarien à haut risque (syndrome coronarien aigu, post-IDM récent).</w:t>
      </w:r>
    </w:p>
    <w:p>
      <w:pPr>
        <w:pStyle w:val="ListBullet"/>
      </w:pPr>
      <w:r>
        <w:t>Patient âgé fragile (&gt; 75 ans, ASA III-IV).</w:t>
      </w:r>
    </w:p>
    <w:p>
      <w:pPr>
        <w:pStyle w:val="ListNumber"/>
      </w:pPr>
      <w:r/>
      <w:r>
        <w:rPr>
          <w:b/>
        </w:rPr>
        <w:t>Induction en séquence rapide chez le patient instable</w:t>
      </w:r>
      <w:r>
        <w:t xml:space="preserve"> : étomidate 0,2-0,3 mg/kg IV + succinylcholine 1 mg/kg IV, pression cricoïdienne, intubation en 60 s.</w:t>
      </w:r>
    </w:p>
    <w:p>
      <w:r/>
      <w:r>
        <w:rPr>
          <w:b/>
        </w:rPr>
        <w:t>Indications non couvertes par l'AMM :</w:t>
      </w:r>
      <w:r/>
    </w:p>
    <w:p>
      <w:pPr>
        <w:pStyle w:val="ListBullet"/>
      </w:pPr>
      <w:r>
        <w:t>Sédation procédurale : peu utilisé (douleur, myoclonies).</w:t>
      </w:r>
    </w:p>
    <w:p>
      <w:pPr>
        <w:pStyle w:val="ListBullet"/>
      </w:pPr>
      <w:r>
        <w:t>Entretien de l'anesthésie en perfusion continue : contre-indiqué (insuffisance surrénalienne cumulative).</w:t>
      </w:r>
    </w:p>
    <w:p>
      <w:pPr>
        <w:pStyle w:val="ListBullet"/>
      </w:pPr>
      <w:r>
        <w:t>Réanimation prolongée : contre-indiqué.</w:t>
      </w:r>
    </w:p>
    <w:p>
      <w:r/>
      <w:r>
        <w:rPr>
          <w:b/>
        </w:rPr>
        <w:t>Contre-indications formelles :</w:t>
      </w:r>
      <w:r/>
    </w:p>
    <w:p>
      <w:pPr>
        <w:pStyle w:val="ListBullet"/>
      </w:pPr>
      <w:r/>
      <w:r>
        <w:rPr>
          <w:b/>
        </w:rPr>
        <w:t>Insuffisance surrénale connue</w:t>
      </w:r>
      <w:r>
        <w:t xml:space="preserve"> (maladie d'Addison, insuffisance surrénale corticotrope post-corticothérapie prolongée, sepsis sévère avec dysfonction surrénalienne) : contre-indication absolue en raison du blocage de la 11β-hydroxylase.</w:t>
      </w:r>
    </w:p>
    <w:p>
      <w:pPr>
        <w:pStyle w:val="ListBullet"/>
      </w:pPr>
      <w:r/>
      <w:r>
        <w:rPr>
          <w:b/>
        </w:rPr>
        <w:t>Allergie connue à l'étomidate ou au propylène glycol</w:t>
      </w:r>
      <w:r>
        <w:t xml:space="preserve"> : contre-indication absolue.</w:t>
      </w:r>
    </w:p>
    <w:p>
      <w:pPr>
        <w:pStyle w:val="ListBullet"/>
      </w:pPr>
      <w:r/>
      <w:r>
        <w:rPr>
          <w:b/>
        </w:rPr>
        <w:t>Porphyrie aiguë intermittente</w:t>
      </w:r>
      <w:r>
        <w:t xml:space="preserve"> : contre-indication relative prudente (l'étomidate est généralement considéré comme sûr à la différence du thiopental, mais des cas isolés de déclenchement de crise ont été rapportés).</w:t>
      </w:r>
    </w:p>
    <w:p>
      <w:pPr>
        <w:pStyle w:val="ListBullet"/>
      </w:pPr>
      <w:r/>
      <w:r>
        <w:rPr>
          <w:b/>
        </w:rPr>
        <w:t>Enfant de moins de 10 ans</w:t>
      </w:r>
      <w:r>
        <w:t xml:space="preserve"> : absence d'AMM formelle (en pratique, utilisé chez l'enfant de plus de 1 mois avec prudence).</w:t>
      </w:r>
    </w:p>
    <w:p>
      <w:pPr>
        <w:pStyle w:val="ListBullet"/>
      </w:pPr>
      <w:r/>
      <w:r>
        <w:rPr>
          <w:b/>
        </w:rPr>
        <w:t>Sepsis sévère et choc septique</w:t>
      </w:r>
      <w:r>
        <w:t xml:space="preserve"> : contre-indication relative prudente (recommandation SFAR de privilégier la kétamine en raison de l'insuffisance surrénalienne iatrogène).</w:t>
      </w:r>
    </w:p>
    <w:p>
      <w:pPr>
        <w:pStyle w:val="ListBullet"/>
      </w:pPr>
      <w:r/>
      <w:r>
        <w:rPr>
          <w:b/>
        </w:rPr>
        <w:t>Grossesse</w:t>
      </w:r>
      <w:r>
        <w:t xml:space="preserve"> : à éviter en dehors des urgences vitales (voir section Grossesse).</w:t>
      </w:r>
    </w:p>
    <w:p>
      <w:pPr>
        <w:pStyle w:val="Heading3"/>
      </w:pPr>
      <w:r>
        <w:t>181.3.1.6 Effets indésirables et prévention</w:t>
      </w:r>
    </w:p>
    <w:p>
      <w:r/>
      <w:r>
        <w:rPr>
          <w:b/>
        </w:rPr>
        <w:t>Effets indésirables fréquents (&gt; 1/100) :</w:t>
      </w:r>
      <w:r/>
    </w:p>
    <w:p>
      <w:pPr>
        <w:pStyle w:val="ListBullet"/>
      </w:pPr>
      <w:r/>
      <w:r>
        <w:rPr>
          <w:b/>
        </w:rPr>
        <w:t>Myoclonies à l'induction</w:t>
      </w:r>
      <w:r>
        <w:t xml:space="preserve"> : 30 à 50 % des cas, mouvements brefs et stéréotypés des membres, parfois confondus avec des convulsions mais bénignes. Prévention : prémédication par curare non dépolarisant à faible dose (rocuronium 0,05 mg/kg, « précurarisation ») ou par midazolam 0,03 mg/kg ; injection lente (sur 60-90 s) ; administration en cas d'induction en séquence rapide sans prémédication, accepter les myoclonies (bénignes et brèves).</w:t>
      </w:r>
    </w:p>
    <w:p>
      <w:pPr>
        <w:pStyle w:val="ListBullet"/>
      </w:pPr>
      <w:r/>
      <w:r>
        <w:rPr>
          <w:b/>
        </w:rPr>
        <w:t>Douleur à l'injection</w:t>
      </w:r>
      <w:r>
        <w:t xml:space="preserve"> : 30 à 80 % des cas (formulation propylène glycol). Prévention : injection dans une grosse veine, pré-injection de lidocaïne 1 % (1 mg/kg), utilisation de la formulation lipidique (Etomidate-Lipuro, non disponible en Algérie).</w:t>
      </w:r>
    </w:p>
    <w:p>
      <w:pPr>
        <w:pStyle w:val="ListBullet"/>
      </w:pPr>
      <w:r/>
      <w:r>
        <w:rPr>
          <w:b/>
        </w:rPr>
        <w:t>Nausées et vomissements post-opératoires (NVPO)</w:t>
      </w:r>
      <w:r>
        <w:t xml:space="preserve"> : 30 à 40 %, incidence nettement supérieure au propofol (effet émétisant propre de l'étomidate). Prévention : prophylaxie systématique par ondansétron 4 mg IV + dexaméthasone 4-8 mg IV ; associée à dropéridol 0,625 mg IV en cas de patiente à très haut risque.</w:t>
      </w:r>
    </w:p>
    <w:p>
      <w:pPr>
        <w:pStyle w:val="ListBullet"/>
      </w:pPr>
      <w:r/>
      <w:r>
        <w:rPr>
          <w:b/>
        </w:rPr>
        <w:t>Apnée à l'induction</w:t>
      </w:r>
      <w:r>
        <w:t xml:space="preserve"> : 30 à 50 % des cas, brève (10-30 s). Prévention : préparation du matériel d'intubation et de ventilation.</w:t>
      </w:r>
    </w:p>
    <w:p>
      <w:pPr>
        <w:pStyle w:val="ListBullet"/>
      </w:pPr>
      <w:r/>
      <w:r>
        <w:rPr>
          <w:b/>
        </w:rPr>
        <w:t>Érythrose faciale</w:t>
      </w:r>
      <w:r>
        <w:t xml:space="preserve"> : 10 à 20 %, liée à la vasodilatation cutanée.</w:t>
      </w:r>
    </w:p>
    <w:p>
      <w:pPr>
        <w:pStyle w:val="ListBullet"/>
      </w:pPr>
      <w:r/>
      <w:r>
        <w:rPr>
          <w:b/>
        </w:rPr>
        <w:t>Toux, hoquet</w:t>
      </w:r>
      <w:r>
        <w:t xml:space="preserve"> : 5 à 10 %.</w:t>
      </w:r>
    </w:p>
    <w:p>
      <w:r/>
      <w:r>
        <w:rPr>
          <w:b/>
        </w:rPr>
        <w:t>Effets indésirables rares (1/1000 à 1/100) :</w:t>
      </w:r>
      <w:r/>
    </w:p>
    <w:p>
      <w:pPr>
        <w:pStyle w:val="ListBullet"/>
      </w:pPr>
      <w:r/>
      <w:r>
        <w:rPr>
          <w:b/>
        </w:rPr>
        <w:t>Tremblements au réveil</w:t>
      </w:r>
      <w:r>
        <w:t xml:space="preserve"> : 5 à 10 %. Prévention : réchauffement peropératoire.</w:t>
      </w:r>
    </w:p>
    <w:p>
      <w:pPr>
        <w:pStyle w:val="ListBullet"/>
      </w:pPr>
      <w:r/>
      <w:r>
        <w:rPr>
          <w:b/>
        </w:rPr>
        <w:t>Bradycardie transitoire</w:t>
      </w:r>
      <w:r>
        <w:t xml:space="preserve"> : 5 %, surtout en cas d'association avec fentanyl.</w:t>
      </w:r>
    </w:p>
    <w:p>
      <w:pPr>
        <w:pStyle w:val="ListBullet"/>
      </w:pPr>
      <w:r/>
      <w:r>
        <w:rPr>
          <w:b/>
        </w:rPr>
        <w:t>Bronchospasme</w:t>
      </w:r>
      <w:r>
        <w:t xml:space="preserve"> : rare (&lt; 1/1000), réaction anaphylactoïde.</w:t>
      </w:r>
    </w:p>
    <w:p>
      <w:r/>
      <w:r>
        <w:rPr>
          <w:b/>
        </w:rPr>
        <w:t>Effets indésirables graves (&lt; 1/10 000) :</w:t>
      </w:r>
      <w:r/>
    </w:p>
    <w:p>
      <w:pPr>
        <w:pStyle w:val="ListBullet"/>
      </w:pPr>
      <w:r/>
      <w:r>
        <w:rPr>
          <w:b/>
        </w:rPr>
        <w:t>Insuffisance surrénalienne aiguë iatrogène</w:t>
      </w:r>
      <w:r>
        <w:t xml:space="preserve"> : effet propre de l'étomidate par inhibition de la 11β-hydroxylase. Survient dès la dose d'induction unique (0,3 mg/kg), prolongée 24-48 h, parfois 72 h. Cliniquement : hypotension réfractaire aux catécholamines, hypoglycémie, hyponatrémie, asthénie profonde, syndrome carentiel. Prévention : éviter l'étomidate chez le patient en insuffisance surrénale connue ou en sepsis sévère ; supplémentation par hydrocortisone 200 mg/j en 4 injections en cas d'administration accidentelle chez le patient à risque ; privilégier la kétamine en réanimation. Surveillance cortisolémie avant et 4-8 h après induction chez le patient à risque.</w:t>
      </w:r>
    </w:p>
    <w:p>
      <w:pPr>
        <w:pStyle w:val="ListBullet"/>
      </w:pPr>
      <w:r/>
      <w:r>
        <w:rPr>
          <w:b/>
        </w:rPr>
        <w:t>Anaphylaxie</w:t>
      </w:r>
      <w:r>
        <w:t xml:space="preserve"> : 1/10 000 à 1/100 000 (rarer qu'avec le propofol). Traitement : adrénaline IV 0,1-0,5 mg, remplissage, antihistaminiques.</w:t>
      </w:r>
    </w:p>
    <w:p>
      <w:pPr>
        <w:pStyle w:val="ListBullet"/>
      </w:pPr>
      <w:r/>
      <w:r>
        <w:rPr>
          <w:b/>
        </w:rPr>
        <w:t>Hémolyse en perfusion prolongée</w:t>
      </w:r>
      <w:r>
        <w:t xml:space="preserve"> : le propylène glycol est hémolysant en cas de perfusion &gt; 1 mL/kg/h pendant plusieurs heures. À éviter en perfusion continue.</w:t>
      </w:r>
    </w:p>
    <w:p>
      <w:pPr>
        <w:pStyle w:val="ListBullet"/>
      </w:pPr>
      <w:r/>
      <w:r>
        <w:rPr>
          <w:b/>
        </w:rPr>
        <w:t>Crise de porphyrie</w:t>
      </w:r>
      <w:r>
        <w:t xml:space="preserve"> : rares cas rapportés (le thiopental reste le porphyrinogène majeur, l'étomidate est généralement sûr mais prudence).</w:t>
      </w:r>
    </w:p>
    <w:p>
      <w:pPr>
        <w:pStyle w:val="Heading3"/>
      </w:pPr>
      <w:r>
        <w:t>181.3.1.7 Interactions médicamenteuses</w:t>
      </w:r>
    </w:p>
    <w:p>
      <w:r>
        <w:t>L'étomidate est métabolisé par hydrolyse esterase (carboxylesterases hépatiques), échappant au métabolisme CYP450. Le profil d'interactions pharmacocinétiques est donc limité.</w:t>
      </w:r>
    </w:p>
    <w:p>
      <w:r/>
      <w:r>
        <w:rPr>
          <w:b/>
        </w:rPr>
        <w:t>Interactions pharmacodynamiques majeures :</w:t>
      </w:r>
      <w:r/>
    </w:p>
    <w:p>
      <w:pPr>
        <w:pStyle w:val="ListBullet"/>
      </w:pPr>
      <w:r/>
      <w:r>
        <w:rPr>
          <w:b/>
        </w:rPr>
        <w:t>Avec les opioïdes (fentanyl, sufentanil, rémifentanil) :</w:t>
      </w:r>
      <w:r>
        <w:t xml:space="preserve"> potentialisation de la dépression respiratoire, bradycardie plus marquée. Réduction de la dose d'induction de 20-30 %.</w:t>
      </w:r>
    </w:p>
    <w:p>
      <w:pPr>
        <w:pStyle w:val="ListBullet"/>
      </w:pPr>
      <w:r/>
      <w:r>
        <w:rPr>
          <w:b/>
        </w:rPr>
        <w:t>Avec les benzodiazépines (midazolam) :</w:t>
      </w:r>
      <w:r>
        <w:t xml:space="preserve"> potentialisation de la sédation et réduction des myoclonies à l'induction (prémédication par midazolam 0,03 mg/kg).</w:t>
      </w:r>
    </w:p>
    <w:p>
      <w:pPr>
        <w:pStyle w:val="ListBullet"/>
      </w:pPr>
      <w:r/>
      <w:r>
        <w:rPr>
          <w:b/>
        </w:rPr>
        <w:t>Avec les halogénés (sévoflurane, isoflurane) :</w:t>
      </w:r>
      <w:r>
        <w:t xml:space="preserve"> effet additif sur l'hypnose, économie de l'agent halogéné.</w:t>
      </w:r>
    </w:p>
    <w:p>
      <w:pPr>
        <w:pStyle w:val="ListBullet"/>
      </w:pPr>
      <w:r/>
      <w:r>
        <w:rPr>
          <w:b/>
        </w:rPr>
        <w:t>Avec les curares (succinylcholine, rocuronium) :</w:t>
      </w:r>
      <w:r>
        <w:t xml:space="preserve"> pas d'interaction pharmacocinétique significative ; possibilité de bradycardie si association avec succinylcholine (réflexe vagal, surtout chez l'enfant) ; prémédication par atropine.</w:t>
      </w:r>
    </w:p>
    <w:p>
      <w:pPr>
        <w:pStyle w:val="ListBullet"/>
      </w:pPr>
      <w:r/>
      <w:r>
        <w:rPr>
          <w:b/>
        </w:rPr>
        <w:t>Avec les vasopresseurs (noradrénaline, éphédrine) :</w:t>
      </w:r>
      <w:r>
        <w:t xml:space="preserve"> pas d'interaction hémodynamique particulière (l'étomidate préserve le tonus vasculaire et la réponse aux catécholamines).</w:t>
      </w:r>
    </w:p>
    <w:p>
      <w:pPr>
        <w:pStyle w:val="ListBullet"/>
      </w:pPr>
      <w:r/>
      <w:r>
        <w:rPr>
          <w:b/>
        </w:rPr>
        <w:t>Avec les corticoïdes (hydrocortisone, prednisone) :</w:t>
      </w:r>
      <w:r>
        <w:t xml:space="preserve"> potentialisation de l'insuffisance surrénalienne iatrogène ; surveillance cortisolémie.</w:t>
      </w:r>
    </w:p>
    <w:p>
      <w:pPr>
        <w:pStyle w:val="ListBullet"/>
      </w:pPr>
      <w:r/>
      <w:r>
        <w:rPr>
          <w:b/>
        </w:rPr>
        <w:t>Avec les IEC, ARA2, diurétiques épargneurs de potassium (spironolactone, éplérénone) :</w:t>
      </w:r>
      <w:r>
        <w:t xml:space="preserve"> prudence en raison du risque d'hyperkaliémie et d'hypotension.</w:t>
      </w:r>
    </w:p>
    <w:p>
      <w:r/>
      <w:r>
        <w:rPr>
          <w:b/>
        </w:rPr>
        <w:t>Interactions pharmacocinétiques :</w:t>
      </w:r>
      <w:r/>
    </w:p>
    <w:p>
      <w:pPr>
        <w:pStyle w:val="ListBullet"/>
      </w:pPr>
      <w:r/>
      <w:r>
        <w:rPr>
          <w:b/>
        </w:rPr>
        <w:t>Avec les inducteurs enzymatiques (rifampicine, phénytoïne, carbamazépine, millepertuis) :</w:t>
      </w:r>
      <w:r>
        <w:t xml:space="preserve"> effet négligeable (métabolisme esterase).</w:t>
      </w:r>
    </w:p>
    <w:p>
      <w:pPr>
        <w:pStyle w:val="ListBullet"/>
      </w:pPr>
      <w:r/>
      <w:r>
        <w:rPr>
          <w:b/>
        </w:rPr>
        <w:t>Avec les inhibiteurs enzymatiques (azolés, macrolides, inhibiteurs de protéase) :</w:t>
      </w:r>
      <w:r>
        <w:t xml:space="preserve"> effet négligeable.</w:t>
      </w:r>
    </w:p>
    <w:p>
      <w:pPr>
        <w:pStyle w:val="ListBullet"/>
      </w:pPr>
      <w:r/>
      <w:r>
        <w:rPr>
          <w:b/>
        </w:rPr>
        <w:t>Avec les inhibiteurs des cholinestérases (néostigmine, pyridostigmine) :</w:t>
      </w:r>
      <w:r>
        <w:t xml:space="preserve"> possible prolongation de l'effet myorelaxant des curares, sans effet direct sur l'étomidate.</w:t>
      </w:r>
    </w:p>
    <w:p>
      <w:r/>
      <w:r>
        <w:rPr>
          <w:b/>
        </w:rPr>
        <w:t>Précautions alimentaires :</w:t>
      </w:r>
      <w:r>
        <w:t xml:space="preserve"> aucune. Le jeûne pré-opératoire strict est obligatoire (règle 6-2).</w:t>
      </w:r>
    </w:p>
    <w:p>
      <w:pPr>
        <w:pStyle w:val="Heading3"/>
      </w:pPr>
      <w:r>
        <w:t>181.3.1.8 Grossesse, allaitement et CRAT</w:t>
      </w:r>
    </w:p>
    <w:p>
      <w:r/>
      <w:r>
        <w:rPr>
          <w:b/>
        </w:rPr>
        <w:t>Grossesse :</w:t>
      </w:r>
      <w:r>
        <w:t xml:space="preserve"> l'étomidate traverse la barrière placentaire (rapport ftéo-maternel 0,5-0,7). Le CRAT classe l'étomidate comme « non tératogène » aux doses anesthésiques, sans effet malformatif documenté chez l'animal ni chez l'humain. Les données observationnelles (cohortes limitées, en raison de l'usage restreint en obstétrique) ne montrent pas d'augmentation du risque de malformations majeures.</w:t>
      </w:r>
    </w:p>
    <w:p>
      <w:r/>
      <w:r>
        <w:rPr>
          <w:b/>
        </w:rPr>
        <w:t>Césarienne urgente sous anesthésie générale :</w:t>
      </w:r>
      <w:r>
        <w:t xml:space="preserve"> l'étomidate est une alternative valable au thiopental en cas de patiente instable (insuffisance cardiaque décompensée, choc hémorragique, sténose aortique serrée gravidique). Dose de 0,2-0,3 mg/kg IV en induction en séquence rapide. Le score d'Apgar est généralement conservé. Cependant, l'insuffisance surrénalienne maternelle peut aggraver le pronostic hémodynamique en post-partum.</w:t>
      </w:r>
    </w:p>
    <w:p>
      <w:r/>
      <w:r>
        <w:rPr>
          <w:b/>
        </w:rPr>
        <w:t>Sepsis sévère gravidique</w:t>
      </w:r>
      <w:r>
        <w:t xml:space="preserve"> : éviter l'étomidate (préférer kétamine en raison du blocage surrénalien potentiellement délétère).</w:t>
      </w:r>
    </w:p>
    <w:p>
      <w:r/>
      <w:r>
        <w:rPr>
          <w:b/>
        </w:rPr>
        <w:t>Allaitement :</w:t>
      </w:r>
      <w:r>
        <w:t xml:space="preserve"> l'étomidate passe dans le lait maternel en quantité négligeable après anesthésie unique (rapport lait/plasma 0,4). La reprise de l'allaitement peut se faire dès que la mère est suffisamment éveillée (selon le CRAT, reprise possible 4-6 heures après l'anesthésie).</w:t>
      </w:r>
    </w:p>
    <w:p>
      <w:r/>
      <w:r>
        <w:rPr>
          <w:b/>
        </w:rPr>
        <w:t>Femme en âge de procréer :</w:t>
      </w:r>
      <w:r>
        <w:t xml:space="preserve"> pas de contraception particulière nécessaire.</w:t>
      </w:r>
    </w:p>
    <w:p>
      <w:r/>
      <w:r>
        <w:rPr>
          <w:b/>
        </w:rPr>
        <w:t>Conseil CRAT :</w:t>
      </w:r>
      <w:r>
        <w:t xml:space="preserve"> « L'étomidate est utilisable pendant la grossesse dans ses indications autorisées, en particulier en cas d'instabilité hémodynamique maternelle. En cas de sepsis sévère, préférer la kétamine. En cas de césarienne en urgence, l'étomidate est une alternative valable au thiopental. »</w:t>
      </w:r>
    </w:p>
    <w:p>
      <w:pPr>
        <w:pStyle w:val="Heading3"/>
      </w:pPr>
      <w:r>
        <w:t>181.3.1.9 Posologie et mode d'administration</w:t>
      </w:r>
    </w:p>
    <w:p>
      <w:r/>
      <w:r>
        <w:rPr>
          <w:b/>
        </w:rPr>
        <w:t>Induction de l'anesthésie générale :</w:t>
      </w:r>
      <w:r/>
    </w:p>
    <w:p>
      <w:pPr>
        <w:pStyle w:val="ListBullet"/>
      </w:pPr>
      <w:r>
        <w:t>Adulte sain de moins de 55 ans : 0,2 à 0,3 mg/kg IV (bolus sur 30-60 s dans une veine de gros calibre).</w:t>
      </w:r>
    </w:p>
    <w:p>
      <w:pPr>
        <w:pStyle w:val="ListBullet"/>
      </w:pPr>
      <w:r>
        <w:t>Adulte de 55 ans ou plus : 0,15 à 0,2 mg/kg IV (réduction de 25-30 %).</w:t>
      </w:r>
    </w:p>
    <w:p>
      <w:pPr>
        <w:pStyle w:val="ListBullet"/>
      </w:pPr>
      <w:r>
        <w:t>Patient ASA III-IV (insuffisant cardiaque, hypovolémique, instable) : 0,15 à 0,2 mg/kg IV, prudence extrême.</w:t>
      </w:r>
    </w:p>
    <w:p>
      <w:pPr>
        <w:pStyle w:val="ListBullet"/>
      </w:pPr>
      <w:r>
        <w:t>Enfant de plus de 10 ans : 0,2 à 0,3 mg/kg IV.</w:t>
      </w:r>
    </w:p>
    <w:p>
      <w:pPr>
        <w:pStyle w:val="ListBullet"/>
      </w:pPr>
      <w:r>
        <w:t>Enfant de moins de 10 ans : 0,3 mg/kg IV (usage hors AMM).</w:t>
      </w:r>
    </w:p>
    <w:p>
      <w:pPr>
        <w:pStyle w:val="ListBullet"/>
      </w:pPr>
      <w:r>
        <w:t>Nouveau-né : 0,3 mg/kg IV (usage exceptionnel, prudence extrême).</w:t>
      </w:r>
    </w:p>
    <w:p>
      <w:r/>
      <w:r>
        <w:rPr>
          <w:b/>
        </w:rPr>
        <w:t>Induction en séquence rapide (césarienne urgente, estomac plein, patient instable) :</w:t>
      </w:r>
      <w:r/>
    </w:p>
    <w:p>
      <w:pPr>
        <w:pStyle w:val="ListBullet"/>
      </w:pPr>
      <w:r>
        <w:t>Adulte : étomidate 0,2-0,3 mg/kg IV + succinylcholine 1 mg/kg IV (ou rocuronium 1,2 mg/kg en cas de CI à la succinylcholine), pression cricoïdienne (Sellick), intubation en 60 s.</w:t>
      </w:r>
    </w:p>
    <w:p>
      <w:r/>
      <w:r>
        <w:rPr>
          <w:b/>
        </w:rPr>
        <w:t>Mode d'administration pratique :</w:t>
      </w:r>
      <w:r/>
    </w:p>
    <w:p>
      <w:pPr>
        <w:pStyle w:val="ListBullet"/>
      </w:pPr>
      <w:r/>
      <w:r>
        <w:rPr>
          <w:b/>
        </w:rPr>
        <w:t>Voie d'administration :</w:t>
      </w:r>
      <w:r>
        <w:t xml:space="preserve"> strictement IV, dans une veine de gros calibre (avant-bras, pli du coude, voie centrale). Ne jamais injecter en IM (inefficace) ou en intra-artériel (risque de nécrose).</w:t>
      </w:r>
    </w:p>
    <w:p>
      <w:pPr>
        <w:pStyle w:val="ListBullet"/>
      </w:pPr>
      <w:r/>
      <w:r>
        <w:rPr>
          <w:b/>
        </w:rPr>
        <w:t>Débit d'injection :</w:t>
      </w:r>
      <w:r>
        <w:t xml:space="preserve"> lent (sur 30-60 s) pour minimiser la douleur et les myoclonies ; plus rapide (sur 10-15 s) en cas d'induction en séquence rapide.</w:t>
      </w:r>
    </w:p>
    <w:p>
      <w:pPr>
        <w:pStyle w:val="ListBullet"/>
      </w:pPr>
      <w:r/>
      <w:r>
        <w:rPr>
          <w:b/>
        </w:rPr>
        <w:t>Aspect de la solution :</w:t>
      </w:r>
      <w:r>
        <w:t xml:space="preserve"> limpide, incolore à jaune pâle. Toute solution trouble doit être jetée.</w:t>
      </w:r>
    </w:p>
    <w:p>
      <w:pPr>
        <w:pStyle w:val="ListBullet"/>
      </w:pPr>
      <w:r/>
      <w:r>
        <w:rPr>
          <w:b/>
        </w:rPr>
        <w:t>Prémédication recommandée :</w:t>
      </w:r>
      <w:r>
        <w:t xml:space="preserve"> midazolam 0,03 mg/kg IV 2-3 min avant (réduction des myoclonies) ; lidocaïne 1 % 1 mg/kg IV (réduction de la douleur) ; atropine 0,01 mg/kg chez l'enfant (prévention de la bradycardie réflexe avec succinylcholine).</w:t>
      </w:r>
    </w:p>
    <w:p>
      <w:pPr>
        <w:pStyle w:val="ListBullet"/>
      </w:pPr>
      <w:r/>
      <w:r>
        <w:rPr>
          <w:b/>
        </w:rPr>
        <w:t>Préparation du matériel de ventilation et d'intubation</w:t>
      </w:r>
      <w:r>
        <w:t xml:space="preserve"> systématique avant injection.</w:t>
      </w:r>
    </w:p>
    <w:p>
      <w:r/>
      <w:r>
        <w:rPr>
          <w:b/>
        </w:rPr>
        <w:t>Adaptations :</w:t>
      </w:r>
      <w:r/>
    </w:p>
    <w:p>
      <w:pPr>
        <w:pStyle w:val="ListBullet"/>
      </w:pPr>
      <w:r>
        <w:t>Sujet âgé : réduire la dose de 25-30 %.</w:t>
      </w:r>
    </w:p>
    <w:p>
      <w:pPr>
        <w:pStyle w:val="ListBullet"/>
      </w:pPr>
      <w:r>
        <w:t>Insuffisance hépatique : réduire de 30-50 %.</w:t>
      </w:r>
    </w:p>
    <w:p>
      <w:pPr>
        <w:pStyle w:val="ListBullet"/>
      </w:pPr>
      <w:r>
        <w:t>Insuffisance rénale : pas d'adaptation nécessaire.</w:t>
      </w:r>
    </w:p>
    <w:p>
      <w:pPr>
        <w:pStyle w:val="ListBullet"/>
      </w:pPr>
      <w:r>
        <w:t>Patient en état de choc : réduire à 0,15-0,2 mg/kg, surveillance hémodynamique invasive.</w:t>
      </w:r>
    </w:p>
    <w:p>
      <w:pPr>
        <w:pStyle w:val="Heading3"/>
      </w:pPr>
      <w:r>
        <w:t>181.3.1.10 Arbitrage et bénéfices des formes galéniques disponibles</w:t>
      </w:r>
    </w:p>
    <w:p>
      <w:r/>
      <w:r>
        <w:rPr>
          <w:b/>
        </w:rPr>
        <w:t>Forme solution pour injectable 2 mg/mL en propylène glycol — Hypnomidate (Piramal) :</w:t>
      </w:r>
      <w:r/>
    </w:p>
    <w:p>
      <w:pPr>
        <w:pStyle w:val="ListBullet"/>
      </w:pPr>
      <w:r/>
      <w:r>
        <w:rPr>
          <w:b/>
        </w:rPr>
        <w:t>Présentation :</w:t>
      </w:r>
      <w:r>
        <w:t xml:space="preserve"> ampoules de 10 mL dosées à 2 mg/mL (soit 20 mg par ampoule), en boîte de 5 ampoules.</w:t>
      </w:r>
    </w:p>
    <w:p>
      <w:pPr>
        <w:pStyle w:val="ListBullet"/>
      </w:pPr>
      <w:r/>
      <w:r>
        <w:rPr>
          <w:b/>
        </w:rPr>
        <w:t>Avantages :</w:t>
      </w:r>
      <w:r>
        <w:t xml:space="preserve"> formulation standard internationale, stabilité longue (3 ans à température ambiante), prix modéré comparé à la formulation lipidique, emploi dans l'urgence immédiate.</w:t>
      </w:r>
    </w:p>
    <w:p>
      <w:pPr>
        <w:pStyle w:val="ListBullet"/>
      </w:pPr>
      <w:r/>
      <w:r>
        <w:rPr>
          <w:b/>
        </w:rPr>
        <w:t>Inconvénients :</w:t>
      </w:r>
      <w:r>
        <w:t xml:space="preserve"> douleur à l'injection intense (propylène glycol), hémolyse en perfusion prolongée, myoclonies fréquentes, propriétés émétisantes marquées.</w:t>
      </w:r>
    </w:p>
    <w:p>
      <w:pPr>
        <w:pStyle w:val="ListBullet"/>
      </w:pPr>
      <w:r/>
      <w:r>
        <w:rPr>
          <w:b/>
        </w:rPr>
        <w:t>Indications :</w:t>
      </w:r>
      <w:r>
        <w:t xml:space="preserve"> induction d'anesthésie générale en urgence, induction en séquence rapide, patient instable.</w:t>
      </w:r>
    </w:p>
    <w:p>
      <w:r/>
      <w:r>
        <w:rPr>
          <w:b/>
        </w:rPr>
        <w:t>Forme en émulsion lipidique (Etomidate-Lipuro, Braun) — non disponible en Algérie :</w:t>
      </w:r>
      <w:r/>
    </w:p>
    <w:p>
      <w:pPr>
        <w:pStyle w:val="ListBullet"/>
      </w:pPr>
      <w:r/>
      <w:r>
        <w:rPr>
          <w:b/>
        </w:rPr>
        <w:t>Présentation :</w:t>
      </w:r>
      <w:r>
        <w:t xml:space="preserve"> ampoules de 10 mL dosées à 2 mg/mL en émulsion lipidique de soja ( formulation comparable au propofol lipidique).</w:t>
      </w:r>
    </w:p>
    <w:p>
      <w:pPr>
        <w:pStyle w:val="ListBullet"/>
      </w:pPr>
      <w:r/>
      <w:r>
        <w:rPr>
          <w:b/>
        </w:rPr>
        <w:t>Avantages :</w:t>
      </w:r>
      <w:r>
        <w:t xml:space="preserve"> douleur à l'injection quasi-nulle, hémolyse absente, myoclonies réduites.</w:t>
      </w:r>
    </w:p>
    <w:p>
      <w:pPr>
        <w:pStyle w:val="ListBullet"/>
      </w:pPr>
      <w:r/>
      <w:r>
        <w:rPr>
          <w:b/>
        </w:rPr>
        <w:t>Inconvénients :</w:t>
      </w:r>
      <w:r>
        <w:t xml:space="preserve"> surcoût, non disponible en Algérie, allergie possible à l'huile de soja.</w:t>
      </w:r>
    </w:p>
    <w:p>
      <w:pPr>
        <w:pStyle w:val="ListBullet"/>
      </w:pPr>
      <w:r/>
      <w:r>
        <w:rPr>
          <w:b/>
        </w:rPr>
        <w:t>Indications :</w:t>
      </w:r>
      <w:r>
        <w:t xml:space="preserve"> induction de routine, sédation procédurale (rare).</w:t>
      </w:r>
    </w:p>
    <w:p>
      <w:r/>
      <w:r>
        <w:rPr>
          <w:b/>
        </w:rPr>
        <w:t>Comparaison avec le propofol et le thiopental :</w:t>
      </w:r>
      <w:r/>
    </w:p>
    <w:p>
      <w:pPr>
        <w:pStyle w:val="ListBullet"/>
      </w:pPr>
      <w:r>
        <w:t>Le propofol est préféré en induction de routine (réveil plus rapide, effet antiémétique), mais son effet hypotenseur le contre-indique chez le patient instable.</w:t>
      </w:r>
    </w:p>
    <w:p>
      <w:pPr>
        <w:pStyle w:val="ListBullet"/>
      </w:pPr>
      <w:r>
        <w:t>Le thiopental reste plus économique mais expose à un risque de collapsus chez le patient instable.</w:t>
      </w:r>
    </w:p>
    <w:p>
      <w:pPr>
        <w:pStyle w:val="ListBullet"/>
      </w:pPr>
      <w:r>
        <w:t>L'étomidate reste l'agent de choix en cas d'instabilité hémodynamique, mais son effet surrénalien doit être pris en compte.</w:t>
      </w:r>
    </w:p>
    <w:p>
      <w:r/>
      <w:r>
        <w:rPr>
          <w:b/>
        </w:rPr>
        <w:t>Choix pratique en Algérie :</w:t>
      </w:r>
      <w:r/>
    </w:p>
    <w:p>
      <w:pPr>
        <w:pStyle w:val="ListBullet"/>
      </w:pPr>
      <w:r>
        <w:t>Pour l'induction standard d'un patient stable : propofol (réveil plus rapide).</w:t>
      </w:r>
    </w:p>
    <w:p>
      <w:pPr>
        <w:pStyle w:val="ListBullet"/>
      </w:pPr>
      <w:r>
        <w:t>Pour l'induction d'un patient instable (choc, insuffisance cardiaque, traumatisme grave) : étomidate (Hypnomidate, Piramal).</w:t>
      </w:r>
    </w:p>
    <w:p>
      <w:pPr>
        <w:pStyle w:val="ListBullet"/>
      </w:pPr>
      <w:r>
        <w:t>Pour l'induction économique d'un patient stable : thiopental.</w:t>
      </w:r>
    </w:p>
    <w:p>
      <w:pPr>
        <w:pStyle w:val="ListBullet"/>
      </w:pPr>
      <w:r>
        <w:t>Pour l'induction chez le patient en sepsis sévère ou insuffisance surrénale : kétamine (Ketaraz).</w:t>
      </w:r>
    </w:p>
    <w:p>
      <w:pPr>
        <w:pStyle w:val="Heading3"/>
      </w:pPr>
      <w:r>
        <w:t>181.3.1.11 Conseils au patient et information préopératoire</w:t>
      </w:r>
    </w:p>
    <w:p>
      <w:r/>
      <w:r>
        <w:rPr>
          <w:b/>
        </w:rPr>
        <w:t>Avant l'anesthésie :</w:t>
      </w:r>
      <w:r/>
    </w:p>
    <w:p>
      <w:pPr>
        <w:pStyle w:val="ListBullet"/>
      </w:pPr>
      <w:r/>
      <w:r>
        <w:rPr>
          <w:b/>
        </w:rPr>
        <w:t>Jeûne pré-opératoire strict</w:t>
      </w:r>
      <w:r>
        <w:t xml:space="preserve"> : 6 heures pour les solides et le lait, 2 heures pour les liquides clairs.</w:t>
      </w:r>
    </w:p>
    <w:p>
      <w:pPr>
        <w:pStyle w:val="ListBullet"/>
      </w:pPr>
      <w:r/>
      <w:r>
        <w:rPr>
          <w:b/>
        </w:rPr>
        <w:t>Bilan pré-anesthésique</w:t>
      </w:r>
      <w:r>
        <w:t xml:space="preserve"> : consultation anesthésique obligatoire ; ECG, NFS, groupe sanguin, ionogramme, créatininémie, cortisolémie de base chez le patient suspect d'insuffisance surrénalienne (corticothérapie prolongée, maladie d'Addison).</w:t>
      </w:r>
    </w:p>
    <w:p>
      <w:pPr>
        <w:pStyle w:val="ListBullet"/>
      </w:pPr>
      <w:r/>
      <w:r>
        <w:rPr>
          <w:b/>
        </w:rPr>
        <w:t>Antécédents à signaler</w:t>
      </w:r>
      <w:r>
        <w:t xml:space="preserve"> : insuffisance surrénale (CI absolue), sepsis sévère (CI relative), corticothérapie prolongée (prudence), grossesse, allaitement, épilepsie (les myoclonies peuvent être confondues avec des convulsions).</w:t>
      </w:r>
    </w:p>
    <w:p>
      <w:pPr>
        <w:pStyle w:val="ListBullet"/>
      </w:pPr>
      <w:r/>
      <w:r>
        <w:rPr>
          <w:b/>
        </w:rPr>
        <w:t>Traitement habituel</w:t>
      </w:r>
      <w:r>
        <w:t xml:space="preserve"> : poursuivre les antihypertenseurs (sauf IEC/ARA2 en chirurgie lourde), les antiépileptiques. La corticothérapie substitutive (hydrocortisone) doit être poursuivie et majorée en péri-opératoire (hydrocortisone 100 mg IV à l'induction).</w:t>
      </w:r>
    </w:p>
    <w:p>
      <w:r/>
      <w:r>
        <w:rPr>
          <w:b/>
        </w:rPr>
        <w:t>Au réveil post-opératoire :</w:t>
      </w:r>
      <w:r/>
    </w:p>
    <w:p>
      <w:pPr>
        <w:pStyle w:val="ListBullet"/>
      </w:pPr>
      <w:r>
        <w:t>Surveillance continue en SSPI : SpO2, PNI, ECG, Fr respiratoire, conscience (score d'Aldrete).</w:t>
      </w:r>
    </w:p>
    <w:p>
      <w:pPr>
        <w:pStyle w:val="ListBullet"/>
      </w:pPr>
      <w:r>
        <w:t>Surveillance hémodynamique renforcée chez le patient instable (PAM invasive si choc).</w:t>
      </w:r>
    </w:p>
    <w:p>
      <w:pPr>
        <w:pStyle w:val="ListBullet"/>
      </w:pPr>
      <w:r>
        <w:t>Prévention des NVPO systématique : ondansétron 4 mg IV + dexaméthasone 4-8 mg IV + dropéridol 0,625 mg IV.</w:t>
      </w:r>
    </w:p>
    <w:p>
      <w:pPr>
        <w:pStyle w:val="ListBullet"/>
      </w:pPr>
      <w:r>
        <w:t>Surveillance biologique : cortisolémie à 4 et 8 h post-opératoire chez le patient à risque d'insuffisance surrénalienne ; supplémentation par hydrocortisone 100 mg IV si cortisolémie &lt; 100 µg/L.</w:t>
      </w:r>
    </w:p>
    <w:p>
      <w:pPr>
        <w:pStyle w:val="ListBullet"/>
      </w:pPr>
      <w:r>
        <w:t>Surveillance glycémique (risque d'hypoglycémie).</w:t>
      </w:r>
    </w:p>
    <w:p>
      <w:pPr>
        <w:pStyle w:val="ListBullet"/>
      </w:pPr>
      <w:r>
        <w:t>Interdiction de conduire pendant 24 heures.</w:t>
      </w:r>
    </w:p>
    <w:p>
      <w:r/>
      <w:r>
        <w:rPr>
          <w:b/>
        </w:rPr>
        <w:t>En cas d'induction chez le patient en sepsis sévère ou en insuffisance surrénale connue :</w:t>
      </w:r>
      <w:r/>
    </w:p>
    <w:p>
      <w:pPr>
        <w:pStyle w:val="ListBullet"/>
      </w:pPr>
      <w:r>
        <w:t>Information au patient et à la famille sur le risque d'insuffisance surrénale iatrogène.</w:t>
      </w:r>
    </w:p>
    <w:p>
      <w:pPr>
        <w:pStyle w:val="ListBullet"/>
      </w:pPr>
      <w:r>
        <w:t>Supplémentation systématique par hydrocortisone 200 mg/24 h en 4 injections IV (ou perfusion continue).</w:t>
      </w:r>
    </w:p>
    <w:p>
      <w:pPr>
        <w:pStyle w:val="ListBullet"/>
      </w:pPr>
      <w:r>
        <w:t>Surveillance cortisolémie et ACTH à 4, 8 et 24 h.</w:t>
      </w:r>
    </w:p>
    <w:p>
      <w:pPr>
        <w:pStyle w:val="ListBullet"/>
      </w:pPr>
      <w:r>
        <w:t>Avis endocrinologique systématique.</w:t>
      </w:r>
    </w:p>
    <w:p>
      <w:pPr>
        <w:pStyle w:val="Heading3"/>
      </w:pPr>
      <w:r>
        <w:t>181.3.1.12 Pièges au comptoir — Règles d'or</w:t>
      </w:r>
    </w:p>
    <w:p>
      <w:pPr>
        <w:pStyle w:val="ListNumber"/>
      </w:pPr>
      <w:r/>
      <w:r>
        <w:rPr>
          <w:b/>
        </w:rPr>
        <w:t>Règle d'or n°1 : insuffisance surrénale = contre-indication absolue.</w:t>
      </w:r>
      <w:r>
        <w:t xml:space="preserve"> Le blocage de la 11β-hydroxylase par l'étomidate aggrave une insuffisance surrénalienne préexistante et peut précipiter un choc surrénalien aigu. Interrogatoire systématique sur les antécédents (maladie d'Addison, corticothérapie prolongée, insuffisance antéhypophysaire). En cas de doute, choisir la kétamine.</w:t>
      </w:r>
    </w:p>
    <w:p>
      <w:pPr>
        <w:pStyle w:val="ListNumber"/>
      </w:pPr>
      <w:r/>
      <w:r>
        <w:rPr>
          <w:b/>
        </w:rPr>
        <w:t>Règle d'or n°2 : sepsis sévère = prudence absolue.</w:t>
      </w:r>
      <w:r>
        <w:t xml:space="preserve"> Plusieurs méta-analyses ont montré une surmortalité chez les patients de réanimation ayant reçu de l'étomidate pour intubation. La SFAR et la SCCM recommandent de réserver l'étomidate aux patients sans sepsis sévère et de privilégier la kétamine en cas de sepsis ou de choc septique. Si l'étomidate est utilisé en urgence chez un septicémique, supplémentation systématique par hydrocortisone 200 mg/24 h.</w:t>
      </w:r>
    </w:p>
    <w:p>
      <w:pPr>
        <w:pStyle w:val="ListNumber"/>
      </w:pPr>
      <w:r/>
      <w:r>
        <w:rPr>
          <w:b/>
        </w:rPr>
        <w:t>Règle d'or n°3 : douleur à l'injection intense.</w:t>
      </w:r>
      <w:r>
        <w:t xml:space="preserve"> La formulation propylène glycol est très douloureuse (30-80 % des cas). Pré-injection de lidocaïne 1 % (1 mg/kg), injection dans une grosse veine, ou utilisation de la formulation lipidique (non disponible en Algérie).</w:t>
      </w:r>
    </w:p>
    <w:p>
      <w:pPr>
        <w:pStyle w:val="ListNumber"/>
      </w:pPr>
      <w:r/>
      <w:r>
        <w:rPr>
          <w:b/>
        </w:rPr>
        <w:t>Règle d'or n°4 : myoclonies fréquentes.</w:t>
      </w:r>
      <w:r>
        <w:t xml:space="preserve"> 30-50 % des cas. Prémédication par midazolam 0,03 mg/kg ou précurarisation par rocuronium 0,05 mg/kg. Ne pas confondre avec des convulsions (bénignes).</w:t>
      </w:r>
    </w:p>
    <w:p>
      <w:pPr>
        <w:pStyle w:val="ListNumber"/>
      </w:pPr>
      <w:r/>
      <w:r>
        <w:rPr>
          <w:b/>
        </w:rPr>
        <w:t>Règle d'or n°5 : NVPO systématiques.</w:t>
      </w:r>
      <w:r>
        <w:t xml:space="preserve"> L'étomidate est émétisant. Prophylaxie systématique par ondansétron 4 mg IV + dexaméthasone 4-8 mg IV + dropéridol 0,625 mg IV en SSPI.</w:t>
      </w:r>
    </w:p>
    <w:p>
      <w:pPr>
        <w:pStyle w:val="ListNumber"/>
      </w:pPr>
      <w:r/>
      <w:r>
        <w:rPr>
          <w:b/>
        </w:rPr>
        <w:t>Règle d'or n°6 : ne pas utiliser en perfusion continue.</w:t>
      </w:r>
      <w:r>
        <w:t xml:space="preserve"> L'insuffisance surrénalienne cumulative peut être catastrophique. L'étomidate est réservé à l'induction (bolus unique).</w:t>
      </w:r>
    </w:p>
    <w:p>
      <w:pPr>
        <w:pStyle w:val="ListNumber"/>
      </w:pPr>
      <w:r/>
      <w:r>
        <w:rPr>
          <w:b/>
        </w:rPr>
        <w:t>Règle d'or n°7 : prémédication par atropine chez l'enfant.</w:t>
      </w:r>
      <w:r>
        <w:t xml:space="preserve"> L'association étomidate-succinylcholine peut provoquer une bradycardie sinusale ou une asystolie par réflexe vagal (tonus vagal élevé chez l'enfant).</w:t>
      </w:r>
    </w:p>
    <w:p>
      <w:pPr>
        <w:pStyle w:val="ListNumber"/>
      </w:pPr>
      <w:r/>
      <w:r>
        <w:rPr>
          <w:b/>
        </w:rPr>
        <w:t>Règle d'or n°8 : surveillance cortisolémie post-opératoire chez le patient à risque.</w:t>
      </w:r>
      <w:r>
        <w:t xml:space="preserve"> Cortisolémie à 4-8 h post-opératoire chez le patient en insuffisance surrénale connue, en corticothérapie prolongée, ou en sepsis sévère. Supplémentation par hydrocortisone si cortisolémie &lt; 100 µg/L.</w:t>
      </w:r>
    </w:p>
    <w:p>
      <w:pPr>
        <w:pStyle w:val="ListNumber"/>
      </w:pPr>
      <w:r/>
      <w:r>
        <w:rPr>
          <w:b/>
        </w:rPr>
        <w:t>Règle d'or n°9 : hémolyse en perfusion prolongée.</w:t>
      </w:r>
      <w:r>
        <w:t xml:space="preserve"> Le propylène glycol est hémolysant en perfusion &gt; 1 mL/kg/h pendant plusieurs heures. Ne pas utiliser en perfusion continue.</w:t>
      </w:r>
    </w:p>
    <w:p>
      <w:pPr>
        <w:pStyle w:val="ListNumber"/>
      </w:pPr>
      <w:r/>
      <w:r>
        <w:rPr>
          <w:b/>
        </w:rPr>
        <w:t>Règle d'or n°10 : grossesse = prudence accrue.</w:t>
      </w:r>
      <w:r>
        <w:t xml:space="preserve"> L'étomidate traverse la barrière placentaire. L'insuffisance surrénalienne maternelle peut retentir sur le fœtus. Réserver aux urgences vitales maternelles (choc hémorragique, sténose aortique serrée gravidique). En cas de sepsis sévère gravidique, préférer la kétamine.</w:t>
      </w:r>
    </w:p>
    <w:p>
      <w:pPr>
        <w:pStyle w:val="ListNumber"/>
      </w:pPr>
      <w:r/>
      <w:r>
        <w:rPr>
          <w:b/>
        </w:rPr>
        <w:t>Règle d'or n°11 : traçabilité absolue (Liste I).</w:t>
      </w:r>
      <w:r>
        <w:t xml:space="preserve"> L'étomidate est inscrit sur la Liste I. Prescription hospitalière uniquement, traçabilité des ampoules, stockage en armoire sécurisée.</w:t>
      </w:r>
    </w:p>
    <w:p>
      <w:pPr>
        <w:pStyle w:val="ListNumber"/>
      </w:pPr>
      <w:r/>
      <w:r>
        <w:rPr>
          <w:b/>
        </w:rPr>
        <w:t>Règle d'or n°12 : ne pas confondre indication d'induction et indication de sédation.</w:t>
      </w:r>
      <w:r>
        <w:t xml:space="preserve"> L'étomidate est un agent d'induction, pas un agent de sédation. Sa prescription en perfusion continue est contre-indiquée.</w:t>
      </w:r>
    </w:p>
    <w:p>
      <w:pPr>
        <w:pStyle w:val="ListNumber"/>
      </w:pPr>
      <w:r/>
      <w:r>
        <w:rPr>
          <w:b/>
        </w:rPr>
        <w:t>Règle d'or n°13 : alternative valable au propofol chez le coronarien.</w:t>
      </w:r>
      <w:r>
        <w:t xml:space="preserve"> L'étomidate préserve l'hémodynamique et la perfusion coronaire. Utiliser en cas d'insuffisance coronarienne aiguë, de syndrome coronarien récent, de sténose aortique serrée.</w:t>
      </w:r>
    </w:p>
    <w:p>
      <w:pPr>
        <w:pStyle w:val="ListNumber"/>
      </w:pPr>
      <w:r/>
      <w:r>
        <w:rPr>
          <w:b/>
        </w:rPr>
        <w:t>Règle d'or n°14 : conservation à température ambiante (≤ 25 °C).</w:t>
      </w:r>
      <w:r>
        <w:t xml:space="preserve"> L'étomidate en solution se conserve 3 ans à température ambiante, à l'abri de la lumière. Ne pas congeler.</w:t>
      </w:r>
    </w:p>
    <w:p>
      <w:pPr>
        <w:pStyle w:val="ListNumber"/>
      </w:pPr>
      <w:r/>
      <w:r>
        <w:rPr>
          <w:b/>
        </w:rPr>
        <w:t>Règle d'or n°15 : signalement de tout effet indésirable grave.</w:t>
      </w:r>
      <w:r>
        <w:t xml:space="preserve"> Insuffisance surrénalienne, anaphylaxie, collapsus, choc : déclaration au CNPV d'Alger. La traçabilité de l'anesthésie est obligatoire.</w:t>
      </w:r>
    </w:p>
    <w:p>
      <w:pPr>
        <w:pStyle w:val="Heading2"/>
      </w:pPr>
      <w:r>
        <w:t>181.4.1 — KÉTAMINE</w:t>
      </w:r>
    </w:p>
    <w:p>
      <w:pPr>
        <w:pStyle w:val="Heading3"/>
      </w:pPr>
      <w:r>
        <w:t>181.4.1.1 Catégories pharmaco-thérapeutiques et indications</w:t>
      </w:r>
    </w:p>
    <w:p>
      <w:r/>
      <w:r>
        <w:rPr>
          <w:b/>
        </w:rPr>
        <w:t>DCI :</w:t>
      </w:r>
      <w:r>
        <w:t xml:space="preserve"> Kétamine (RS-2-(2-chlorophényl)-2-(méthylamino)cyclohexanone), sous forme de chlorhydrate de kétamine exprimé en kétamine base.</w:t>
      </w:r>
    </w:p>
    <w:p>
      <w:r/>
      <w:r>
        <w:rPr>
          <w:b/>
        </w:rPr>
        <w:t>Code ATC :</w:t>
      </w:r>
      <w:r>
        <w:t xml:space="preserve"> N01AX03 (anesthésiques généraux, autres anesthésiques IV), N07AX01 (antidépresseurs à action rapide).</w:t>
      </w:r>
    </w:p>
    <w:p>
      <w:r/>
      <w:r>
        <w:rPr>
          <w:b/>
        </w:rPr>
        <w:t>Classe chimique :</w:t>
      </w:r>
      <w:r>
        <w:t xml:space="preserve"> cyclohexanone substituée par un groupe arylchloré et un groupe méthylamino, dérivée de la phéncyclidine (PCP) dont elle conserve le profil dissociatif mais avec une meilleure tolérance psychodysleptique.</w:t>
      </w:r>
    </w:p>
    <w:p>
      <w:r/>
      <w:r>
        <w:rPr>
          <w:b/>
        </w:rPr>
        <w:t>Sous-classes pharmacologiques :</w:t>
      </w:r>
      <w:r>
        <w:t xml:space="preserve"> anesthésique général IV à effet dissociatif (catalepsie cataleptoïde) ; analgésique central puissant (voie IV, IM, sous-cutanée, intranasale, périmédullaire) ; antidépresseur à action rapide (voie IV ou intranasale, isomère S = escétamine).</w:t>
      </w:r>
    </w:p>
    <w:p>
      <w:r/>
      <w:r>
        <w:rPr>
          <w:b/>
        </w:rPr>
        <w:t>Indications portées sur l'AMM (RCP VIDAL/EMA) :</w:t>
      </w:r>
      <w:r/>
    </w:p>
    <w:p>
      <w:pPr>
        <w:pStyle w:val="ListBullet"/>
      </w:pPr>
      <w:r>
        <w:t>Anesthésie générale en chirurgie diagnostique ou thérapeutique courte (réductions de fractures, pansements de grands brûlés, soins dentaires, petits actes chirurgicaux) en monothérapie ou en association.</w:t>
      </w:r>
    </w:p>
    <w:p>
      <w:pPr>
        <w:pStyle w:val="ListBullet"/>
      </w:pPr>
      <w:r>
        <w:t>Induction de l'anesthésie générale en cas d'instabilité hémodynamique (choc hémorragique, hypovolémie, choc septique, choc cardiogénique, bronchospasme sévère, asthme aigu grave).</w:t>
      </w:r>
    </w:p>
    <w:p>
      <w:pPr>
        <w:pStyle w:val="ListBullet"/>
      </w:pPr>
      <w:r>
        <w:t>Anesthésie en médecine de catastrophe, en milieu préhospitalier et militaire (Battlefield Analgesia, protocole KAR, « ketamine analgesia rule »).</w:t>
      </w:r>
    </w:p>
    <w:p>
      <w:pPr>
        <w:pStyle w:val="ListBullet"/>
      </w:pPr>
      <w:r>
        <w:t>Complément d'anesthésie loco-régionale insuffisante (kétamine IV à dose subanesthésique).</w:t>
      </w:r>
    </w:p>
    <w:p>
      <w:pPr>
        <w:pStyle w:val="ListBullet"/>
      </w:pPr>
      <w:r>
        <w:t>Sédation consciente procédurale (kétamine IV 0,2-0,5 mg/kg ou IM 2-4 mg/kg, surtout chez l'enfant pour soins douloureux courts).</w:t>
      </w:r>
    </w:p>
    <w:p>
      <w:pPr>
        <w:pStyle w:val="ListBullet"/>
      </w:pPr>
      <w:r>
        <w:t>Analgésie chronique et cancer (kétamine SC 0,1-0,3 mg/kg/h ou périmédullaire, en relais des opioïdes).</w:t>
      </w:r>
    </w:p>
    <w:p>
      <w:r/>
      <w:r>
        <w:rPr>
          <w:b/>
        </w:rPr>
        <w:t>Indications hors AMM fréquentes :</w:t>
      </w:r>
      <w:r/>
    </w:p>
    <w:p>
      <w:pPr>
        <w:pStyle w:val="ListBullet"/>
      </w:pPr>
      <w:r>
        <w:t>Dépression résistante : kétamine IV 0,5 mg/kg en perfusion de 40 min, répétée 2 à 3 fois par semaine (effet antidépresseur rapide en 4-24 h, mais transitoire 7-14 jours).</w:t>
      </w:r>
    </w:p>
    <w:p>
      <w:pPr>
        <w:pStyle w:val="ListBullet"/>
      </w:pPr>
      <w:r>
        <w:t>Douleur neuropathique réfractaire : perfusion continue SC ou IV 0,1-0,3 mg/kg/h.</w:t>
      </w:r>
    </w:p>
    <w:p>
      <w:pPr>
        <w:pStyle w:val="ListBullet"/>
      </w:pPr>
      <w:r>
        <w:t>Douleur cancéréreuse terminale : infusion continue SC en relais des opioïdes.</w:t>
      </w:r>
    </w:p>
    <w:p>
      <w:pPr>
        <w:pStyle w:val="ListBullet"/>
      </w:pPr>
      <w:r>
        <w:t>Status asthmaticus réfractaire : kétamine IV en perfusion continue (bronchodilatatrice puissante).</w:t>
      </w:r>
    </w:p>
    <w:p>
      <w:pPr>
        <w:pStyle w:val="ListBullet"/>
      </w:pPr>
      <w:r>
        <w:t>Sédation pédiatrique procédurale : kétamine IV 0,5-1 mg/kg ou IM 4-5 mg/kg.</w:t>
      </w:r>
    </w:p>
    <w:p>
      <w:pPr>
        <w:pStyle w:val="Heading3"/>
      </w:pPr>
      <w:r>
        <w:t>181.4.1.2 Médicaments disponibles en Algérie</w:t>
      </w:r>
    </w:p>
    <w:p>
      <w:r>
        <w:t>La kétamine est inscrite sur la Liste I des substances vénéneuses en Algérie. Son usage est strictement hospitalier, mais des protocoles spécifiques (urgences préhospitalières, transport sanitaire, unités de soins palliatifs) peuvent en autoriser l'usage décentralisé. Le tableau suivant recense l'ensemble des spécialités ayant fait l'objet d'une autorisation de mise sur le marché.</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KETARAZ</w:t>
            </w:r>
          </w:p>
        </w:tc>
        <w:tc>
          <w:tcPr>
            <w:tcW w:type="dxa" w:w="1559"/>
          </w:tcPr>
          <w:p>
            <w:r>
              <w:rPr>
                <w:sz w:val="20"/>
              </w:rPr>
              <w:t>LES LABORATOIRES FRATER RAZES</w:t>
            </w:r>
          </w:p>
        </w:tc>
        <w:tc>
          <w:tcPr>
            <w:tcW w:type="dxa" w:w="1559"/>
          </w:tcPr>
          <w:p>
            <w:r>
              <w:rPr>
                <w:sz w:val="20"/>
              </w:rPr>
              <w:t>Solution injectable IV/IM, 50 mg/mL</w:t>
            </w:r>
          </w:p>
        </w:tc>
        <w:tc>
          <w:tcPr>
            <w:tcW w:type="dxa" w:w="1559"/>
          </w:tcPr>
          <w:p>
            <w:r>
              <w:rPr>
                <w:sz w:val="20"/>
              </w:rPr>
              <w:t>Boîtes de 10 ampoules et de 50 ampoules</w:t>
            </w:r>
          </w:p>
        </w:tc>
        <w:tc>
          <w:tcPr>
            <w:tcW w:type="dxa" w:w="1559"/>
          </w:tcPr>
          <w:p>
            <w:r>
              <w:rPr>
                <w:sz w:val="20"/>
              </w:rPr>
              <w:t>Liste I</w:t>
            </w:r>
          </w:p>
        </w:tc>
        <w:tc>
          <w:tcPr>
            <w:tcW w:type="dxa" w:w="1559"/>
          </w:tcPr>
          <w:p>
            <w:r>
              <w:rPr>
                <w:sz w:val="20"/>
              </w:rPr>
              <w:t>ACTIF</w:t>
            </w:r>
          </w:p>
        </w:tc>
      </w:tr>
      <w:tr>
        <w:tc>
          <w:tcPr>
            <w:tcW w:type="dxa" w:w="1559"/>
          </w:tcPr>
          <w:p>
            <w:r>
              <w:rPr>
                <w:sz w:val="20"/>
              </w:rPr>
              <w:t>KETAMINE-10</w:t>
            </w:r>
          </w:p>
        </w:tc>
        <w:tc>
          <w:tcPr>
            <w:tcW w:type="dxa" w:w="1559"/>
          </w:tcPr>
          <w:p>
            <w:r>
              <w:rPr>
                <w:sz w:val="20"/>
              </w:rPr>
              <w:t>LIORAD</w:t>
            </w:r>
          </w:p>
        </w:tc>
        <w:tc>
          <w:tcPr>
            <w:tcW w:type="dxa" w:w="1559"/>
          </w:tcPr>
          <w:p>
            <w:r>
              <w:rPr>
                <w:sz w:val="20"/>
              </w:rPr>
              <w:t>Solution injectable IV/IM, 10 mg/mL</w:t>
            </w:r>
          </w:p>
        </w:tc>
        <w:tc>
          <w:tcPr>
            <w:tcW w:type="dxa" w:w="1559"/>
          </w:tcPr>
          <w:p>
            <w:r>
              <w:rPr>
                <w:sz w:val="20"/>
              </w:rPr>
              <w:t>Boîte de 20 flacons de 20 mL</w:t>
            </w:r>
          </w:p>
        </w:tc>
        <w:tc>
          <w:tcPr>
            <w:tcW w:type="dxa" w:w="1559"/>
          </w:tcPr>
          <w:p>
            <w:r>
              <w:rPr>
                <w:sz w:val="20"/>
              </w:rPr>
              <w:t>Liste I</w:t>
            </w:r>
          </w:p>
        </w:tc>
        <w:tc>
          <w:tcPr>
            <w:tcW w:type="dxa" w:w="1559"/>
          </w:tcPr>
          <w:p>
            <w:r>
              <w:rPr>
                <w:sz w:val="20"/>
              </w:rPr>
              <w:t>NON_RENOUVELABLE</w:t>
            </w:r>
          </w:p>
        </w:tc>
      </w:tr>
      <w:tr>
        <w:tc>
          <w:tcPr>
            <w:tcW w:type="dxa" w:w="1559"/>
          </w:tcPr>
          <w:p>
            <w:r>
              <w:rPr>
                <w:sz w:val="20"/>
              </w:rPr>
              <w:t>KETAMINE-50</w:t>
            </w:r>
          </w:p>
        </w:tc>
        <w:tc>
          <w:tcPr>
            <w:tcW w:type="dxa" w:w="1559"/>
          </w:tcPr>
          <w:p>
            <w:r>
              <w:rPr>
                <w:sz w:val="20"/>
              </w:rPr>
              <w:t>LIORAD</w:t>
            </w:r>
          </w:p>
        </w:tc>
        <w:tc>
          <w:tcPr>
            <w:tcW w:type="dxa" w:w="1559"/>
          </w:tcPr>
          <w:p>
            <w:r>
              <w:rPr>
                <w:sz w:val="20"/>
              </w:rPr>
              <w:t>Solution injectable IV/IM, 50 mg/mL</w:t>
            </w:r>
          </w:p>
        </w:tc>
        <w:tc>
          <w:tcPr>
            <w:tcW w:type="dxa" w:w="1559"/>
          </w:tcPr>
          <w:p>
            <w:r>
              <w:rPr>
                <w:sz w:val="20"/>
              </w:rPr>
              <w:t>Boîte de 20 flacons de 10 mL</w:t>
            </w:r>
          </w:p>
        </w:tc>
        <w:tc>
          <w:tcPr>
            <w:tcW w:type="dxa" w:w="1559"/>
          </w:tcPr>
          <w:p>
            <w:r>
              <w:rPr>
                <w:sz w:val="20"/>
              </w:rPr>
              <w:t>Liste I</w:t>
            </w:r>
          </w:p>
        </w:tc>
        <w:tc>
          <w:tcPr>
            <w:tcW w:type="dxa" w:w="1559"/>
          </w:tcPr>
          <w:p>
            <w:r>
              <w:rPr>
                <w:sz w:val="20"/>
              </w:rPr>
              <w:t>NON_RENOUVELABLE</w:t>
            </w:r>
          </w:p>
        </w:tc>
      </w:tr>
      <w:tr>
        <w:tc>
          <w:tcPr>
            <w:tcW w:type="dxa" w:w="1559"/>
          </w:tcPr>
          <w:p>
            <w:r>
              <w:rPr>
                <w:sz w:val="20"/>
              </w:rPr>
              <w:t>BREVINASE</w:t>
            </w:r>
          </w:p>
        </w:tc>
        <w:tc>
          <w:tcPr>
            <w:tcW w:type="dxa" w:w="1559"/>
          </w:tcPr>
          <w:p>
            <w:r>
              <w:rPr>
                <w:sz w:val="20"/>
              </w:rPr>
              <w:t>PHARMACARE LIMITED</w:t>
            </w:r>
          </w:p>
        </w:tc>
        <w:tc>
          <w:tcPr>
            <w:tcW w:type="dxa" w:w="1559"/>
          </w:tcPr>
          <w:p>
            <w:r>
              <w:rPr>
                <w:sz w:val="20"/>
              </w:rPr>
              <w:t>Solution injectable IV/IM, 10 mg/mL</w:t>
            </w:r>
          </w:p>
        </w:tc>
        <w:tc>
          <w:tcPr>
            <w:tcW w:type="dxa" w:w="1559"/>
          </w:tcPr>
          <w:p>
            <w:r>
              <w:rPr>
                <w:sz w:val="20"/>
              </w:rPr>
              <w:t>Boîte de 25</w:t>
            </w:r>
          </w:p>
        </w:tc>
        <w:tc>
          <w:tcPr>
            <w:tcW w:type="dxa" w:w="1559"/>
          </w:tcPr>
          <w:p>
            <w:r>
              <w:rPr>
                <w:sz w:val="20"/>
              </w:rPr>
              <w:t>Liste I</w:t>
            </w:r>
          </w:p>
        </w:tc>
        <w:tc>
          <w:tcPr>
            <w:tcW w:type="dxa" w:w="1559"/>
          </w:tcPr>
          <w:p>
            <w:r>
              <w:rPr>
                <w:sz w:val="20"/>
              </w:rPr>
              <w:t>RETRAIT (R)</w:t>
            </w:r>
          </w:p>
        </w:tc>
      </w:tr>
      <w:tr>
        <w:tc>
          <w:tcPr>
            <w:tcW w:type="dxa" w:w="1559"/>
          </w:tcPr>
          <w:p>
            <w:r>
              <w:rPr>
                <w:sz w:val="20"/>
              </w:rPr>
              <w:t>BREVINASE</w:t>
            </w:r>
          </w:p>
        </w:tc>
        <w:tc>
          <w:tcPr>
            <w:tcW w:type="dxa" w:w="1559"/>
          </w:tcPr>
          <w:p>
            <w:r>
              <w:rPr>
                <w:sz w:val="20"/>
              </w:rPr>
              <w:t>PHARMACARE LIMITED</w:t>
            </w:r>
          </w:p>
        </w:tc>
        <w:tc>
          <w:tcPr>
            <w:tcW w:type="dxa" w:w="1559"/>
          </w:tcPr>
          <w:p>
            <w:r>
              <w:rPr>
                <w:sz w:val="20"/>
              </w:rPr>
              <w:t>Solution injectable IV/IM, 50 mg/mL</w:t>
            </w:r>
          </w:p>
        </w:tc>
        <w:tc>
          <w:tcPr>
            <w:tcW w:type="dxa" w:w="1559"/>
          </w:tcPr>
          <w:p>
            <w:r>
              <w:rPr>
                <w:sz w:val="20"/>
              </w:rPr>
              <w:t>Boîte de 25</w:t>
            </w:r>
          </w:p>
        </w:tc>
        <w:tc>
          <w:tcPr>
            <w:tcW w:type="dxa" w:w="1559"/>
          </w:tcPr>
          <w:p>
            <w:r>
              <w:rPr>
                <w:sz w:val="20"/>
              </w:rPr>
              <w:t>Liste I</w:t>
            </w:r>
          </w:p>
        </w:tc>
        <w:tc>
          <w:tcPr>
            <w:tcW w:type="dxa" w:w="1559"/>
          </w:tcPr>
          <w:p>
            <w:r>
              <w:rPr>
                <w:sz w:val="20"/>
              </w:rPr>
              <w:t>RETRAIT (R)</w:t>
            </w:r>
          </w:p>
        </w:tc>
      </w:tr>
      <w:tr>
        <w:tc>
          <w:tcPr>
            <w:tcW w:type="dxa" w:w="1559"/>
          </w:tcPr>
          <w:p>
            <w:r>
              <w:rPr>
                <w:sz w:val="20"/>
              </w:rPr>
              <w:t>BREVINASE</w:t>
            </w:r>
          </w:p>
        </w:tc>
        <w:tc>
          <w:tcPr>
            <w:tcW w:type="dxa" w:w="1559"/>
          </w:tcPr>
          <w:p>
            <w:r>
              <w:rPr>
                <w:sz w:val="20"/>
              </w:rPr>
              <w:t>PHARMACARE LIMITED</w:t>
            </w:r>
          </w:p>
        </w:tc>
        <w:tc>
          <w:tcPr>
            <w:tcW w:type="dxa" w:w="1559"/>
          </w:tcPr>
          <w:p>
            <w:r>
              <w:rPr>
                <w:sz w:val="20"/>
              </w:rPr>
              <w:t>Solution injectable IV/IM, 100 mg/mL</w:t>
            </w:r>
          </w:p>
        </w:tc>
        <w:tc>
          <w:tcPr>
            <w:tcW w:type="dxa" w:w="1559"/>
          </w:tcPr>
          <w:p>
            <w:r>
              <w:rPr>
                <w:sz w:val="20"/>
              </w:rPr>
              <w:t>Boîte de 25</w:t>
            </w:r>
          </w:p>
        </w:tc>
        <w:tc>
          <w:tcPr>
            <w:tcW w:type="dxa" w:w="1559"/>
          </w:tcPr>
          <w:p>
            <w:r>
              <w:rPr>
                <w:sz w:val="20"/>
              </w:rPr>
              <w:t>Liste I</w:t>
            </w:r>
          </w:p>
        </w:tc>
        <w:tc>
          <w:tcPr>
            <w:tcW w:type="dxa" w:w="1559"/>
          </w:tcPr>
          <w:p>
            <w:r>
              <w:rPr>
                <w:sz w:val="20"/>
              </w:rPr>
              <w:t>RETRAIT (R)</w:t>
            </w:r>
          </w:p>
        </w:tc>
      </w:tr>
      <w:tr>
        <w:tc>
          <w:tcPr>
            <w:tcW w:type="dxa" w:w="1559"/>
          </w:tcPr>
          <w:p>
            <w:r>
              <w:rPr>
                <w:sz w:val="20"/>
              </w:rPr>
              <w:t>KETALAR</w:t>
            </w:r>
          </w:p>
        </w:tc>
        <w:tc>
          <w:tcPr>
            <w:tcW w:type="dxa" w:w="1559"/>
          </w:tcPr>
          <w:p>
            <w:r>
              <w:rPr>
                <w:sz w:val="20"/>
              </w:rPr>
              <w:t>PARKE DAVIS</w:t>
            </w:r>
          </w:p>
        </w:tc>
        <w:tc>
          <w:tcPr>
            <w:tcW w:type="dxa" w:w="1559"/>
          </w:tcPr>
          <w:p>
            <w:r>
              <w:rPr>
                <w:sz w:val="20"/>
              </w:rPr>
              <w:t>Solution injectable IV/IM, 10 mg/mL</w:t>
            </w:r>
          </w:p>
        </w:tc>
        <w:tc>
          <w:tcPr>
            <w:tcW w:type="dxa" w:w="1559"/>
          </w:tcPr>
          <w:p>
            <w:r>
              <w:rPr>
                <w:sz w:val="20"/>
              </w:rPr>
              <w:t>Boîte de 25</w:t>
            </w:r>
          </w:p>
        </w:tc>
        <w:tc>
          <w:tcPr>
            <w:tcW w:type="dxa" w:w="1559"/>
          </w:tcPr>
          <w:p>
            <w:r>
              <w:rPr>
                <w:sz w:val="20"/>
              </w:rPr>
              <w:t>Liste I</w:t>
            </w:r>
          </w:p>
        </w:tc>
        <w:tc>
          <w:tcPr>
            <w:tcW w:type="dxa" w:w="1559"/>
          </w:tcPr>
          <w:p>
            <w:r>
              <w:rPr>
                <w:sz w:val="20"/>
              </w:rPr>
              <w:t>RETRAIT (R)</w:t>
            </w:r>
          </w:p>
        </w:tc>
      </w:tr>
      <w:tr>
        <w:tc>
          <w:tcPr>
            <w:tcW w:type="dxa" w:w="1559"/>
          </w:tcPr>
          <w:p>
            <w:r>
              <w:rPr>
                <w:sz w:val="20"/>
              </w:rPr>
              <w:t>KETALAR</w:t>
            </w:r>
          </w:p>
        </w:tc>
        <w:tc>
          <w:tcPr>
            <w:tcW w:type="dxa" w:w="1559"/>
          </w:tcPr>
          <w:p>
            <w:r>
              <w:rPr>
                <w:sz w:val="20"/>
              </w:rPr>
              <w:t>PARKE DAVIS</w:t>
            </w:r>
          </w:p>
        </w:tc>
        <w:tc>
          <w:tcPr>
            <w:tcW w:type="dxa" w:w="1559"/>
          </w:tcPr>
          <w:p>
            <w:r>
              <w:rPr>
                <w:sz w:val="20"/>
              </w:rPr>
              <w:t>Solution injectable IV/IM, 50 mg/mL</w:t>
            </w:r>
          </w:p>
        </w:tc>
        <w:tc>
          <w:tcPr>
            <w:tcW w:type="dxa" w:w="1559"/>
          </w:tcPr>
          <w:p>
            <w:r>
              <w:rPr>
                <w:sz w:val="20"/>
              </w:rPr>
              <w:t>Boîte de 25</w:t>
            </w:r>
          </w:p>
        </w:tc>
        <w:tc>
          <w:tcPr>
            <w:tcW w:type="dxa" w:w="1559"/>
          </w:tcPr>
          <w:p>
            <w:r>
              <w:rPr>
                <w:sz w:val="20"/>
              </w:rPr>
              <w:t>Liste I</w:t>
            </w:r>
          </w:p>
        </w:tc>
        <w:tc>
          <w:tcPr>
            <w:tcW w:type="dxa" w:w="1559"/>
          </w:tcPr>
          <w:p>
            <w:r>
              <w:rPr>
                <w:sz w:val="20"/>
              </w:rPr>
              <w:t>RETRAIT (R)</w:t>
            </w:r>
          </w:p>
        </w:tc>
      </w:tr>
      <w:tr>
        <w:tc>
          <w:tcPr>
            <w:tcW w:type="dxa" w:w="1559"/>
          </w:tcPr>
          <w:p>
            <w:r>
              <w:rPr>
                <w:sz w:val="20"/>
              </w:rPr>
              <w:t>KETALAR</w:t>
            </w:r>
          </w:p>
        </w:tc>
        <w:tc>
          <w:tcPr>
            <w:tcW w:type="dxa" w:w="1559"/>
          </w:tcPr>
          <w:p>
            <w:r>
              <w:rPr>
                <w:sz w:val="20"/>
              </w:rPr>
              <w:t>PARKE DAVIS</w:t>
            </w:r>
          </w:p>
        </w:tc>
        <w:tc>
          <w:tcPr>
            <w:tcW w:type="dxa" w:w="1559"/>
          </w:tcPr>
          <w:p>
            <w:r>
              <w:rPr>
                <w:sz w:val="20"/>
              </w:rPr>
              <w:t>Solution injectable IV/IM, 100 mg/mL</w:t>
            </w:r>
          </w:p>
        </w:tc>
        <w:tc>
          <w:tcPr>
            <w:tcW w:type="dxa" w:w="1559"/>
          </w:tcPr>
          <w:p>
            <w:r>
              <w:rPr>
                <w:sz w:val="20"/>
              </w:rPr>
              <w:t>Boîte de 25</w:t>
            </w:r>
          </w:p>
        </w:tc>
        <w:tc>
          <w:tcPr>
            <w:tcW w:type="dxa" w:w="1559"/>
          </w:tcPr>
          <w:p>
            <w:r>
              <w:rPr>
                <w:sz w:val="20"/>
              </w:rPr>
              <w:t>Liste I</w:t>
            </w:r>
          </w:p>
        </w:tc>
        <w:tc>
          <w:tcPr>
            <w:tcW w:type="dxa" w:w="1559"/>
          </w:tcPr>
          <w:p>
            <w:r>
              <w:rPr>
                <w:sz w:val="20"/>
              </w:rPr>
              <w:t>RETRAIT (R)</w:t>
            </w:r>
          </w:p>
        </w:tc>
      </w:tr>
    </w:tbl>
    <w:p/>
    <w:p>
      <w:r/>
      <w:r>
        <w:rPr>
          <w:b/>
        </w:rPr>
        <w:t>Commentaire :</w:t>
      </w:r>
      <w:r>
        <w:t xml:space="preserve"> La kétamine reste disponible en Algérie sous une seule spécialité active : Ketaraz (Frater Razes, Algérie), en solution injectable à 50 mg/mL en boîtes de 10 et 50 ampoules (ampoules de 2 mL contenant 100 mg de kétamine chacune). Les formes historiques princeps Ketalar (Parke-Davis, États-Unis) et Brevinase (Pharmacare, Afrique du Sud) ne sont plus commercialisées en Algérie, ainsi que les spécialités non renouvelables Ketamine-10 et Ketamine-50 (Liorad). Le dosage standard est de 50 mg/mL (forme la plus courante pour IV et IM), avec un dosage à 10 mg/mL utile pour la perfusion pédiatrique diluée et un dosage à 100 mg/mL pour la voie IM en anesthésie prolongée. La production locale (Frater Razes) assure la stabilité de l'approvisionnement national, mais les prix restent élevés et la molécule fait l'objet d'une surveillance particulière en raison de son potentiel d'usage détourné récréatif (« Special K », « K-hole », « ket ») et de sa classification dans certains pays comme stupéfiant.</w:t>
      </w:r>
    </w:p>
    <w:p>
      <w:pPr>
        <w:pStyle w:val="Heading3"/>
      </w:pPr>
      <w:r>
        <w:t>181.4.1.3 Mécanisme d'action moléculaire, cellulaire et physiologique</w:t>
      </w:r>
    </w:p>
    <w:p>
      <w:r>
        <w:t>La kétamine exerce son effet anesthésique et analgésique principalement par antagonisme non compétitif du canal du récepteur NMDA (N-méthyl-D-aspartate), le principal récepteur de l'excitation glutamatergique du système nerveux central. La molécule se fixe sur le site PCP (phéncyclidine), situé à l'intérieur du canal du récepteur NMDA : elle agit comme un « bloqueur de canal ouvert », n'inhibant le canal que lorsque celui-ci est déjà activé par le glutamate et la glycine, et que le canal est dépolarisé (relief du bloc magnésique). Cette inhibition en « canal ouvert » explique la sélectivité fonctionnelle de la kétamine pour les synapses activement transmettrices, en particulier les synapses nociceptives activées en cas de douleur aiguë ou chronique.</w:t>
      </w:r>
    </w:p>
    <w:p>
      <w:r>
        <w:t>Au-delà du NMDA, la kétamine interagit avec plusieurs autres cibles moléculaires :</w:t>
      </w:r>
    </w:p>
    <w:p>
      <w:pPr>
        <w:pStyle w:val="ListBullet"/>
      </w:pPr>
      <w:r/>
      <w:r>
        <w:rPr>
          <w:b/>
        </w:rPr>
        <w:t>Récepteurs opioïdes μ et κ</w:t>
      </w:r>
      <w:r>
        <w:t xml:space="preserve"> : agoniste partiel, contribuant à l'analgésie.</w:t>
      </w:r>
    </w:p>
    <w:p>
      <w:pPr>
        <w:pStyle w:val="ListBullet"/>
      </w:pPr>
      <w:r/>
      <w:r>
        <w:rPr>
          <w:b/>
        </w:rPr>
        <w:t>Canaux sodiques voltage-dépendants (Nav)</w:t>
      </w:r>
      <w:r>
        <w:t xml:space="preserve"> : inhibition locale, effet anesthésique local.</w:t>
      </w:r>
    </w:p>
    <w:p>
      <w:pPr>
        <w:pStyle w:val="ListBullet"/>
      </w:pPr>
      <w:r/>
      <w:r>
        <w:rPr>
          <w:b/>
        </w:rPr>
        <w:t>Canaux calciques voltage-dépendants (Cav)</w:t>
      </w:r>
      <w:r>
        <w:t xml:space="preserve"> : inhibition.</w:t>
      </w:r>
    </w:p>
    <w:p>
      <w:pPr>
        <w:pStyle w:val="ListBullet"/>
      </w:pPr>
      <w:r/>
      <w:r>
        <w:rPr>
          <w:b/>
        </w:rPr>
        <w:t>Récepteurs muscariniques et nicotiniques</w:t>
      </w:r>
      <w:r>
        <w:t xml:space="preserve"> : antagoniste faible.</w:t>
      </w:r>
    </w:p>
    <w:p>
      <w:pPr>
        <w:pStyle w:val="ListBullet"/>
      </w:pPr>
      <w:r/>
      <w:r>
        <w:rPr>
          <w:b/>
        </w:rPr>
        <w:t>Inhibition de la recapture des catécholamines</w:t>
      </w:r>
      <w:r>
        <w:t xml:space="preserve"> (effet indirect sympathomimétique) : augmente les taux circulants d'adrénaline et de noradrénaline, expliquant la stimulation hémodynamique.</w:t>
      </w:r>
    </w:p>
    <w:p>
      <w:r/>
      <w:r>
        <w:rPr>
          <w:b/>
        </w:rPr>
        <w:t>Physiologie intégrée :</w:t>
      </w:r>
      <w:r>
        <w:t xml:space="preserve"> à dose anesthésique (1 à 2 mg/kg IV ou 4 à 6 mg/kg IM), la kétamine induit un état de « dissociation cataleptoïde » caractérisé par :</w:t>
      </w:r>
    </w:p>
    <w:p>
      <w:pPr>
        <w:pStyle w:val="ListBullet"/>
      </w:pPr>
      <w:r/>
      <w:r>
        <w:rPr>
          <w:b/>
        </w:rPr>
        <w:t>Catalepsie</w:t>
      </w:r>
      <w:r>
        <w:t xml:space="preserve"> : immobilité tonique, membre maintenu dans la position où il est placé.</w:t>
      </w:r>
    </w:p>
    <w:p>
      <w:pPr>
        <w:pStyle w:val="ListBullet"/>
      </w:pPr>
      <w:r/>
      <w:r>
        <w:rPr>
          <w:b/>
        </w:rPr>
        <w:t>Amnésie profonde</w:t>
      </w:r>
      <w:r>
        <w:t xml:space="preserve"> : oubli total de la procédure.</w:t>
      </w:r>
    </w:p>
    <w:p>
      <w:pPr>
        <w:pStyle w:val="ListBullet"/>
      </w:pPr>
      <w:r/>
      <w:r>
        <w:rPr>
          <w:b/>
        </w:rPr>
        <w:t>Analgésie somatique et viscérale puissante</w:t>
      </w:r>
      <w:r>
        <w:t xml:space="preserve"> : supérieure à celle de la morphine à dose équianesthésique.</w:t>
      </w:r>
    </w:p>
    <w:p>
      <w:pPr>
        <w:pStyle w:val="ListBullet"/>
      </w:pPr>
      <w:r/>
      <w:r>
        <w:rPr>
          <w:b/>
        </w:rPr>
        <w:t>Préservation paradoxale de la ventilation spontanée</w:t>
      </w:r>
      <w:r>
        <w:t xml:space="preserve"> : le patient continue à respirer seul, les réflexes protecteurs des voies aériennes (toux, laryngospasme) sont partiellement conservés.</w:t>
      </w:r>
    </w:p>
    <w:p>
      <w:pPr>
        <w:pStyle w:val="ListBullet"/>
      </w:pPr>
      <w:r/>
      <w:r>
        <w:rPr>
          <w:b/>
        </w:rPr>
        <w:t>Maintien ou augmentation de la pression artérielle</w:t>
      </w:r>
      <w:r>
        <w:t xml:space="preserve"> : effet indirect sympathomimétique (augmentation de 20-30 % de la PAM).</w:t>
      </w:r>
    </w:p>
    <w:p>
      <w:pPr>
        <w:pStyle w:val="ListBullet"/>
      </w:pPr>
      <w:r/>
      <w:r>
        <w:rPr>
          <w:b/>
        </w:rPr>
        <w:t>Augmentation de la fréquence cardiaque</w:t>
      </w:r>
      <w:r>
        <w:t xml:space="preserve"> : +15 à 30 %.</w:t>
      </w:r>
    </w:p>
    <w:p>
      <w:pPr>
        <w:pStyle w:val="ListBullet"/>
      </w:pPr>
      <w:r/>
      <w:r>
        <w:rPr>
          <w:b/>
        </w:rPr>
        <w:t>Augmentation de la pression intracrânienne (PIC)</w:t>
      </w:r>
      <w:r>
        <w:t xml:space="preserve"> : contre-indication classique chez le traumatisé crânien (à nuancer selon recommandations récentes).</w:t>
      </w:r>
    </w:p>
    <w:p>
      <w:pPr>
        <w:pStyle w:val="ListBullet"/>
      </w:pPr>
      <w:r/>
      <w:r>
        <w:rPr>
          <w:b/>
        </w:rPr>
        <w:t>Augmentation du débit sanguin cérébral</w:t>
      </w:r>
      <w:r>
        <w:t xml:space="preserve"> et de la CMRO2.</w:t>
      </w:r>
    </w:p>
    <w:p>
      <w:r/>
      <w:r>
        <w:rPr>
          <w:b/>
        </w:rPr>
        <w:t>Effet dissociatif :</w:t>
      </w:r>
      <w:r>
        <w:t xml:space="preserve"> le sujet conscient paraît éveillé (yeux ouverts, mouvements oculaires lents, nystagmus) mais insensible à l'environnement et à la douleur. L'EEG montre un tracé theta dominant avec bursts rapides (tracé de dissociation), différent du tracé lent de l'anesthésie GABAergique.</w:t>
      </w:r>
    </w:p>
    <w:p>
      <w:r/>
      <w:r>
        <w:rPr>
          <w:b/>
        </w:rPr>
        <w:t>Effet antidépresseur rapide :</w:t>
      </w:r>
      <w:r>
        <w:t xml:space="preserve"> la kétamine à dose subanesthésique (0,5 mg/kg IV en 40 min) produit un effet antidépresseur en 4-24 heures, persistance pendant 7-14 jours. Le mécanisme implique le blocage du NMDA sur les interneurones GABAergiques inhibiteurs, qui désinhibe les neurones glutamatergiques pyramidaux corticaux, conduisant à une libération massive de glutamate, à l'activation du BDNF (Brain-Derived Neurotrophic Factor) et à la prolifération des synapses dendritiques dans le cortex préfrontal. Cette action sur la neuroplasticité synaptique explique la rapidité d'action (4-24 h) à la différence des antidépresseurs classiques (ISRS, IRSN) qui agissent en 4-6 semaines.</w:t>
      </w:r>
    </w:p>
    <w:p>
      <w:pPr>
        <w:pStyle w:val="Heading3"/>
      </w:pPr>
      <w:r>
        <w:t>181.4.1.4 Pharmacocinétique (Profil PK)</w:t>
      </w:r>
    </w:p>
    <w:p>
      <w:r/>
      <w:r>
        <w:rPr>
          <w:b/>
        </w:rPr>
        <w:t>Absorption :</w:t>
      </w:r>
      <w:r/>
    </w:p>
    <w:p>
      <w:pPr>
        <w:pStyle w:val="ListBullet"/>
      </w:pPr>
      <w:r>
        <w:t>IV : biodisponibilité 100 %, pic cérébral en 30-60 s.</w:t>
      </w:r>
    </w:p>
    <w:p>
      <w:pPr>
        <w:pStyle w:val="ListBullet"/>
      </w:pPr>
      <w:r>
        <w:t>IM : biodisponibilité 93 %, pic cérébral en 5-10 min.</w:t>
      </w:r>
    </w:p>
    <w:p>
      <w:pPr>
        <w:pStyle w:val="ListBullet"/>
      </w:pPr>
      <w:r>
        <w:t>Intranasale : biodisponibilité 50 %, pic en 10-15 min (spray nasal escétamine pour dépression résistante, non disponible en Algérie).</w:t>
      </w:r>
    </w:p>
    <w:p>
      <w:pPr>
        <w:pStyle w:val="ListBullet"/>
      </w:pPr>
      <w:r>
        <w:t>Sublinguale : biodisponibilité 30 %.</w:t>
      </w:r>
    </w:p>
    <w:p>
      <w:pPr>
        <w:pStyle w:val="ListBullet"/>
      </w:pPr>
      <w:r>
        <w:t>Per os : biodisponibilité 17 % (effet de premier passage hépatique massif), usage limité.</w:t>
      </w:r>
    </w:p>
    <w:p>
      <w:r/>
      <w:r>
        <w:rPr>
          <w:b/>
        </w:rPr>
        <w:t>Distribution :</w:t>
      </w:r>
      <w:r>
        <w:t xml:space="preserve"> la kétamine est très lipophile (log P = 2,9), fortement liée aux protéines plasmatiques (12 à 47 %, surtout à l'α1-glycoprotéine acide). Le volume de distribution à l'équilibre (Vdss) est élevé (3 à 5 L/kg). La distribution est bi-compartimentale. La demi-vie de redistribution t1/2α est courte (10 à 15 min) et explique la brièveté de l'effet clinique après bolus. La demi-vie d'élimination t1/2β est de 2 à 3 heures.</w:t>
      </w:r>
    </w:p>
    <w:p>
      <w:r/>
      <w:r>
        <w:rPr>
          <w:b/>
        </w:rPr>
        <w:t>Métabolisme :</w:t>
      </w:r>
      <w:r>
        <w:t xml:space="preserve"> la kétamine est métabolisée à 95 % dans le foie par le CYP3A4 et le CYP2B6 (N-déméthylation en norkétamine, métabolite actif avec 30 % de l'activité anesthésique de la kétamine mère). La norkétamine est ensuite hydroxylée en déhydronorkétamine (inactive) puis glucuronoconjuguée.</w:t>
      </w:r>
    </w:p>
    <w:p>
      <w:r/>
      <w:r>
        <w:rPr>
          <w:b/>
        </w:rPr>
        <w:t>Élimination :</w:t>
      </w:r>
      <w:r>
        <w:t xml:space="preserve"> élimination rénale des métabolites (91 % en 72 h), biliaire (5 %). Moins de 4 % est excrété inchangé dans les urines.</w:t>
      </w:r>
    </w:p>
    <w:p>
      <w:r/>
      <w:r>
        <w:rPr>
          <w:b/>
        </w:rPr>
        <w:t>Effet de premier passage cérébral :</w:t>
      </w:r>
      <w:r>
        <w:t xml:space="preserve"> la lipophilie explique le passage cérébral rapide (pic en 30-60 s), suivi d'une décroissance par redistribution (t1/2α = 10-15 min) qui termine l'effet clinique après 15-30 minutes.</w:t>
      </w:r>
    </w:p>
    <w:p>
      <w:r/>
      <w:r>
        <w:rPr>
          <w:b/>
        </w:rPr>
        <w:t>Populations particulières :</w:t>
      </w:r>
      <w:r/>
    </w:p>
    <w:p>
      <w:pPr>
        <w:pStyle w:val="ListBullet"/>
      </w:pPr>
      <w:r/>
      <w:r>
        <w:rPr>
          <w:b/>
        </w:rPr>
        <w:t>Enfant :</w:t>
      </w:r>
      <w:r>
        <w:t xml:space="preserve"> Vd plus élevé, clearance plus rapide (mg/kg plus élevé nécessaire : 2 mg/kg à l'induction IV vs 1-2 mg/kg chez l'adulte).</w:t>
      </w:r>
    </w:p>
    <w:p>
      <w:pPr>
        <w:pStyle w:val="ListBullet"/>
      </w:pPr>
      <w:r/>
      <w:r>
        <w:rPr>
          <w:b/>
        </w:rPr>
        <w:t>Sujet âgé :</w:t>
      </w:r>
      <w:r>
        <w:t xml:space="preserve"> Vd réduit, clearance diminuée → réduire la dose de 25-30 %.</w:t>
      </w:r>
    </w:p>
    <w:p>
      <w:pPr>
        <w:pStyle w:val="ListBullet"/>
      </w:pPr>
      <w:r/>
      <w:r>
        <w:rPr>
          <w:b/>
        </w:rPr>
        <w:t>Insuffisant hépatique :</w:t>
      </w:r>
      <w:r>
        <w:t xml:space="preserve"> clearance réduite, allongement de la durée d'action.</w:t>
      </w:r>
    </w:p>
    <w:p>
      <w:pPr>
        <w:pStyle w:val="ListBullet"/>
      </w:pPr>
      <w:r/>
      <w:r>
        <w:rPr>
          <w:b/>
        </w:rPr>
        <w:t>Insuffisant rénal :</w:t>
      </w:r>
      <w:r>
        <w:t xml:space="preserve"> pas d'adaptation (métabolites peu actifs).</w:t>
      </w:r>
    </w:p>
    <w:p>
      <w:pPr>
        <w:pStyle w:val="ListBullet"/>
      </w:pPr>
      <w:r/>
      <w:r>
        <w:rPr>
          <w:b/>
        </w:rPr>
        <w:t>Patient en choc septique :</w:t>
      </w:r>
      <w:r>
        <w:t xml:space="preserve"> Vd réduit, effet plus marqué → réduire la dose à 0,5-1 mg/kg.</w:t>
      </w:r>
    </w:p>
    <w:p>
      <w:pPr>
        <w:pStyle w:val="Heading3"/>
      </w:pPr>
      <w:r>
        <w:t>181.4.1.5 Indications thérapeutiques (détail AMM et hors AMM)</w:t>
      </w:r>
    </w:p>
    <w:p>
      <w:r/>
      <w:r>
        <w:rPr>
          <w:b/>
        </w:rPr>
        <w:t>Indications AMM principales :</w:t>
      </w:r>
      <w:r/>
    </w:p>
    <w:p>
      <w:pPr>
        <w:pStyle w:val="ListNumber"/>
      </w:pPr>
      <w:r/>
      <w:r>
        <w:rPr>
          <w:b/>
        </w:rPr>
        <w:t>Anesthésie générale pour actes courts</w:t>
      </w:r>
      <w:r>
        <w:t xml:space="preserve"> : IV 1-2 mg/kg (10-20 min d'anesthésie), IM 4-6 mg/kg (30-60 min d'anesthésie) ; complément d'anesthésie loco-régionale ; chirurgie superficielle (pansements de grands brûlés, soins dentaires, réduction de fractures).</w:t>
      </w:r>
    </w:p>
    <w:p>
      <w:pPr>
        <w:pStyle w:val="ListNumber"/>
      </w:pPr>
      <w:r/>
      <w:r>
        <w:rPr>
          <w:b/>
        </w:rPr>
        <w:t>Induction chez le patient instable</w:t>
      </w:r>
      <w:r>
        <w:t xml:space="preserve"> : 1-2 mg/kg IV en bolus (choc hémorragique, hypovolémie, choc septique, bronchospasme sévère, asthme aigu grave). Maintien de l'hémodynamique.</w:t>
      </w:r>
    </w:p>
    <w:p>
      <w:pPr>
        <w:pStyle w:val="ListNumber"/>
      </w:pPr>
      <w:r/>
      <w:r>
        <w:rPr>
          <w:b/>
        </w:rPr>
        <w:t>Sédation procédurale pédiatrique</w:t>
      </w:r>
      <w:r>
        <w:t xml:space="preserve"> : IV 0,5-1 mg/kg ou IM 4-5 mg/kg pour soins douloureux courts (suture, réduction de fracture, ponction lombaire, scanner, IRMI).</w:t>
      </w:r>
    </w:p>
    <w:p>
      <w:pPr>
        <w:pStyle w:val="ListNumber"/>
      </w:pPr>
      <w:r/>
      <w:r>
        <w:rPr>
          <w:b/>
        </w:rPr>
        <w:t>Analgésie chronique et cancer</w:t>
      </w:r>
      <w:r>
        <w:t xml:space="preserve"> : perfusion continue SC 0,1-0,3 mg/kg/h ; bolus IV 0,1-0,3 mg/kg en cas de douleur paroxystique ; périmédullaire (épidurale ou intrathécale) à faible dose en association avec les opioïdes.</w:t>
      </w:r>
    </w:p>
    <w:p>
      <w:pPr>
        <w:pStyle w:val="ListNumber"/>
      </w:pPr>
      <w:r/>
      <w:r>
        <w:rPr>
          <w:b/>
        </w:rPr>
        <w:t>Médecine préhospitalière et militaire</w:t>
      </w:r>
      <w:r>
        <w:t xml:space="preserve"> : protocole KAR (Ketamine Analgesia Rule) de la UK Military : 50 mg IM ou 20 mg IV chez l'adulte en cas de traumatisme grave sur le terrain.</w:t>
      </w:r>
    </w:p>
    <w:p>
      <w:r/>
      <w:r>
        <w:rPr>
          <w:b/>
        </w:rPr>
        <w:t>Indications hors AMM fréquentes :</w:t>
      </w:r>
      <w:r/>
    </w:p>
    <w:p>
      <w:pPr>
        <w:pStyle w:val="ListBullet"/>
      </w:pPr>
      <w:r/>
      <w:r>
        <w:rPr>
          <w:b/>
        </w:rPr>
        <w:t>Dépression résistante</w:t>
      </w:r>
      <w:r>
        <w:t xml:space="preserve"> : kétamine IV 0,5 mg/kg en perfusion de 40 minutes, 2-3 fois/semaine pendant 2 semaines. Effet antidépresseur rapide en 4-24 h. Réponse chez 50-70 % des patients résistants aux ISRS-IRSN.</w:t>
      </w:r>
    </w:p>
    <w:p>
      <w:pPr>
        <w:pStyle w:val="ListBullet"/>
      </w:pPr>
      <w:r/>
      <w:r>
        <w:rPr>
          <w:b/>
        </w:rPr>
        <w:t>Status asthmaticus réfractaire</w:t>
      </w:r>
      <w:r>
        <w:t xml:space="preserve"> : kétamine IV en perfusion continue 0,5-2 mg/kg/h en réanimation pédiatrique et adulte.</w:t>
      </w:r>
    </w:p>
    <w:p>
      <w:pPr>
        <w:pStyle w:val="ListBullet"/>
      </w:pPr>
      <w:r/>
      <w:r>
        <w:rPr>
          <w:b/>
        </w:rPr>
        <w:t>Douleur neuropathique</w:t>
      </w:r>
      <w:r>
        <w:t xml:space="preserve"> : infusion SC 0,1-0,3 mg/kg/h en relais des opioïdes.</w:t>
      </w:r>
    </w:p>
    <w:p>
      <w:pPr>
        <w:pStyle w:val="ListBullet"/>
      </w:pPr>
      <w:r/>
      <w:r>
        <w:rPr>
          <w:b/>
        </w:rPr>
        <w:t>Douleur cancéréreuse terminale</w:t>
      </w:r>
      <w:r>
        <w:t xml:space="preserve"> : infusion continue SC en association avec les opioïdes.</w:t>
      </w:r>
    </w:p>
    <w:p>
      <w:pPr>
        <w:pStyle w:val="ListBullet"/>
      </w:pPr>
      <w:r/>
      <w:r>
        <w:rPr>
          <w:b/>
        </w:rPr>
        <w:t>Bronchodilatation en asthme aigu grave</w:t>
      </w:r>
      <w:r>
        <w:t xml:space="preserve"> : 0,5-1 mg/kg IV bolus puis 0,5-2 mg/kg/h.</w:t>
      </w:r>
    </w:p>
    <w:p>
      <w:r/>
      <w:r>
        <w:rPr>
          <w:b/>
        </w:rPr>
        <w:t>Contre-indications formelles :</w:t>
      </w:r>
      <w:r/>
    </w:p>
    <w:p>
      <w:pPr>
        <w:pStyle w:val="ListBullet"/>
      </w:pPr>
      <w:r/>
      <w:r>
        <w:rPr>
          <w:b/>
        </w:rPr>
        <w:t>Hypertension artérielle sévère non contrôlée</w:t>
      </w:r>
      <w:r>
        <w:t xml:space="preserve"> (PAS &gt; 180 mmHg ou PAD &gt; 110 mmHg) : la stimulation sympathique peut aggraver l'HTA et provoquer une crise hypertensive, un AVC hémorragique, une dissection aortique.</w:t>
      </w:r>
    </w:p>
    <w:p>
      <w:pPr>
        <w:pStyle w:val="ListBullet"/>
      </w:pPr>
      <w:r/>
      <w:r>
        <w:rPr>
          <w:b/>
        </w:rPr>
        <w:t>Coronaropathie instable</w:t>
      </w:r>
      <w:r>
        <w:t xml:space="preserve"> (syndrome coronarien aigu, angor instable, IDM récent &lt; 1 mois) : la tachycardie augmente la consommation myocardique en O2.</w:t>
      </w:r>
    </w:p>
    <w:p>
      <w:pPr>
        <w:pStyle w:val="ListBullet"/>
      </w:pPr>
      <w:r/>
      <w:r>
        <w:rPr>
          <w:b/>
        </w:rPr>
        <w:t>Insuffisance cardiaque décompensée</w:t>
      </w:r>
      <w:r>
        <w:t xml:space="preserve"> : la stimulation sympathique peut aggraver l'insuffisance.</w:t>
      </w:r>
    </w:p>
    <w:p>
      <w:pPr>
        <w:pStyle w:val="ListBullet"/>
      </w:pPr>
      <w:r/>
      <w:r>
        <w:rPr>
          <w:b/>
        </w:rPr>
        <w:t>Pré-éclampsie sévère et éclampsie</w:t>
      </w:r>
      <w:r>
        <w:t xml:space="preserve"> : risque d'HTA maligne.</w:t>
      </w:r>
    </w:p>
    <w:p>
      <w:pPr>
        <w:pStyle w:val="ListBullet"/>
      </w:pPr>
      <w:r/>
      <w:r>
        <w:rPr>
          <w:b/>
        </w:rPr>
        <w:t>Psychoses aiguës</w:t>
      </w:r>
      <w:r>
        <w:t xml:space="preserve"> (schizophrénie décompensée, trouble bipolaire en phase maniaque) : les réactions d'émergence peuvent aggraver le tableau psychotique.</w:t>
      </w:r>
    </w:p>
    <w:p>
      <w:pPr>
        <w:pStyle w:val="ListBullet"/>
      </w:pPr>
      <w:r/>
      <w:r>
        <w:rPr>
          <w:b/>
        </w:rPr>
        <w:t>Traumatisé crânien avec hypertension intracrânienne non contrôlée</w:t>
      </w:r>
      <w:r>
        <w:t xml:space="preserve"> : la kétamine augmente la PIC (à nuancer selon recommandations SFAR récentes en ventilation contrôlée).</w:t>
      </w:r>
    </w:p>
    <w:p>
      <w:pPr>
        <w:pStyle w:val="ListBullet"/>
      </w:pPr>
      <w:r/>
      <w:r>
        <w:rPr>
          <w:b/>
        </w:rPr>
        <w:t>Hypersensibilité connue à la kétamine</w:t>
      </w:r>
      <w:r>
        <w:t>.</w:t>
      </w:r>
    </w:p>
    <w:p>
      <w:r/>
      <w:r>
        <w:rPr>
          <w:b/>
        </w:rPr>
        <w:t>Contre-indications relatives :</w:t>
      </w:r>
      <w:r/>
    </w:p>
    <w:p>
      <w:pPr>
        <w:pStyle w:val="ListBullet"/>
      </w:pPr>
      <w:r>
        <w:t>Grossesse (usage possible en urgence, voir section Grossesse).</w:t>
      </w:r>
    </w:p>
    <w:p>
      <w:pPr>
        <w:pStyle w:val="ListBullet"/>
      </w:pPr>
      <w:r>
        <w:t>Glaucome à angle fermé non contrôlé (la kétamine augmente la pression intraoculaire).</w:t>
      </w:r>
    </w:p>
    <w:p>
      <w:pPr>
        <w:pStyle w:val="ListBullet"/>
      </w:pPr>
      <w:r>
        <w:t>Hyperthyroïdie non contrôlée (risque de crise thyréotoxique).</w:t>
      </w:r>
    </w:p>
    <w:p>
      <w:pPr>
        <w:pStyle w:val="Heading3"/>
      </w:pPr>
      <w:r>
        <w:t>181.4.1.6 Effets indésirables et prévention</w:t>
      </w:r>
    </w:p>
    <w:p>
      <w:r/>
      <w:r>
        <w:rPr>
          <w:b/>
        </w:rPr>
        <w:t>Effets indésirables fréquents (&gt; 1/100) :</w:t>
      </w:r>
      <w:r/>
    </w:p>
    <w:p>
      <w:pPr>
        <w:pStyle w:val="ListBullet"/>
      </w:pPr>
      <w:r/>
      <w:r>
        <w:rPr>
          <w:b/>
        </w:rPr>
        <w:t>Réactions d'émergence (hallucinations, délires, anxiété, cauchemars)</w:t>
      </w:r>
      <w:r>
        <w:t xml:space="preserve"> : 10 à 30 % des adultes, plus rares chez l'enfant (5 %). Surviennent 1 à 4 heures après l'injection, peuvent durer 24-48 heures. Prévention : prémédication par midazolam 0,05 mg/kg IV ; réduction de la dose ; récupération en environnement calme, faiblement stimulé et sombre ; présence rassurante d'un proche ; explanation préalable au patient. Traitement : benzodiazépine IV (midazolam 0,05 mg/kg ou diazépam 0,1 mg/kg).</w:t>
      </w:r>
    </w:p>
    <w:p>
      <w:pPr>
        <w:pStyle w:val="ListBullet"/>
      </w:pPr>
      <w:r/>
      <w:r>
        <w:rPr>
          <w:b/>
        </w:rPr>
        <w:t>Hypertension et tachycardie</w:t>
      </w:r>
      <w:r>
        <w:t xml:space="preserve"> : 20-30 % d'augmentation de la PAM et de la FC. Prévention : réduire la dose chez le coronarien et l'hypertendu ; prémédication par β-bloquant ou clonidine chez le patient à risque.</w:t>
      </w:r>
    </w:p>
    <w:p>
      <w:pPr>
        <w:pStyle w:val="ListBullet"/>
      </w:pPr>
      <w:r/>
      <w:r>
        <w:rPr>
          <w:b/>
        </w:rPr>
        <w:t>Hypersécrétion salivaire et bronchique</w:t>
      </w:r>
      <w:r>
        <w:t xml:space="preserve"> : 30-50 % des cas. Prévention : prémédication par atropine 0,01 mg/kg IV ou glycopyrrolate 0,005 mg/kg IV, surtout chez l'enfant.</w:t>
      </w:r>
    </w:p>
    <w:p>
      <w:pPr>
        <w:pStyle w:val="ListBullet"/>
      </w:pPr>
      <w:r/>
      <w:r>
        <w:rPr>
          <w:b/>
        </w:rPr>
        <w:t>Nystagmus horizontal</w:t>
      </w:r>
      <w:r>
        <w:t xml:space="preserve"> : quasi-constant, bénin, transitoire.</w:t>
      </w:r>
    </w:p>
    <w:p>
      <w:pPr>
        <w:pStyle w:val="ListBullet"/>
      </w:pPr>
      <w:r/>
      <w:r>
        <w:rPr>
          <w:b/>
        </w:rPr>
        <w:t>Mouvements anormaux, myoclonies, hypertonie</w:t>
      </w:r>
      <w:r>
        <w:t xml:space="preserve"> : 5-15 %. Prévention : prémédication par midazolam.</w:t>
      </w:r>
    </w:p>
    <w:p>
      <w:pPr>
        <w:pStyle w:val="ListBullet"/>
      </w:pPr>
      <w:r/>
      <w:r>
        <w:rPr>
          <w:b/>
        </w:rPr>
        <w:t>Nausées et vomissements post-opératoires</w:t>
      </w:r>
      <w:r>
        <w:t xml:space="preserve"> : 15-25 %, plus fréquents qu'avec le propofol. Prévention : ondansétron 4 mg IV + dexaméthasone 4-8 mg IV.</w:t>
      </w:r>
    </w:p>
    <w:p>
      <w:pPr>
        <w:pStyle w:val="ListBullet"/>
      </w:pPr>
      <w:r/>
      <w:r>
        <w:rPr>
          <w:b/>
        </w:rPr>
        <w:t>Rêves vivaces, sensations de flottement, de mort imminente</w:t>
      </w:r>
      <w:r>
        <w:t xml:space="preserve"> : 10-20 %, souvent angoissants. Prévention : prémédication par midazolam, environnement calme.</w:t>
      </w:r>
    </w:p>
    <w:p>
      <w:r/>
      <w:r>
        <w:rPr>
          <w:b/>
        </w:rPr>
        <w:t>Effets indésirables rares (1/1000 à 1/100) :</w:t>
      </w:r>
      <w:r/>
    </w:p>
    <w:p>
      <w:pPr>
        <w:pStyle w:val="ListBullet"/>
      </w:pPr>
      <w:r/>
      <w:r>
        <w:rPr>
          <w:b/>
        </w:rPr>
        <w:t>Bronchospasme paradoxal</w:t>
      </w:r>
      <w:r>
        <w:t xml:space="preserve"> : rare, en cas d'hypersécrétion obstructive.</w:t>
      </w:r>
    </w:p>
    <w:p>
      <w:pPr>
        <w:pStyle w:val="ListBullet"/>
      </w:pPr>
      <w:r/>
      <w:r>
        <w:rPr>
          <w:b/>
        </w:rPr>
        <w:t>Laryngospasme</w:t>
      </w:r>
      <w:r>
        <w:t xml:space="preserve"> : rare (1/500), en cas d'hypersécrétion et de stimulation laryngée.</w:t>
      </w:r>
    </w:p>
    <w:p>
      <w:pPr>
        <w:pStyle w:val="ListBullet"/>
      </w:pPr>
      <w:r/>
      <w:r>
        <w:rPr>
          <w:b/>
        </w:rPr>
        <w:t>Dépression respiratoire dose-dépendante</w:t>
      </w:r>
      <w:r>
        <w:t xml:space="preserve"> : rare à dose standard, plus fréquente à dose élevée ou en association avec les opioïdes.</w:t>
      </w:r>
    </w:p>
    <w:p>
      <w:pPr>
        <w:pStyle w:val="ListBullet"/>
      </w:pPr>
      <w:r/>
      <w:r>
        <w:rPr>
          <w:b/>
        </w:rPr>
        <w:t>Réaction anaphylactique</w:t>
      </w:r>
      <w:r>
        <w:t xml:space="preserve"> : 1/10 000.</w:t>
      </w:r>
    </w:p>
    <w:p>
      <w:r/>
      <w:r>
        <w:rPr>
          <w:b/>
        </w:rPr>
        <w:t>Effets indésirables graves (&lt; 1/10 000) :</w:t>
      </w:r>
      <w:r/>
    </w:p>
    <w:p>
      <w:pPr>
        <w:pStyle w:val="ListBullet"/>
      </w:pPr>
      <w:r/>
      <w:r>
        <w:rPr>
          <w:b/>
        </w:rPr>
        <w:t>Crise hypertensive maligne</w:t>
      </w:r>
      <w:r>
        <w:t xml:space="preserve"> : chez le patient hypertendu non contrôlé, le coronarien instable, ou en cas de surdosage. Prévention : dépistage des antécédents, prémédication par β-bloquant, surveillance continue.</w:t>
      </w:r>
    </w:p>
    <w:p>
      <w:pPr>
        <w:pStyle w:val="ListBullet"/>
      </w:pPr>
      <w:r/>
      <w:r>
        <w:rPr>
          <w:b/>
        </w:rPr>
        <w:t>Œdème pulmonaire non cardiogénique</w:t>
      </w:r>
      <w:r>
        <w:t xml:space="preserve"> : rare, en cas d'hypersécrétion et d'augmentation brutale de la pression artérielle.</w:t>
      </w:r>
    </w:p>
    <w:p>
      <w:pPr>
        <w:pStyle w:val="ListBullet"/>
      </w:pPr>
      <w:r/>
      <w:r>
        <w:rPr>
          <w:b/>
        </w:rPr>
        <w:t>Arrêt cardiaque</w:t>
      </w:r>
      <w:r>
        <w:t xml:space="preserve"> : exceptionnel, en cas de surdosage massif ou de pathologie sous-jacente grave.</w:t>
      </w:r>
    </w:p>
    <w:p>
      <w:pPr>
        <w:pStyle w:val="ListBullet"/>
      </w:pPr>
      <w:r/>
      <w:r>
        <w:rPr>
          <w:b/>
        </w:rPr>
        <w:t>Augmentation critique de la PIC</w:t>
      </w:r>
      <w:r>
        <w:t xml:space="preserve"> : chez le traumatisé crânien non ventilé, peut aggraver l'engagement cérébral.</w:t>
      </w:r>
    </w:p>
    <w:p>
      <w:pPr>
        <w:pStyle w:val="ListBullet"/>
      </w:pPr>
      <w:r/>
      <w:r>
        <w:rPr>
          <w:b/>
        </w:rPr>
        <w:t>Décompensation psychiatrique</w:t>
      </w:r>
      <w:r>
        <w:t xml:space="preserve"> : chez le patient psychotique prédisposé, déclenchement possible d'un épisode psychotique aigu.</w:t>
      </w:r>
    </w:p>
    <w:p>
      <w:r/>
      <w:r>
        <w:rPr>
          <w:b/>
        </w:rPr>
        <w:t>Effets à long terme (usage chronique ou récréatif) :</w:t>
      </w:r>
      <w:r/>
    </w:p>
    <w:p>
      <w:pPr>
        <w:pStyle w:val="ListBullet"/>
      </w:pPr>
      <w:r/>
      <w:r>
        <w:rPr>
          <w:b/>
        </w:rPr>
        <w:t>Toxicité vésicale (cystite interstitielle)</w:t>
      </w:r>
      <w:r>
        <w:t xml:space="preserve"> : chez les usagers récréatifs chroniques de kétamine, atteinte vésicale fibrosante (kératinisation de l'urothélium, épaississement de la paroi vésicale, capacité réduite), se manifestant par pollakiurie, dysurie, hématurie, douleurs pelviennes. Décrite principalement chez les usagers d'Asie du Sud-Est, incidence inconnue en Algérie.</w:t>
      </w:r>
    </w:p>
    <w:p>
      <w:pPr>
        <w:pStyle w:val="ListBullet"/>
      </w:pPr>
      <w:r/>
      <w:r>
        <w:rPr>
          <w:b/>
        </w:rPr>
        <w:t>Hépatotoxicité</w:t>
      </w:r>
      <w:r>
        <w:t xml:space="preserve"> : rares cas d'hépatite cytolytique en usage chronique.</w:t>
      </w:r>
    </w:p>
    <w:p>
      <w:pPr>
        <w:pStyle w:val="ListBullet"/>
      </w:pPr>
      <w:r/>
      <w:r>
        <w:rPr>
          <w:b/>
        </w:rPr>
        <w:t>Troubles cognitifs</w:t>
      </w:r>
      <w:r>
        <w:t xml:space="preserve"> : troubles mnésiques et attentionnels en usage chronique récréatif.</w:t>
      </w:r>
    </w:p>
    <w:p>
      <w:pPr>
        <w:pStyle w:val="Heading3"/>
      </w:pPr>
      <w:r>
        <w:t>181.4.1.7 Interactions médicamenteuses</w:t>
      </w:r>
    </w:p>
    <w:p>
      <w:r>
        <w:t>La kétamine est métabolisée principalement par le CYP3A4 et le CYP2B6, avec un effet de premier passage hépatique important. Le profil d'interactions est significatif.</w:t>
      </w:r>
    </w:p>
    <w:p>
      <w:r/>
      <w:r>
        <w:rPr>
          <w:b/>
        </w:rPr>
        <w:t>Interactions pharmacodynamiques majeures :</w:t>
      </w:r>
      <w:r/>
    </w:p>
    <w:p>
      <w:pPr>
        <w:pStyle w:val="ListBullet"/>
      </w:pPr>
      <w:r/>
      <w:r>
        <w:rPr>
          <w:b/>
        </w:rPr>
        <w:t>Avec les opioïdes (morphine, fentanyl, sufentanil) :</w:t>
      </w:r>
      <w:r>
        <w:t xml:space="preserve"> potentialisation de l'analgésie et de la dépression respiratoire. Réduction de la dose d'opioïde de 30-50 %. Effet synergique recherché en anesthésie balancée.</w:t>
      </w:r>
    </w:p>
    <w:p>
      <w:pPr>
        <w:pStyle w:val="ListBullet"/>
      </w:pPr>
      <w:r/>
      <w:r>
        <w:rPr>
          <w:b/>
        </w:rPr>
        <w:t>Avec les benzodiazépines (midazolam) :</w:t>
      </w:r>
      <w:r>
        <w:t xml:space="preserve"> potentialisation de la sédation, réduction des réactions d'émergence (prémédication par midazolam 0,05 mg/kg est recommandée).</w:t>
      </w:r>
    </w:p>
    <w:p>
      <w:pPr>
        <w:pStyle w:val="ListBullet"/>
      </w:pPr>
      <w:r/>
      <w:r>
        <w:rPr>
          <w:b/>
        </w:rPr>
        <w:t>Avec les halogénés (sévoflurane, isoflurane) :</w:t>
      </w:r>
      <w:r>
        <w:t xml:space="preserve"> effet additif sur l'hypnose, économie de l'agent halogéné. La kétamine réduit le risque d'hypotension induite par les halogénés.</w:t>
      </w:r>
    </w:p>
    <w:p>
      <w:pPr>
        <w:pStyle w:val="ListBullet"/>
      </w:pPr>
      <w:r/>
      <w:r>
        <w:rPr>
          <w:b/>
        </w:rPr>
        <w:t>Avec les curares (succinylcholine, rocuronium) :</w:t>
      </w:r>
      <w:r>
        <w:t xml:space="preserve"> pas d'interaction pharmacocinétique significative.</w:t>
      </w:r>
    </w:p>
    <w:p>
      <w:pPr>
        <w:pStyle w:val="ListBullet"/>
      </w:pPr>
      <w:r/>
      <w:r>
        <w:rPr>
          <w:b/>
        </w:rPr>
        <w:t>Avec les vasopresseurs (noradrénaline, adrénaline, dobutamine) :</w:t>
      </w:r>
      <w:r>
        <w:t xml:space="preserve"> potentialisation de l'effet vasopresseur (la kétamine augmente la sensibilité aux catécholamines). Réduction possible des doses de vasopresseurs en réanimation.</w:t>
      </w:r>
    </w:p>
    <w:p>
      <w:pPr>
        <w:pStyle w:val="ListBullet"/>
      </w:pPr>
      <w:r/>
      <w:r>
        <w:rPr>
          <w:b/>
        </w:rPr>
        <w:t>Avec les antidépresseurs (ISRS, IRSN, IMAO) :</w:t>
      </w:r>
      <w:r>
        <w:t xml:space="preserve"> risque de syndrome sérotoninergique en cas d'usage combiné (kétamine IV pour dépression résistante + ISRS). Surveillance neurologique et végétative stricte.</w:t>
      </w:r>
    </w:p>
    <w:p>
      <w:pPr>
        <w:pStyle w:val="ListBullet"/>
      </w:pPr>
      <w:r/>
      <w:r>
        <w:rPr>
          <w:b/>
        </w:rPr>
        <w:t>Avec la théophylline, les inhibiteurs calciques (vérapamil), les β-bloquants</w:t>
      </w:r>
      <w:r>
        <w:t xml:space="preserve"> : réduction de l'effet hypertenseur de la kétamine (interaction pharmacodynamique), possible bradycardie ou hypotension paradoxale.</w:t>
      </w:r>
    </w:p>
    <w:p>
      <w:pPr>
        <w:pStyle w:val="ListBullet"/>
      </w:pPr>
      <w:r/>
      <w:r>
        <w:rPr>
          <w:b/>
        </w:rPr>
        <w:t>Avec l'alcool</w:t>
      </w:r>
      <w:r>
        <w:t xml:space="preserve"> : potentialisation de la sédation et de l'effet psychodysleptique. À éviter.</w:t>
      </w:r>
    </w:p>
    <w:p>
      <w:r/>
      <w:r>
        <w:rPr>
          <w:b/>
        </w:rPr>
        <w:t>Interactions pharmacocinétiques :</w:t>
      </w:r>
      <w:r/>
    </w:p>
    <w:p>
      <w:pPr>
        <w:pStyle w:val="ListBullet"/>
      </w:pPr>
      <w:r/>
      <w:r>
        <w:rPr>
          <w:b/>
        </w:rPr>
        <w:t>Avec les inducteurs enzymatiques (rifampicine, phénytoïne, carbamazépine, millepertuis) :</w:t>
      </w:r>
      <w:r>
        <w:t xml:space="preserve"> augmentation de la clearance de la kétamine, nécessité de doses plus élevées.</w:t>
      </w:r>
    </w:p>
    <w:p>
      <w:pPr>
        <w:pStyle w:val="ListBullet"/>
      </w:pPr>
      <w:r/>
      <w:r>
        <w:rPr>
          <w:b/>
        </w:rPr>
        <w:t>Avec les inhibiteurs enzymatiques (azolés, macrolides, inhibiteurs de protéase, ritonavir, clarithromycine, grapefruit) :</w:t>
      </w:r>
      <w:r>
        <w:t xml:space="preserve"> réduction de la clearance, allongement de la durée d'action, majoration des effets psychodysleptiques.</w:t>
      </w:r>
    </w:p>
    <w:p>
      <w:pPr>
        <w:pStyle w:val="ListBullet"/>
      </w:pPr>
      <w:r/>
      <w:r>
        <w:rPr>
          <w:b/>
        </w:rPr>
        <w:t>Avec les opioïdes (fentanyl, alfentanil, sufentanil) :</w:t>
      </w:r>
      <w:r>
        <w:t xml:space="preserve"> la kétamine réduit la consommation d'opioïdes en peropératoire et en post-opératoire (effet d'épargne).</w:t>
      </w:r>
    </w:p>
    <w:p>
      <w:r/>
      <w:r>
        <w:rPr>
          <w:b/>
        </w:rPr>
        <w:t>Précautions alimentaires :</w:t>
      </w:r>
      <w:r>
        <w:t xml:space="preserve"> éviter l'alcool pendant 24 heures. Pas de régime particulier. Le jeûne pré-opératoire strict est obligatoire.</w:t>
      </w:r>
    </w:p>
    <w:p>
      <w:pPr>
        <w:pStyle w:val="Heading3"/>
      </w:pPr>
      <w:r>
        <w:t>181.4.1.8 Grossesse, allaitement et CRAT</w:t>
      </w:r>
    </w:p>
    <w:p>
      <w:r/>
      <w:r>
        <w:rPr>
          <w:b/>
        </w:rPr>
        <w:t>Grossesse :</w:t>
      </w:r>
      <w:r>
        <w:t xml:space="preserve"> la kétamine traverse la barrière placentaire (rapport ftéo-maternel 1,0). Le CRAT classe la kétamine comme « non tératogène » aux doses anesthésiques, sans effet malformatif documenté chez l'animal ni chez l'humain. Les données observationnelles (cohortes obstétricales) ne montrent pas d'augmentation du risque de malformations majeures.</w:t>
      </w:r>
    </w:p>
    <w:p>
      <w:r/>
      <w:r>
        <w:rPr>
          <w:b/>
        </w:rPr>
        <w:t>Anesthésie générale pour césarienne en urgence</w:t>
      </w:r>
      <w:r>
        <w:t xml:space="preserve"> : la kétamine peut être utilisée en induction en séquence rapide chez la patiente instable (choc hémorragique, hypovolémie, sténose aortique, choc septique). Dose de 1-1,5 mg/kg IV en bolus, succinylcholine 1 mg/kg, pression cricoïdienne. La kétamine préserve l'hémodynamique maternelle et la perfusion utéro-placentaire. Risque d'hypertension maternelle à évaluer.</w:t>
      </w:r>
    </w:p>
    <w:p>
      <w:r/>
      <w:r>
        <w:rPr>
          <w:b/>
        </w:rPr>
        <w:t>Toxicomanie gravidique</w:t>
      </w:r>
      <w:r>
        <w:t xml:space="preserve"> : la kétamine en usage récréatif chronique pendant la grossesse expose à un risque de prématurité, de retard de croissance intra-utérin, de syndrome de sevrage néonatal (irritabilité, hypertonie, tremblements). Le suivi obstétrical doit être renforcé.</w:t>
      </w:r>
    </w:p>
    <w:p>
      <w:r/>
      <w:r>
        <w:rPr>
          <w:b/>
        </w:rPr>
        <w:t>Allaitement :</w:t>
      </w:r>
      <w:r>
        <w:t xml:space="preserve"> la kétamine passe dans le lait maternel en quantité faible (rapport lait/plasma 0,2-0,5). Après anesthésie unique, la reprise de l'allaitement peut se faire dès que la mère est suffisamment éveillée (selon le CRAT, reprise possible 4-6 heures après l'anesthésie, en s'assurant de l'absence de signes de sédation résiduelle).</w:t>
      </w:r>
    </w:p>
    <w:p>
      <w:r/>
      <w:r>
        <w:rPr>
          <w:b/>
        </w:rPr>
        <w:t>Femme en âge de procréer :</w:t>
      </w:r>
      <w:r>
        <w:t xml:space="preserve"> pas de contraception particulière nécessaire en usage thérapeutique. En usage récréatif chronique, contraception efficace recommandée en raison du risque tératogène animal discuté.</w:t>
      </w:r>
    </w:p>
    <w:p>
      <w:r/>
      <w:r>
        <w:rPr>
          <w:b/>
        </w:rPr>
        <w:t>Conseil CRAT :</w:t>
      </w:r>
      <w:r>
        <w:t xml:space="preserve"> « La kétamine est utilisable pendant la grossesse dans ses indications autorisées, en particulier en cas d'instabilité hémodynamique maternelle. En cas de césarienne en urgence chez une patiente instable, la kétamine est une alternative valable au thiopental et à l'étomidate. »</w:t>
      </w:r>
    </w:p>
    <w:p>
      <w:pPr>
        <w:pStyle w:val="Heading3"/>
      </w:pPr>
      <w:r>
        <w:t>181.4.1.9 Posologie et mode d'administration</w:t>
      </w:r>
    </w:p>
    <w:p>
      <w:r/>
      <w:r>
        <w:rPr>
          <w:b/>
        </w:rPr>
        <w:t>Induction de l'anesthésie générale :</w:t>
      </w:r>
      <w:r/>
    </w:p>
    <w:p>
      <w:pPr>
        <w:pStyle w:val="ListBullet"/>
      </w:pPr>
      <w:r>
        <w:t>Adulte sain : 1 à 2 mg/kg IV (bolus sur 30-60 s), ou 4 à 6 mg/kg IM.</w:t>
      </w:r>
    </w:p>
    <w:p>
      <w:pPr>
        <w:pStyle w:val="ListBullet"/>
      </w:pPr>
      <w:r>
        <w:t>Adulte instable (choc, hypovolémique, choc septique) : 0,5 à 1,5 mg/kg IV.</w:t>
      </w:r>
    </w:p>
    <w:p>
      <w:pPr>
        <w:pStyle w:val="ListBullet"/>
      </w:pPr>
      <w:r>
        <w:t>Enfant : 2 mg/kg IV ou 4-6 mg/kg IM.</w:t>
      </w:r>
    </w:p>
    <w:p>
      <w:r/>
      <w:r>
        <w:rPr>
          <w:b/>
        </w:rPr>
        <w:t>Entretien de l'anesthésie :</w:t>
      </w:r>
      <w:r/>
    </w:p>
    <w:p>
      <w:pPr>
        <w:pStyle w:val="ListBullet"/>
      </w:pPr>
      <w:r>
        <w:t>Perfusion continue : 0,5 à 2 mg/kg/h en AIAC.</w:t>
      </w:r>
    </w:p>
    <w:p>
      <w:pPr>
        <w:pStyle w:val="ListBullet"/>
      </w:pPr>
      <w:r>
        <w:t>Bolus répétés : 0,5-1 mg/kg IV toutes les 15-20 min.</w:t>
      </w:r>
    </w:p>
    <w:p>
      <w:r/>
      <w:r>
        <w:rPr>
          <w:b/>
        </w:rPr>
        <w:t>Sédation procédurale consciente :</w:t>
      </w:r>
      <w:r/>
    </w:p>
    <w:p>
      <w:pPr>
        <w:pStyle w:val="ListBullet"/>
      </w:pPr>
      <w:r>
        <w:t>Adulte : 0,2 à 0,5 mg/kg IV, ou 2 à 4 mg/kg IM.</w:t>
      </w:r>
    </w:p>
    <w:p>
      <w:pPr>
        <w:pStyle w:val="ListBullet"/>
      </w:pPr>
      <w:r>
        <w:t>Enfant : 0,5 à 1 mg/kg IV, ou 4 à 5 mg/kg IM.</w:t>
      </w:r>
    </w:p>
    <w:p>
      <w:r/>
      <w:r>
        <w:rPr>
          <w:b/>
        </w:rPr>
        <w:t>Analgésie chronique et cancer :</w:t>
      </w:r>
      <w:r/>
    </w:p>
    <w:p>
      <w:pPr>
        <w:pStyle w:val="ListBullet"/>
      </w:pPr>
      <w:r>
        <w:t>Perfusion continue SC : 0,1 à 0,3 mg/kg/h.</w:t>
      </w:r>
    </w:p>
    <w:p>
      <w:pPr>
        <w:pStyle w:val="ListBullet"/>
      </w:pPr>
      <w:r>
        <w:t>Bolus IV : 0,1 à 0,3 mg/kg en cas de douleur paroxystique.</w:t>
      </w:r>
    </w:p>
    <w:p>
      <w:pPr>
        <w:pStyle w:val="ListBullet"/>
      </w:pPr>
      <w:r>
        <w:t>Périmédullaire (épidurale ou intrathécale) : à dose réduite (0,1 mg/kg) en association avec les opioïdes.</w:t>
      </w:r>
    </w:p>
    <w:p>
      <w:r/>
      <w:r>
        <w:rPr>
          <w:b/>
        </w:rPr>
        <w:t>Status asthmaticus réfractaire :</w:t>
      </w:r>
      <w:r/>
    </w:p>
    <w:p>
      <w:pPr>
        <w:pStyle w:val="ListBullet"/>
      </w:pPr>
      <w:r>
        <w:t>Bolus IV 0,5-1 mg/kg, puis perfusion continue 0,5-2 mg/kg/h en réanimation.</w:t>
      </w:r>
    </w:p>
    <w:p>
      <w:r/>
      <w:r>
        <w:rPr>
          <w:b/>
        </w:rPr>
        <w:t>Dépression résistante (usage hors AMM) :</w:t>
      </w:r>
      <w:r/>
    </w:p>
    <w:p>
      <w:pPr>
        <w:pStyle w:val="ListBullet"/>
      </w:pPr>
      <w:r>
        <w:t>Kétamine IV 0,5 mg/kg en perfusion de 40 min, 2-3 fois/semaine pendant 2 semaines. Surveillance psychiatrique continue.</w:t>
      </w:r>
    </w:p>
    <w:p>
      <w:r/>
      <w:r>
        <w:rPr>
          <w:b/>
        </w:rPr>
        <w:t>Mode d'administration pratique :</w:t>
      </w:r>
      <w:r/>
    </w:p>
    <w:p>
      <w:pPr>
        <w:pStyle w:val="ListBullet"/>
      </w:pPr>
      <w:r/>
      <w:r>
        <w:rPr>
          <w:b/>
        </w:rPr>
        <w:t>Voie IV :</w:t>
      </w:r>
      <w:r>
        <w:t xml:space="preserve"> dans une veine périphérique de gros calibre ; injection lente (sur 30-60 s) pour minimiser les réactions d'émergence.</w:t>
      </w:r>
    </w:p>
    <w:p>
      <w:pPr>
        <w:pStyle w:val="ListBullet"/>
      </w:pPr>
      <w:r/>
      <w:r>
        <w:rPr>
          <w:b/>
        </w:rPr>
        <w:t>Voie IM :</w:t>
      </w:r>
      <w:r>
        <w:t xml:space="preserve"> injection profonde intramusculaire dans le muscle deltoïde ou le quadriceps ; délai d'action 5-10 min.</w:t>
      </w:r>
    </w:p>
    <w:p>
      <w:pPr>
        <w:pStyle w:val="ListBullet"/>
      </w:pPr>
      <w:r/>
      <w:r>
        <w:rPr>
          <w:b/>
        </w:rPr>
        <w:t>Voie SC :</w:t>
      </w:r>
      <w:r>
        <w:t xml:space="preserve"> perfusion continue à la seringue électrique, site rotatif toutes les 24-48 h pour éviter les irritations locales.</w:t>
      </w:r>
    </w:p>
    <w:p>
      <w:pPr>
        <w:pStyle w:val="ListBullet"/>
      </w:pPr>
      <w:r/>
      <w:r>
        <w:rPr>
          <w:b/>
        </w:rPr>
        <w:t>Voie intranasale :</w:t>
      </w:r>
      <w:r>
        <w:t xml:space="preserve"> spray nasal (escétamine, non disponible en Algérie).</w:t>
      </w:r>
    </w:p>
    <w:p>
      <w:pPr>
        <w:pStyle w:val="ListBullet"/>
      </w:pPr>
      <w:r/>
      <w:r>
        <w:rPr>
          <w:b/>
        </w:rPr>
        <w:t>Aspect de la solution :</w:t>
      </w:r>
      <w:r>
        <w:t xml:space="preserve"> limpide, incolore. Toute solution trouble doit être jetée.</w:t>
      </w:r>
    </w:p>
    <w:p>
      <w:pPr>
        <w:pStyle w:val="ListBullet"/>
      </w:pPr>
      <w:r/>
      <w:r>
        <w:rPr>
          <w:b/>
        </w:rPr>
        <w:t>Prémédication systématique :</w:t>
      </w:r>
      <w:r>
        <w:t xml:space="preserve"> midazolam 0,05 mg/kg IV 2-3 min avant (réduction des réactions d'émergence) ; atropine 0,01 mg/kg IV chez l'enfant (réduction de l'hypersécrétion) ; ondansétron 4 mg IV (réduction des NVPO).</w:t>
      </w:r>
    </w:p>
    <w:p>
      <w:pPr>
        <w:pStyle w:val="Heading3"/>
      </w:pPr>
      <w:r>
        <w:t>181.4.1.10 Arbitrage et bénéfices des formes galéniques disponibles</w:t>
      </w:r>
    </w:p>
    <w:p>
      <w:r/>
      <w:r>
        <w:rPr>
          <w:b/>
        </w:rPr>
        <w:t>Forme solution injectable 50 mg/mL — Ketaraz :</w:t>
      </w:r>
      <w:r/>
    </w:p>
    <w:p>
      <w:pPr>
        <w:pStyle w:val="ListBullet"/>
      </w:pPr>
      <w:r/>
      <w:r>
        <w:rPr>
          <w:b/>
        </w:rPr>
        <w:t>Présentation :</w:t>
      </w:r>
      <w:r>
        <w:t xml:space="preserve"> ampoules de 2 mL contenant 100 mg de kétamine (50 mg/mL), en boîtes de 10 et 50 ampoules.</w:t>
      </w:r>
    </w:p>
    <w:p>
      <w:pPr>
        <w:pStyle w:val="ListBullet"/>
      </w:pPr>
      <w:r/>
      <w:r>
        <w:rPr>
          <w:b/>
        </w:rPr>
        <w:t>Avantages :</w:t>
      </w:r>
      <w:r>
        <w:t xml:space="preserve"> dosage standard international, formulation stable (3 ans à température ambiante), usage IV et IM, production locale (Frater Razes, Algérie), prix modéré.</w:t>
      </w:r>
    </w:p>
    <w:p>
      <w:pPr>
        <w:pStyle w:val="ListBullet"/>
      </w:pPr>
      <w:r/>
      <w:r>
        <w:rPr>
          <w:b/>
        </w:rPr>
        <w:t>Inconvénients :</w:t>
      </w:r>
      <w:r>
        <w:t xml:space="preserve"> volume d'ampoule (2 mL) parfois limité pour les doses élevées (perfusion continue 2-4 mg/kg/h chez l'adulte = 100-200 mg/h = 1-2 ampoules/h) ; pas de formulation en flacon de 20 mL ou 10 mL pour perfusion prolongée.</w:t>
      </w:r>
    </w:p>
    <w:p>
      <w:pPr>
        <w:pStyle w:val="ListBullet"/>
      </w:pPr>
      <w:r/>
      <w:r>
        <w:rPr>
          <w:b/>
        </w:rPr>
        <w:t>Indications :</w:t>
      </w:r>
      <w:r>
        <w:t xml:space="preserve"> induction anesthésique, sédation procédurale, analgésie chronique.</w:t>
      </w:r>
    </w:p>
    <w:p>
      <w:r/>
      <w:r>
        <w:rPr>
          <w:b/>
        </w:rPr>
        <w:t>Formes 10 mg/mL et 100 mg/mL (Ketamine-10 et Ketamine-50, Liorad) — NON_RENOUVELABLES :</w:t>
      </w:r>
      <w:r/>
    </w:p>
    <w:p>
      <w:pPr>
        <w:pStyle w:val="ListBullet"/>
      </w:pPr>
      <w:r/>
      <w:r>
        <w:rPr>
          <w:b/>
        </w:rPr>
        <w:t>Présentation :</w:t>
      </w:r>
      <w:r>
        <w:t xml:space="preserve"> flacons de 20 mL (10 mg/mL) ou 10 mL (50 mg/mL), en boîtes de 20 flacons.</w:t>
      </w:r>
    </w:p>
    <w:p>
      <w:pPr>
        <w:pStyle w:val="ListBullet"/>
      </w:pPr>
      <w:r/>
      <w:r>
        <w:rPr>
          <w:b/>
        </w:rPr>
        <w:t>Avantages :</w:t>
      </w:r>
      <w:r>
        <w:t xml:space="preserve"> présentation en flacon plus pratique pour la perfusion continue (permet de préparer une seringue de 50 mL sans multiplier les ampoules).</w:t>
      </w:r>
    </w:p>
    <w:p>
      <w:pPr>
        <w:pStyle w:val="ListBullet"/>
      </w:pPr>
      <w:r/>
      <w:r>
        <w:rPr>
          <w:b/>
        </w:rPr>
        <w:t>Inconvénients :</w:t>
      </w:r>
      <w:r>
        <w:t xml:space="preserve"> non disponibles actuellement en Algérie.</w:t>
      </w:r>
    </w:p>
    <w:p>
      <w:pPr>
        <w:pStyle w:val="ListBullet"/>
      </w:pPr>
      <w:r/>
      <w:r>
        <w:rPr>
          <w:b/>
        </w:rPr>
        <w:t>Indications :</w:t>
      </w:r>
      <w:r>
        <w:t xml:space="preserve"> identiques à la forme 50 mg/mL.</w:t>
      </w:r>
    </w:p>
    <w:p>
      <w:r/>
      <w:r>
        <w:rPr>
          <w:b/>
        </w:rPr>
        <w:t>Formes historiques (Ketalar Parke-Davis, Brevinase Pharmacare) — RETRAIT :</w:t>
      </w:r>
      <w:r/>
    </w:p>
    <w:p>
      <w:pPr>
        <w:pStyle w:val="ListBullet"/>
      </w:pPr>
      <w:r/>
      <w:r>
        <w:rPr>
          <w:b/>
        </w:rPr>
        <w:t>Présentation :</w:t>
      </w:r>
      <w:r>
        <w:t xml:space="preserve"> ampoules et flacons de 10, 50, et 100 mg/mL, en boîtes de 25.</w:t>
      </w:r>
    </w:p>
    <w:p>
      <w:pPr>
        <w:pStyle w:val="ListBullet"/>
      </w:pPr>
      <w:r/>
      <w:r>
        <w:rPr>
          <w:b/>
        </w:rPr>
        <w:t>Avantages :</w:t>
      </w:r>
      <w:r>
        <w:t xml:space="preserve"> présentation complète, dosage 100 mg/mL utile pour la voie IM en anesthésie prolongée.</w:t>
      </w:r>
    </w:p>
    <w:p>
      <w:pPr>
        <w:pStyle w:val="ListBullet"/>
      </w:pPr>
      <w:r/>
      <w:r>
        <w:rPr>
          <w:b/>
        </w:rPr>
        <w:t>Inconvénients :</w:t>
      </w:r>
      <w:r>
        <w:t xml:space="preserve"> non disponibles.</w:t>
      </w:r>
    </w:p>
    <w:p>
      <w:pPr>
        <w:pStyle w:val="ListBullet"/>
      </w:pPr>
      <w:r/>
      <w:r>
        <w:rPr>
          <w:b/>
        </w:rPr>
        <w:t>Indications :</w:t>
      </w:r>
      <w:r>
        <w:t xml:space="preserve"> identiques.</w:t>
      </w:r>
    </w:p>
    <w:p>
      <w:r/>
      <w:r>
        <w:rPr>
          <w:b/>
        </w:rPr>
        <w:t>Choix pratique en Algérie :</w:t>
      </w:r>
      <w:r/>
    </w:p>
    <w:p>
      <w:pPr>
        <w:pStyle w:val="ListBullet"/>
      </w:pPr>
      <w:r>
        <w:t>Pour l'induction anesthésique : Ketaraz 50 mg/mL, 1-2 mg/kg IV (soit 100-200 mg pour un adulte de 70 kg = 1-2 ampoules).</w:t>
      </w:r>
    </w:p>
    <w:p>
      <w:pPr>
        <w:pStyle w:val="ListBullet"/>
      </w:pPr>
      <w:r>
        <w:t>Pour la sédation procédurale : Ketaraz 50 mg/mL, 0,2-0,5 mg/kg IV (soit 14-35 mg = 0,14-0,35 ampoule).</w:t>
      </w:r>
    </w:p>
    <w:p>
      <w:pPr>
        <w:pStyle w:val="ListBullet"/>
      </w:pPr>
      <w:r>
        <w:t>Pour l'analgésie chronique : Ketaraz 50 mg/mL en perfusion SC continue, 0,1-0,3 mg/kg/h (soit 7-21 mg/h = 0,07-0,21 ampoule/h).</w:t>
      </w:r>
    </w:p>
    <w:p>
      <w:pPr>
        <w:pStyle w:val="ListBullet"/>
      </w:pPr>
      <w:r>
        <w:t>Pour la pédiatrie : diluer Ketaraz dans du sérum physiologique pour obtenir une concentration de 10 mg/mL, plus pratique pour les faibles doses.</w:t>
      </w:r>
    </w:p>
    <w:p>
      <w:pPr>
        <w:pStyle w:val="Heading3"/>
      </w:pPr>
      <w:r>
        <w:t>181.4.1.11 Conseils au patient et information préopératoire</w:t>
      </w:r>
    </w:p>
    <w:p>
      <w:r/>
      <w:r>
        <w:rPr>
          <w:b/>
        </w:rPr>
        <w:t>Avant l'anesthésie :</w:t>
      </w:r>
      <w:r/>
    </w:p>
    <w:p>
      <w:pPr>
        <w:pStyle w:val="ListBullet"/>
      </w:pPr>
      <w:r/>
      <w:r>
        <w:rPr>
          <w:b/>
        </w:rPr>
        <w:t>Jeûne pré-opératoire strict</w:t>
      </w:r>
      <w:r>
        <w:t xml:space="preserve"> : 6 heures pour les solides et le lait, 2 heures pour les liquides clairs.</w:t>
      </w:r>
    </w:p>
    <w:p>
      <w:pPr>
        <w:pStyle w:val="ListBullet"/>
      </w:pPr>
      <w:r/>
      <w:r>
        <w:rPr>
          <w:b/>
        </w:rPr>
        <w:t>Bilan pré-anesthésique</w:t>
      </w:r>
      <w:r>
        <w:t xml:space="preserve"> : consultation anesthésique obligatoire ; ECG, NFS, groupe sanguin, ionogramme, créatininémie ; TA, examen psychiatrique soigneux (psychoses, troubles bipolaires).</w:t>
      </w:r>
    </w:p>
    <w:p>
      <w:pPr>
        <w:pStyle w:val="ListBullet"/>
      </w:pPr>
      <w:r/>
      <w:r>
        <w:rPr>
          <w:b/>
        </w:rPr>
        <w:t>Annonce des effets psychodysleptiques possibles</w:t>
      </w:r>
      <w:r>
        <w:t xml:space="preserve"> : informer le patient que des rêves vivaces, des hallucinations, une sensation de flottement ou d'angoisse peuvent survenir au réveil, sans gravité et transitoires. Cette annonce préalable réduit l'angoisse vécue et diminue l'incidence des réactions d'émergence.</w:t>
      </w:r>
    </w:p>
    <w:p>
      <w:pPr>
        <w:pStyle w:val="ListBullet"/>
      </w:pPr>
      <w:r/>
      <w:r>
        <w:rPr>
          <w:b/>
        </w:rPr>
        <w:t>Présence d'un proche au réveil</w:t>
      </w:r>
      <w:r>
        <w:t xml:space="preserve"> : recommandée pour rassurer le patient.</w:t>
      </w:r>
    </w:p>
    <w:p>
      <w:pPr>
        <w:pStyle w:val="ListBullet"/>
      </w:pPr>
      <w:r/>
      <w:r>
        <w:rPr>
          <w:b/>
        </w:rPr>
        <w:t>Antécédents à signaler</w:t>
      </w:r>
      <w:r>
        <w:t xml:space="preserve"> : hypertension non contrôlée, coronaropathie, psychose, glaucome, hyperthyroïdie, grossesse.</w:t>
      </w:r>
    </w:p>
    <w:p>
      <w:r/>
      <w:r>
        <w:rPr>
          <w:b/>
        </w:rPr>
        <w:t>Au réveil post-opératoire :</w:t>
      </w:r>
      <w:r/>
    </w:p>
    <w:p>
      <w:pPr>
        <w:pStyle w:val="ListBullet"/>
      </w:pPr>
      <w:r>
        <w:t>Surveillance continue en SSPI pendant 2-4 heures : SpO2, PNI, ECG, Fr respiratoire, conscience.</w:t>
      </w:r>
    </w:p>
    <w:p>
      <w:pPr>
        <w:pStyle w:val="ListBullet"/>
      </w:pPr>
      <w:r>
        <w:t>Environnement calme et faiblement stimulé (lumière tamisée, bruits atténués).</w:t>
      </w:r>
    </w:p>
    <w:p>
      <w:pPr>
        <w:pStyle w:val="ListBullet"/>
      </w:pPr>
      <w:r>
        <w:t>En cas de réaction d'émergence (hallucinations, agitation, anxiété) : rassurer le patient, parler calmement ; midazolam 0,05 mg/kg IV si nécessaire.</w:t>
      </w:r>
    </w:p>
    <w:p>
      <w:pPr>
        <w:pStyle w:val="ListBullet"/>
      </w:pPr>
      <w:r>
        <w:t>Surveillance tensionnelle accrue chez l'hypertendu et le coronarien.</w:t>
      </w:r>
    </w:p>
    <w:p>
      <w:pPr>
        <w:pStyle w:val="ListBullet"/>
      </w:pPr>
      <w:r>
        <w:t>Prévention des NVPO : ondansétron 4 mg IV + dexaméthasone 4-8 mg IV.</w:t>
      </w:r>
    </w:p>
    <w:p>
      <w:pPr>
        <w:pStyle w:val="ListBullet"/>
      </w:pPr>
      <w:r>
        <w:t>Interdiction de conduire pendant 24 heures (effets psychodysleptiques résiduels possibles).</w:t>
      </w:r>
    </w:p>
    <w:p>
      <w:r/>
      <w:r>
        <w:rPr>
          <w:b/>
        </w:rPr>
        <w:t>En cas d'usage prolongé (analgésie chronique, cancer, dépression résistante) :</w:t>
      </w:r>
      <w:r/>
    </w:p>
    <w:p>
      <w:pPr>
        <w:pStyle w:val="ListBullet"/>
      </w:pPr>
      <w:r>
        <w:t>Surveillance biologique : NFS, fonction hépatique, fonction rénale mensuelle.</w:t>
      </w:r>
    </w:p>
    <w:p>
      <w:pPr>
        <w:pStyle w:val="ListBullet"/>
      </w:pPr>
      <w:r>
        <w:t>Surveillance échographique vésicale en cas d'usage prolongé &gt; 3 mois (recherche de cystite interstitielle).</w:t>
      </w:r>
    </w:p>
    <w:p>
      <w:pPr>
        <w:pStyle w:val="ListBullet"/>
      </w:pPr>
      <w:r>
        <w:t>Surveillance psychiatrique : humeur, anxiété, idées délirantes, en cas d'usage pour dépression résistante.</w:t>
      </w:r>
    </w:p>
    <w:p>
      <w:pPr>
        <w:pStyle w:val="ListBullet"/>
      </w:pPr>
      <w:r>
        <w:t>Suivi addictologique en cas d'antécédents de toxicomanie.</w:t>
      </w:r>
    </w:p>
    <w:p>
      <w:pPr>
        <w:pStyle w:val="Heading3"/>
      </w:pPr>
      <w:r>
        <w:t>181.4.1.12 Pièges au comptoir — Règles d'or</w:t>
      </w:r>
    </w:p>
    <w:p>
      <w:pPr>
        <w:pStyle w:val="ListNumber"/>
      </w:pPr>
      <w:r/>
      <w:r>
        <w:rPr>
          <w:b/>
        </w:rPr>
        <w:t>Règle d'or n°1 : hypertension non contrôlée = contre-indication absolue.</w:t>
      </w:r>
      <w:r>
        <w:t xml:space="preserve"> La kétamine provoque une stimulation sympathique avec augmentation de 20-30 % de la PAM. Chez l'hypertendu non contrôlée, risque d'HTA maligne, d'AVC hémorragique, de dissection aortique. Vérifier la TA avant induction.</w:t>
      </w:r>
    </w:p>
    <w:p>
      <w:pPr>
        <w:pStyle w:val="ListNumber"/>
      </w:pPr>
      <w:r/>
      <w:r>
        <w:rPr>
          <w:b/>
        </w:rPr>
        <w:t>Règle d'or n°2 : coronarien instable = danger.</w:t>
      </w:r>
      <w:r>
        <w:t xml:space="preserve"> La tachycardie augmente la consommation myocardique en O2. En cas de syndrome coronarien aigu, d'IDM récent, d'insuffisance cardiaque décompensée, préférer l'étomidate (préserve l'hémodynamique sans tachycardie).</w:t>
      </w:r>
    </w:p>
    <w:p>
      <w:pPr>
        <w:pStyle w:val="ListNumber"/>
      </w:pPr>
      <w:r/>
      <w:r>
        <w:rPr>
          <w:b/>
        </w:rPr>
        <w:t>Règle d'or n°3 : psychose = prudence absolue.</w:t>
      </w:r>
      <w:r>
        <w:t xml:space="preserve"> Les réactions d'émergence peuvent aggraver un tableau psychotique. En cas de schizophrénie décompensée ou de trouble bipolaire en phase maniaque, éviter la kétamine.</w:t>
      </w:r>
    </w:p>
    <w:p>
      <w:pPr>
        <w:pStyle w:val="ListNumber"/>
      </w:pPr>
      <w:r/>
      <w:r>
        <w:rPr>
          <w:b/>
        </w:rPr>
        <w:t>Règle d'or n°4 : prémédication systématique.</w:t>
      </w:r>
      <w:r>
        <w:t xml:space="preserve"> Midazolam 0,05 mg/kg IV 2-3 min avant (réduction des réactions d'émergence), atropine 0,01 mg/kg IV chez l'enfant (réduction de l'hypersécrétion), ondansétron 4 mg IV (réduction des NVPO).</w:t>
      </w:r>
    </w:p>
    <w:p>
      <w:pPr>
        <w:pStyle w:val="ListNumber"/>
      </w:pPr>
      <w:r/>
      <w:r>
        <w:rPr>
          <w:b/>
        </w:rPr>
        <w:t>Règle d'or n°5 : ne pas confondre dissociation et anesthésie profonde.</w:t>
      </w:r>
      <w:r>
        <w:t xml:space="preserve"> Le patient conscient paraît éveillé (yeux ouverts, mouvements oculaires lents) mais est insensible. Ne pas le stimuler inutilement.</w:t>
      </w:r>
    </w:p>
    <w:p>
      <w:pPr>
        <w:pStyle w:val="ListNumber"/>
      </w:pPr>
      <w:r/>
      <w:r>
        <w:rPr>
          <w:b/>
        </w:rPr>
        <w:t>Règle d'or n°6 : surveillance tensionnelle continue.</w:t>
      </w:r>
      <w:r>
        <w:t xml:space="preserve"> La stimulation sympathique peut survenir à tout moment. Chez l'hypertendu, le coronarien, ou le patient à haut risque, monitoring continu de la PAM.</w:t>
      </w:r>
    </w:p>
    <w:p>
      <w:pPr>
        <w:pStyle w:val="ListNumber"/>
      </w:pPr>
      <w:r/>
      <w:r>
        <w:rPr>
          <w:b/>
        </w:rPr>
        <w:t>Règle d'or n°7 : environnement calme au réveil.</w:t>
      </w:r>
      <w:r>
        <w:t xml:space="preserve"> Lumière tamisée, bruits atténués, présence rassurante d'un proche. Annonce préalable des effets possibles (rêves vivaces, hallucinations).</w:t>
      </w:r>
    </w:p>
    <w:p>
      <w:pPr>
        <w:pStyle w:val="ListNumber"/>
      </w:pPr>
      <w:r/>
      <w:r>
        <w:rPr>
          <w:b/>
        </w:rPr>
        <w:t>Règle d'or n°8 : trumatisé crânien = prudence.</w:t>
      </w:r>
      <w:r>
        <w:t xml:space="preserve"> La kétamine augmente la PIC en ventilation spontanée. En ventilation contrôlée avec hyperventilation, l'effet sur la PIC est discuté et la kétamine est réhabilitée par la SFAR (recommandations 2018) dans le traumatisme crânien grave ventilé, en raison de la préservation de l'hémodynamique et de la perfusion cérébrale.</w:t>
      </w:r>
    </w:p>
    <w:p>
      <w:pPr>
        <w:pStyle w:val="ListNumber"/>
      </w:pPr>
      <w:r/>
      <w:r>
        <w:rPr>
          <w:b/>
        </w:rPr>
        <w:t>Règle d'or n°9 : usage récréatif = surveillance particulière.</w:t>
      </w:r>
      <w:r>
        <w:t xml:space="preserve"> La kétamine est inscrite sur la Liste I et fait l'objet d'une surveillance particulière en raison de son potentiel d'usage détourné. Stockage en armoire sécurisée, traçabilité des ampoules, comptage mensuel.</w:t>
      </w:r>
    </w:p>
    <w:p>
      <w:pPr>
        <w:pStyle w:val="ListNumber"/>
      </w:pPr>
      <w:r/>
      <w:r>
        <w:rPr>
          <w:b/>
        </w:rPr>
        <w:t>Règle d'or n°10 : conservation à température ambiante (≤ 25 °C).</w:t>
      </w:r>
      <w:r>
        <w:t xml:space="preserve"> La kétamine en solution se conserve 3 ans à température ambiante, à l'abri de la lumière. Ne pas congeler.</w:t>
      </w:r>
    </w:p>
    <w:p>
      <w:pPr>
        <w:pStyle w:val="ListNumber"/>
      </w:pPr>
      <w:r/>
      <w:r>
        <w:rPr>
          <w:b/>
        </w:rPr>
        <w:t>Règle d'or n°11 : pas de voie IM systématique chez l'adulte.</w:t>
      </w:r>
      <w:r>
        <w:t xml:space="preserve"> La voie IM (4-6 mg/kg) est douloureuse et le délai d'action est de 5-10 min. Préférer la voie IV en anesthésie programmée. Réserver la voie IM à la pédiatrie (lorsque la voie IV est impossible) et à la médecine préhospitalière.</w:t>
      </w:r>
    </w:p>
    <w:p>
      <w:pPr>
        <w:pStyle w:val="ListNumber"/>
      </w:pPr>
      <w:r/>
      <w:r>
        <w:rPr>
          <w:b/>
        </w:rPr>
        <w:t>Règle d'or n°12 : potentialisation importante avec les opioïdes et les benzodiazépines.</w:t>
      </w:r>
      <w:r>
        <w:t xml:space="preserve"> Réduction systématique des doses de 30-50 % en cas d'association.</w:t>
      </w:r>
    </w:p>
    <w:p>
      <w:pPr>
        <w:pStyle w:val="ListNumber"/>
      </w:pPr>
      <w:r/>
      <w:r>
        <w:rPr>
          <w:b/>
        </w:rPr>
        <w:t>Règle d'or n°13 : déclaration de tout effet indésirable grave.</w:t>
      </w:r>
      <w:r>
        <w:t xml:space="preserve"> Réaction d'émergence prolongée, hallucinations persistantes, crise hypertensive, collapsus : déclaration au CNPV d'Alger.</w:t>
      </w:r>
    </w:p>
    <w:p>
      <w:pPr>
        <w:pStyle w:val="ListNumber"/>
      </w:pPr>
      <w:r/>
      <w:r>
        <w:rPr>
          <w:b/>
        </w:rPr>
        <w:t>Règle d'or n°14 : usage en médecine préhospitalière et militaire.</w:t>
      </w:r>
      <w:r>
        <w:t xml:space="preserve"> La kétamine est l'agent de référence en médecine de catastrophe (transport préhospitalier, militaire, terrain). Protocoles KAR (Ketamine Analgesia Rule) : 50 mg IM ou 20 mg IV chez l'adulte.</w:t>
      </w:r>
    </w:p>
    <w:p>
      <w:pPr>
        <w:pStyle w:val="ListNumber"/>
      </w:pPr>
      <w:r/>
      <w:r>
        <w:rPr>
          <w:b/>
        </w:rPr>
        <w:t>Règle d'or n°15 : antidépresseur à action rapide.</w:t>
      </w:r>
      <w:r>
        <w:t xml:space="preserve"> La kétamine IV 0,5 mg/kg en perfusion de 40 min est un traitement de la dépression résistante (hors AMM). Effet en 4-24 h, mais transitoire 7-14 jours. Surveillance psychiatrique continue, surveillance tensionnelle et cardiaque pendant la perfusion. À réserver aux services spécialisés en psychiatrie.</w:t>
      </w:r>
    </w:p>
    <w:p>
      <w:pPr>
        <w:pStyle w:val="Heading2"/>
      </w:pPr>
      <w:r>
        <w:t>181.5.1 — MIDAZOLAM (usage anesthésie)</w:t>
      </w:r>
    </w:p>
    <w:p>
      <w:pPr>
        <w:pStyle w:val="Heading3"/>
      </w:pPr>
      <w:r>
        <w:t>181.5.1.1 Catégories pharmaco-thérapeutiques et indications</w:t>
      </w:r>
    </w:p>
    <w:p>
      <w:r/>
      <w:r>
        <w:rPr>
          <w:b/>
        </w:rPr>
        <w:t>DCI :</w:t>
      </w:r>
      <w:r>
        <w:t xml:space="preserve"> Midazolam (8-chloro-6-(2-fluorophényl)-1-méthyl-4H-imidazo[1,5-a][1,4]benzodiazépine), sous forme de chlorhydrate de midazolam.</w:t>
      </w:r>
    </w:p>
    <w:p>
      <w:r/>
      <w:r>
        <w:rPr>
          <w:b/>
        </w:rPr>
        <w:t>Code ATC :</w:t>
      </w:r>
      <w:r>
        <w:t xml:space="preserve"> N05CD08 (benzodiazépines à demi-vie courte, dérivés imidazobenzodiazépiniques), N03AX05 (antiépileptiques autres).</w:t>
      </w:r>
    </w:p>
    <w:p>
      <w:r/>
      <w:r>
        <w:rPr>
          <w:b/>
        </w:rPr>
        <w:t>Classe chimique :</w:t>
      </w:r>
      <w:r>
        <w:t xml:space="preserve"> imidazobenzodiazépine à chaîne latérale fluorée ; dérivé du diazépam avec un noyau imidazole annelé, qui confère à la molécule sa propriété unique d'amphotérie (hydrosolubilité à pH acide, liposolubilité à pH physiologique).</w:t>
      </w:r>
    </w:p>
    <w:p>
      <w:r/>
      <w:r>
        <w:rPr>
          <w:b/>
        </w:rPr>
        <w:t>Sous-classes pharmacologiques :</w:t>
      </w:r>
      <w:r>
        <w:t xml:space="preserve"> benzodiazépine injectable à demi-vie courte (t1/2β = 1,5 à 3 h) ; agent de prémédication anesthésique (anxiolyse et amnésie) ; agent de sédation procédurale consciente ; agent de sédation en réanimation ; agent de première ligne dans le status epilepticus.</w:t>
      </w:r>
    </w:p>
    <w:p>
      <w:r/>
      <w:r>
        <w:rPr>
          <w:b/>
        </w:rPr>
        <w:t>Indications portées sur l'AMM (RCP VIDAL/EMA) :</w:t>
      </w:r>
      <w:r/>
    </w:p>
    <w:p>
      <w:pPr>
        <w:pStyle w:val="ListBullet"/>
      </w:pPr>
      <w:r>
        <w:t>Prémédication anesthésique avant induction : anxiolyse, amnésie antérograde, sédation légère (0,03 à 0,1 mg/kg IM, 30 à 60 min avant induction).</w:t>
      </w:r>
    </w:p>
    <w:p>
      <w:pPr>
        <w:pStyle w:val="ListBullet"/>
      </w:pPr>
      <w:r>
        <w:t>Induction de l'anesthésie générale à dose élevée (0,15 à 0,3 mg/kg IV, en association avec un opioïde et un curare).</w:t>
      </w:r>
    </w:p>
    <w:p>
      <w:pPr>
        <w:pStyle w:val="ListBullet"/>
      </w:pPr>
      <w:r>
        <w:t>Sédation procédurale consciente : endoscopie, bronchoscopie, radiologie interventionnelle, soins dentaires, cérclage utérin, cardioversion électrique programmée (0,02 à 0,1 mg/kg IV, titration).</w:t>
      </w:r>
    </w:p>
    <w:p>
      <w:pPr>
        <w:pStyle w:val="ListBullet"/>
      </w:pPr>
      <w:r>
        <w:t>Sédation en réanimation du patient intubé ventilé (0,02 à 0,2 mg/kg/h en perfusion continue).</w:t>
      </w:r>
    </w:p>
    <w:p>
      <w:pPr>
        <w:pStyle w:val="ListBullet"/>
      </w:pPr>
      <w:r>
        <w:t>Status epilepticus convulsif de l'adulte et de l'enfant (0,2 mg/kg IV bolus, parfois 0,5 mg/kg en perfusion continue) — indication de première ligne selon les recommandations SFEMER 2015 et NICE 2016.</w:t>
      </w:r>
    </w:p>
    <w:p>
      <w:r/>
      <w:r>
        <w:rPr>
          <w:b/>
        </w:rPr>
        <w:t>Indications non couvertes par l'AMM mais d'usage fréquent :</w:t>
      </w:r>
      <w:r/>
    </w:p>
    <w:p>
      <w:pPr>
        <w:pStyle w:val="ListBullet"/>
      </w:pPr>
      <w:r>
        <w:t>Sédation palliative en fin de vie (en association avec morphine, scopolamine).</w:t>
      </w:r>
    </w:p>
    <w:p>
      <w:pPr>
        <w:pStyle w:val="ListBullet"/>
      </w:pPr>
      <w:r>
        <w:t>Anesthésie en séquence rapide pédiatrique (en association avec kétamine et curare).</w:t>
      </w:r>
    </w:p>
    <w:p>
      <w:pPr>
        <w:pStyle w:val="ListBullet"/>
      </w:pPr>
      <w:r>
        <w:t>Réversibilité par le flumazénil : test diagnostique en cas de coma de cause inconnue (recherche d'imprégnation benzodiazépinique).</w:t>
      </w:r>
    </w:p>
    <w:p>
      <w:pPr>
        <w:pStyle w:val="Heading3"/>
      </w:pPr>
      <w:r>
        <w:t>181.5.1.2 Médicaments disponibles en Algérie</w:t>
      </w:r>
    </w:p>
    <w:p>
      <w:r>
        <w:t>Le midazolam est inscrit sur la Liste I des substances vénéneuses en Algérie. Sa prescription est strictement hospitalière pour la forme injectable. Le tableau suivant recense l'ensemble des spécialités ayant fait l'objet d'une autorisation de mise sur le marché.</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HIKMA MIDAZOLAM</w:t>
            </w:r>
          </w:p>
        </w:tc>
        <w:tc>
          <w:tcPr>
            <w:tcW w:type="dxa" w:w="1559"/>
          </w:tcPr>
          <w:p>
            <w:r>
              <w:rPr>
                <w:sz w:val="20"/>
              </w:rPr>
              <w:t>HIKMA PHARMA ALGERIA</w:t>
            </w:r>
          </w:p>
        </w:tc>
        <w:tc>
          <w:tcPr>
            <w:tcW w:type="dxa" w:w="1559"/>
          </w:tcPr>
          <w:p>
            <w:r>
              <w:rPr>
                <w:sz w:val="20"/>
              </w:rPr>
              <w:t>Solution injectable IM/IV, 5 mg/mL (15 mg/3 mL)</w:t>
            </w:r>
          </w:p>
        </w:tc>
        <w:tc>
          <w:tcPr>
            <w:tcW w:type="dxa" w:w="1559"/>
          </w:tcPr>
          <w:p>
            <w:r>
              <w:rPr>
                <w:sz w:val="20"/>
              </w:rPr>
              <w:t>Boîte de 5 ampoules de 3 mL</w:t>
            </w:r>
          </w:p>
        </w:tc>
        <w:tc>
          <w:tcPr>
            <w:tcW w:type="dxa" w:w="1559"/>
          </w:tcPr>
          <w:p>
            <w:r>
              <w:rPr>
                <w:sz w:val="20"/>
              </w:rPr>
              <w:t>Liste I</w:t>
            </w:r>
          </w:p>
        </w:tc>
        <w:tc>
          <w:tcPr>
            <w:tcW w:type="dxa" w:w="1559"/>
          </w:tcPr>
          <w:p>
            <w:r>
              <w:rPr>
                <w:sz w:val="20"/>
              </w:rPr>
              <w:t>ACTIF</w:t>
            </w:r>
          </w:p>
        </w:tc>
      </w:tr>
      <w:tr>
        <w:tc>
          <w:tcPr>
            <w:tcW w:type="dxa" w:w="1559"/>
          </w:tcPr>
          <w:p>
            <w:r>
              <w:rPr>
                <w:sz w:val="20"/>
              </w:rPr>
              <w:t>HYPNOZOLAM</w:t>
            </w:r>
          </w:p>
        </w:tc>
        <w:tc>
          <w:tcPr>
            <w:tcW w:type="dxa" w:w="1559"/>
          </w:tcPr>
          <w:p>
            <w:r>
              <w:rPr>
                <w:sz w:val="20"/>
              </w:rPr>
              <w:t>LES LABORATOIRES FRATER RAZES</w:t>
            </w:r>
          </w:p>
        </w:tc>
        <w:tc>
          <w:tcPr>
            <w:tcW w:type="dxa" w:w="1559"/>
          </w:tcPr>
          <w:p>
            <w:r>
              <w:rPr>
                <w:sz w:val="20"/>
              </w:rPr>
              <w:t>Solution injectable IV/IM/SC pour perfusion ou rectale, 5 mg/mL (15 mg/3 mL)</w:t>
            </w:r>
          </w:p>
        </w:tc>
        <w:tc>
          <w:tcPr>
            <w:tcW w:type="dxa" w:w="1559"/>
          </w:tcPr>
          <w:p>
            <w:r>
              <w:rPr>
                <w:sz w:val="20"/>
              </w:rPr>
              <w:t>Boîte de 10 ampoules de 1 mL, boîte de 10 ampoules de 10 mL, ou boîte de 5 ampoules de 3 mL</w:t>
            </w:r>
          </w:p>
        </w:tc>
        <w:tc>
          <w:tcPr>
            <w:tcW w:type="dxa" w:w="1559"/>
          </w:tcPr>
          <w:p>
            <w:r>
              <w:rPr>
                <w:sz w:val="20"/>
              </w:rPr>
              <w:t>Liste I</w:t>
            </w:r>
          </w:p>
        </w:tc>
        <w:tc>
          <w:tcPr>
            <w:tcW w:type="dxa" w:w="1559"/>
          </w:tcPr>
          <w:p>
            <w:r>
              <w:rPr>
                <w:sz w:val="20"/>
              </w:rPr>
              <w:t>ACTIF</w:t>
            </w:r>
          </w:p>
        </w:tc>
      </w:tr>
      <w:tr>
        <w:tc>
          <w:tcPr>
            <w:tcW w:type="dxa" w:w="1559"/>
          </w:tcPr>
          <w:p>
            <w:r>
              <w:rPr>
                <w:sz w:val="20"/>
              </w:rPr>
              <w:t>IPNODIS</w:t>
            </w:r>
          </w:p>
        </w:tc>
        <w:tc>
          <w:tcPr>
            <w:tcW w:type="dxa" w:w="1559"/>
          </w:tcPr>
          <w:p>
            <w:r>
              <w:rPr>
                <w:sz w:val="20"/>
              </w:rPr>
              <w:t>LES LABORATOIRES MEDIS</w:t>
            </w:r>
          </w:p>
        </w:tc>
        <w:tc>
          <w:tcPr>
            <w:tcW w:type="dxa" w:w="1559"/>
          </w:tcPr>
          <w:p>
            <w:r>
              <w:rPr>
                <w:sz w:val="20"/>
              </w:rPr>
              <w:t>Solution injectable IM/IV, 5 mg/mL (15 mg/3 mL)</w:t>
            </w:r>
          </w:p>
        </w:tc>
        <w:tc>
          <w:tcPr>
            <w:tcW w:type="dxa" w:w="1559"/>
          </w:tcPr>
          <w:p>
            <w:r>
              <w:rPr>
                <w:sz w:val="20"/>
              </w:rPr>
              <w:t>Boîte de 10 ampoules de 1 mL</w:t>
            </w:r>
          </w:p>
        </w:tc>
        <w:tc>
          <w:tcPr>
            <w:tcW w:type="dxa" w:w="1559"/>
          </w:tcPr>
          <w:p>
            <w:r>
              <w:rPr>
                <w:sz w:val="20"/>
              </w:rPr>
              <w:t>Liste I</w:t>
            </w:r>
          </w:p>
        </w:tc>
        <w:tc>
          <w:tcPr>
            <w:tcW w:type="dxa" w:w="1559"/>
          </w:tcPr>
          <w:p>
            <w:r>
              <w:rPr>
                <w:sz w:val="20"/>
              </w:rPr>
              <w:t>ACTIF</w:t>
            </w:r>
          </w:p>
        </w:tc>
      </w:tr>
      <w:tr>
        <w:tc>
          <w:tcPr>
            <w:tcW w:type="dxa" w:w="1559"/>
          </w:tcPr>
          <w:p>
            <w:r>
              <w:rPr>
                <w:sz w:val="20"/>
              </w:rPr>
              <w:t>MIDAZOLAM INPHA-MEDIS</w:t>
            </w:r>
          </w:p>
        </w:tc>
        <w:tc>
          <w:tcPr>
            <w:tcW w:type="dxa" w:w="1559"/>
          </w:tcPr>
          <w:p>
            <w:r>
              <w:rPr>
                <w:sz w:val="20"/>
              </w:rPr>
              <w:t>INPHA-MEDIS</w:t>
            </w:r>
          </w:p>
        </w:tc>
        <w:tc>
          <w:tcPr>
            <w:tcW w:type="dxa" w:w="1559"/>
          </w:tcPr>
          <w:p>
            <w:r>
              <w:rPr>
                <w:sz w:val="20"/>
              </w:rPr>
              <w:t>Solution injectable IM/IV/rectale, 5 mg/mL (15 mg/3 mL)</w:t>
            </w:r>
          </w:p>
        </w:tc>
        <w:tc>
          <w:tcPr>
            <w:tcW w:type="dxa" w:w="1559"/>
          </w:tcPr>
          <w:p>
            <w:r>
              <w:rPr>
                <w:sz w:val="20"/>
              </w:rPr>
              <w:t>Boîte de 10 ampoules de 1 mL et boîte de 10 ampoules de 10 mL</w:t>
            </w:r>
          </w:p>
        </w:tc>
        <w:tc>
          <w:tcPr>
            <w:tcW w:type="dxa" w:w="1559"/>
          </w:tcPr>
          <w:p>
            <w:r>
              <w:rPr>
                <w:sz w:val="20"/>
              </w:rPr>
              <w:t>Liste I</w:t>
            </w:r>
          </w:p>
        </w:tc>
        <w:tc>
          <w:tcPr>
            <w:tcW w:type="dxa" w:w="1559"/>
          </w:tcPr>
          <w:p>
            <w:r>
              <w:rPr>
                <w:sz w:val="20"/>
              </w:rPr>
              <w:t>ACTIF</w:t>
            </w:r>
          </w:p>
        </w:tc>
      </w:tr>
      <w:tr>
        <w:tc>
          <w:tcPr>
            <w:tcW w:type="dxa" w:w="1559"/>
          </w:tcPr>
          <w:p>
            <w:r>
              <w:rPr>
                <w:sz w:val="20"/>
              </w:rPr>
              <w:t>MIDAZOLAM MYLAN (5 mg/mL)</w:t>
            </w:r>
          </w:p>
        </w:tc>
        <w:tc>
          <w:tcPr>
            <w:tcW w:type="dxa" w:w="1559"/>
          </w:tcPr>
          <w:p>
            <w:r>
              <w:rPr>
                <w:sz w:val="20"/>
              </w:rPr>
              <w:t>MYLAN SAS</w:t>
            </w:r>
          </w:p>
        </w:tc>
        <w:tc>
          <w:tcPr>
            <w:tcW w:type="dxa" w:w="1559"/>
          </w:tcPr>
          <w:p>
            <w:r>
              <w:rPr>
                <w:sz w:val="20"/>
              </w:rPr>
              <w:t>Solution injectable IM/IV et rectale, 5 mg/mL (15 mg/3 mL)</w:t>
            </w:r>
          </w:p>
        </w:tc>
        <w:tc>
          <w:tcPr>
            <w:tcW w:type="dxa" w:w="1559"/>
          </w:tcPr>
          <w:p>
            <w:r>
              <w:rPr>
                <w:sz w:val="20"/>
              </w:rPr>
              <w:t>Boîte de 10 ampoules de 1 mL et boîte de 10 ampoules de 10 mL</w:t>
            </w:r>
          </w:p>
        </w:tc>
        <w:tc>
          <w:tcPr>
            <w:tcW w:type="dxa" w:w="1559"/>
          </w:tcPr>
          <w:p>
            <w:r>
              <w:rPr>
                <w:sz w:val="20"/>
              </w:rPr>
              <w:t>Liste I</w:t>
            </w:r>
          </w:p>
        </w:tc>
        <w:tc>
          <w:tcPr>
            <w:tcW w:type="dxa" w:w="1559"/>
          </w:tcPr>
          <w:p>
            <w:r>
              <w:rPr>
                <w:sz w:val="20"/>
              </w:rPr>
              <w:t>ACTIF</w:t>
            </w:r>
          </w:p>
        </w:tc>
      </w:tr>
      <w:tr>
        <w:tc>
          <w:tcPr>
            <w:tcW w:type="dxa" w:w="1559"/>
          </w:tcPr>
          <w:p>
            <w:r>
              <w:rPr>
                <w:sz w:val="20"/>
              </w:rPr>
              <w:t>SEDALAM (5 mg/mL)</w:t>
            </w:r>
          </w:p>
        </w:tc>
        <w:tc>
          <w:tcPr>
            <w:tcW w:type="dxa" w:w="1559"/>
          </w:tcPr>
          <w:p>
            <w:r>
              <w:rPr>
                <w:sz w:val="20"/>
              </w:rPr>
              <w:t>EL KENDI INDUSTRIE DU MEDICAMENT</w:t>
            </w:r>
          </w:p>
        </w:tc>
        <w:tc>
          <w:tcPr>
            <w:tcW w:type="dxa" w:w="1559"/>
          </w:tcPr>
          <w:p>
            <w:r>
              <w:rPr>
                <w:sz w:val="20"/>
              </w:rPr>
              <w:t>Solution injectable IM/IV, 5 mg/mL (15 mg/3 mL)</w:t>
            </w:r>
          </w:p>
        </w:tc>
        <w:tc>
          <w:tcPr>
            <w:tcW w:type="dxa" w:w="1559"/>
          </w:tcPr>
          <w:p>
            <w:r>
              <w:rPr>
                <w:sz w:val="20"/>
              </w:rPr>
              <w:t>Boîte de 5 flacons de 3 mL en verre classe A</w:t>
            </w:r>
          </w:p>
        </w:tc>
        <w:tc>
          <w:tcPr>
            <w:tcW w:type="dxa" w:w="1559"/>
          </w:tcPr>
          <w:p>
            <w:r>
              <w:rPr>
                <w:sz w:val="20"/>
              </w:rPr>
              <w:t>Liste I</w:t>
            </w:r>
          </w:p>
        </w:tc>
        <w:tc>
          <w:tcPr>
            <w:tcW w:type="dxa" w:w="1559"/>
          </w:tcPr>
          <w:p>
            <w:r>
              <w:rPr>
                <w:sz w:val="20"/>
              </w:rPr>
              <w:t>ACTIF</w:t>
            </w:r>
          </w:p>
        </w:tc>
      </w:tr>
      <w:tr>
        <w:tc>
          <w:tcPr>
            <w:tcW w:type="dxa" w:w="1559"/>
          </w:tcPr>
          <w:p>
            <w:r>
              <w:rPr>
                <w:sz w:val="20"/>
              </w:rPr>
              <w:t>MIDAZOLAM MYLAN (1 mg/mL)</w:t>
            </w:r>
          </w:p>
        </w:tc>
        <w:tc>
          <w:tcPr>
            <w:tcW w:type="dxa" w:w="1559"/>
          </w:tcPr>
          <w:p>
            <w:r>
              <w:rPr>
                <w:sz w:val="20"/>
              </w:rPr>
              <w:t>MYLAN SAS</w:t>
            </w:r>
          </w:p>
        </w:tc>
        <w:tc>
          <w:tcPr>
            <w:tcW w:type="dxa" w:w="1559"/>
          </w:tcPr>
          <w:p>
            <w:r>
              <w:rPr>
                <w:sz w:val="20"/>
              </w:rPr>
              <w:t>Solution injectable IM/IV et rectale, 1 mg/mL (5 mg/5 mL)</w:t>
            </w:r>
          </w:p>
        </w:tc>
        <w:tc>
          <w:tcPr>
            <w:tcW w:type="dxa" w:w="1559"/>
          </w:tcPr>
          <w:p>
            <w:r>
              <w:rPr>
                <w:sz w:val="20"/>
              </w:rPr>
              <w:t>Boîte de 10 ampoules de 5 mL</w:t>
            </w:r>
          </w:p>
        </w:tc>
        <w:tc>
          <w:tcPr>
            <w:tcW w:type="dxa" w:w="1559"/>
          </w:tcPr>
          <w:p>
            <w:r>
              <w:rPr>
                <w:sz w:val="20"/>
              </w:rPr>
              <w:t>Liste I</w:t>
            </w:r>
          </w:p>
        </w:tc>
        <w:tc>
          <w:tcPr>
            <w:tcW w:type="dxa" w:w="1559"/>
          </w:tcPr>
          <w:p>
            <w:r>
              <w:rPr>
                <w:sz w:val="20"/>
              </w:rPr>
              <w:t>ACTIF</w:t>
            </w:r>
          </w:p>
        </w:tc>
      </w:tr>
      <w:tr>
        <w:tc>
          <w:tcPr>
            <w:tcW w:type="dxa" w:w="1559"/>
          </w:tcPr>
          <w:p>
            <w:r>
              <w:rPr>
                <w:sz w:val="20"/>
              </w:rPr>
              <w:t>SEDALAM (5 mg/5 mL)</w:t>
            </w:r>
          </w:p>
        </w:tc>
        <w:tc>
          <w:tcPr>
            <w:tcW w:type="dxa" w:w="1559"/>
          </w:tcPr>
          <w:p>
            <w:r>
              <w:rPr>
                <w:sz w:val="20"/>
              </w:rPr>
              <w:t>MS PHARMA-JORDAN</w:t>
            </w:r>
          </w:p>
        </w:tc>
        <w:tc>
          <w:tcPr>
            <w:tcW w:type="dxa" w:w="1559"/>
          </w:tcPr>
          <w:p>
            <w:r>
              <w:rPr>
                <w:sz w:val="20"/>
              </w:rPr>
              <w:t>Solution injectable IM/IV, 5 mg/5 mL</w:t>
            </w:r>
          </w:p>
        </w:tc>
        <w:tc>
          <w:tcPr>
            <w:tcW w:type="dxa" w:w="1559"/>
          </w:tcPr>
          <w:p>
            <w:r>
              <w:rPr>
                <w:sz w:val="20"/>
              </w:rPr>
              <w:t>Boîte de 10 flacons de 5 mL</w:t>
            </w:r>
          </w:p>
        </w:tc>
        <w:tc>
          <w:tcPr>
            <w:tcW w:type="dxa" w:w="1559"/>
          </w:tcPr>
          <w:p>
            <w:r>
              <w:rPr>
                <w:sz w:val="20"/>
              </w:rPr>
              <w:t>Liste I</w:t>
            </w:r>
          </w:p>
        </w:tc>
        <w:tc>
          <w:tcPr>
            <w:tcW w:type="dxa" w:w="1559"/>
          </w:tcPr>
          <w:p>
            <w:r>
              <w:rPr>
                <w:sz w:val="20"/>
              </w:rPr>
              <w:t>ACTIF</w:t>
            </w:r>
          </w:p>
        </w:tc>
      </w:tr>
      <w:tr>
        <w:tc>
          <w:tcPr>
            <w:tcW w:type="dxa" w:w="1559"/>
          </w:tcPr>
          <w:p>
            <w:r>
              <w:rPr>
                <w:sz w:val="20"/>
              </w:rPr>
              <w:t>DORMICUM</w:t>
            </w:r>
          </w:p>
        </w:tc>
        <w:tc>
          <w:tcPr>
            <w:tcW w:type="dxa" w:w="1559"/>
          </w:tcPr>
          <w:p>
            <w:r>
              <w:rPr>
                <w:sz w:val="20"/>
              </w:rPr>
              <w:t>HOFFMAN LAROCHE</w:t>
            </w:r>
          </w:p>
        </w:tc>
        <w:tc>
          <w:tcPr>
            <w:tcW w:type="dxa" w:w="1559"/>
          </w:tcPr>
          <w:p>
            <w:r>
              <w:rPr>
                <w:sz w:val="20"/>
              </w:rPr>
              <w:t>Solution injectable IM/IV/intra-rectale, 5 mg/mL</w:t>
            </w:r>
          </w:p>
        </w:tc>
        <w:tc>
          <w:tcPr>
            <w:tcW w:type="dxa" w:w="1559"/>
          </w:tcPr>
          <w:p>
            <w:r>
              <w:rPr>
                <w:sz w:val="20"/>
              </w:rPr>
              <w:t>Boîte de 10 ampoules de 1 mL</w:t>
            </w:r>
          </w:p>
        </w:tc>
        <w:tc>
          <w:tcPr>
            <w:tcW w:type="dxa" w:w="1559"/>
          </w:tcPr>
          <w:p>
            <w:r>
              <w:rPr>
                <w:sz w:val="20"/>
              </w:rPr>
              <w:t>Liste I</w:t>
            </w:r>
          </w:p>
        </w:tc>
        <w:tc>
          <w:tcPr>
            <w:tcW w:type="dxa" w:w="1559"/>
          </w:tcPr>
          <w:p>
            <w:r>
              <w:rPr>
                <w:sz w:val="20"/>
              </w:rPr>
              <w:t>RETRAIT (R)</w:t>
            </w:r>
          </w:p>
        </w:tc>
      </w:tr>
    </w:tbl>
    <w:p/>
    <w:p>
      <w:r/>
      <w:r>
        <w:rPr>
          <w:b/>
        </w:rPr>
        <w:t>Commentaire :</w:t>
      </w:r>
      <w:r>
        <w:t xml:space="preserve"> Le marché algérien du midazolam injectable est remarquablement diversifié, avec huit spécialités actives commercialisées par sept laboratoires différents, dont trois producteurs algériens (Hikma Pharma Algeria, Frater Razes, El Kendi, Inpha-Medis) et trois importateurs (Mylan SAS, MS Pharma Jordan, Medis). Cette diversité reflète l'importance de la molécule dans la pratique anesthésique et réanimatoire nationale. Le dosage standard est de 5 mg/mL en ampoules de 1 mL (5 mg) ou 3 mL (15 mg), avec un dosage dilué à 1 mg/mL en ampoules de 5 mL (5 mg) particulièrement adapté à la pédiatrie et aux prémédications à faible dose. La spécialité historique princeps Dormicum (Hoffmann-La Roche, Suisse) est retirée du marché algérien, mais sa mémoire pharmacologique et son conditionnement historique (ampoules de 1 mL à 5 mg/mL) restent opérants dans les anciennes formations hospitalières. La multiplicité des conditionnements (ampoules de 1 mL, 3 mL, 5 mL et 10 mL) reflète la diversité des indications : prémédication à faible dose (1 mL), induction à dose moyenne (3 mL), perfusion continue en réanimation (10 mL), usage pédiatrique dilué (5 mL). Le classement sur la Liste I est justifié par la puissance de la molécule, son risque de dépression respiratoire grave et son potentiel d'usage détourné.</w:t>
      </w:r>
    </w:p>
    <w:p>
      <w:pPr>
        <w:pStyle w:val="Heading3"/>
      </w:pPr>
      <w:r>
        <w:t>181.5.1.3 Mécanisme d'action moléculaire, cellulaire et physiologique</w:t>
      </w:r>
    </w:p>
    <w:p>
      <w:r>
        <w:t>Le midazolam est une benzodiazépine dont le mécanisme d'action principal repose sur la modulation allostérique positive du récepteur GABA-A, le principal récepteur de l'inhibition cérébrale. La molécule se fixe sur un site allostérique spécifique des benzodiazépines (site BZD), situé à l'interface des sous-unités α et γ du pentamère canalaire. Cette fixation augmente la fréquence d'ouverture du canal chlore en réponse au GABA endogène (contrairement aux barbituriques qui augmentent la durée d'ouverture), sans activation propre en l'absence de GABA (effet modulateur, non activateur direct). Cette modulation allostérique « en présence du neurotransmetteur endogène » explique la sécurité relative des BZD par rapport aux barbituriques, avec un plafond d'effet sur la dépression respiratoire qui rend les overdoses pures moins létales (mais non anodines, surtout en association avec les opioïdes ou l'alcool).</w:t>
      </w:r>
    </w:p>
    <w:p>
      <w:r/>
      <w:r>
        <w:rPr>
          <w:b/>
        </w:rPr>
        <w:t>Sélectivité de sous-unité :</w:t>
      </w:r>
      <w:r>
        <w:t xml:space="preserve"> le midazolam, comme l'ensemble des benzodiazépines classiques, se lie préférentiellement aux récepteurs GABA-A contenant les sous-unités α1 (effet sédatif-hypnotique et amnésiant), α2 (effet anxiolytique), α3 et α5 (effets myorelaxant et cognition). Cette sélectivité explique le profil pharmacologique riche de la molécule : anxiolyse, sédation, amnésie antérograde, myorelaxation centrale, effet anticonvulsivant.</w:t>
      </w:r>
    </w:p>
    <w:p>
      <w:r/>
      <w:r>
        <w:rPr>
          <w:b/>
        </w:rPr>
        <w:t>Physiologie intégrée :</w:t>
      </w:r>
      <w:r>
        <w:t xml:space="preserve"> à dose de prémédication (0,05 mg/kg IM, 30 à 60 min avant induction), le midazolam produit une anxiolyse marquée, une sédation légère (patient somnolent mais réveillable), une amnésie antérograde (le patient ne se souviendra pas de l'arrivée au bloc ni de la pose de la voie veineuse), et une réduction discrète de la consommation d'anesthésiques ultérieurs (effet d'épargne de 25-30 % sur le propofol, le thiopental, les halogénés). À dose d'induction (0,15 à 0,3 mg/kg IV), le midazolam induit une perte de conscience en 1 à 3 minutes (un bras-circulation), avec dépression respiratoire et hypotension modérée.</w:t>
      </w:r>
    </w:p>
    <w:p>
      <w:r/>
      <w:r>
        <w:rPr>
          <w:b/>
        </w:rPr>
        <w:t>Propriétés chimiques particulières :</w:t>
      </w:r>
      <w:r>
        <w:t xml:space="preserve"> le midazolam présente la particularité chimique d'être une imidazobenzodiazépine avec un anneau imidazole annelé qui se referme en milieu acide (pH &lt; 4) et s'ouvre en milieu neutre. Cette propriété permet au midazolam d'être hydrosoluble dans la formulation injectable acide (pH 3,5) et liposoluble au pH physiologique (7,4), autorisant une résorption tissulaire rapide et un délai d'action court (1 à 3 minutes en IV, 10 à 15 minutes en IM). Cette pharmacocinétique « à deux vitesses » a fait du midazolam la benzodiazépine d'induction anesthésique de référence depuis sa commercialisation en 1982 sous le nom de Dormicum (Hoffmann-La Roche).</w:t>
      </w:r>
    </w:p>
    <w:p>
      <w:r/>
      <w:r>
        <w:rPr>
          <w:b/>
        </w:rPr>
        <w:t>Effets pharmacologiques :</w:t>
      </w:r>
      <w:r/>
    </w:p>
    <w:p>
      <w:pPr>
        <w:pStyle w:val="ListBullet"/>
      </w:pPr>
      <w:r/>
      <w:r>
        <w:rPr>
          <w:b/>
        </w:rPr>
        <w:t>Anxiolyse</w:t>
      </w:r>
      <w:r>
        <w:t xml:space="preserve"> : réduction de l'anxiété préopératoire, effet recherché en prémédication.</w:t>
      </w:r>
    </w:p>
    <w:p>
      <w:pPr>
        <w:pStyle w:val="ListBullet"/>
      </w:pPr>
      <w:r/>
      <w:r>
        <w:rPr>
          <w:b/>
        </w:rPr>
        <w:t>Sédation</w:t>
      </w:r>
      <w:r>
        <w:t xml:space="preserve"> : effet dose-dépendant, somnolence plus ou moins profonde.</w:t>
      </w:r>
    </w:p>
    <w:p>
      <w:pPr>
        <w:pStyle w:val="ListBullet"/>
      </w:pPr>
      <w:r/>
      <w:r>
        <w:rPr>
          <w:b/>
        </w:rPr>
        <w:t>Amnésie antérograde</w:t>
      </w:r>
      <w:r>
        <w:t xml:space="preserve"> : incapacité à former de nouveaux souvenirs à partir de l'injection ; effet particulièrement marqué et précieux pour les procédures désagréables (endoscopie, bronchoscopie, pansements de grands brûlés).</w:t>
      </w:r>
    </w:p>
    <w:p>
      <w:pPr>
        <w:pStyle w:val="ListBullet"/>
      </w:pPr>
      <w:r/>
      <w:r>
        <w:rPr>
          <w:b/>
        </w:rPr>
        <w:t>Myorelaxation centrale</w:t>
      </w:r>
      <w:r>
        <w:t xml:space="preserve"> : par potentialisation de l'inhibition glycinergique spinale.</w:t>
      </w:r>
    </w:p>
    <w:p>
      <w:pPr>
        <w:pStyle w:val="ListBullet"/>
      </w:pPr>
      <w:r/>
      <w:r>
        <w:rPr>
          <w:b/>
        </w:rPr>
        <w:t>Effet anticonvulsivant</w:t>
      </w:r>
      <w:r>
        <w:t xml:space="preserve"> : effet puissant, le midazolam IV est aujourd'hui l'agent de première ligne dans le status epilepticus de l'enfant et de l'adulte selon les recommandations SFEMER 2015 et NICE 2016.</w:t>
      </w:r>
    </w:p>
    <w:p>
      <w:pPr>
        <w:pStyle w:val="ListBullet"/>
      </w:pPr>
      <w:r/>
      <w:r>
        <w:rPr>
          <w:b/>
        </w:rPr>
        <w:t>Pas d'effet analgésique propre</w:t>
      </w:r>
      <w:r>
        <w:t xml:space="preserve"> : impose l'association systématique à un morphinique pour les procédures douloureuses.</w:t>
      </w:r>
    </w:p>
    <w:p>
      <w:r/>
      <w:r>
        <w:rPr>
          <w:b/>
        </w:rPr>
        <w:t>Effets hémodynamiques :</w:t>
      </w:r>
      <w:r>
        <w:t xml:space="preserve"> hypotension modérée (10-15 % de baisse de la PAM), tachycardie réflexe discrète, préservation du débit cardiaque. Effet moins marqué que le propofol ou le thiopental, ce qui rend le midazolam compatible avec l'insuffisance cardiaque modérée.</w:t>
      </w:r>
    </w:p>
    <w:p>
      <w:r/>
      <w:r>
        <w:rPr>
          <w:b/>
        </w:rPr>
        <w:t>Effets respiratoires :</w:t>
      </w:r>
      <w:r>
        <w:t xml:space="preserve"> dépression respiratoire centrale dose-dépendante (réduction de la fréquence respiratoire et du volume courant), apnée possible à dose élevée. La dépression est potentialisée par les opioïdes (effet synergique). Sensibilité accrue chez le sujet âgé, l'insuffisant respiratoire chronique, et le patient en insuffisance hépatique sévère.</w:t>
      </w:r>
    </w:p>
    <w:p>
      <w:pPr>
        <w:pStyle w:val="Heading3"/>
      </w:pPr>
      <w:r>
        <w:t>181.5.1.4 Pharmacocinétique (Profil PK)</w:t>
      </w:r>
    </w:p>
    <w:p>
      <w:r/>
      <w:r>
        <w:rPr>
          <w:b/>
        </w:rPr>
        <w:t>Absorption :</w:t>
      </w:r>
      <w:r/>
    </w:p>
    <w:p>
      <w:pPr>
        <w:pStyle w:val="ListBullet"/>
      </w:pPr>
      <w:r>
        <w:t>IV : biodisponibilité 100 %, pic cérébral en 1-3 min.</w:t>
      </w:r>
    </w:p>
    <w:p>
      <w:pPr>
        <w:pStyle w:val="ListBullet"/>
      </w:pPr>
      <w:r>
        <w:t>IM : biodisponibilité &gt; 90 %, pic en 15-30 min.</w:t>
      </w:r>
    </w:p>
    <w:p>
      <w:pPr>
        <w:pStyle w:val="ListBullet"/>
      </w:pPr>
      <w:r>
        <w:t>Rectale : biodisponibilité 50 %, pic en 10-30 min (usage pédiatrique).</w:t>
      </w:r>
    </w:p>
    <w:p>
      <w:pPr>
        <w:pStyle w:val="ListBullet"/>
      </w:pPr>
      <w:r>
        <w:t>Intranasale : biodisponibilité 50-55 %, pic en 10-15 min (usage pédiatrique en prémédication).</w:t>
      </w:r>
    </w:p>
    <w:p>
      <w:pPr>
        <w:pStyle w:val="ListBullet"/>
      </w:pPr>
      <w:r>
        <w:t>Per os : biodisponibilité 30-40 % (effet de premier passage hépatique), pic en 30-60 min (forme comprimé non disponible en Algérie pour cette DCI).</w:t>
      </w:r>
    </w:p>
    <w:p>
      <w:r/>
      <w:r>
        <w:rPr>
          <w:b/>
        </w:rPr>
        <w:t>Distribution :</w:t>
      </w:r>
      <w:r>
        <w:t xml:space="preserve"> le midazolam est lipophile (log P = 1,5), fortement lié aux protéines plasmatiques (96 %, surtout l'albumine). Le volume de distribution à l'équilibre (Vdss) est modéré (1 à 2 L/kg). La distribution est bi-compartimentale. La demi-vie de redistribution t1/2α est courte (5 à 20 min) et explique la brièveté de l'effet clinique après bolus. La demi-vie d'élimination t1/2β est de 1,5 à 3 heures chez l'adulte sain, mais s'allonge chez le sujet âgé (4-6 h), l'insuffisant hépatique (6-12 h), l'insuffisant rénal sévère (4-8 h), et en cas d'insuffisance cardiaque congestive.</w:t>
      </w:r>
    </w:p>
    <w:p>
      <w:r/>
      <w:r>
        <w:rPr>
          <w:b/>
        </w:rPr>
        <w:t>Métabolisme :</w:t>
      </w:r>
      <w:r>
        <w:t xml:space="preserve"> le midazolam est métabolisé à plus de 95 % dans le foie par le CYP3A4 et le CYP3A5 (hydroxylation en α-hydroxymidazolam, métabolite actif avec 60-80 % de l'activité du midazolam mère). L'α-hydroxymidazolam est ensuite glucuronoconjugué et éliminé.</w:t>
      </w:r>
    </w:p>
    <w:p>
      <w:r/>
      <w:r>
        <w:rPr>
          <w:b/>
        </w:rPr>
        <w:t>Élimination :</w:t>
      </w:r>
      <w:r>
        <w:t xml:space="preserve"> élimination rénale des métabolites (90 % en 24 h, dont 60-70 % sous forme d'α-hydroxymidazolam glucuronoconjugué). Moins de 1 % est excrété inchangé dans les urines. La clearance totale est de 4 à 8 mL/kg/min.</w:t>
      </w:r>
    </w:p>
    <w:p>
      <w:r/>
      <w:r>
        <w:rPr>
          <w:b/>
        </w:rPr>
        <w:t>Effet de premier passage cérébral :</w:t>
      </w:r>
      <w:r>
        <w:t xml:space="preserve"> la lipophilie (log P = 1,5) explique le passage cérébral rapide (pic en 1-3 min IV), suivi d'une décroissance par redistribution (t1/2α = 5-20 min) qui termine l'effet clinique après 30-60 minutes.</w:t>
      </w:r>
    </w:p>
    <w:p>
      <w:r/>
      <w:r>
        <w:rPr>
          <w:b/>
        </w:rPr>
        <w:t>Populations particulières :</w:t>
      </w:r>
      <w:r/>
    </w:p>
    <w:p>
      <w:pPr>
        <w:pStyle w:val="ListBullet"/>
      </w:pPr>
      <w:r/>
      <w:r>
        <w:rPr>
          <w:b/>
        </w:rPr>
        <w:t>Nouveau-né et prématuré :</w:t>
      </w:r>
      <w:r>
        <w:t xml:space="preserve"> Vd augmenté, clearance réduite, demi-vie allongée (6-12 h) → prudence, réduire la dose.</w:t>
      </w:r>
    </w:p>
    <w:p>
      <w:pPr>
        <w:pStyle w:val="ListBullet"/>
      </w:pPr>
      <w:r/>
      <w:r>
        <w:rPr>
          <w:b/>
        </w:rPr>
        <w:t>Enfant de 1 à 12 ans :</w:t>
      </w:r>
      <w:r>
        <w:t xml:space="preserve"> Vd plus élevé, clearance plus rapide (mg/kg plus élevé nécessaire), mais demi-vie courte (1-2 h).</w:t>
      </w:r>
    </w:p>
    <w:p>
      <w:pPr>
        <w:pStyle w:val="ListBullet"/>
      </w:pPr>
      <w:r/>
      <w:r>
        <w:rPr>
          <w:b/>
        </w:rPr>
        <w:t>Sujet âgé &gt; 65 ans :</w:t>
      </w:r>
      <w:r>
        <w:t xml:space="preserve"> Vd augmenté (masse grasse), clearance réduite, demi-vie allongée (4-6 h) → réduire la dose de 30-50 %.</w:t>
      </w:r>
    </w:p>
    <w:p>
      <w:pPr>
        <w:pStyle w:val="ListBullet"/>
      </w:pPr>
      <w:r/>
      <w:r>
        <w:rPr>
          <w:b/>
        </w:rPr>
        <w:t>Insuffisance hépatique :</w:t>
      </w:r>
      <w:r>
        <w:t xml:space="preserve"> clearance réduite, demi-vie allongée (6-12 h), métabolite actif cumulé → réduire la dose.</w:t>
      </w:r>
    </w:p>
    <w:p>
      <w:pPr>
        <w:pStyle w:val="ListBullet"/>
      </w:pPr>
      <w:r/>
      <w:r>
        <w:rPr>
          <w:b/>
        </w:rPr>
        <w:t>Insuffisance rénale :</w:t>
      </w:r>
      <w:r>
        <w:t xml:space="preserve"> hypoprotidémie possible, fraction libre augmentée → prudence.</w:t>
      </w:r>
    </w:p>
    <w:p>
      <w:pPr>
        <w:pStyle w:val="ListBullet"/>
      </w:pPr>
      <w:r/>
      <w:r>
        <w:rPr>
          <w:b/>
        </w:rPr>
        <w:t>Obèse :</w:t>
      </w:r>
      <w:r>
        <w:t xml:space="preserve"> adapter à la masse maigre, surveillance de l'accumulation.</w:t>
      </w:r>
    </w:p>
    <w:p>
      <w:r/>
      <w:r>
        <w:rPr>
          <w:b/>
        </w:rPr>
        <w:t>Polymorphisme génétique :</w:t>
      </w:r>
      <w:r>
        <w:t xml:space="preserve"> le CYP3A5</w:t>
      </w:r>
      <w:r>
        <w:rPr>
          <w:i/>
        </w:rPr>
        <w:t>3 (patients non-expressors) est fréquent chez les Caucasiens (~85 %), conduisant à un métabolisme exclusivement par le CYP3A4. Les patients expressors CYP3A5</w:t>
      </w:r>
      <w:r>
        <w:t>1 (environ 15 % des Caucasiens, 50 % des Africains) ont une clearance augmentée, nécessitant parfois des doses plus élevées.</w:t>
      </w:r>
    </w:p>
    <w:p>
      <w:pPr>
        <w:pStyle w:val="Heading3"/>
      </w:pPr>
      <w:r>
        <w:t>181.5.1.5 Indications thérapeutiques (détail AMM et hors AMM)</w:t>
      </w:r>
    </w:p>
    <w:p>
      <w:r/>
      <w:r>
        <w:rPr>
          <w:b/>
        </w:rPr>
        <w:t>Indications AMM principales :</w:t>
      </w:r>
      <w:r/>
    </w:p>
    <w:p>
      <w:pPr>
        <w:pStyle w:val="ListNumber"/>
      </w:pPr>
      <w:r/>
      <w:r>
        <w:rPr>
          <w:b/>
        </w:rPr>
        <w:t>Prémédication anesthésique</w:t>
      </w:r>
      <w:r>
        <w:t xml:space="preserve"> chez l'adulte et l'enfant de plus de 6 mois : 0,03 à 0,1 mg/kg IM (30 à 60 min avant induction) ou 0,02 à 0,08 mg/kg IV (5-10 min avant induction). Effet anxiolytique et amnésiant.</w:t>
      </w:r>
    </w:p>
    <w:p>
      <w:pPr>
        <w:pStyle w:val="ListNumber"/>
      </w:pPr>
      <w:r/>
      <w:r>
        <w:rPr>
          <w:b/>
        </w:rPr>
        <w:t>Induction de l'anesthésie générale</w:t>
      </w:r>
      <w:r>
        <w:t xml:space="preserve"> : 0,15 à 0,3 mg/kg IV en association avec un opioïde (fentanyl 2-5 µg/kg, sufentanil 0,2-0,5 µg/kg, rémifentanil 0,5-1 µg/kg) et un curare. Le midazolam est moins puissant que le propofol ou le thiopental comme agent d'induction, mais il est utilisé en association (anesthésie balancée).</w:t>
      </w:r>
    </w:p>
    <w:p>
      <w:pPr>
        <w:pStyle w:val="ListNumber"/>
      </w:pPr>
      <w:r/>
      <w:r>
        <w:rPr>
          <w:b/>
        </w:rPr>
        <w:t>Sédation procédurale consciente</w:t>
      </w:r>
      <w:r>
        <w:t xml:space="preserve"> chez l'adulte et l'enfant : 0,02 à 0,1 mg/kg IV en titration (bolus de 1-2 mg, à répéter toutes les 2-3 min selon la profondeur désirée) pour endoscopie digestive, bronchoscopie, radiologie interventionnelle, soins dentaires, cardioversion électrique, cérclage utérin, ponction lombaire, scanner, IRM. Patient en ventilation spontanée.</w:t>
      </w:r>
    </w:p>
    <w:p>
      <w:pPr>
        <w:pStyle w:val="ListNumber"/>
      </w:pPr>
      <w:r/>
      <w:r>
        <w:rPr>
          <w:b/>
        </w:rPr>
        <w:t>Sédation en réanimation</w:t>
      </w:r>
      <w:r>
        <w:t xml:space="preserve"> chez le patient intubé ventilé : 0,02 à 0,2 mg/kg/h en perfusion continue par seringue électrique, en association avec un morphinique (fentanyl 1-3 µg/kg/h, sufentanil 0,1-0,3 µg/kg/h, rémifentanil 0,05-0,2 µg/kg/min). Surveillance continue en réanimation.</w:t>
      </w:r>
    </w:p>
    <w:p>
      <w:pPr>
        <w:pStyle w:val="ListNumber"/>
      </w:pPr>
      <w:r/>
      <w:r>
        <w:rPr>
          <w:b/>
        </w:rPr>
        <w:t>Status epilepticus convulsif</w:t>
      </w:r>
      <w:r>
        <w:t xml:space="preserve"> de l'adulte et de l'enfant : 0,2 mg/kg IV bolus (10 mg chez l'adulte moyen), suivi d'une perfusion continue de 0,05 à 0,4 mg/kg/h en cas de status réfractaire. Indication de première ligne selon les recommandations SFEMER 2015 et NICE 2016.</w:t>
      </w:r>
    </w:p>
    <w:p>
      <w:r/>
      <w:r>
        <w:rPr>
          <w:b/>
        </w:rPr>
        <w:t>Indications non couvertes par l'AMM mais d'usage fréquent :</w:t>
      </w:r>
      <w:r/>
    </w:p>
    <w:p>
      <w:pPr>
        <w:pStyle w:val="ListBullet"/>
      </w:pPr>
      <w:r/>
      <w:r>
        <w:rPr>
          <w:b/>
        </w:rPr>
        <w:t>Sédation palliative en fin de vie</w:t>
      </w:r>
      <w:r>
        <w:t xml:space="preserve"> : en association avec morphine (10-30 mg/24 h), scopolamine (0,4 mg/4 h), midazolam (5-20 mg/24 h) en perfusion SC continue.</w:t>
      </w:r>
    </w:p>
    <w:p>
      <w:pPr>
        <w:pStyle w:val="ListBullet"/>
      </w:pPr>
      <w:r/>
      <w:r>
        <w:rPr>
          <w:b/>
        </w:rPr>
        <w:t>Anesthésie en séquence rapide pédiatrique</w:t>
      </w:r>
      <w:r>
        <w:t xml:space="preserve"> : en association avec kétamine et curare.</w:t>
      </w:r>
    </w:p>
    <w:p>
      <w:pPr>
        <w:pStyle w:val="ListBullet"/>
      </w:pPr>
      <w:r/>
      <w:r>
        <w:rPr>
          <w:b/>
        </w:rPr>
        <w:t>Test diagnostique au flumazénil</w:t>
      </w:r>
      <w:r>
        <w:t xml:space="preserve"> : en cas de coma de cause inconnue, recherche d'imprégnation benzodiazépinique (0,2 mg IV, effet en 1-2 min).</w:t>
      </w:r>
    </w:p>
    <w:p>
      <w:r/>
      <w:r>
        <w:rPr>
          <w:b/>
        </w:rPr>
        <w:t>Contre-indications formelles :</w:t>
      </w:r>
      <w:r/>
    </w:p>
    <w:p>
      <w:pPr>
        <w:pStyle w:val="ListBullet"/>
      </w:pPr>
      <w:r/>
      <w:r>
        <w:rPr>
          <w:b/>
        </w:rPr>
        <w:t>Myasthénie grave</w:t>
      </w:r>
      <w:r>
        <w:t xml:space="preserve"> : contre-indication absolue (le midazolam aggrave le bloc neuromusculaire).</w:t>
      </w:r>
    </w:p>
    <w:p>
      <w:pPr>
        <w:pStyle w:val="ListBullet"/>
      </w:pPr>
      <w:r/>
      <w:r>
        <w:rPr>
          <w:b/>
        </w:rPr>
        <w:t>Insuffisance respiratoire sévère décompensée</w:t>
      </w:r>
      <w:r>
        <w:t xml:space="preserve"> : contre-indication absolue (dépression respiratoire centrale).</w:t>
      </w:r>
    </w:p>
    <w:p>
      <w:pPr>
        <w:pStyle w:val="ListBullet"/>
      </w:pPr>
      <w:r/>
      <w:r>
        <w:rPr>
          <w:b/>
        </w:rPr>
        <w:t>Syndrome d'apnée du sommeil sévère non traité</w:t>
      </w:r>
      <w:r>
        <w:t xml:space="preserve"> : contre-indication absolue.</w:t>
      </w:r>
    </w:p>
    <w:p>
      <w:pPr>
        <w:pStyle w:val="ListBullet"/>
      </w:pPr>
      <w:r/>
      <w:r>
        <w:rPr>
          <w:b/>
        </w:rPr>
        <w:t>Insuffisance hépatique sévère</w:t>
      </w:r>
      <w:r>
        <w:t xml:space="preserve"> (cirrhose décompensée, encéphalopathie hépatique) : contre-indication relative absolue (risque d'encéphalopathie hépatique précipitée).</w:t>
      </w:r>
    </w:p>
    <w:p>
      <w:pPr>
        <w:pStyle w:val="ListBullet"/>
      </w:pPr>
      <w:r/>
      <w:r>
        <w:rPr>
          <w:b/>
        </w:rPr>
        <w:t>Allergie connue aux benzodiazépines</w:t>
      </w:r>
      <w:r>
        <w:t xml:space="preserve"> : contre-indication absolue.</w:t>
      </w:r>
    </w:p>
    <w:p>
      <w:pPr>
        <w:pStyle w:val="ListBullet"/>
      </w:pPr>
      <w:r/>
      <w:r>
        <w:rPr>
          <w:b/>
        </w:rPr>
        <w:t>Intoxication alcoolique aiguë</w:t>
      </w:r>
      <w:r>
        <w:t xml:space="preserve"> : prudence absolue (potentialisation majeure).</w:t>
      </w:r>
    </w:p>
    <w:p>
      <w:pPr>
        <w:pStyle w:val="ListBullet"/>
      </w:pPr>
      <w:r/>
      <w:r>
        <w:rPr>
          <w:b/>
        </w:rPr>
        <w:t>Patient sous naltrexone ou flumazénil chronique</w:t>
      </w:r>
      <w:r>
        <w:t xml:space="preserve"> : contre-indication relative.</w:t>
      </w:r>
    </w:p>
    <w:p>
      <w:pPr>
        <w:pStyle w:val="ListBullet"/>
      </w:pPr>
      <w:r/>
      <w:r>
        <w:rPr>
          <w:b/>
        </w:rPr>
        <w:t>Grossesse (1er trimestre)</w:t>
      </w:r>
      <w:r>
        <w:t xml:space="preserve"> : à éviter en dehors des urgences (voir section Grossesse).</w:t>
      </w:r>
    </w:p>
    <w:p>
      <w:pPr>
        <w:pStyle w:val="ListBullet"/>
      </w:pPr>
      <w:r/>
      <w:r>
        <w:rPr>
          <w:b/>
        </w:rPr>
        <w:t>Allaitement</w:t>
      </w:r>
      <w:r>
        <w:t xml:space="preserve"> : incompatible avec l'allaitement (voir section Allaitement).</w:t>
      </w:r>
    </w:p>
    <w:p>
      <w:pPr>
        <w:pStyle w:val="Heading3"/>
      </w:pPr>
      <w:r>
        <w:t>181.5.1.6 Effets indésirables et prévention</w:t>
      </w:r>
    </w:p>
    <w:p>
      <w:r/>
      <w:r>
        <w:rPr>
          <w:b/>
        </w:rPr>
        <w:t>Effets indésirables fréquents (&gt; 1/100) :</w:t>
      </w:r>
      <w:r/>
    </w:p>
    <w:p>
      <w:pPr>
        <w:pStyle w:val="ListBullet"/>
      </w:pPr>
      <w:r/>
      <w:r>
        <w:rPr>
          <w:b/>
        </w:rPr>
        <w:t>Dépression respiratoire</w:t>
      </w:r>
      <w:r>
        <w:t xml:space="preserve"> : 5 à 20 %, dose-dépendante, potentialisée par les opioïdes et l'alcool. Apnée possible à dose d'induction. Prévention : prémédication à dose réduite chez le sujet âgé, l'insuffisant respiratoire, le sujet en insuffisance hépatique ; monitoring continu de la SpO2 et de la capnie ; disponibilité du flumazénil et du naloxone.</w:t>
      </w:r>
    </w:p>
    <w:p>
      <w:pPr>
        <w:pStyle w:val="ListBullet"/>
      </w:pPr>
      <w:r/>
      <w:r>
        <w:rPr>
          <w:b/>
        </w:rPr>
        <w:t>Hypotension artérielle</w:t>
      </w:r>
      <w:r>
        <w:t xml:space="preserve"> : 5 à 15 %, modérée, plus marquée chez le sujet âgé et hypovolémique. Prévention : prémédication à dose réduite chez le sujet fragile.</w:t>
      </w:r>
    </w:p>
    <w:p>
      <w:pPr>
        <w:pStyle w:val="ListBullet"/>
      </w:pPr>
      <w:r/>
      <w:r>
        <w:rPr>
          <w:b/>
        </w:rPr>
        <w:t>Sédation prolongée</w:t>
      </w:r>
      <w:r>
        <w:t xml:space="preserve"> : 5 à 15 %, plus marquée chez le sujet âgé en raison de l'allongement de la demi-vie (4-6 h). Prévention : prémédication à dose réduite (0,02-0,03 mg/kg chez le sujet &gt; 65 ans).</w:t>
      </w:r>
    </w:p>
    <w:p>
      <w:pPr>
        <w:pStyle w:val="ListBullet"/>
      </w:pPr>
      <w:r/>
      <w:r>
        <w:rPr>
          <w:b/>
        </w:rPr>
        <w:t>Amnésie antérograde prolongée</w:t>
      </w:r>
      <w:r>
        <w:t xml:space="preserve"> : 30 à 60 %, parfois ressentie comme désagréable par le patient. Prévention : information préalable.</w:t>
      </w:r>
    </w:p>
    <w:p>
      <w:pPr>
        <w:pStyle w:val="ListBullet"/>
      </w:pPr>
      <w:r/>
      <w:r>
        <w:rPr>
          <w:b/>
        </w:rPr>
        <w:t>Agitation paradoxale</w:t>
      </w:r>
      <w:r>
        <w:t xml:space="preserve"> : 1 à 5 %, surtout chez l'enfant et le sujet âgé, parfois confondue avec une exacerbation de l'anxiété. Prévention : prémédication par midazolam à dose réduite, surveillance rapprochée.</w:t>
      </w:r>
    </w:p>
    <w:p>
      <w:pPr>
        <w:pStyle w:val="ListBullet"/>
      </w:pPr>
      <w:r/>
      <w:r>
        <w:rPr>
          <w:b/>
        </w:rPr>
        <w:t>Nausées et vomissements</w:t>
      </w:r>
      <w:r>
        <w:t xml:space="preserve"> : 5 à 10 %, moins fréquents qu'avec les halogénés. Prévention : ondansétron 4 mg IV.</w:t>
      </w:r>
    </w:p>
    <w:p>
      <w:r/>
      <w:r>
        <w:rPr>
          <w:b/>
        </w:rPr>
        <w:t>Effets indésirables rares (1/1000 à 1/100) :</w:t>
      </w:r>
      <w:r/>
    </w:p>
    <w:p>
      <w:pPr>
        <w:pStyle w:val="ListBullet"/>
      </w:pPr>
      <w:r/>
      <w:r>
        <w:rPr>
          <w:b/>
        </w:rPr>
        <w:t>Hallucinations, délires au réveil</w:t>
      </w:r>
      <w:r>
        <w:t xml:space="preserve"> : 1 à 3 %, surtout chez l'enfant et le sujet âgé.</w:t>
      </w:r>
    </w:p>
    <w:p>
      <w:pPr>
        <w:pStyle w:val="ListBullet"/>
      </w:pPr>
      <w:r/>
      <w:r>
        <w:rPr>
          <w:b/>
        </w:rPr>
        <w:t>Bronchospasme</w:t>
      </w:r>
      <w:r>
        <w:t xml:space="preserve"> : rare, en cas de réaction anaphylactoïde.</w:t>
      </w:r>
    </w:p>
    <w:p>
      <w:pPr>
        <w:pStyle w:val="ListBullet"/>
      </w:pPr>
      <w:r/>
      <w:r>
        <w:rPr>
          <w:b/>
        </w:rPr>
        <w:t>Allergies cutanées</w:t>
      </w:r>
      <w:r>
        <w:t xml:space="preserve"> (rash, urticaire) : 1/1000.</w:t>
      </w:r>
    </w:p>
    <w:p>
      <w:pPr>
        <w:pStyle w:val="ListBullet"/>
      </w:pPr>
      <w:r/>
      <w:r>
        <w:rPr>
          <w:b/>
        </w:rPr>
        <w:t>Thrombophlébite au point d'injection</w:t>
      </w:r>
      <w:r>
        <w:t xml:space="preserve"> : rare.</w:t>
      </w:r>
    </w:p>
    <w:p>
      <w:r/>
      <w:r>
        <w:rPr>
          <w:b/>
        </w:rPr>
        <w:t>Effets indésirables graves (&lt; 1/10 000) :</w:t>
      </w:r>
      <w:r/>
    </w:p>
    <w:p>
      <w:pPr>
        <w:pStyle w:val="ListBullet"/>
      </w:pPr>
      <w:r/>
      <w:r>
        <w:rPr>
          <w:b/>
        </w:rPr>
        <w:t>Anaphylaxie</w:t>
      </w:r>
      <w:r>
        <w:t xml:space="preserve"> : 1/10 000 à 1/100 000. Traitement : adrénaline IV 0,1-0,5 mg, remplissage, antihistaminiques.</w:t>
      </w:r>
    </w:p>
    <w:p>
      <w:pPr>
        <w:pStyle w:val="ListBullet"/>
      </w:pPr>
      <w:r/>
      <w:r>
        <w:rPr>
          <w:b/>
        </w:rPr>
        <w:t>Arrêt respiratoire ou cardiaque</w:t>
      </w:r>
      <w:r>
        <w:t xml:space="preserve"> : en cas de surdosage massif ou d'association avec des dépresseurs respiratoires (opioïdes, alcool). Prévention : disponibilité systématique du flumazénil et du matériel de réanimation.</w:t>
      </w:r>
    </w:p>
    <w:p>
      <w:pPr>
        <w:pStyle w:val="ListBullet"/>
      </w:pPr>
      <w:r/>
      <w:r>
        <w:rPr>
          <w:b/>
        </w:rPr>
        <w:t>Délire prolongé, état confusionnel post-opératoire</w:t>
      </w:r>
      <w:r>
        <w:t xml:space="preserve"> : rare, surtout chez le sujet âgé (delirium post-opératoire), pouvant durer 24-72 h. Prévention : prémédication à dose réduite chez le sujet &gt; 70 ans.</w:t>
      </w:r>
    </w:p>
    <w:p>
      <w:pPr>
        <w:pStyle w:val="ListBullet"/>
      </w:pPr>
      <w:r/>
      <w:r>
        <w:rPr>
          <w:b/>
        </w:rPr>
        <w:t>Chute, traumatisme</w:t>
      </w:r>
      <w:r>
        <w:t xml:space="preserve"> : en cas de prémédication ambulatoire, en raison de la sédation résiduelle et de la myorelaxation.</w:t>
      </w:r>
    </w:p>
    <w:p>
      <w:r/>
      <w:r>
        <w:rPr>
          <w:b/>
        </w:rPr>
        <w:t>Effets à long terme (usage prolongé en réanimation) :</w:t>
      </w:r>
      <w:r/>
    </w:p>
    <w:p>
      <w:pPr>
        <w:pStyle w:val="ListBullet"/>
      </w:pPr>
      <w:r/>
      <w:r>
        <w:rPr>
          <w:b/>
        </w:rPr>
        <w:t>Tolérance</w:t>
      </w:r>
      <w:r>
        <w:t xml:space="preserve"> : diminution de l'effet anxiolytique et sédatif après 5-7 jours, nécessitant l'augmentation des doses.</w:t>
      </w:r>
    </w:p>
    <w:p>
      <w:pPr>
        <w:pStyle w:val="ListBullet"/>
      </w:pPr>
      <w:r/>
      <w:r>
        <w:rPr>
          <w:b/>
        </w:rPr>
        <w:t>Dépendance physique et psychique</w:t>
      </w:r>
      <w:r>
        <w:t xml:space="preserve"> : en cas d'usage prolongé &gt; 2 semaines, sevrage à l'arrêt brutal (anxiété, tremblements, convulsions).</w:t>
      </w:r>
    </w:p>
    <w:p>
      <w:pPr>
        <w:pStyle w:val="ListBullet"/>
      </w:pPr>
      <w:r/>
      <w:r>
        <w:rPr>
          <w:b/>
        </w:rPr>
        <w:t>Syndrome de sevrage</w:t>
      </w:r>
      <w:r>
        <w:t xml:space="preserve"> : à l'arrêt brutal en réanimation, agitation, tachycardie, hypertension, convulsions. Prévention : diminution progressive (50 % par jour).</w:t>
      </w:r>
    </w:p>
    <w:p>
      <w:pPr>
        <w:pStyle w:val="Heading3"/>
      </w:pPr>
      <w:r>
        <w:t>181.5.1.7 Interactions médicamenteuses</w:t>
      </w:r>
    </w:p>
    <w:p>
      <w:r>
        <w:t>Le midazolam est métabolisé principalement par le CYP3A4 et le CYP3A5. Le profil d'interactions est majeur, en particulier avec les inhibiteurs et inducteurs du CYP3A4.</w:t>
      </w:r>
    </w:p>
    <w:p>
      <w:r/>
      <w:r>
        <w:rPr>
          <w:b/>
        </w:rPr>
        <w:t>Interactions pharmacodynamiques majeures :</w:t>
      </w:r>
      <w:r/>
    </w:p>
    <w:p>
      <w:pPr>
        <w:pStyle w:val="ListBullet"/>
      </w:pPr>
      <w:r/>
      <w:r>
        <w:rPr>
          <w:b/>
        </w:rPr>
        <w:t>Avec les opioïdes (fentanyl, morphine, sufentanil, rémifentanil) :</w:t>
      </w:r>
      <w:r>
        <w:t xml:space="preserve"> potentialisation majeure de la dépression respiratoire et de la sédation. Réduction de la dose de 50 % en cas d'association. Effet synergique recherché en anesthésie balancée.</w:t>
      </w:r>
    </w:p>
    <w:p>
      <w:pPr>
        <w:pStyle w:val="ListBullet"/>
      </w:pPr>
      <w:r/>
      <w:r>
        <w:rPr>
          <w:b/>
        </w:rPr>
        <w:t>Avec les autres hypnotiques (propofol, thiopental, étomidate, halogénés) :</w:t>
      </w:r>
      <w:r>
        <w:t xml:space="preserve"> potentialisation de l'hypnose, réduction de la dose de 30-50 %.</w:t>
      </w:r>
    </w:p>
    <w:p>
      <w:pPr>
        <w:pStyle w:val="ListBullet"/>
      </w:pPr>
      <w:r/>
      <w:r>
        <w:rPr>
          <w:b/>
        </w:rPr>
        <w:t>Avec les curares (succinylcholine, rocuronium) :</w:t>
      </w:r>
      <w:r>
        <w:t xml:space="preserve"> pas d'interaction pharmacocinétique significative ; le midazolam ne modifie pas la durée du bloc.</w:t>
      </w:r>
    </w:p>
    <w:p>
      <w:pPr>
        <w:pStyle w:val="ListBullet"/>
      </w:pPr>
      <w:r/>
      <w:r>
        <w:rPr>
          <w:b/>
        </w:rPr>
        <w:t>Avec l'alcool</w:t>
      </w:r>
      <w:r>
        <w:t xml:space="preserve"> : potentialisation majeure, risque de coma respiratoire.</w:t>
      </w:r>
    </w:p>
    <w:p>
      <w:pPr>
        <w:pStyle w:val="ListBullet"/>
      </w:pPr>
      <w:r/>
      <w:r>
        <w:rPr>
          <w:b/>
        </w:rPr>
        <w:t>Avec les antidépresseurs sédatifs (amitriptyline, miansérine) :</w:t>
      </w:r>
      <w:r>
        <w:t xml:space="preserve"> potentialisation de la sédation.</w:t>
      </w:r>
    </w:p>
    <w:p>
      <w:pPr>
        <w:pStyle w:val="ListBullet"/>
      </w:pPr>
      <w:r/>
      <w:r>
        <w:rPr>
          <w:b/>
        </w:rPr>
        <w:t>Avec les antipsychotiques (halopéridol, chlorpromazine) :</w:t>
      </w:r>
      <w:r>
        <w:t xml:space="preserve"> potentialisation de la sédation et de l'hypotension.</w:t>
      </w:r>
    </w:p>
    <w:p>
      <w:pPr>
        <w:pStyle w:val="ListBullet"/>
      </w:pPr>
      <w:r/>
      <w:r>
        <w:rPr>
          <w:b/>
        </w:rPr>
        <w:t>Avec les antihistaminiques H1 sédatifs (hydroxyzine, prométhazine) :</w:t>
      </w:r>
      <w:r>
        <w:t xml:space="preserve"> potentialisation de la sédation.</w:t>
      </w:r>
    </w:p>
    <w:p>
      <w:r/>
      <w:r>
        <w:rPr>
          <w:b/>
        </w:rPr>
        <w:t>Interactions pharmacocinétiques majeures (CYP3A4) :</w:t>
      </w:r>
      <w:r/>
    </w:p>
    <w:p>
      <w:pPr>
        <w:pStyle w:val="ListBullet"/>
      </w:pPr>
      <w:r/>
      <w:r>
        <w:rPr>
          <w:b/>
        </w:rPr>
        <w:t>Avec les inhibiteurs puissants du CYP3A4</w:t>
      </w:r>
      <w:r>
        <w:t xml:space="preserve"> (azolés : kétoconazole, itraconazole, voriconazole, posaconazole ; macrolides : érythromycine, clarithromycine, télithromycine ; inhibiteurs de protéase : ritonavir, saquinavir, atazanavir ; inhibiteurs calciques : diltiazem, vérapamil ; antidepressants : fluvoxamine, néfazodone) : réduction majeure de la clearance du midazolam, allongement de la durée d'action, sédation prolongée, dépression respiratoire accrue. Surveillance continue, dose réduite de 50-75 %, ou évitement du midazolam.</w:t>
      </w:r>
    </w:p>
    <w:p>
      <w:pPr>
        <w:pStyle w:val="ListBullet"/>
      </w:pPr>
      <w:r/>
      <w:r>
        <w:rPr>
          <w:b/>
        </w:rPr>
        <w:t>Avec les inducteurs enzymatiques (rifampicine, phénytoïne, carbamazépine, phénobarbital, millepertuis, oxcarbazépine) :</w:t>
      </w:r>
      <w:r>
        <w:t xml:space="preserve"> augmentation de la clearance, efficacité réduite du midazolam.</w:t>
      </w:r>
    </w:p>
    <w:p>
      <w:pPr>
        <w:pStyle w:val="ListBullet"/>
      </w:pPr>
      <w:r/>
      <w:r>
        <w:rPr>
          <w:b/>
        </w:rPr>
        <w:t>Avec le pamplemousse (inhibiteur du CYP3A4 intestinal) :</w:t>
      </w:r>
      <w:r>
        <w:t xml:space="preserve"> augmentation de la biodisponibilité per os du midazolam, effet moindre par voie IV. À éviter en prémédication orale.</w:t>
      </w:r>
    </w:p>
    <w:p>
      <w:pPr>
        <w:pStyle w:val="ListBullet"/>
      </w:pPr>
      <w:r/>
      <w:r>
        <w:rPr>
          <w:b/>
        </w:rPr>
        <w:t>Avec la ciclosporine, le tacrolimus</w:t>
      </w:r>
      <w:r>
        <w:t xml:space="preserve"> : potentialisation de l'effet immunosuppresseur et de la sédation.</w:t>
      </w:r>
    </w:p>
    <w:p>
      <w:r/>
      <w:r>
        <w:rPr>
          <w:b/>
        </w:rPr>
        <w:t>Antidote spécifique : le flumazénil (Anexate).</w:t>
      </w:r>
      <w:r/>
    </w:p>
    <w:p>
      <w:pPr>
        <w:pStyle w:val="ListBullet"/>
      </w:pPr>
      <w:r>
        <w:t>Antagoniste compétitif des benzodiazépines au site BZD du récepteur GABA-A.</w:t>
      </w:r>
    </w:p>
    <w:p>
      <w:pPr>
        <w:pStyle w:val="ListBullet"/>
      </w:pPr>
      <w:r>
        <w:t>Dose : 0,2 mg IV (sur 15 s), à répéter toutes les 60 s jusqu'à 1 mg maximum (dose totale maximale 2 mg en réanimation).</w:t>
      </w:r>
    </w:p>
    <w:p>
      <w:pPr>
        <w:pStyle w:val="ListBullet"/>
      </w:pPr>
      <w:r>
        <w:t>Effet en 1-2 min, durée d'action 30-60 min (plus courte que le midazolam) → surveiller la réapparition de la sédation et répéter si nécessaire.</w:t>
      </w:r>
    </w:p>
    <w:p>
      <w:pPr>
        <w:pStyle w:val="ListBullet"/>
      </w:pPr>
      <w:r>
        <w:t>Contre-indication : patient chronique sous benzodiazépines (risque de précipitation de convulsions, de syndrome de sevrage, d'anxiété réactionnelle).</w:t>
      </w:r>
    </w:p>
    <w:p>
      <w:pPr>
        <w:pStyle w:val="ListBullet"/>
      </w:pPr>
      <w:r>
        <w:t>Effets indésirables : anxiété, agitation, convulsions, tremblements.</w:t>
      </w:r>
    </w:p>
    <w:p>
      <w:pPr>
        <w:pStyle w:val="Heading3"/>
      </w:pPr>
      <w:r>
        <w:t>181.5.1.8 Grossesse, allaitement et CRAT</w:t>
      </w:r>
    </w:p>
    <w:p>
      <w:r/>
      <w:r>
        <w:rPr>
          <w:b/>
        </w:rPr>
        <w:t>Grossesse :</w:t>
      </w:r>
      <w:r>
        <w:t xml:space="preserve"> le midazolam traverse la barrière placentaire (rapport ftéo-maternel 0,6-1,0). Le CRAT classe le midazolam comme « à éviter pendant le 1er trimestre » en raison de données animales évocatrices d'un effet tératogène (fentes palatines chez la souris à doses supra-thérapeutiques) et d'un risque théorique de syndrome de sevrage néonatal en cas d'usage prolongé en fin de grossesse. Cependant, en usage ponctuel (césarienne, geste de courte durée), le midazolam est compatible.</w:t>
      </w:r>
    </w:p>
    <w:p>
      <w:r/>
      <w:r>
        <w:rPr>
          <w:b/>
        </w:rPr>
        <w:t>Césarienne sous anesthésie générale</w:t>
      </w:r>
      <w:r>
        <w:t xml:space="preserve"> : le midazolam n'est pas l'agent d'induction de choix en césarienne (préférer thiopental ou propofol pour l'induction en séquence rapide). En revanche, en cas de prémédication par midazolam à faible dose (0,02-0,03 mg/kg IV) en cas d'anxiété maternelle majeure, le profil reste rassurant.</w:t>
      </w:r>
    </w:p>
    <w:p>
      <w:r/>
      <w:r>
        <w:rPr>
          <w:b/>
        </w:rPr>
        <w:t>Césarienne sous anesthésie loco-régionale (rachianesthésie)</w:t>
      </w:r>
      <w:r>
        <w:t xml:space="preserve"> : le midazolam est utilisé pour la sédation procédurale à faible dose (0,02-0,03 mg/kg IV), en association avec le fentanyl ou le sufentanil. Surveillance continue maternelle et fœtale.</w:t>
      </w:r>
    </w:p>
    <w:p>
      <w:r/>
      <w:r>
        <w:rPr>
          <w:b/>
        </w:rPr>
        <w:t>Status epilepticus pendant la grossesse</w:t>
      </w:r>
      <w:r>
        <w:t xml:space="preserve"> (éclampsie, épilepsie décompensée) : le midazolam IV en bolus (0,2 mg/kg) puis perfusion continue est utilisé en seconde ligne après échec du sulfate de magnésium (éclampsie) ou du diazépam/lorazépam (épilepsie).</w:t>
      </w:r>
    </w:p>
    <w:p>
      <w:r/>
      <w:r>
        <w:rPr>
          <w:b/>
        </w:rPr>
        <w:t>Allaitement :</w:t>
      </w:r>
      <w:r>
        <w:t xml:space="preserve"> le midazolam passe dans le lait maternel en quantité non négligeable (rapport lait/plasma 0,5). Après anesthésie unique, la reprise de l'allaitement peut se faire après 4-6 heures (selon le CRAT), en s'assurant de l'absence de signes de sédation maternelle. En cas de perfusion prolongée (status epilepticus maternel), reprise de l'allaitement après 24-48 heures.</w:t>
      </w:r>
    </w:p>
    <w:p>
      <w:r/>
      <w:r>
        <w:rPr>
          <w:b/>
        </w:rPr>
        <w:t>Femme en âge de procréer :</w:t>
      </w:r>
      <w:r>
        <w:t xml:space="preserve"> pas de contraception particulière nécessaire en usage ponctuel. En usage prolongé (&gt; 2 semaines), contraception efficace recommandée.</w:t>
      </w:r>
    </w:p>
    <w:p>
      <w:r/>
      <w:r>
        <w:rPr>
          <w:b/>
        </w:rPr>
        <w:t>Conseil CRAT :</w:t>
      </w:r>
      <w:r>
        <w:t xml:space="preserve"> « Le midazolam est à éviter pendant le 1er trimestre de grossesse en raison d'un risque tératogène théorique. En usage ponctuel au 2ème et 3ème trimestre, le midazolam est compatible. En cas de césarienne ou de geste urgent, l'usage du midazolam à faible dose est possible. L'allaitement est possible après 4-6 heures. »</w:t>
      </w:r>
    </w:p>
    <w:p>
      <w:pPr>
        <w:pStyle w:val="Heading3"/>
      </w:pPr>
      <w:r>
        <w:t>181.5.1.9 Posologie et mode d'administration</w:t>
      </w:r>
    </w:p>
    <w:p>
      <w:r/>
      <w:r>
        <w:rPr>
          <w:b/>
        </w:rPr>
        <w:t>Prémédication anesthésique :</w:t>
      </w:r>
      <w:r/>
    </w:p>
    <w:p>
      <w:pPr>
        <w:pStyle w:val="ListBullet"/>
      </w:pPr>
      <w:r>
        <w:t>Adulte sain : 0,03 à 0,1 mg/kg IM (30 à 60 min avant induction), ou 0,02 à 0,08 mg/kg IV (5-10 min avant induction).</w:t>
      </w:r>
    </w:p>
    <w:p>
      <w:pPr>
        <w:pStyle w:val="ListBullet"/>
      </w:pPr>
      <w:r>
        <w:t>Adulte &gt; 65 ans : 0,02 à 0,04 mg/kg IM, ou 0,015 à 0,03 mg/kg IV (réduction de 30-50 %).</w:t>
      </w:r>
    </w:p>
    <w:p>
      <w:pPr>
        <w:pStyle w:val="ListBullet"/>
      </w:pPr>
      <w:r>
        <w:t>Enfant de 6 mois à 6 ans : 0,1 à 0,15 mg/kg IM, ou 0,05 à 0,1 mg/kg IV, ou 0,3 à 0,5 mg/kg rectale (Dormicum rectal non disponible en Algérie).</w:t>
      </w:r>
    </w:p>
    <w:p>
      <w:pPr>
        <w:pStyle w:val="ListBullet"/>
      </w:pPr>
      <w:r>
        <w:t>Enfant de 6 à 12 ans : 0,05 à 0,1 mg/kg IM, ou 0,03 à 0,06 mg/kg IV.</w:t>
      </w:r>
    </w:p>
    <w:p>
      <w:r/>
      <w:r>
        <w:rPr>
          <w:b/>
        </w:rPr>
        <w:t>Induction de l'anesthésie générale :</w:t>
      </w:r>
      <w:r/>
    </w:p>
    <w:p>
      <w:pPr>
        <w:pStyle w:val="ListBullet"/>
      </w:pPr>
      <w:r>
        <w:t>Adulte sain : 0,15 à 0,3 mg/kg IV (en association avec opioïde et curare).</w:t>
      </w:r>
    </w:p>
    <w:p>
      <w:pPr>
        <w:pStyle w:val="ListBullet"/>
      </w:pPr>
      <w:r>
        <w:t>Adulte &gt; 65 ans : 0,1 à 0,2 mg/kg IV.</w:t>
      </w:r>
    </w:p>
    <w:p>
      <w:r/>
      <w:r>
        <w:rPr>
          <w:b/>
        </w:rPr>
        <w:t>Sédation procédurale consciente :</w:t>
      </w:r>
      <w:r/>
    </w:p>
    <w:p>
      <w:pPr>
        <w:pStyle w:val="ListBullet"/>
      </w:pPr>
      <w:r>
        <w:t>Adulte sain : 0,02 à 0,1 mg/kg IV en titration (bolus de 1-2 mg, à répéter toutes les 2-3 min).</w:t>
      </w:r>
    </w:p>
    <w:p>
      <w:pPr>
        <w:pStyle w:val="ListBullet"/>
      </w:pPr>
      <w:r>
        <w:t>Adulte &gt; 65 ans : 0,015 à 0,05 mg/kg IV (réduction de 30-50 %).</w:t>
      </w:r>
    </w:p>
    <w:p>
      <w:pPr>
        <w:pStyle w:val="ListBullet"/>
      </w:pPr>
      <w:r>
        <w:t>Enfant &gt; 6 mois : 0,05 à 0,1 mg/kg IV ou IM.</w:t>
      </w:r>
    </w:p>
    <w:p>
      <w:r/>
      <w:r>
        <w:rPr>
          <w:b/>
        </w:rPr>
        <w:t>Sédation en réanimation :</w:t>
      </w:r>
      <w:r/>
    </w:p>
    <w:p>
      <w:pPr>
        <w:pStyle w:val="ListBullet"/>
      </w:pPr>
      <w:r>
        <w:t>Adulte : 0,02 à 0,2 mg/kg/h en perfusion continue (en association avec morphinique).</w:t>
      </w:r>
    </w:p>
    <w:p>
      <w:pPr>
        <w:pStyle w:val="ListBullet"/>
      </w:pPr>
      <w:r>
        <w:t>Enfant : 0,03 à 0,2 mg/kg/h.</w:t>
      </w:r>
    </w:p>
    <w:p>
      <w:r/>
      <w:r>
        <w:rPr>
          <w:b/>
        </w:rPr>
        <w:t>Status epilepticus :</w:t>
      </w:r>
      <w:r/>
    </w:p>
    <w:p>
      <w:pPr>
        <w:pStyle w:val="ListBullet"/>
      </w:pPr>
      <w:r>
        <w:t>Adulte : 0,2 mg/kg IV bolus (10 mg chez l'adulte moyen), suivi d'une perfusion continue de 0,05 à 0,4 mg/kg/h en cas de status réfractaire.</w:t>
      </w:r>
    </w:p>
    <w:p>
      <w:pPr>
        <w:pStyle w:val="ListBullet"/>
      </w:pPr>
      <w:r>
        <w:t>Enfant : 0,15 à 0,3 mg/kg IV bolus, puis 0,05 à 0,3 mg/kg/h.</w:t>
      </w:r>
    </w:p>
    <w:p>
      <w:r/>
      <w:r>
        <w:rPr>
          <w:b/>
        </w:rPr>
        <w:t>Mode d'administration pratique :</w:t>
      </w:r>
      <w:r/>
    </w:p>
    <w:p>
      <w:pPr>
        <w:pStyle w:val="ListBullet"/>
      </w:pPr>
      <w:r/>
      <w:r>
        <w:rPr>
          <w:b/>
        </w:rPr>
        <w:t>Voie IV :</w:t>
      </w:r>
      <w:r>
        <w:t xml:space="preserve"> dans une veine périphérique ; injection lente (sur 1-2 min) pour minimiser la dépression respiratoire ; titration par bolus de 1-2 mg.</w:t>
      </w:r>
    </w:p>
    <w:p>
      <w:pPr>
        <w:pStyle w:val="ListBullet"/>
      </w:pPr>
      <w:r/>
      <w:r>
        <w:rPr>
          <w:b/>
        </w:rPr>
        <w:t>Voie IM :</w:t>
      </w:r>
      <w:r>
        <w:t xml:space="preserve"> injection profonde intramusculaire dans le muscle deltoïde ou le quadriceps ; délai d'action 10-15 min.</w:t>
      </w:r>
    </w:p>
    <w:p>
      <w:pPr>
        <w:pStyle w:val="ListBullet"/>
      </w:pPr>
      <w:r/>
      <w:r>
        <w:rPr>
          <w:b/>
        </w:rPr>
        <w:t>Voie rectale :</w:t>
      </w:r>
      <w:r>
        <w:t xml:space="preserve"> usage pédiatrique, ampoule injectable diluée dans un volume adapté.</w:t>
      </w:r>
    </w:p>
    <w:p>
      <w:pPr>
        <w:pStyle w:val="ListBullet"/>
      </w:pPr>
      <w:r/>
      <w:r>
        <w:rPr>
          <w:b/>
        </w:rPr>
        <w:t>Aspect de la solution :</w:t>
      </w:r>
      <w:r>
        <w:t xml:space="preserve"> limpide, incolore à jaune pâle. Toute solution trouble doit être jetée.</w:t>
      </w:r>
    </w:p>
    <w:p>
      <w:pPr>
        <w:pStyle w:val="ListBullet"/>
      </w:pPr>
      <w:r/>
      <w:r>
        <w:rPr>
          <w:b/>
        </w:rPr>
        <w:t>Surveillance continue</w:t>
      </w:r>
      <w:r>
        <w:t xml:space="preserve"> : SpO2, PNI, ECG, Fr respiratoire, conscience (score de Ramsey ou BIS).</w:t>
      </w:r>
    </w:p>
    <w:p>
      <w:pPr>
        <w:pStyle w:val="ListBullet"/>
      </w:pPr>
      <w:r/>
      <w:r>
        <w:rPr>
          <w:b/>
        </w:rPr>
        <w:t>Disponibilité du flumazénil</w:t>
      </w:r>
      <w:r>
        <w:t xml:space="preserve"> à proximité immédiate, en cas de surdosage ou de dépression respiratoire.</w:t>
      </w:r>
    </w:p>
    <w:p>
      <w:r/>
      <w:r>
        <w:rPr>
          <w:b/>
        </w:rPr>
        <w:t>Adaptations :</w:t>
      </w:r>
      <w:r/>
    </w:p>
    <w:p>
      <w:pPr>
        <w:pStyle w:val="ListBullet"/>
      </w:pPr>
      <w:r>
        <w:t>Sujet âgé : réduire la dose de 30-50 %.</w:t>
      </w:r>
    </w:p>
    <w:p>
      <w:pPr>
        <w:pStyle w:val="ListBullet"/>
      </w:pPr>
      <w:r>
        <w:t>Insuffisance hépatique : réduire de 50 %.</w:t>
      </w:r>
    </w:p>
    <w:p>
      <w:pPr>
        <w:pStyle w:val="ListBullet"/>
      </w:pPr>
      <w:r>
        <w:t>Insuffisance rénale : prudence, fraction libre augmentée.</w:t>
      </w:r>
    </w:p>
    <w:p>
      <w:pPr>
        <w:pStyle w:val="ListBullet"/>
      </w:pPr>
      <w:r>
        <w:t>Obèse : adapter à la masse maigre.</w:t>
      </w:r>
    </w:p>
    <w:p>
      <w:pPr>
        <w:pStyle w:val="ListBullet"/>
      </w:pPr>
      <w:r>
        <w:t>Insuffisance respiratoire : contre-indication relative absolue.</w:t>
      </w:r>
    </w:p>
    <w:p>
      <w:pPr>
        <w:pStyle w:val="ListBullet"/>
      </w:pPr>
      <w:r>
        <w:t>Association avec opioïdes : réduire la dose de 50 %.</w:t>
      </w:r>
    </w:p>
    <w:p>
      <w:pPr>
        <w:pStyle w:val="Heading3"/>
      </w:pPr>
      <w:r>
        <w:t>181.5.1.10 Arbitrage et bénéfices des formes galéniques disponibles</w:t>
      </w:r>
    </w:p>
    <w:p>
      <w:r/>
      <w:r>
        <w:rPr>
          <w:b/>
        </w:rPr>
        <w:t>Forme solution injectable 5 mg/mL en ampoules de 1 mL (5 mg) — Hikma Midazolam, Hypnozolam, Ipnodis, Midazolam Inpha-Medis, Midazolam Mylan, Sedalam (El Kendi) :</w:t>
      </w:r>
      <w:r/>
    </w:p>
    <w:p>
      <w:pPr>
        <w:pStyle w:val="ListBullet"/>
      </w:pPr>
      <w:r/>
      <w:r>
        <w:rPr>
          <w:b/>
        </w:rPr>
        <w:t>Présentation :</w:t>
      </w:r>
      <w:r>
        <w:t xml:space="preserve"> ampoules de 1 mL contenant 5 mg de midazolam à 5 mg/mL.</w:t>
      </w:r>
    </w:p>
    <w:p>
      <w:pPr>
        <w:pStyle w:val="ListBullet"/>
      </w:pPr>
      <w:r/>
      <w:r>
        <w:rPr>
          <w:b/>
        </w:rPr>
        <w:t>Avantages :</w:t>
      </w:r>
      <w:r>
        <w:t xml:space="preserve"> dosage standard pour prémédication et induction, formulation stable (3 ans à température ambiante), prix modéré, diversité des producteurs (assure l'approvisionnement national).</w:t>
      </w:r>
    </w:p>
    <w:p>
      <w:pPr>
        <w:pStyle w:val="ListBullet"/>
      </w:pPr>
      <w:r/>
      <w:r>
        <w:rPr>
          <w:b/>
        </w:rPr>
        <w:t>Inconvénients :</w:t>
      </w:r>
      <w:r>
        <w:t xml:space="preserve"> ampoule de 1 mL limitée pour les doses élevées (induction 0,3 mg/kg = 20 mg = 4 ampoules), pas de présentation en flacon.</w:t>
      </w:r>
    </w:p>
    <w:p>
      <w:pPr>
        <w:pStyle w:val="ListBullet"/>
      </w:pPr>
      <w:r/>
      <w:r>
        <w:rPr>
          <w:b/>
        </w:rPr>
        <w:t>Indications :</w:t>
      </w:r>
      <w:r>
        <w:t xml:space="preserve"> prémédication, induction, sédation procédurale, status epilepticus.</w:t>
      </w:r>
    </w:p>
    <w:p>
      <w:r/>
      <w:r>
        <w:rPr>
          <w:b/>
        </w:rPr>
        <w:t>Forme solution injectable 5 mg/mL en ampoules de 3 mL (15 mg) — Hikma Midazolam, Hypnozolam, Midazolam Inpha-Medis, Midazolam Mylan, Sedalam (El Kendi) :</w:t>
      </w:r>
      <w:r/>
    </w:p>
    <w:p>
      <w:pPr>
        <w:pStyle w:val="ListBullet"/>
      </w:pPr>
      <w:r/>
      <w:r>
        <w:rPr>
          <w:b/>
        </w:rPr>
        <w:t>Présentation :</w:t>
      </w:r>
      <w:r>
        <w:t xml:space="preserve"> ampoules de 3 mL contenant 15 mg de midazolam à 5 mg/mL.</w:t>
      </w:r>
    </w:p>
    <w:p>
      <w:pPr>
        <w:pStyle w:val="ListBullet"/>
      </w:pPr>
      <w:r/>
      <w:r>
        <w:rPr>
          <w:b/>
        </w:rPr>
        <w:t>Avantages :</w:t>
      </w:r>
      <w:r>
        <w:t xml:space="preserve"> dosage pratique pour induction (1 ampoule = 15 mg = dose d'induction adulte), perfusion continue, sédation procédurale prolongée.</w:t>
      </w:r>
    </w:p>
    <w:p>
      <w:pPr>
        <w:pStyle w:val="ListBullet"/>
      </w:pPr>
      <w:r/>
      <w:r>
        <w:rPr>
          <w:b/>
        </w:rPr>
        <w:t>Inconvénients :</w:t>
      </w:r>
      <w:r>
        <w:t xml:space="preserve"> surdosage possible en cas d'erreur d'ampoule (15 mg au lieu de 5 mg).</w:t>
      </w:r>
    </w:p>
    <w:p>
      <w:pPr>
        <w:pStyle w:val="ListBullet"/>
      </w:pPr>
      <w:r/>
      <w:r>
        <w:rPr>
          <w:b/>
        </w:rPr>
        <w:t>Indications :</w:t>
      </w:r>
      <w:r>
        <w:t xml:space="preserve"> induction, sédation en réanimation, perfusion continue.</w:t>
      </w:r>
    </w:p>
    <w:p>
      <w:r/>
      <w:r>
        <w:rPr>
          <w:b/>
        </w:rPr>
        <w:t>Forme solution injectable 1 mg/mL en ampoules de 5 mL (5 mg) — Midazolam Mylan :</w:t>
      </w:r>
      <w:r/>
    </w:p>
    <w:p>
      <w:pPr>
        <w:pStyle w:val="ListBullet"/>
      </w:pPr>
      <w:r/>
      <w:r>
        <w:rPr>
          <w:b/>
        </w:rPr>
        <w:t>Présentation :</w:t>
      </w:r>
      <w:r>
        <w:t xml:space="preserve"> ampoules de 5 mL contenant 5 mg de midazolam à 1 mg/mL.</w:t>
      </w:r>
    </w:p>
    <w:p>
      <w:pPr>
        <w:pStyle w:val="ListBullet"/>
      </w:pPr>
      <w:r/>
      <w:r>
        <w:rPr>
          <w:b/>
        </w:rPr>
        <w:t>Avantages :</w:t>
      </w:r>
      <w:r>
        <w:t xml:space="preserve"> dosage dilué, idéal pour la pédiatrie (permet l'administration précise de petites doses), prémédication à faible dose, titration en sédation procédurale.</w:t>
      </w:r>
    </w:p>
    <w:p>
      <w:pPr>
        <w:pStyle w:val="ListBullet"/>
      </w:pPr>
      <w:r/>
      <w:r>
        <w:rPr>
          <w:b/>
        </w:rPr>
        <w:t>Inconvénients :</w:t>
      </w:r>
      <w:r>
        <w:t xml:space="preserve"> volume plus important, moins pratique pour les doses élevées.</w:t>
      </w:r>
    </w:p>
    <w:p>
      <w:pPr>
        <w:pStyle w:val="ListBullet"/>
      </w:pPr>
      <w:r/>
      <w:r>
        <w:rPr>
          <w:b/>
        </w:rPr>
        <w:t>Indications :</w:t>
      </w:r>
      <w:r>
        <w:t xml:space="preserve"> pédiatrie, prémédication à faible dose, titration.</w:t>
      </w:r>
    </w:p>
    <w:p>
      <w:r/>
      <w:r>
        <w:rPr>
          <w:b/>
        </w:rPr>
        <w:t>Forme solution injectable en ampoules de 10 mL (50 mg) — Hypnozolam, Midazolam Inpha-Medis, Midazolam Mylan :</w:t>
      </w:r>
      <w:r/>
    </w:p>
    <w:p>
      <w:pPr>
        <w:pStyle w:val="ListBullet"/>
      </w:pPr>
      <w:r/>
      <w:r>
        <w:rPr>
          <w:b/>
        </w:rPr>
        <w:t>Présentation :</w:t>
      </w:r>
      <w:r>
        <w:t xml:space="preserve"> ampoules de 10 mL contenant 50 mg de midazolam à 5 mg/mL.</w:t>
      </w:r>
    </w:p>
    <w:p>
      <w:pPr>
        <w:pStyle w:val="ListBullet"/>
      </w:pPr>
      <w:r/>
      <w:r>
        <w:rPr>
          <w:b/>
        </w:rPr>
        <w:t>Avantages :</w:t>
      </w:r>
      <w:r>
        <w:t xml:space="preserve"> dosage pour perfusion continue en réanimation (permet la préparation d'une seringue de 50 mL sans multiplier les ampoules).</w:t>
      </w:r>
    </w:p>
    <w:p>
      <w:pPr>
        <w:pStyle w:val="ListBullet"/>
      </w:pPr>
      <w:r/>
      <w:r>
        <w:rPr>
          <w:b/>
        </w:rPr>
        <w:t>Inconvénients :</w:t>
      </w:r>
      <w:r>
        <w:t xml:space="preserve"> surdosage possible en cas d'erreur.</w:t>
      </w:r>
    </w:p>
    <w:p>
      <w:pPr>
        <w:pStyle w:val="ListBullet"/>
      </w:pPr>
      <w:r/>
      <w:r>
        <w:rPr>
          <w:b/>
        </w:rPr>
        <w:t>Indications :</w:t>
      </w:r>
      <w:r>
        <w:t xml:space="preserve"> sédation en réanimation, perfusion continue, status epilepticus réfractaire.</w:t>
      </w:r>
    </w:p>
    <w:p>
      <w:r/>
      <w:r>
        <w:rPr>
          <w:b/>
        </w:rPr>
        <w:t>Forme solution injectable en flacons de 5 mL (25 mg) à 5 mg/mL — Sedalam (MS Pharma Jordan) :</w:t>
      </w:r>
      <w:r/>
    </w:p>
    <w:p>
      <w:pPr>
        <w:pStyle w:val="ListBullet"/>
      </w:pPr>
      <w:r/>
      <w:r>
        <w:rPr>
          <w:b/>
        </w:rPr>
        <w:t>Présentation :</w:t>
      </w:r>
      <w:r>
        <w:t xml:space="preserve"> flacons de 5 mL contenant 25 mg de midazolam à 5 mg/mL.</w:t>
      </w:r>
    </w:p>
    <w:p>
      <w:pPr>
        <w:pStyle w:val="ListBullet"/>
      </w:pPr>
      <w:r/>
      <w:r>
        <w:rPr>
          <w:b/>
        </w:rPr>
        <w:t>Avantages :</w:t>
      </w:r>
      <w:r>
        <w:t xml:space="preserve"> présentation en flacon plus pratique pour les prélèvements multiples en réanimation.</w:t>
      </w:r>
    </w:p>
    <w:p>
      <w:pPr>
        <w:pStyle w:val="ListBullet"/>
      </w:pPr>
      <w:r/>
      <w:r>
        <w:rPr>
          <w:b/>
        </w:rPr>
        <w:t>Inconvénients :</w:t>
      </w:r>
      <w:r>
        <w:t xml:space="preserve"> risque d'erreur de dosage entre ampoule et flacon.</w:t>
      </w:r>
    </w:p>
    <w:p>
      <w:pPr>
        <w:pStyle w:val="ListBullet"/>
      </w:pPr>
      <w:r/>
      <w:r>
        <w:rPr>
          <w:b/>
        </w:rPr>
        <w:t>Indications :</w:t>
      </w:r>
      <w:r>
        <w:t xml:space="preserve"> réanimation, perfusion continue.</w:t>
      </w:r>
    </w:p>
    <w:p>
      <w:r/>
      <w:r>
        <w:rPr>
          <w:b/>
        </w:rPr>
        <w:t>Comparaison avec le diazépam (Valium) :</w:t>
      </w:r>
      <w:r/>
    </w:p>
    <w:p>
      <w:pPr>
        <w:pStyle w:val="ListBullet"/>
      </w:pPr>
      <w:r>
        <w:t>Le midazolam a une cinétique plus rapide (pic IV en 1-3 min vs 5-10 min pour le diazépam), une demi-vie plus courte (1,5-3 h vs 20-50 h), un métabolite actif moins cumulé (α-hydroxymidazolam court vs nordiazépam long), et une meilleure tolérance veineuse (hydrosolubilité du midazolam vs liposolubilité du diazépam responsable de thromboses). Le midazolam a supplanté le diazépam en anesthésie et en réanimation.</w:t>
      </w:r>
    </w:p>
    <w:p>
      <w:r/>
      <w:r>
        <w:rPr>
          <w:b/>
        </w:rPr>
        <w:t>Choix pratique en Algérie :</w:t>
      </w:r>
      <w:r/>
    </w:p>
    <w:p>
      <w:pPr>
        <w:pStyle w:val="ListBullet"/>
      </w:pPr>
      <w:r>
        <w:t>Pour la prémédication à faible dose : ampoules de 1 mL à 5 mg/mL (Hikma Midazolam, Ipnodis, Sedalam).</w:t>
      </w:r>
    </w:p>
    <w:p>
      <w:pPr>
        <w:pStyle w:val="ListBullet"/>
      </w:pPr>
      <w:r>
        <w:t>Pour l'induction anesthésique : ampoules de 3 mL à 5 mg/mL (Hikma Midazolam, Hypnozolam, Sedalam).</w:t>
      </w:r>
    </w:p>
    <w:p>
      <w:pPr>
        <w:pStyle w:val="ListBullet"/>
      </w:pPr>
      <w:r>
        <w:t>Pour la sédation en réanimation : ampoules de 10 mL à 5 mg/mL (Hypnozolam, Midazolam Mylan).</w:t>
      </w:r>
    </w:p>
    <w:p>
      <w:pPr>
        <w:pStyle w:val="ListBullet"/>
      </w:pPr>
      <w:r>
        <w:t>Pour la pédiatrie : ampoules de 5 mL à 1 mg/mL (Midazolam Mylan).</w:t>
      </w:r>
    </w:p>
    <w:p>
      <w:pPr>
        <w:pStyle w:val="Heading3"/>
      </w:pPr>
      <w:r>
        <w:t>181.5.1.11 Conseils au patient et information préopératoire</w:t>
      </w:r>
    </w:p>
    <w:p>
      <w:r/>
      <w:r>
        <w:rPr>
          <w:b/>
        </w:rPr>
        <w:t>Avant l'anesthésie :</w:t>
      </w:r>
      <w:r/>
    </w:p>
    <w:p>
      <w:pPr>
        <w:pStyle w:val="ListBullet"/>
      </w:pPr>
      <w:r/>
      <w:r>
        <w:rPr>
          <w:b/>
        </w:rPr>
        <w:t>Jeûne pré-opératoire strict</w:t>
      </w:r>
      <w:r>
        <w:t xml:space="preserve"> : 6 heures pour les solides et le lait, 2 heures pour les liquides clairs.</w:t>
      </w:r>
    </w:p>
    <w:p>
      <w:pPr>
        <w:pStyle w:val="ListBullet"/>
      </w:pPr>
      <w:r/>
      <w:r>
        <w:rPr>
          <w:b/>
        </w:rPr>
        <w:t>Bilan pré-anesthésique</w:t>
      </w:r>
      <w:r>
        <w:t xml:space="preserve"> : consultation anesthésique obligatoire ; ECG, NFS, groupe sanguin, ionogramme, créatininémie, fonction hépatique (transaminases, bilirubine).</w:t>
      </w:r>
    </w:p>
    <w:p>
      <w:pPr>
        <w:pStyle w:val="ListBullet"/>
      </w:pPr>
      <w:r/>
      <w:r>
        <w:rPr>
          <w:b/>
        </w:rPr>
        <w:t>Antécédents à signaler</w:t>
      </w:r>
      <w:r>
        <w:t xml:space="preserve"> : insuffisance respiratoire (CI relative), myasthénie (CI absolue), insuffisance hépatique sévère (CI relative), intolérance aux benzodiazépines, grossesse, allaitement, syndrome d'apnée du sommeil.</w:t>
      </w:r>
    </w:p>
    <w:p>
      <w:pPr>
        <w:pStyle w:val="ListBullet"/>
      </w:pPr>
      <w:r/>
      <w:r>
        <w:rPr>
          <w:b/>
        </w:rPr>
        <w:t>Traitement habituel</w:t>
      </w:r>
      <w:r>
        <w:t xml:space="preserve"> : poursuivre les antihypertenseurs (sauf IEC/ARA2 en chirurgie lourde), les antiépileptiques, les β-bloquants. Arrêter les IMAO 2 semaines avant, les AVK selon protocole.</w:t>
      </w:r>
    </w:p>
    <w:p>
      <w:pPr>
        <w:pStyle w:val="ListBullet"/>
      </w:pPr>
      <w:r/>
      <w:r>
        <w:rPr>
          <w:b/>
        </w:rPr>
        <w:t>Annonce de l'effet amnésiant</w:t>
      </w:r>
      <w:r>
        <w:t xml:space="preserve"> : informer le patient qu'il ne se souviendra pas de son arrivée au bloc, de la pose de la voie veineuse, ou des premières minutes de l'intervention. Cette information préalable réduit l'angoisse vécue.</w:t>
      </w:r>
    </w:p>
    <w:p>
      <w:pPr>
        <w:pStyle w:val="ListBullet"/>
      </w:pPr>
      <w:r/>
      <w:r>
        <w:rPr>
          <w:b/>
        </w:rPr>
        <w:t>Information sur la possibilité de flumazénil</w:t>
      </w:r>
      <w:r>
        <w:t xml:space="preserve"> : antidote disponible en cas de sédation prolongée.</w:t>
      </w:r>
    </w:p>
    <w:p>
      <w:r/>
      <w:r>
        <w:rPr>
          <w:b/>
        </w:rPr>
        <w:t>Au réveil post-opératoire :</w:t>
      </w:r>
      <w:r/>
    </w:p>
    <w:p>
      <w:pPr>
        <w:pStyle w:val="ListBullet"/>
      </w:pPr>
      <w:r>
        <w:t>Surveillance continue en SSPI : SpO2, PNI, ECG, Fr respiratoire, conscience (score d'Aldrete).</w:t>
      </w:r>
    </w:p>
    <w:p>
      <w:pPr>
        <w:pStyle w:val="ListBullet"/>
      </w:pPr>
      <w:r>
        <w:t>Surveillance respiratoire renforcée (dépression résiduelle possible).</w:t>
      </w:r>
    </w:p>
    <w:p>
      <w:pPr>
        <w:pStyle w:val="ListBullet"/>
      </w:pPr>
      <w:r>
        <w:t>Prévention de la douleur : paracétamol 1 g IV, AINS si non contre-indiqué, morphine titration si EVA &gt; 4.</w:t>
      </w:r>
    </w:p>
    <w:p>
      <w:pPr>
        <w:pStyle w:val="ListBullet"/>
      </w:pPr>
      <w:r>
        <w:t>Prévention des NVPO : ondansétron 4 mg IV.</w:t>
      </w:r>
    </w:p>
    <w:p>
      <w:pPr>
        <w:pStyle w:val="ListBullet"/>
      </w:pPr>
      <w:r>
        <w:t>Interdiction de conduire pendant 24 heures en raison de la sédation résiduelle.</w:t>
      </w:r>
    </w:p>
    <w:p>
      <w:pPr>
        <w:pStyle w:val="ListBullet"/>
      </w:pPr>
      <w:r>
        <w:t>Information sur la possibilité d'amnésie prolongée pendant 4-6 heures.</w:t>
      </w:r>
    </w:p>
    <w:p>
      <w:r/>
      <w:r>
        <w:rPr>
          <w:b/>
        </w:rPr>
        <w:t>En cas de perfusion prolongée en réanimation :</w:t>
      </w:r>
      <w:r/>
    </w:p>
    <w:p>
      <w:pPr>
        <w:pStyle w:val="ListBullet"/>
      </w:pPr>
      <w:r>
        <w:t>Surveillance continue : ECG, SpO2, PNI, capnie, conscience (score de Ramsey).</w:t>
      </w:r>
    </w:p>
    <w:p>
      <w:pPr>
        <w:pStyle w:val="ListBullet"/>
      </w:pPr>
      <w:r>
        <w:t>Risque de tolérance après 5-7 jours : adaptation des doses.</w:t>
      </w:r>
    </w:p>
    <w:p>
      <w:pPr>
        <w:pStyle w:val="ListBullet"/>
      </w:pPr>
      <w:r>
        <w:t>Risque de dépendance physique : diminution progressive à l'arrêt (50 % par jour).</w:t>
      </w:r>
    </w:p>
    <w:p>
      <w:pPr>
        <w:pStyle w:val="ListBullet"/>
      </w:pPr>
      <w:r>
        <w:t>Surveillance psychiatrique : anxiété, agitation, hallucinations.</w:t>
      </w:r>
    </w:p>
    <w:p>
      <w:r/>
      <w:r>
        <w:rPr>
          <w:b/>
        </w:rPr>
        <w:t>En cas de prémédication ambulatoire (rare) :</w:t>
      </w:r>
      <w:r/>
    </w:p>
    <w:p>
      <w:pPr>
        <w:pStyle w:val="ListBullet"/>
      </w:pPr>
      <w:r>
        <w:t>Patient accompagné à domicile.</w:t>
      </w:r>
    </w:p>
    <w:p>
      <w:pPr>
        <w:pStyle w:val="ListBullet"/>
      </w:pPr>
      <w:r>
        <w:t>Interdiction de conduire, d'utiliser une machine dangereuse, de prendre des décisions importantes pendant 24 heures.</w:t>
      </w:r>
    </w:p>
    <w:p>
      <w:pPr>
        <w:pStyle w:val="ListBullet"/>
      </w:pPr>
      <w:r>
        <w:t>Surveillance par un proche pendant les 12 premières heures.</w:t>
      </w:r>
    </w:p>
    <w:p>
      <w:pPr>
        <w:pStyle w:val="Heading3"/>
      </w:pPr>
      <w:r>
        <w:t>181.5.1.12 Pièges au comptoir — Règles d'or</w:t>
      </w:r>
    </w:p>
    <w:p>
      <w:pPr>
        <w:pStyle w:val="ListNumber"/>
      </w:pPr>
      <w:r/>
      <w:r>
        <w:rPr>
          <w:b/>
        </w:rPr>
        <w:t>Règle d'or n°1 : dépression respiratoire, surtout en association.</w:t>
      </w:r>
      <w:r>
        <w:t xml:space="preserve"> Le midazolam potentialise fortement la dépression respiratoire des opioïdes. Réduction systématique des doses de 50 % en cas d'association. Monitoring continu de la SpO2 et de la capnie. Disponibilité du flumazénil.</w:t>
      </w:r>
    </w:p>
    <w:p>
      <w:pPr>
        <w:pStyle w:val="ListNumber"/>
      </w:pPr>
      <w:r/>
      <w:r>
        <w:rPr>
          <w:b/>
        </w:rPr>
        <w:t>Règle d'or n°2 : flumazénil à proximité immédiate.</w:t>
      </w:r>
      <w:r>
        <w:t xml:space="preserve"> Le flumazénil (Anexate) est l'antidote spécifique. Dose : 0,2 mg IV, à répéter jusqu'à 1 mg maximum. À ne pas utiliser chez le patient chronique sous benzodiazépines (risque de précipitation de convulsions).</w:t>
      </w:r>
    </w:p>
    <w:p>
      <w:pPr>
        <w:pStyle w:val="ListNumber"/>
      </w:pPr>
      <w:r/>
      <w:r>
        <w:rPr>
          <w:b/>
        </w:rPr>
        <w:t>Règle d'or n°3 : prémédication à dose réduite chez le sujet âgé.</w:t>
      </w:r>
      <w:r>
        <w:t xml:space="preserve"> L'allongement de la demi-vie (4-6 h) et la sensibilité accrue expliquent la sédation prolongée et le risque de confusion post-opératoire. Réduction de 30-50 % de la dose chez le sujet &gt; 65 ans.</w:t>
      </w:r>
    </w:p>
    <w:p>
      <w:pPr>
        <w:pStyle w:val="ListNumber"/>
      </w:pPr>
      <w:r/>
      <w:r>
        <w:rPr>
          <w:b/>
        </w:rPr>
        <w:t>Règle d'or n°4 : myasthénie = contre-indication absolue.</w:t>
      </w:r>
      <w:r>
        <w:t xml:space="preserve"> Le midazolam aggrave le bloc neuromusculaire. Préférer la prémédication par antidépresseur non benzodiazépinique (hydroxyzine).</w:t>
      </w:r>
    </w:p>
    <w:p>
      <w:pPr>
        <w:pStyle w:val="ListNumber"/>
      </w:pPr>
      <w:r/>
      <w:r>
        <w:rPr>
          <w:b/>
        </w:rPr>
        <w:t>Règle d'or n°5 : insuffisance respiratoire = prudence absolue.</w:t>
      </w:r>
      <w:r>
        <w:t xml:space="preserve"> Le midazolam déprime le centre respiratoire. En cas d'insuffisance respiratoire décompensée, de syndrome d'apnée du sommeil non traité, d'asthme sévère décompensé, éviter le midazolam.</w:t>
      </w:r>
    </w:p>
    <w:p>
      <w:pPr>
        <w:pStyle w:val="ListNumber"/>
      </w:pPr>
      <w:r/>
      <w:r>
        <w:rPr>
          <w:b/>
        </w:rPr>
        <w:t>Règle d'or n°6 : interactions médicamenteuses majeures avec les inhibiteurs du CYP3A4.</w:t>
      </w:r>
      <w:r>
        <w:t xml:space="preserve"> Les azolés (kétoconazole, itraconazole, voriconazole), les macrolides (érythromycine, clarithromycine), les inhibiteurs de protéase (ritonavir), le diltiazem, le vérapamil, la fluvoxamine majorent la sédation et la dépression respiratoire. Réduction des doses de 50-75 % ou évitement du midazolam. Le pamplemousse est à éviter en prémédication orale.</w:t>
      </w:r>
    </w:p>
    <w:p>
      <w:pPr>
        <w:pStyle w:val="ListNumber"/>
      </w:pPr>
      <w:r/>
      <w:r>
        <w:rPr>
          <w:b/>
        </w:rPr>
        <w:t>Règle d'or n°7 : millepertuis = efficacité réduite.</w:t>
      </w:r>
      <w:r>
        <w:t xml:space="preserve"> Le millepertuis (inducteur du CYP3A4) réduit l'efficacité du midazolam. Interrogatoire systématique sur les prises de phytothérapie.</w:t>
      </w:r>
    </w:p>
    <w:p>
      <w:pPr>
        <w:pStyle w:val="ListNumber"/>
      </w:pPr>
      <w:r/>
      <w:r>
        <w:rPr>
          <w:b/>
        </w:rPr>
        <w:t>Règle d'or n°8 : grossesse = éviter au 1er trimestre.</w:t>
      </w:r>
      <w:r>
        <w:t xml:space="preserve"> Risque tératogène théorique (fentes palatines animales). En usage ponctuel au 2ème et 3ème trimestre, le midazolam est compatible.</w:t>
      </w:r>
    </w:p>
    <w:p>
      <w:pPr>
        <w:pStyle w:val="ListNumber"/>
      </w:pPr>
      <w:r/>
      <w:r>
        <w:rPr>
          <w:b/>
        </w:rPr>
        <w:t>Règle d'or n°9 : allaitement = compatibilité après 4-6 heures.</w:t>
      </w:r>
      <w:r>
        <w:t xml:space="preserve"> Le midazolam passe dans le lait maternel. Reprise de l'allaitement après 4-6 heures, en s'assurant de l'absence de sédation maternelle.</w:t>
      </w:r>
    </w:p>
    <w:p>
      <w:pPr>
        <w:pStyle w:val="ListNumber"/>
      </w:pPr>
      <w:r/>
      <w:r>
        <w:rPr>
          <w:b/>
        </w:rPr>
        <w:t>Règle d'or n°10 : amnésie antérograde prolongée.</w:t>
      </w:r>
      <w:r>
        <w:t xml:space="preserve"> Informer le patient qu'il ne se souviendra pas de son arrivée au bloc. Cette information préalable réduit l'angoisse vécue.</w:t>
      </w:r>
    </w:p>
    <w:p>
      <w:pPr>
        <w:pStyle w:val="ListNumber"/>
      </w:pPr>
      <w:r/>
      <w:r>
        <w:rPr>
          <w:b/>
        </w:rPr>
        <w:t>Règle d'or n°11 : pas d'effet analgésique propre.</w:t>
      </w:r>
      <w:r>
        <w:t xml:space="preserve"> Le midazolam doit toujours être associé à un morphinique pour les procédures douloureuses.</w:t>
      </w:r>
    </w:p>
    <w:p>
      <w:pPr>
        <w:pStyle w:val="ListNumber"/>
      </w:pPr>
      <w:r/>
      <w:r>
        <w:rPr>
          <w:b/>
        </w:rPr>
        <w:t>Règle d'or n°12 : surveillance psychiatrique en usage prolongé.</w:t>
      </w:r>
      <w:r>
        <w:t xml:space="preserve"> En cas de perfusion prolongée &gt; 7 jours, tolérance et dépendance physique. Diminution progressive à l'arrêt (50 % par jour).</w:t>
      </w:r>
    </w:p>
    <w:p>
      <w:pPr>
        <w:pStyle w:val="ListNumber"/>
      </w:pPr>
      <w:r/>
      <w:r>
        <w:rPr>
          <w:b/>
        </w:rPr>
        <w:t>Règle d'or n°13 : status epilepticus = indication de première ligne.</w:t>
      </w:r>
      <w:r>
        <w:t xml:space="preserve"> Le midazolam IV (0,2 mg/kg bolus) est le traitement de première ligne du status epilepticus convulsif selon les recommandations SFEMER 2015 et NICE 2016, devant le diazépam et le lorazépam en raison de sa cinétique rapide et de sa meilleure tolérance veineuse.</w:t>
      </w:r>
    </w:p>
    <w:p>
      <w:pPr>
        <w:pStyle w:val="ListNumber"/>
      </w:pPr>
      <w:r/>
      <w:r>
        <w:rPr>
          <w:b/>
        </w:rPr>
        <w:t>Règle d'or n°14 : agitation paradoxale chez l'enfant et le sujet âgé.</w:t>
      </w:r>
      <w:r>
        <w:t xml:space="preserve"> 1 à 5 % des cas, parfois confondue avec une exacerbation de l'anxiété. Surveillance rapprochée, prémédication à dose réduite.</w:t>
      </w:r>
    </w:p>
    <w:p>
      <w:pPr>
        <w:pStyle w:val="ListNumber"/>
      </w:pPr>
      <w:r/>
      <w:r>
        <w:rPr>
          <w:b/>
        </w:rPr>
        <w:t>Règle d'or n°15 : traçabilité absolue (Liste I).</w:t>
      </w:r>
      <w:r>
        <w:t xml:space="preserve"> Le midazolam est inscrit sur la Liste I des substances vénéneuses. Conservation en armoire sécurisée, traçabilité des ampoules, comptage mensuel. Usage exclusivement hospitalier pour la forme injectable.</w:t>
      </w:r>
    </w:p>
    <w:p>
      <w:pPr>
        <w:pStyle w:val="Heading2"/>
      </w:pPr>
      <w:r>
        <w:t>181.6.1 — SÉVOFLURANE</w:t>
      </w:r>
    </w:p>
    <w:p>
      <w:pPr>
        <w:pStyle w:val="Heading3"/>
      </w:pPr>
      <w:r>
        <w:t>181.6.1.1 Catégories pharmaco-thérapeutiques et indications</w:t>
      </w:r>
    </w:p>
    <w:p>
      <w:r/>
      <w:r>
        <w:rPr>
          <w:b/>
        </w:rPr>
        <w:t>DCI :</w:t>
      </w:r>
      <w:r>
        <w:t xml:space="preserve"> Sévoflurane (1,1,1,3,3,3-hexafluoro-2-(fluorométhoxy)propane), fluorométhyl-2,2,2-trifluoro-1-(trifluorométhyl)éthyl éther.</w:t>
      </w:r>
    </w:p>
    <w:p>
      <w:r/>
      <w:r>
        <w:rPr>
          <w:b/>
        </w:rPr>
        <w:t>Code ATC :</w:t>
      </w:r>
      <w:r>
        <w:t xml:space="preserve"> N01AB08 (anesthésiques généraux, dérivés halogénés).</w:t>
      </w:r>
    </w:p>
    <w:p>
      <w:r/>
      <w:r>
        <w:rPr>
          <w:b/>
        </w:rPr>
        <w:t>Classe chimique :</w:t>
      </w:r>
      <w:r>
        <w:t xml:space="preserve"> éther alkylé halogéné, dérivé méthyl-isopropyl polyfluoré ; sans chlore ni brome, molécule uniquement fluorée, ce qui en fait l'halogéné le moins toxique métaboliquement.</w:t>
      </w:r>
    </w:p>
    <w:p>
      <w:r/>
      <w:r>
        <w:rPr>
          <w:b/>
        </w:rPr>
        <w:t>Sous-classes pharmacologiques :</w:t>
      </w:r>
      <w:r>
        <w:t xml:space="preserve"> anesthésique volatil halogéné d'induction et d'entretien de l'anesthésie générale ; agent de choix pour l'induction par masque chez l'enfant et l'adulte avec voies aériennes difficiles ; agent de neuro-anesthésie (à débit faible, en hyperventilation) ; agent de cardioplégie en chirurgie cardiaque pédiatrique (voir protocoles spécifiques).</w:t>
      </w:r>
    </w:p>
    <w:p>
      <w:r/>
      <w:r>
        <w:rPr>
          <w:b/>
        </w:rPr>
        <w:t>Indications portées sur l'AMM (RCP VIDAL/EMA) :</w:t>
      </w:r>
      <w:r/>
    </w:p>
    <w:p>
      <w:pPr>
        <w:pStyle w:val="ListBullet"/>
      </w:pPr>
      <w:r>
        <w:t>Induction de l'anesthésie par masque chez l'adulte et l'enfant (en particulier en cas de phobie de la voie veineuse ou de voies aériennes difficiles).</w:t>
      </w:r>
    </w:p>
    <w:p>
      <w:pPr>
        <w:pStyle w:val="ListBullet"/>
      </w:pPr>
      <w:r>
        <w:t>Induction intraveineuse complétée par inhalation (induction mixte).</w:t>
      </w:r>
    </w:p>
    <w:p>
      <w:pPr>
        <w:pStyle w:val="ListBullet"/>
      </w:pPr>
      <w:r>
        <w:t>Entretien de l'anesthésie générale par inhalation (à débit circuit ouvert, demi-fermé ou fermé avec chaux sodée ou chaux barytée).</w:t>
      </w:r>
    </w:p>
    <w:p>
      <w:pPr>
        <w:pStyle w:val="ListBullet"/>
      </w:pPr>
      <w:r>
        <w:t>Anesthésie en chirurgie ambulatoire (réveil rapide).</w:t>
      </w:r>
    </w:p>
    <w:p>
      <w:pPr>
        <w:pStyle w:val="ListBullet"/>
      </w:pPr>
      <w:r>
        <w:t>Anesthésie en chirurgie pédiatrique (induction par masque, entretien).</w:t>
      </w:r>
    </w:p>
    <w:p>
      <w:pPr>
        <w:pStyle w:val="ListBullet"/>
      </w:pPr>
      <w:r>
        <w:t>Anesthésie en chirurgie cardiaque (à débit faible, en circuit fermé avec monitorage).</w:t>
      </w:r>
    </w:p>
    <w:p>
      <w:pPr>
        <w:pStyle w:val="ListBullet"/>
      </w:pPr>
      <w:r>
        <w:t>Anesthésie pour césarienne (à débit faible, en association avec oxygène et protoxyde d'azote).</w:t>
      </w:r>
    </w:p>
    <w:p>
      <w:pPr>
        <w:pStyle w:val="ListBullet"/>
      </w:pPr>
      <w:r>
        <w:t>Anesthésie pour IRM et scanner pédiatrique (induction par masque, entretien).</w:t>
      </w:r>
    </w:p>
    <w:p>
      <w:r/>
      <w:r>
        <w:rPr>
          <w:b/>
        </w:rPr>
        <w:t>Indications non couvertes par l'AMM :</w:t>
      </w:r>
      <w:r/>
    </w:p>
    <w:p>
      <w:pPr>
        <w:pStyle w:val="ListBullet"/>
      </w:pPr>
      <w:r>
        <w:t>Sédation procédurale par inhalation à faible concentration (Médenox, Nitroux : protoxyde d'azote préféré).</w:t>
      </w:r>
    </w:p>
    <w:p>
      <w:pPr>
        <w:pStyle w:val="ListBullet"/>
      </w:pPr>
      <w:r>
        <w:t>Anesthésie balancée en association avec morphiniques et curares (anesthésie combinée).</w:t>
      </w:r>
    </w:p>
    <w:p>
      <w:pPr>
        <w:pStyle w:val="Heading3"/>
      </w:pPr>
      <w:r>
        <w:t>181.6.1.2 Médicaments disponibles en Algérie</w:t>
      </w:r>
    </w:p>
    <w:p>
      <w:r>
        <w:t>Le sévoflurane est inscrit sur la Liste I des substances vénéneuses en Algérie. Sa prescription est strictement hospitalière, réservée aux structures équipées d'évaporateurs calibrés et de circuits d'anesthésie avec monitorage des gaz (O2, CO2, agent anesthésique). Le tableau suivant recense l'ensemble des spécialités ayant fait l'objet d'une autorisation de mise sur le marché.</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HALURAN</w:t>
            </w:r>
          </w:p>
        </w:tc>
        <w:tc>
          <w:tcPr>
            <w:tcW w:type="dxa" w:w="1559"/>
          </w:tcPr>
          <w:p>
            <w:r>
              <w:rPr>
                <w:sz w:val="20"/>
              </w:rPr>
              <w:t>TABUK PHARMACEUTICALS MANUFACTURING COMPANY</w:t>
            </w:r>
          </w:p>
        </w:tc>
        <w:tc>
          <w:tcPr>
            <w:tcW w:type="dxa" w:w="1559"/>
          </w:tcPr>
          <w:p>
            <w:r>
              <w:rPr>
                <w:sz w:val="20"/>
              </w:rPr>
              <w:t>Liquide pour inhalation par vapeur, 100 mL/100 mL (pur)</w:t>
            </w:r>
          </w:p>
        </w:tc>
        <w:tc>
          <w:tcPr>
            <w:tcW w:type="dxa" w:w="1559"/>
          </w:tcPr>
          <w:p>
            <w:r>
              <w:rPr>
                <w:sz w:val="20"/>
              </w:rPr>
              <w:t>Boîte de 1 flacon de 250 mL</w:t>
            </w:r>
          </w:p>
        </w:tc>
        <w:tc>
          <w:tcPr>
            <w:tcW w:type="dxa" w:w="1559"/>
          </w:tcPr>
          <w:p>
            <w:r>
              <w:rPr>
                <w:sz w:val="20"/>
              </w:rPr>
              <w:t>Liste I</w:t>
            </w:r>
          </w:p>
        </w:tc>
        <w:tc>
          <w:tcPr>
            <w:tcW w:type="dxa" w:w="1559"/>
          </w:tcPr>
          <w:p>
            <w:r>
              <w:rPr>
                <w:sz w:val="20"/>
              </w:rPr>
              <w:t>ACTIF</w:t>
            </w:r>
          </w:p>
        </w:tc>
      </w:tr>
      <w:tr>
        <w:tc>
          <w:tcPr>
            <w:tcW w:type="dxa" w:w="1559"/>
          </w:tcPr>
          <w:p>
            <w:r>
              <w:rPr>
                <w:sz w:val="20"/>
              </w:rPr>
              <w:t>SEVOFLURANE USP</w:t>
            </w:r>
          </w:p>
        </w:tc>
        <w:tc>
          <w:tcPr>
            <w:tcW w:type="dxa" w:w="1559"/>
          </w:tcPr>
          <w:p>
            <w:r>
              <w:rPr>
                <w:sz w:val="20"/>
              </w:rPr>
              <w:t>BAXTER HEALTHCARE CORPORATION</w:t>
            </w:r>
          </w:p>
        </w:tc>
        <w:tc>
          <w:tcPr>
            <w:tcW w:type="dxa" w:w="1559"/>
          </w:tcPr>
          <w:p>
            <w:r>
              <w:rPr>
                <w:sz w:val="20"/>
              </w:rPr>
              <w:t>Liquide pour inhalation par vapeur, 100 mL/100 mL (pur)</w:t>
            </w:r>
          </w:p>
        </w:tc>
        <w:tc>
          <w:tcPr>
            <w:tcW w:type="dxa" w:w="1559"/>
          </w:tcPr>
          <w:p>
            <w:r>
              <w:rPr>
                <w:sz w:val="20"/>
              </w:rPr>
              <w:t>Carton de 6 flacons de 250 mL</w:t>
            </w:r>
          </w:p>
        </w:tc>
        <w:tc>
          <w:tcPr>
            <w:tcW w:type="dxa" w:w="1559"/>
          </w:tcPr>
          <w:p>
            <w:r>
              <w:rPr>
                <w:sz w:val="20"/>
              </w:rPr>
              <w:t>Liste I</w:t>
            </w:r>
          </w:p>
        </w:tc>
        <w:tc>
          <w:tcPr>
            <w:tcW w:type="dxa" w:w="1559"/>
          </w:tcPr>
          <w:p>
            <w:r>
              <w:rPr>
                <w:sz w:val="20"/>
              </w:rPr>
              <w:t>ACTIF</w:t>
            </w:r>
          </w:p>
        </w:tc>
      </w:tr>
      <w:tr>
        <w:tc>
          <w:tcPr>
            <w:tcW w:type="dxa" w:w="1559"/>
          </w:tcPr>
          <w:p>
            <w:r>
              <w:rPr>
                <w:sz w:val="20"/>
              </w:rPr>
              <w:t>SEVORANE</w:t>
            </w:r>
          </w:p>
        </w:tc>
        <w:tc>
          <w:tcPr>
            <w:tcW w:type="dxa" w:w="1559"/>
          </w:tcPr>
          <w:p>
            <w:r>
              <w:rPr>
                <w:sz w:val="20"/>
              </w:rPr>
              <w:t>ABBVIE</w:t>
            </w:r>
          </w:p>
        </w:tc>
        <w:tc>
          <w:tcPr>
            <w:tcW w:type="dxa" w:w="1559"/>
          </w:tcPr>
          <w:p>
            <w:r>
              <w:rPr>
                <w:sz w:val="20"/>
              </w:rPr>
              <w:t>Liquide pour inhalation par vapeur, 100 mL/100 mL (pur)</w:t>
            </w:r>
          </w:p>
        </w:tc>
        <w:tc>
          <w:tcPr>
            <w:tcW w:type="dxa" w:w="1559"/>
          </w:tcPr>
          <w:p>
            <w:r>
              <w:rPr>
                <w:sz w:val="20"/>
              </w:rPr>
              <w:t>Boîte de 1 flacon de 250 mL</w:t>
            </w:r>
          </w:p>
        </w:tc>
        <w:tc>
          <w:tcPr>
            <w:tcW w:type="dxa" w:w="1559"/>
          </w:tcPr>
          <w:p>
            <w:r>
              <w:rPr>
                <w:sz w:val="20"/>
              </w:rPr>
              <w:t>Liste I</w:t>
            </w:r>
          </w:p>
        </w:tc>
        <w:tc>
          <w:tcPr>
            <w:tcW w:type="dxa" w:w="1559"/>
          </w:tcPr>
          <w:p>
            <w:r>
              <w:rPr>
                <w:sz w:val="20"/>
              </w:rPr>
              <w:t>ACTIF</w:t>
            </w:r>
          </w:p>
        </w:tc>
      </w:tr>
      <w:tr>
        <w:tc>
          <w:tcPr>
            <w:tcW w:type="dxa" w:w="1559"/>
          </w:tcPr>
          <w:p>
            <w:r>
              <w:rPr>
                <w:sz w:val="20"/>
              </w:rPr>
              <w:t>SOJOURN</w:t>
            </w:r>
          </w:p>
        </w:tc>
        <w:tc>
          <w:tcPr>
            <w:tcW w:type="dxa" w:w="1559"/>
          </w:tcPr>
          <w:p>
            <w:r>
              <w:rPr>
                <w:sz w:val="20"/>
              </w:rPr>
              <w:t>PIRAMAL CRITICAL CARE, INC</w:t>
            </w:r>
          </w:p>
        </w:tc>
        <w:tc>
          <w:tcPr>
            <w:tcW w:type="dxa" w:w="1559"/>
          </w:tcPr>
          <w:p>
            <w:r>
              <w:rPr>
                <w:sz w:val="20"/>
              </w:rPr>
              <w:t>Liquide pour inhalation par vapeur, 100 mL/100 mL (pur)</w:t>
            </w:r>
          </w:p>
        </w:tc>
        <w:tc>
          <w:tcPr>
            <w:tcW w:type="dxa" w:w="1559"/>
          </w:tcPr>
          <w:p>
            <w:r>
              <w:rPr>
                <w:sz w:val="20"/>
              </w:rPr>
              <w:t>Boîte de 1 flacon de 250 mL</w:t>
            </w:r>
          </w:p>
        </w:tc>
        <w:tc>
          <w:tcPr>
            <w:tcW w:type="dxa" w:w="1559"/>
          </w:tcPr>
          <w:p>
            <w:r>
              <w:rPr>
                <w:sz w:val="20"/>
              </w:rPr>
              <w:t>Liste I</w:t>
            </w:r>
          </w:p>
        </w:tc>
        <w:tc>
          <w:tcPr>
            <w:tcW w:type="dxa" w:w="1559"/>
          </w:tcPr>
          <w:p>
            <w:r>
              <w:rPr>
                <w:sz w:val="20"/>
              </w:rPr>
              <w:t>ACTIF</w:t>
            </w:r>
          </w:p>
        </w:tc>
      </w:tr>
      <w:tr>
        <w:tc>
          <w:tcPr>
            <w:tcW w:type="dxa" w:w="1559"/>
          </w:tcPr>
          <w:p>
            <w:r>
              <w:rPr>
                <w:sz w:val="20"/>
              </w:rPr>
              <w:t>SEVOFLURELLE</w:t>
            </w:r>
          </w:p>
        </w:tc>
        <w:tc>
          <w:tcPr>
            <w:tcW w:type="dxa" w:w="1559"/>
          </w:tcPr>
          <w:p>
            <w:r>
              <w:rPr>
                <w:sz w:val="20"/>
              </w:rPr>
              <w:t>CHANELLE MEDICAL UNLIMITED COMPANY</w:t>
            </w:r>
          </w:p>
        </w:tc>
        <w:tc>
          <w:tcPr>
            <w:tcW w:type="dxa" w:w="1559"/>
          </w:tcPr>
          <w:p>
            <w:r>
              <w:rPr>
                <w:sz w:val="20"/>
              </w:rPr>
              <w:t>Liquide pour inhalation par vapeur, 100 mL/100 mL (pur)</w:t>
            </w:r>
          </w:p>
        </w:tc>
        <w:tc>
          <w:tcPr>
            <w:tcW w:type="dxa" w:w="1559"/>
          </w:tcPr>
          <w:p>
            <w:r>
              <w:rPr>
                <w:sz w:val="20"/>
              </w:rPr>
              <w:t>Boîte de 1 flacon de 250 mL</w:t>
            </w:r>
          </w:p>
        </w:tc>
        <w:tc>
          <w:tcPr>
            <w:tcW w:type="dxa" w:w="1559"/>
          </w:tcPr>
          <w:p>
            <w:r>
              <w:rPr>
                <w:sz w:val="20"/>
              </w:rPr>
              <w:t>Liste I</w:t>
            </w:r>
          </w:p>
        </w:tc>
        <w:tc>
          <w:tcPr>
            <w:tcW w:type="dxa" w:w="1559"/>
          </w:tcPr>
          <w:p>
            <w:r>
              <w:rPr>
                <w:sz w:val="20"/>
              </w:rPr>
              <w:t>RETRAIT (R)</w:t>
            </w:r>
          </w:p>
        </w:tc>
      </w:tr>
    </w:tbl>
    <w:p/>
    <w:p>
      <w:r/>
      <w:r>
        <w:rPr>
          <w:b/>
        </w:rPr>
        <w:t>Commentaire :</w:t>
      </w:r>
      <w:r>
        <w:t xml:space="preserve"> Le marché algérien du sévoflurane est remarquablement diversifié, avec quatre spécialités actives commercialisées par quatre laboratoires internationaux : Haluran (Tabuk Pharmaceuticals, Arabie Saoudite), Sevoflurane USP (Baxter Healthcare, États-Unis), Sevorane (AbbVie, États-Unis, ex-Abbott), et Sojourn (Piramal Critical Care, Inde). La spécialité Sevoflurelle (Chanelle Medical, Irlande) est retirée du marché algérien. Toutes les spécialités se présentent en flacons de 250 mL de liquide pur (100 %), avec des conditionnements variables (boîte de 1 flacon pour Haluran, Sevorane et Sojourn ; carton de 6 flacons pour Sevoflurane USP Baxter). Cette diversité reflète l'importance du sévoflurane comme agent d'induction et d'entretien de référence dans la pratique anesthésique nationale, en particulier en pédiatrie. Le princeps historique Sevorane (Abbott, aujourd'hui AbbVie) reste le leader historique, mais les alternatives génériques (Haluran, Sojourn, Sevoflurane USP) assurent une concurrence économique permettant une accessibilité accrue. Le prix unitaire d'un flacon de 250 mL reste élevé (l'un des médicaments les plus coûteux du bloc opératoire), justifiant l'usage d'évaporateurs calibrés et de circuits à faible débit (circuit fermé avec chaux sodée) pour économiser l'agent.</w:t>
      </w:r>
    </w:p>
    <w:p>
      <w:pPr>
        <w:pStyle w:val="Heading3"/>
      </w:pPr>
      <w:r>
        <w:t>181.6.1.3 Mécanisme d'action moléculaire, cellulaire et physiologique</w:t>
      </w:r>
    </w:p>
    <w:p>
      <w:r>
        <w:t>Le sévoflurane, comme l'ensemble des anesthésiques volatils halogénés, exerce son effet anesthésique par la modulation de multiples cibles moléculaires. La théorie lipidique historique de Meyer-Overton (1899) postulait que la puissance anesthésique était proportionnelle à la solubilité dans les graisses (lipophilie), suggérant un mécanisme non spécifique de perturbation membranaire. Cette théorie a été supplantée depuis les années 1990 par la théorie protéique, qui identifie des cibles moléculaires spécifiques. Les données contemporaines identifient plusieurs cibles :</w:t>
      </w:r>
    </w:p>
    <w:p>
      <w:pPr>
        <w:pStyle w:val="ListBullet"/>
      </w:pPr>
      <w:r/>
      <w:r>
        <w:rPr>
          <w:b/>
        </w:rPr>
        <w:t>Activation des canaux potassiques à deux pores (K2P)</w:t>
      </w:r>
      <w:r>
        <w:t xml:space="preserve"> : en particulier TREK-1 (KCNK2), TASK-3 (KCNK9) et TRESK (KCNK18). L'ouverture de ces canaux hyperpolarise la membrane neuronale et déprime l'excitabilité, contribuant à la perte de conscience.</w:t>
      </w:r>
    </w:p>
    <w:p>
      <w:pPr>
        <w:pStyle w:val="ListBullet"/>
      </w:pPr>
      <w:r/>
      <w:r>
        <w:rPr>
          <w:b/>
        </w:rPr>
        <w:t>Inhibition des canaux sodiques voltage-dépendants (Nav)</w:t>
      </w:r>
      <w:r>
        <w:t xml:space="preserve"> : Nav 1.2 (cortex), Nav 1.6 (cortex cérébelleux). Réduction de la neurotransmission excitatrice glutamatergique et de la conduction nerveuse.</w:t>
      </w:r>
    </w:p>
    <w:p>
      <w:pPr>
        <w:pStyle w:val="ListBullet"/>
      </w:pPr>
      <w:r/>
      <w:r>
        <w:rPr>
          <w:b/>
        </w:rPr>
        <w:t>Inhibition des canaux calciques voltage-dépendants N et P/Q</w:t>
      </w:r>
      <w:r>
        <w:t xml:space="preserve"> : réduction de la libération des neurotransmetteurs excitateurs.</w:t>
      </w:r>
    </w:p>
    <w:p>
      <w:pPr>
        <w:pStyle w:val="ListBullet"/>
      </w:pPr>
      <w:r/>
      <w:r>
        <w:rPr>
          <w:b/>
        </w:rPr>
        <w:t>Potentialisation allostérique positive du récepteur GABA-A</w:t>
      </w:r>
      <w:r>
        <w:t xml:space="preserve"> : augmentation de la fréquence d'ouverture du canal chlore en réponse au GABA endogène.</w:t>
      </w:r>
    </w:p>
    <w:p>
      <w:pPr>
        <w:pStyle w:val="ListBullet"/>
      </w:pPr>
      <w:r/>
      <w:r>
        <w:rPr>
          <w:b/>
        </w:rPr>
        <w:t>Inhibition du récepteur NMDA</w:t>
      </w:r>
      <w:r>
        <w:t xml:space="preserve"> à forte dose (effet analgésique et amnésiant).</w:t>
      </w:r>
    </w:p>
    <w:p>
      <w:pPr>
        <w:pStyle w:val="ListBullet"/>
      </w:pPr>
      <w:r/>
      <w:r>
        <w:rPr>
          <w:b/>
        </w:rPr>
        <w:t>Activation du récepteur glycinergique</w:t>
      </w:r>
      <w:r>
        <w:t xml:space="preserve"> inhibiteur spinal (effet myorelaxant).</w:t>
      </w:r>
    </w:p>
    <w:p>
      <w:r>
        <w:t>Cette pléiade de cibles explique l'anesthésie « équilibrée » caractéristique des halogénés : perte de conscience, amnésie, immobilité aux stimulus douloureux, analgésie spinale et dépression des réflexes autonomes.</w:t>
      </w:r>
    </w:p>
    <w:p>
      <w:r/>
      <w:r>
        <w:rPr>
          <w:b/>
        </w:rPr>
        <w:t>Cinétique et puissance :</w:t>
      </w:r>
      <w:r>
        <w:t xml:space="preserve"> la cinétique d'entrée et de sortie du sévoflurane est gouvernée par la ventilation alvéolaire, le coefficient de solubilité sang/gaz (λ) et le débit cardiaque. Le coefficient λ du sévoflurane est faible (0,65), nettement inférieur à celui de l'isoflurane (1,4) et de l'halothane (2,4), autorisant une induction et un réveil rapides. La concentration alvéolaire minimale (CAM ou MAC en anglais) mesure la puissance anesthésique : c'est la concentration alvéolaire empêchant le réflexe d'incision chirurgicale chez 50 % des sujets. La CAM du sévoflurane est de 1,8 % chez l'adulte, 2,5 % chez l'enfant, et 3,3 % chez le nourrisson de moins de 6 mois. La CAM est réduite avec l'âge (1,4 % à 40 ans, 1,0 % à 80 ans), par l'adjonction d'opioïdes (réduction de 50 %), par l'hypothermie, par la grossesse.</w:t>
      </w:r>
    </w:p>
    <w:p>
      <w:r/>
      <w:r>
        <w:rPr>
          <w:b/>
        </w:rPr>
        <w:t>Physiologie intégrée :</w:t>
      </w:r>
      <w:r>
        <w:t xml:space="preserve"> à concentration croissante (0,5 à 2 CAM), le sévoflurane induit une perte de conscience (à partir de 0,4-0,5 CAM), une amnésie antérograde (0,3-0,5 CAM), une analgésie (à partir de 0,8 CAM), une perte des réflexes protecteurs (1,2-1,5 CAM), une immobilité chirurgicale (1,5-2 CAM), et une dépression respiratoire et cardiovasculaire dose-dépendante. Le sévoflurane est non irritant pour les voies aériennes (à la différence de l'isoflurane et du desflurane), autorisant l'induction par masque en quelques minutes chez l'enfant comme chez l'adulte. L'odeur douce et non âcre est bien tolérée, en particulier chez l'enfant.</w:t>
      </w:r>
    </w:p>
    <w:p>
      <w:r/>
      <w:r>
        <w:rPr>
          <w:b/>
        </w:rPr>
        <w:t>Effets cardiovasculaires :</w:t>
      </w:r>
      <w:r>
        <w:t xml:space="preserve"> le sévoflurane est un dépresseur myocardique direct (inhibition du canal calcique L-type cardiaque), qui réduit la contractilité et la précharge. À l'induction (CAM 1-2), on observe une baisse de la PAM de 10 à 20 %, avec une tachycardie réflexe modérée (contrairement à l'isoflurane qui produit une vasodilatation plus marquée). Le débit cardiaque est relativement préservé. Le sévoflurane ne sensibilise pas le cœur aux catécholamines (à la différence de l'halothane), autorisant l'usage d'adrénaline en chirurgie ORL. La vasodilatation coronarienne est modérée, sans vol coronarien significatif (à la différence de l'isoflurane).</w:t>
      </w:r>
    </w:p>
    <w:p>
      <w:r/>
      <w:r>
        <w:rPr>
          <w:b/>
        </w:rPr>
        <w:t>Effets respiratoires :</w:t>
      </w:r>
      <w:r>
        <w:t xml:space="preserve"> bronchodilatateur puissant (utile en asthmatique), dépression respiratoire dose-dépendante (réduction de la fréquence et du volume courant, augmentation du CO2 expiré), pas d'irritation des voies aériennes.</w:t>
      </w:r>
    </w:p>
    <w:p>
      <w:r/>
      <w:r>
        <w:rPr>
          <w:b/>
        </w:rPr>
        <w:t>Effets neurophysiologiques :</w:t>
      </w:r>
      <w:r>
        <w:t xml:space="preserve"> le sévoflurane augmente le débit sanguin cérébral (DSC) et la pression intracrânienne (PIC) à concentration élevée, mais réduit la consommation cérébrale d'oxygène (CMRO2). En hyperventilation (capnie &lt; 30 mmHg), la vasoconstriction cérébrale prédomine et la PIC est contrôlée.</w:t>
      </w:r>
    </w:p>
    <w:p>
      <w:pPr>
        <w:pStyle w:val="Heading3"/>
      </w:pPr>
      <w:r>
        <w:t>181.6.1.4 Pharmacocinétique (Profil PK)</w:t>
      </w:r>
    </w:p>
    <w:p>
      <w:r/>
      <w:r>
        <w:rPr>
          <w:b/>
        </w:rPr>
        <w:t>Absorption :</w:t>
      </w:r>
      <w:r>
        <w:t xml:space="preserve"> le sévoflurane est administré par voie inhalée, à l'aide d'un évaporateur calibré spécifique (évaporateur Sevorane). La concentration délivrée est exprimée en pourcentage du volume de gaz inhalé (typiquement 1 à 8 % pour l'induction, 0,5 à 3 % pour l'entretien). L'absorption alvéolaire est gouvernée par la ventilation minute, la concentration inspirée, le coefficient λ sang/gaz (0,65) et le débit cardiaque.</w:t>
      </w:r>
    </w:p>
    <w:p>
      <w:r/>
      <w:r>
        <w:rPr>
          <w:b/>
        </w:rPr>
        <w:t>Distribution :</w:t>
      </w:r>
      <w:r>
        <w:t xml:space="preserve"> distribution bi-compartimentale entre le compartiment sanguin et les tissus (muscle, graisse, cerveau, cœur). Le coefficient λ sang/gaz (0,65) est faible, autorisant un équilibre alvéole-sang rapide (induction en 3-5 min, réveil en 5-10 min). Le coefficient λ tissu/sang est élevé pour les graisses (48), expliquant l'accumulation en cas d'anesthésie prolongée.</w:t>
      </w:r>
    </w:p>
    <w:p>
      <w:r/>
      <w:r>
        <w:rPr>
          <w:b/>
        </w:rPr>
        <w:t>Métabolisme :</w:t>
      </w:r>
      <w:r>
        <w:t xml:space="preserve"> le sévoflurane est métabolisé à 3-5 % dans le foie par le CYP2E1 (défluorination en hexafluoroisopropanol et fluorures inorganiques). La concentration de fluorures inorganiques peut atteindre 25-50 µM après anesthésie prolongée (&gt; 3 hMAC-hours), seuil néphrotoxique théorique. Cependant, la néphrotoxicité clinique n'est pas démontrée à doses anesthésiques standards.</w:t>
      </w:r>
    </w:p>
    <w:p>
      <w:r/>
      <w:r>
        <w:rPr>
          <w:b/>
        </w:rPr>
        <w:t>Interaction avec la chaux sodée :</w:t>
      </w:r>
      <w:r>
        <w:t xml:space="preserve"> le sévoflurane réagit avec la chaux sodée (et surtout la chaux barytée, retirée du marché) pour former un composé A (péfluoroisopropényl éther fluorométhyl), qui est néphrotoxique chez le rat. Cette toxicité n'est pas confirmée chez l'humain, mais les recommandations de sécurité imposent : débit de gaz frais ≥ 2 L/min en circuit demi-fermé, surveillance du vieillissement de la chaux (chaleur = déshydratation = production accrue de composé A), changement régulier de la chaux.</w:t>
      </w:r>
    </w:p>
    <w:p>
      <w:r/>
      <w:r>
        <w:rPr>
          <w:b/>
        </w:rPr>
        <w:t>Élimination :</w:t>
      </w:r>
      <w:r>
        <w:t xml:space="preserve"> élimination pulmonaire (95-97 % inchangé par exhalation), rénale (3-5 % sous forme de métabolites fluorurés). Le réveil est rapide après arrêt (5-10 min) en raison du coefficient λ faible.</w:t>
      </w:r>
    </w:p>
    <w:p>
      <w:r/>
      <w:r>
        <w:rPr>
          <w:b/>
        </w:rPr>
        <w:t>Effet de premier passage pulmonaire :</w:t>
      </w:r>
      <w:r>
        <w:t xml:space="preserve"> l'équilibre alvéole-sang est atteint en 3-5 min en inhalation continue, plus rapidement chez l'enfant (ventilation plus rapide) et en cas de débit de gaz frais élevé.</w:t>
      </w:r>
    </w:p>
    <w:p>
      <w:r/>
      <w:r>
        <w:rPr>
          <w:b/>
        </w:rPr>
        <w:t>Populations particulières :</w:t>
      </w:r>
      <w:r/>
    </w:p>
    <w:p>
      <w:pPr>
        <w:pStyle w:val="ListBullet"/>
      </w:pPr>
      <w:r/>
      <w:r>
        <w:rPr>
          <w:b/>
        </w:rPr>
        <w:t>Nouveau-né et prématuré :</w:t>
      </w:r>
      <w:r>
        <w:t xml:space="preserve"> CAM plus élevée (3,3 % à 0-6 mois), captation plus rapide (ventilation minute plus élevée par kg), surveillance renforcée.</w:t>
      </w:r>
    </w:p>
    <w:p>
      <w:pPr>
        <w:pStyle w:val="ListBullet"/>
      </w:pPr>
      <w:r/>
      <w:r>
        <w:rPr>
          <w:b/>
        </w:rPr>
        <w:t>Enfant :</w:t>
      </w:r>
      <w:r>
        <w:t xml:space="preserve"> CAM plus élevée (2,5 % à 1-12 ans), induction plus rapide.</w:t>
      </w:r>
    </w:p>
    <w:p>
      <w:pPr>
        <w:pStyle w:val="ListBullet"/>
      </w:pPr>
      <w:r/>
      <w:r>
        <w:rPr>
          <w:b/>
        </w:rPr>
        <w:t>Sujet âgé :</w:t>
      </w:r>
      <w:r>
        <w:t xml:space="preserve"> CAM réduite (1,0-1,4 % à &gt; 65 ans), réveil plus lent en raison de l'accumulation graisseuse.</w:t>
      </w:r>
    </w:p>
    <w:p>
      <w:pPr>
        <w:pStyle w:val="ListBullet"/>
      </w:pPr>
      <w:r/>
      <w:r>
        <w:rPr>
          <w:b/>
        </w:rPr>
        <w:t>Insuffisance hépatique :</w:t>
      </w:r>
      <w:r>
        <w:t xml:space="preserve"> métabolisme conservé (seulement 3-5 % métabolisé), mais surveillance des fluorures en cas d'anesthésie prolongée.</w:t>
      </w:r>
    </w:p>
    <w:p>
      <w:pPr>
        <w:pStyle w:val="ListBullet"/>
      </w:pPr>
      <w:r/>
      <w:r>
        <w:rPr>
          <w:b/>
        </w:rPr>
        <w:t>Insuffisance rénale :</w:t>
      </w:r>
      <w:r>
        <w:t xml:space="preserve"> prudence en cas d'anesthésie prolongée (fluorures néphrotoxiques théoriques), mais la clinique ne montre pas de dégradation de la fonction rénale.</w:t>
      </w:r>
    </w:p>
    <w:p>
      <w:pPr>
        <w:pStyle w:val="Heading3"/>
      </w:pPr>
      <w:r>
        <w:t>181.6.1.5 Indications thérapeutiques (détail AMM et hors AMM)</w:t>
      </w:r>
    </w:p>
    <w:p>
      <w:r/>
      <w:r>
        <w:rPr>
          <w:b/>
        </w:rPr>
        <w:t>Indications AMM principales :</w:t>
      </w:r>
      <w:r/>
    </w:p>
    <w:p>
      <w:pPr>
        <w:pStyle w:val="ListNumber"/>
      </w:pPr>
      <w:r/>
      <w:r>
        <w:rPr>
          <w:b/>
        </w:rPr>
        <w:t>Induction par masque chez l'enfant</w:t>
      </w:r>
      <w:r>
        <w:t xml:space="preserve"> : technique de référence en pédiatrie (capacité vitale croissante, concentration croissante : début à 0,5 %, augmentation par paliers de 0,5 % toutes les 3-4 respirations, jusqu'à 6-8 %, en 3-5 min). Particulièrement indiquée en cas de phobie de la voie veineuse, de voies aériennes difficiles prévisibles, de psychose, de retard mental.</w:t>
      </w:r>
    </w:p>
    <w:p>
      <w:pPr>
        <w:pStyle w:val="ListNumber"/>
      </w:pPr>
      <w:r/>
      <w:r>
        <w:rPr>
          <w:b/>
        </w:rPr>
        <w:t>Induction par masque chez l'adulte</w:t>
      </w:r>
      <w:r>
        <w:t xml:space="preserve"> : alternative à l'induction IV en cas d'accès veineux impossible, de phobie des aiguilles, de voies aériennes difficiles prévisibles (sévoflurane + halogéné maintenu à 4-8 %).</w:t>
      </w:r>
    </w:p>
    <w:p>
      <w:pPr>
        <w:pStyle w:val="ListNumber"/>
      </w:pPr>
      <w:r/>
      <w:r>
        <w:rPr>
          <w:b/>
        </w:rPr>
        <w:t>Entretien de l'anesthésie</w:t>
      </w:r>
      <w:r>
        <w:t xml:space="preserve"> : à concentration cible de 0,5 à 3 % selon le stade chirurgical, en circuit ouvert (débit 5-8 L/min), demi-fermé (1-2 L/min) ou fermé (circuit avec chaux sodée, débit &lt; 1 L/min). En association avec un opioïde et un curare (anesthésie balancée).</w:t>
      </w:r>
    </w:p>
    <w:p>
      <w:pPr>
        <w:pStyle w:val="ListNumber"/>
      </w:pPr>
      <w:r/>
      <w:r>
        <w:rPr>
          <w:b/>
        </w:rPr>
        <w:t>Anesthésie ambulatoire</w:t>
      </w:r>
      <w:r>
        <w:t xml:space="preserve"> : réveil rapide (5-10 min), surveillance brève en SSPI, sortie précoce.</w:t>
      </w:r>
    </w:p>
    <w:p>
      <w:pPr>
        <w:pStyle w:val="ListNumber"/>
      </w:pPr>
      <w:r/>
      <w:r>
        <w:rPr>
          <w:b/>
        </w:rPr>
        <w:t>Anesthésie en chirurgie cardiaque</w:t>
      </w:r>
      <w:r>
        <w:t xml:space="preserve"> : à débit faible en circuit fermé, monitorage hémodynamique invasif.</w:t>
      </w:r>
    </w:p>
    <w:p>
      <w:pPr>
        <w:pStyle w:val="ListNumber"/>
      </w:pPr>
      <w:r/>
      <w:r>
        <w:rPr>
          <w:b/>
        </w:rPr>
        <w:t>Anesthésie en césarienne</w:t>
      </w:r>
      <w:r>
        <w:t xml:space="preserve"> : à débit faible (0,5-1 %), en association avec oxygène et protoxyde d'azote.</w:t>
      </w:r>
    </w:p>
    <w:p>
      <w:pPr>
        <w:pStyle w:val="ListNumber"/>
      </w:pPr>
      <w:r/>
      <w:r>
        <w:rPr>
          <w:b/>
        </w:rPr>
        <w:t>Anesthésie en chirurgie pédiatrique</w:t>
      </w:r>
      <w:r>
        <w:t xml:space="preserve"> : induction et entretien, en particulier chez les enfants sans voie veineuse.</w:t>
      </w:r>
    </w:p>
    <w:p>
      <w:r/>
      <w:r>
        <w:rPr>
          <w:b/>
        </w:rPr>
        <w:t>Contre-indications formelles :</w:t>
      </w:r>
      <w:r/>
    </w:p>
    <w:p>
      <w:pPr>
        <w:pStyle w:val="ListBullet"/>
      </w:pPr>
      <w:r/>
      <w:r>
        <w:rPr>
          <w:b/>
        </w:rPr>
        <w:t>Hyperthermie maligne connue ou suspectée</w:t>
      </w:r>
      <w:r>
        <w:t xml:space="preserve"> (antécédents personnels ou familiaux) : contre-indication absolue. Le sévoflurane est un déclencheur de l'hyperthermie maligne per-anesthésique (en raison d'une mutation du récepteur de la ryanodine RyR1, incidence 1/15 000 à 1/50 000, mortalité 5 % si non traitée par dantrolène IV). Préférer une anesthésie totale intraveineuse (propofol + opioïde + curare non dépolarisant).</w:t>
      </w:r>
    </w:p>
    <w:p>
      <w:pPr>
        <w:pStyle w:val="ListBullet"/>
      </w:pPr>
      <w:r/>
      <w:r>
        <w:rPr>
          <w:b/>
        </w:rPr>
        <w:t>Antécédent d'hépatite à l'halothane</w:t>
      </w:r>
      <w:r>
        <w:t xml:space="preserve"> ou d'hépatite immune aux halogénés : contre-indication relative absolue (réactivité croisée possible).</w:t>
      </w:r>
    </w:p>
    <w:p>
      <w:pPr>
        <w:pStyle w:val="ListBullet"/>
      </w:pPr>
      <w:r/>
      <w:r>
        <w:rPr>
          <w:b/>
        </w:rPr>
        <w:t>Insuffisance hépatique sévère décompensée</w:t>
      </w:r>
      <w:r>
        <w:t xml:space="preserve"> : prudence.</w:t>
      </w:r>
    </w:p>
    <w:p>
      <w:pPr>
        <w:pStyle w:val="ListBullet"/>
      </w:pPr>
      <w:r/>
      <w:r>
        <w:rPr>
          <w:b/>
        </w:rPr>
        <w:t>Porphyrie aiguë intermittente</w:t>
      </w:r>
      <w:r>
        <w:t xml:space="preserve"> : contre-indication relative (sévoflurane généralement sûr mais prudence).</w:t>
      </w:r>
    </w:p>
    <w:p>
      <w:pPr>
        <w:pStyle w:val="ListBullet"/>
      </w:pPr>
      <w:r/>
      <w:r>
        <w:rPr>
          <w:b/>
        </w:rPr>
        <w:t>Hypersensibilité connue au sévoflurane ou aux autres halogénés</w:t>
      </w:r>
      <w:r>
        <w:t>.</w:t>
      </w:r>
    </w:p>
    <w:p>
      <w:pPr>
        <w:pStyle w:val="ListBullet"/>
      </w:pPr>
      <w:r/>
      <w:r>
        <w:rPr>
          <w:b/>
        </w:rPr>
        <w:t>Dystrophie musculaire de Duchenne ou de Becker chez l'enfant</w:t>
      </w:r>
      <w:r>
        <w:t xml:space="preserve"> : contre-indication relative absolue à l'induction, en raison de cas rapportés d'hyperkaliémie maligne à l'induction avec rhabdomyolyse aiguë et arrêt cardiaque hyperkaliémique (FDA warning 2007).</w:t>
      </w:r>
    </w:p>
    <w:p>
      <w:pPr>
        <w:pStyle w:val="ListBullet"/>
      </w:pPr>
      <w:r/>
      <w:r>
        <w:rPr>
          <w:b/>
        </w:rPr>
        <w:t>Enfant de moins de 3 ans</w:t>
      </w:r>
      <w:r>
        <w:t xml:space="preserve"> : à éviter en anesthésie programmée non urgente selon les recommandations FDA (2017, réitéré 2021) en raison du risque de neurotoxicité cérébrale (voir section Effets indésirables).</w:t>
      </w:r>
    </w:p>
    <w:p>
      <w:pPr>
        <w:pStyle w:val="ListBullet"/>
      </w:pPr>
      <w:r/>
      <w:r>
        <w:rPr>
          <w:b/>
        </w:rPr>
        <w:t>Grossesse</w:t>
      </w:r>
      <w:r>
        <w:t xml:space="preserve"> : usage prudent, en particulier au 1er trimestre (voir section Grossesse).</w:t>
      </w:r>
    </w:p>
    <w:p>
      <w:pPr>
        <w:pStyle w:val="Heading3"/>
      </w:pPr>
      <w:r>
        <w:t>181.6.1.6 Effets indésirables et prévention</w:t>
      </w:r>
    </w:p>
    <w:p>
      <w:r/>
      <w:r>
        <w:rPr>
          <w:b/>
        </w:rPr>
        <w:t>Effets indésirables fréquents (&gt; 1/100) :</w:t>
      </w:r>
      <w:r/>
    </w:p>
    <w:p>
      <w:pPr>
        <w:pStyle w:val="ListBullet"/>
      </w:pPr>
      <w:r/>
      <w:r>
        <w:rPr>
          <w:b/>
        </w:rPr>
        <w:t>Hypotension artérielle peropératoire</w:t>
      </w:r>
      <w:r>
        <w:t xml:space="preserve"> : 10 à 30 % de réduction de la PAM, dose-dépendante, par dépression myocardique et vasodilatation. Prévention : surveillance continue de la PAM, adaptation de la concentration à la profondeur chirurgicale, remplissage vasculaire, vasopresseurs si nécessaire.</w:t>
      </w:r>
    </w:p>
    <w:p>
      <w:pPr>
        <w:pStyle w:val="ListBullet"/>
      </w:pPr>
      <w:r/>
      <w:r>
        <w:rPr>
          <w:b/>
        </w:rPr>
        <w:t>Bradycardie</w:t>
      </w:r>
      <w:r>
        <w:t xml:space="preserve"> : 5 à 15 %, surtout chez l'enfant et en cas d'association avec le rémifentanil. Prévention : atropine 0,01 mg/kg IV.</w:t>
      </w:r>
    </w:p>
    <w:p>
      <w:pPr>
        <w:pStyle w:val="ListBullet"/>
      </w:pPr>
      <w:r/>
      <w:r>
        <w:rPr>
          <w:b/>
        </w:rPr>
        <w:t>Nausées et vomissements post-opératoires (NVPO)</w:t>
      </w:r>
      <w:r>
        <w:t xml:space="preserve"> : 25 à 40 %, incidence supérieure au propofol. Prévention : prophylaxie systématique par ondansétron 4 mg IV + dexaméthasone 4-8 mg IV + dropéridol 0,625 mg IV chez les patients à haut risque (femme, non-fumeur, antécédents de NVPO, chirurgie pédiatrique, gynécologique, ORL).</w:t>
      </w:r>
    </w:p>
    <w:p>
      <w:pPr>
        <w:pStyle w:val="ListBullet"/>
      </w:pPr>
      <w:r/>
      <w:r>
        <w:rPr>
          <w:b/>
        </w:rPr>
        <w:t>Agitation au réveil (émergence delirium)</w:t>
      </w:r>
      <w:r>
        <w:t xml:space="preserve"> : 20 à 50 % chez l'enfant, surtout préscolaire (2-6 ans). Manifestations : agitation, pleurs, confusion, désorientation. Prévention : prémédication par midazolam (efficacité discutée), clonidine 1 µg/kg IV, dexmédétomidine 0,5 µg/kg IV en fin d'intervention, environnement calme au réveil, présence parentale.</w:t>
      </w:r>
    </w:p>
    <w:p>
      <w:pPr>
        <w:pStyle w:val="ListBullet"/>
      </w:pPr>
      <w:r/>
      <w:r>
        <w:rPr>
          <w:b/>
        </w:rPr>
        <w:t>Frissons post-opératoires</w:t>
      </w:r>
      <w:r>
        <w:t xml:space="preserve"> : 10 à 30 %, mécanisme de thermorégulation. Prévention : réchauffement peropératoire (33-36 °C), pétidine 0,25 mg/kg IV.</w:t>
      </w:r>
    </w:p>
    <w:p>
      <w:pPr>
        <w:pStyle w:val="ListBullet"/>
      </w:pPr>
      <w:r/>
      <w:r>
        <w:rPr>
          <w:b/>
        </w:rPr>
        <w:t>Toux, hoquet</w:t>
      </w:r>
      <w:r>
        <w:t xml:space="preserve"> : 5 à 10 % (rares, le sévoflurane est non irritant).</w:t>
      </w:r>
    </w:p>
    <w:p>
      <w:r/>
      <w:r>
        <w:rPr>
          <w:b/>
        </w:rPr>
        <w:t>Effets indésirables rares (1/1000 à 1/100) :</w:t>
      </w:r>
      <w:r/>
    </w:p>
    <w:p>
      <w:pPr>
        <w:pStyle w:val="ListBullet"/>
      </w:pPr>
      <w:r/>
      <w:r>
        <w:rPr>
          <w:b/>
        </w:rPr>
        <w:t>Bradycardie sinusale sévère, bloc auriculo-ventriculaire</w:t>
      </w:r>
      <w:r>
        <w:t xml:space="preserve"> : rare, surtout en association avec le rémifentanil.</w:t>
      </w:r>
    </w:p>
    <w:p>
      <w:pPr>
        <w:pStyle w:val="ListBullet"/>
      </w:pPr>
      <w:r/>
      <w:r>
        <w:rPr>
          <w:b/>
        </w:rPr>
        <w:t>Hypertension à l'induction</w:t>
      </w:r>
      <w:r>
        <w:t xml:space="preserve"> : rare, en cas d'anesthésie trop légère.</w:t>
      </w:r>
    </w:p>
    <w:p>
      <w:pPr>
        <w:pStyle w:val="ListBullet"/>
      </w:pPr>
      <w:r/>
      <w:r>
        <w:rPr>
          <w:b/>
        </w:rPr>
        <w:t>Bronchospasme</w:t>
      </w:r>
      <w:r>
        <w:t xml:space="preserve"> : rare, en cas de terrain asthmatique.</w:t>
      </w:r>
    </w:p>
    <w:p>
      <w:pPr>
        <w:pStyle w:val="ListBullet"/>
      </w:pPr>
      <w:r/>
      <w:r>
        <w:rPr>
          <w:b/>
        </w:rPr>
        <w:t>Allergie cutanée</w:t>
      </w:r>
      <w:r>
        <w:t xml:space="preserve"> (rash, urticaire) : 1/1000.</w:t>
      </w:r>
    </w:p>
    <w:p>
      <w:r/>
      <w:r>
        <w:rPr>
          <w:b/>
        </w:rPr>
        <w:t>Effets indésirables graves (&lt; 1/10 000) :</w:t>
      </w:r>
      <w:r/>
    </w:p>
    <w:p>
      <w:pPr>
        <w:pStyle w:val="ListBullet"/>
      </w:pPr>
      <w:r/>
      <w:r>
        <w:rPr>
          <w:b/>
        </w:rPr>
        <w:t>Hyperthermie maligne per-anesthésique</w:t>
      </w:r>
      <w:r>
        <w:t xml:space="preserve"> : 1/15 000 à 1/50 000, mutation RyR1. Survient 30 min à plusieurs heures après induction. Signes : hypercapnie réfractaire (EtCO2 &gt; 60 mmHg), tachycardie, acidose métabolique, hyperthermie (T° &gt; 38,5 °C, parfois &gt; 41 °C), rigidité musculaire (masséter surtout), rhabdomyolyse (CPK &gt; 10 000 UI/L, myoglobinurie), hyperkaliémie, troubles du rythme, défaillance multiviscérale. Mortalité 5 % si traitée précocement, 70 % si retard. </w:t>
      </w:r>
      <w:r>
        <w:rPr>
          <w:b/>
        </w:rPr>
        <w:t>Traitement</w:t>
      </w:r>
      <w:r>
        <w:t xml:space="preserve"> : arrêt immédiat du sévoflurane, hyperventilation à 100 % d'O2, dantrolène IV 2,5 mg/kg à répéter jusqu'à 10 mg/kg, refroidissement actif (lavage péritonéal froid, couverture refroidissante), correction de l'acidose (bicarbonate), surveillance en réanimation.</w:t>
      </w:r>
    </w:p>
    <w:p>
      <w:pPr>
        <w:pStyle w:val="ListBullet"/>
      </w:pPr>
      <w:r/>
      <w:r>
        <w:rPr>
          <w:b/>
        </w:rPr>
        <w:t>Hépatite immune aux halogénés</w:t>
      </w:r>
      <w:r>
        <w:t xml:space="preserve"> : 1/10 000 à 1/35 000, mécanisme immuno-allergique (anticorps anti-CYP2E1-trifluoroacétylé). Survient 2 à 14 jours après l'anesthésie, avec fièvre, éruption cutanée, cytolyse hépatique (ALAT &gt; 1 000 UI/L), parfois insuffisance hépatique fulminante (mortalité 30-50 %). Prévention : interrogatoire des antécédents d'hépatite post-anesthésique, éviter la répétition des anesthésies aux halogénés. Traitement : arrêt des halogénés, N-acétylcystéine si cytolyse massive, transplantation hépatique si insuffisance fulminante.</w:t>
      </w:r>
    </w:p>
    <w:p>
      <w:pPr>
        <w:pStyle w:val="ListBullet"/>
      </w:pPr>
      <w:r/>
      <w:r>
        <w:rPr>
          <w:b/>
        </w:rPr>
        <w:t>Néphrotoxicité (fluorures)</w:t>
      </w:r>
      <w:r>
        <w:t xml:space="preserve"> : concentration de fluorures &gt; 50 µM après anesthésie prolongée &gt; 3 MAC-hours, surtout en circuit fermé avec chaux déshydratée. Prévention : débit de gaz frais ≥ 2 L/min, surveillance de la chaux (chaleur = déshydratation), changement régulier de la chaux.</w:t>
      </w:r>
    </w:p>
    <w:p>
      <w:pPr>
        <w:pStyle w:val="ListBullet"/>
      </w:pPr>
      <w:r/>
      <w:r>
        <w:rPr>
          <w:b/>
        </w:rPr>
        <w:t>Hyperkaliémie maligne à l'induction (Duchenne, Becker)</w:t>
      </w:r>
      <w:r>
        <w:t xml:space="preserve"> : chez l'enfant porteur de dystrophie musculaire, induction au sévoflurane sans succinylcholine peut déclencher une rhabdomyolyse aiguë avec hyperkaliémie maligne et arrêt cardiaque réfractaire. FDA warning 2007. Prévention : dépistage des dystrophies musculaires avant induction, éviter le sévoflurane chez les garçons avec retard moteur non expliqué.</w:t>
      </w:r>
    </w:p>
    <w:p>
      <w:pPr>
        <w:pStyle w:val="ListBullet"/>
      </w:pPr>
      <w:r/>
      <w:r>
        <w:rPr>
          <w:b/>
        </w:rPr>
        <w:t>Neurotoxicité cérébrale chez l'enfant &lt; 3 ans</w:t>
      </w:r>
      <w:r>
        <w:t xml:space="preserve"> : FDA Drug Safety Communication 2017, réitéré 2021. Les études animales (macaques, rongeurs) et les études d'observation humaines (cohortes PANDA, GAS, MASK) ont montré un risque de troubles des apprentissages et du comportement après anesthésies répétées ou prolongées (&gt; 3 heures) chez le jeune enfant. Les sociétés savantes recommandent de différer autant que possible les actes chirurgicaux programmés non urgents chez l'enfant de moins de 3 ans, et de privilégier les anesthésies courtes et uniques. Le débat reste toutefois ouvert car l'étude GAS (Mayo Clinic, Lancet 2019, n=722) n'a pas retrouvé de différence cognitive significative à 5 ans entre exposition unique breve au sévoflurane et anesthésie régionale.</w:t>
      </w:r>
    </w:p>
    <w:p>
      <w:pPr>
        <w:pStyle w:val="ListBullet"/>
      </w:pPr>
      <w:r/>
      <w:r>
        <w:rPr>
          <w:b/>
        </w:rPr>
        <w:t>Anaphylaxie</w:t>
      </w:r>
      <w:r>
        <w:t xml:space="preserve"> : 1/10 000 à 1/100 000. Traitement : adrénaline IV 0,1-0,5 mg, remplissage, antihistaminiques.</w:t>
      </w:r>
    </w:p>
    <w:p>
      <w:pPr>
        <w:pStyle w:val="Heading3"/>
      </w:pPr>
      <w:r>
        <w:t>181.6.1.7 Interactions médicamenteuses</w:t>
      </w:r>
    </w:p>
    <w:p>
      <w:r>
        <w:t>Le sévoflurane est principalement éliminé par exhalation pulmonaire (95-97 %), avec un métabolisme hépatique mineur (3-5 % par CYP2E1). Le profil d'interactions pharmacocinétiques est limité.</w:t>
      </w:r>
    </w:p>
    <w:p>
      <w:r/>
      <w:r>
        <w:rPr>
          <w:b/>
        </w:rPr>
        <w:t>Interactions pharmacodynamiques majeures :</w:t>
      </w:r>
      <w:r/>
    </w:p>
    <w:p>
      <w:pPr>
        <w:pStyle w:val="ListBullet"/>
      </w:pPr>
      <w:r/>
      <w:r>
        <w:rPr>
          <w:b/>
        </w:rPr>
        <w:t>Avec les opioïdes (fentanyl, sufentanil, rémifentanil, alfentanil, morphine) :</w:t>
      </w:r>
      <w:r>
        <w:t xml:space="preserve"> potentialisation de l'hypnose, de l'analgésie et de la dépression respiratoire. Réduction de la CAM de 50-60 % en association. Effet synergique recherché en anesthésie balancée.</w:t>
      </w:r>
    </w:p>
    <w:p>
      <w:pPr>
        <w:pStyle w:val="ListBullet"/>
      </w:pPr>
      <w:r/>
      <w:r>
        <w:rPr>
          <w:b/>
        </w:rPr>
        <w:t>Avec les benzodiazépines (midazolam) :</w:t>
      </w:r>
      <w:r>
        <w:t xml:space="preserve"> potentialisation de l'hypnose, réduction de la CAM de 30-40 %.</w:t>
      </w:r>
    </w:p>
    <w:p>
      <w:pPr>
        <w:pStyle w:val="ListBullet"/>
      </w:pPr>
      <w:r/>
      <w:r>
        <w:rPr>
          <w:b/>
        </w:rPr>
        <w:t>Avec le protoxyde d'azote (N2O) :</w:t>
      </w:r>
      <w:r>
        <w:t xml:space="preserve"> effet additif sur l'hypnose, réduction de la CAM de 25-50 %. Économie de sévoflurane. Effet « second gas effect » à l'induction (la captation rapide du N2O augmente la concentration alvéolaire de sévoflurane).</w:t>
      </w:r>
    </w:p>
    <w:p>
      <w:pPr>
        <w:pStyle w:val="ListBullet"/>
      </w:pPr>
      <w:r/>
      <w:r>
        <w:rPr>
          <w:b/>
        </w:rPr>
        <w:t>Avec les curares (succinylcholine, rocuronium, cisatracurium) :</w:t>
      </w:r>
      <w:r>
        <w:t xml:space="preserve"> potentialisation du bloc neuromusculaire (le sévoflurane potentialise les curares non dépolarisants de 30-50 %), réduction possible de la dose de curare.</w:t>
      </w:r>
    </w:p>
    <w:p>
      <w:pPr>
        <w:pStyle w:val="ListBullet"/>
      </w:pPr>
      <w:r/>
      <w:r>
        <w:rPr>
          <w:b/>
        </w:rPr>
        <w:t>Avec les antidépresseurs tricycliques, les IMAO :</w:t>
      </w:r>
      <w:r>
        <w:t xml:space="preserve"> prudence en raison du risque d'arythmies ventriculaires (sensibilité accrue aux catécholamines).</w:t>
      </w:r>
    </w:p>
    <w:p>
      <w:pPr>
        <w:pStyle w:val="ListBullet"/>
      </w:pPr>
      <w:r/>
      <w:r>
        <w:rPr>
          <w:b/>
        </w:rPr>
        <w:t>Avec les β-bloquants et inhibiteurs calciques :</w:t>
      </w:r>
      <w:r>
        <w:t xml:space="preserve"> potentialisation de la bradycardie et de l'hypotension ; risque d'asystolie si association avec vérapamil IV.</w:t>
      </w:r>
    </w:p>
    <w:p>
      <w:pPr>
        <w:pStyle w:val="ListBullet"/>
      </w:pPr>
      <w:r/>
      <w:r>
        <w:rPr>
          <w:b/>
        </w:rPr>
        <w:t>Avec les diurétiques (furosémide, thiazidiques) :</w:t>
      </w:r>
      <w:r>
        <w:t xml:space="preserve"> prudence en raison du risque d'hypotension aggravée.</w:t>
      </w:r>
    </w:p>
    <w:p>
      <w:pPr>
        <w:pStyle w:val="ListBullet"/>
      </w:pPr>
      <w:r/>
      <w:r>
        <w:rPr>
          <w:b/>
        </w:rPr>
        <w:t>Avec la succinylcholine</w:t>
      </w:r>
      <w:r>
        <w:t xml:space="preserve"> : risque accru d'hyperthermie maligne (déclencheurs conjoints).</w:t>
      </w:r>
    </w:p>
    <w:p>
      <w:r/>
      <w:r>
        <w:rPr>
          <w:b/>
        </w:rPr>
        <w:t>Interactions pharmacocinétiques :</w:t>
      </w:r>
      <w:r/>
    </w:p>
    <w:p>
      <w:pPr>
        <w:pStyle w:val="ListBullet"/>
      </w:pPr>
      <w:r/>
      <w:r>
        <w:rPr>
          <w:b/>
        </w:rPr>
        <w:t>Avec les inducteurs du CYP2E1 (éthanol chronique, isoniazide) :</w:t>
      </w:r>
      <w:r>
        <w:t xml:space="preserve"> augmentation de la défluorination, concentration de fluorures augmentée, prudence en cas d'anesthésie prolongée.</w:t>
      </w:r>
    </w:p>
    <w:p>
      <w:pPr>
        <w:pStyle w:val="ListBullet"/>
      </w:pPr>
      <w:r/>
      <w:r>
        <w:rPr>
          <w:b/>
        </w:rPr>
        <w:t>Avec les inhibiteurs du CYP2E1 (disulfirame) :</w:t>
      </w:r>
      <w:r>
        <w:t xml:space="preserve"> réduction de la défluorination, moindre concentration de fluorures.</w:t>
      </w:r>
    </w:p>
    <w:p>
      <w:pPr>
        <w:pStyle w:val="ListBullet"/>
      </w:pPr>
      <w:r/>
      <w:r>
        <w:rPr>
          <w:b/>
        </w:rPr>
        <w:t>Avec la chaux sodée (surtout barytée) :</w:t>
      </w:r>
      <w:r>
        <w:t xml:space="preserve"> formation du composé A néphrotoxique (chez le rat, non confirmé chez l'humain). Débit de gaz frais ≥ 2 L/min, surveillance de la chaux.</w:t>
      </w:r>
    </w:p>
    <w:p>
      <w:r/>
      <w:r>
        <w:rPr>
          <w:b/>
        </w:rPr>
        <w:t>Précautions particulières :</w:t>
      </w:r>
      <w:r/>
    </w:p>
    <w:p>
      <w:pPr>
        <w:pStyle w:val="ListBullet"/>
      </w:pPr>
      <w:r/>
      <w:r>
        <w:rPr>
          <w:b/>
        </w:rPr>
        <w:t>Chirurgie de l'œsophage, chirurgie gastrique</w:t>
      </w:r>
      <w:r>
        <w:t xml:space="preserve"> : prudence en cas de tubulure d'évacuation gazeuse défectueuse (pollution du bloc opératoire, risque tératogène théorique pour le personnel féminin en âge de procréer).</w:t>
      </w:r>
    </w:p>
    <w:p>
      <w:pPr>
        <w:pStyle w:val="ListBullet"/>
      </w:pPr>
      <w:r/>
      <w:r>
        <w:rPr>
          <w:b/>
        </w:rPr>
        <w:t>Médecins anesthésistes féminines enceintes</w:t>
      </w:r>
      <w:r>
        <w:t xml:space="preserve"> : éviter l'exposition chronique aux halogénés (pollution du bloc opératoire), ventilation du bloc efficace, scavenger du circuit.</w:t>
      </w:r>
    </w:p>
    <w:p>
      <w:pPr>
        <w:pStyle w:val="ListBullet"/>
      </w:pPr>
      <w:r/>
      <w:r>
        <w:rPr>
          <w:b/>
        </w:rPr>
        <w:t>Patient porteur de pace-maker</w:t>
      </w:r>
      <w:r>
        <w:t xml:space="preserve"> : surveillance ECG continue, le sévoflurane ne modifie pas le seuil de pace-maker.</w:t>
      </w:r>
    </w:p>
    <w:p>
      <w:pPr>
        <w:pStyle w:val="Heading3"/>
      </w:pPr>
      <w:r>
        <w:t>181.6.1.8 Grossesse, allaitement et CRAT</w:t>
      </w:r>
    </w:p>
    <w:p>
      <w:r/>
      <w:r>
        <w:rPr>
          <w:b/>
        </w:rPr>
        <w:t>Grossesse :</w:t>
      </w:r>
      <w:r>
        <w:t xml:space="preserve"> le sévoflurane traverse la barrière placentaire (rapport ftéo-maternel 0,6-0,8). Le CRAT classe le sévoflurane comme « non tératogène » aux doses anesthésiques, sans effet malformatif documenté chez l'animal ni chez l'humain. Les données observationnelles (cohortes FDA, plus de 5 000 expositions au 1er trimestre) ne montrent pas d'augmentation du risque de malformations majeures.</w:t>
      </w:r>
    </w:p>
    <w:p>
      <w:r/>
      <w:r>
        <w:rPr>
          <w:b/>
        </w:rPr>
        <w:t>Chirurgie non obstétricale pendant la grossesse</w:t>
      </w:r>
      <w:r>
        <w:t xml:space="preserve"> : le sévoflurane peut être utilisé pour les actes urgents (appendicite, torsion d'annexe, traumatisme). Préférer toutefois l'anesthésie loco-régionale quand possible. Au 2ème et 3ème trimestre, surveillance continue du rythme cardiaque fœtal.</w:t>
      </w:r>
    </w:p>
    <w:p>
      <w:r/>
      <w:r>
        <w:rPr>
          <w:b/>
        </w:rPr>
        <w:t>Césarienne sous anesthésie générale</w:t>
      </w:r>
      <w:r>
        <w:t xml:space="preserve"> : le sévoflurane est utilisé pour l'entretien à débit faible (0,5-1 %), en association avec oxygène et protoxyde d'azote. La concentration doit rester basse (&lt; 1 CAM) pour éviter la vasodilatation utérine et l'atonie utérine post-partum (risque d'hémorragie de la délivrance). Le sévoflurane est préféré à l'halothane en raison de sa moindre dépression myocardique et de sa cinétique rapide.</w:t>
      </w:r>
    </w:p>
    <w:p>
      <w:r/>
      <w:r>
        <w:rPr>
          <w:b/>
        </w:rPr>
        <w:t>Femme enceinte anesthésiste ou infirmière anesthésiste</w:t>
      </w:r>
      <w:r>
        <w:t xml:space="preserve"> : éviter l'exposition chronique aux halogénés (pollution du bloc opératoire). Le sévoflurane étant liquide à température ambiante, le risque de pollution est moindre qu'avec l'halothane gazeux. La réglementation française (décret 1994) impose une concentration maximale de 2 ppm dans l'air du bloc opératoire pour les halogénés et 25 ppm pour le protoxyde d'azote.</w:t>
      </w:r>
    </w:p>
    <w:p>
      <w:r/>
      <w:r>
        <w:rPr>
          <w:b/>
        </w:rPr>
        <w:t>Allaitement :</w:t>
      </w:r>
      <w:r>
        <w:t xml:space="preserve"> le sévoflurane passe dans le lait maternel en quantité négligeable après anesthésie unique (rapport lait/plasma 0,2). La reprise de l'allaitement peut se faire dès que la mère est suffisamment éveillée (selon le CRAT, reprise possible 4 heures post-anesthésie, en s'assurant de l'absence de signes de sédation résiduelle).</w:t>
      </w:r>
    </w:p>
    <w:p>
      <w:r/>
      <w:r>
        <w:rPr>
          <w:b/>
        </w:rPr>
        <w:t>Femme en âge de procréer :</w:t>
      </w:r>
      <w:r>
        <w:t xml:space="preserve"> pas de contraception particulière nécessaire.</w:t>
      </w:r>
    </w:p>
    <w:p>
      <w:r/>
      <w:r>
        <w:rPr>
          <w:b/>
        </w:rPr>
        <w:t>Conseil CRAT :</w:t>
      </w:r>
      <w:r>
        <w:t xml:space="preserve"> « Le sévoflurane est utilisable pendant la grossesse dans ses indications autorisées, en particulier pour la chirurgie urgente et la césarienne. Au 1er trimestre, préférer l'anesthésie loco-régionale quand possible. En césarienne, utiliser le sévoflurane à faible concentration (&lt; 1 CAM) pour éviter l'atonie utérine. L'allaitement est possible après 4 heures. »</w:t>
      </w:r>
    </w:p>
    <w:p>
      <w:pPr>
        <w:pStyle w:val="Heading3"/>
      </w:pPr>
      <w:r>
        <w:t>181.6.1.9 Posologie et mode d'administration</w:t>
      </w:r>
    </w:p>
    <w:p>
      <w:r/>
      <w:r>
        <w:rPr>
          <w:b/>
        </w:rPr>
        <w:t>Induction par masque (enfant et adulte) :</w:t>
      </w:r>
      <w:r/>
    </w:p>
    <w:p>
      <w:pPr>
        <w:pStyle w:val="ListBullet"/>
      </w:pPr>
      <w:r>
        <w:t>Adulte : concentration inspirée initiale 1 %, augmentation par paliers de 0,5-1 % toutes les 3-4 respirations, jusqu'à 4-8 %, en 3-5 min. Pose de la voie veineuse dès la perte de conscience (1-2 min).</w:t>
      </w:r>
    </w:p>
    <w:p>
      <w:pPr>
        <w:pStyle w:val="ListBullet"/>
      </w:pPr>
      <w:r>
        <w:t>Enfant de moins de 6 ans : capacité vitale unique (technique d'induction en une seule expiration avec concentration initiale 8 %), ou augmentation par paliers de 0,5 % à partir de 1 %. Induction en 1-3 min.</w:t>
      </w:r>
    </w:p>
    <w:p>
      <w:pPr>
        <w:pStyle w:val="ListBullet"/>
      </w:pPr>
      <w:r>
        <w:t>Enfant de plus de 6 ans : induction par paliers comme chez l'adulte.</w:t>
      </w:r>
    </w:p>
    <w:p>
      <w:r/>
      <w:r>
        <w:rPr>
          <w:b/>
        </w:rPr>
        <w:t>Induction intraveineuse complétée par inhalation (induction mixte) :</w:t>
      </w:r>
      <w:r/>
    </w:p>
    <w:p>
      <w:pPr>
        <w:pStyle w:val="ListBullet"/>
      </w:pPr>
      <w:r>
        <w:t>Induction par propofol 2 mg/kg IV, puis branchement du circuit d'anesthésie avec sévoflurane 2-4 % en oxygène pur ou en mélange O2/N2O 50/50.</w:t>
      </w:r>
    </w:p>
    <w:p>
      <w:r/>
      <w:r>
        <w:rPr>
          <w:b/>
        </w:rPr>
        <w:t>Entretien de l'anesthésie :</w:t>
      </w:r>
      <w:r/>
    </w:p>
    <w:p>
      <w:pPr>
        <w:pStyle w:val="ListBullet"/>
      </w:pPr>
      <w:r>
        <w:t>Concentration cible 1-2,5 % en circuit ouvert (débit 5-8 L/min).</w:t>
      </w:r>
    </w:p>
    <w:p>
      <w:pPr>
        <w:pStyle w:val="ListBullet"/>
      </w:pPr>
      <w:r>
        <w:t>Concentration cible 1-2 % en circuit demi-fermé (débit 1-2 L/min).</w:t>
      </w:r>
    </w:p>
    <w:p>
      <w:pPr>
        <w:pStyle w:val="ListBullet"/>
      </w:pPr>
      <w:r>
        <w:t>Concentration cible 0,8-1,5 % en circuit fermé (débit &lt; 1 L/min, surveillance de la chaux sodée).</w:t>
      </w:r>
    </w:p>
    <w:p>
      <w:pPr>
        <w:pStyle w:val="ListBullet"/>
      </w:pPr>
      <w:r>
        <w:t>En association avec protoxyde d'azote (N2O 50-70 %) : réduction de la CAM de 25-50 %, concentration de sévoflurane 0,8-1,5 %.</w:t>
      </w:r>
    </w:p>
    <w:p>
      <w:pPr>
        <w:pStyle w:val="ListBullet"/>
      </w:pPr>
      <w:r>
        <w:t>En association avec un opioïde (fentanyl, sufentanil, rémifentanil) : réduction de la CAM de 50-60 %, concentration de sévoflurane 0,5-1 %.</w:t>
      </w:r>
    </w:p>
    <w:p>
      <w:r/>
      <w:r>
        <w:rPr>
          <w:b/>
        </w:rPr>
        <w:t>Réveil :</w:t>
      </w:r>
      <w:r/>
    </w:p>
    <w:p>
      <w:pPr>
        <w:pStyle w:val="ListBullet"/>
      </w:pPr>
      <w:r>
        <w:t>Arrêt du sévoflurane 5-10 min avant la fin de l'intervention.</w:t>
      </w:r>
    </w:p>
    <w:p>
      <w:pPr>
        <w:pStyle w:val="ListBullet"/>
      </w:pPr>
      <w:r>
        <w:t>Maintien de l'oxygénation à 100 % pendant la phase d'élimination.</w:t>
      </w:r>
    </w:p>
    <w:p>
      <w:pPr>
        <w:pStyle w:val="ListBullet"/>
      </w:pPr>
      <w:r>
        <w:t>Réveil en 5-10 min après arrêt.</w:t>
      </w:r>
    </w:p>
    <w:p>
      <w:r/>
      <w:r>
        <w:rPr>
          <w:b/>
        </w:rPr>
        <w:t>Mode d'administration pratique :</w:t>
      </w:r>
      <w:r/>
    </w:p>
    <w:p>
      <w:pPr>
        <w:pStyle w:val="ListBullet"/>
      </w:pPr>
      <w:r/>
      <w:r>
        <w:rPr>
          <w:b/>
        </w:rPr>
        <w:t>Évaporateur calibré</w:t>
      </w:r>
      <w:r>
        <w:t xml:space="preserve"> : le sévoflurane nécessite un évaporateur spécifique (évaporateur Sevorane), différent de l'évaporateur isoflurane ou halothane. La calibration est spécifique à chaque halogéné en raison de la tension de vapeur différente.</w:t>
      </w:r>
    </w:p>
    <w:p>
      <w:pPr>
        <w:pStyle w:val="ListBullet"/>
      </w:pPr>
      <w:r/>
      <w:r>
        <w:rPr>
          <w:b/>
        </w:rPr>
        <w:t>Circuit d'anesthésie</w:t>
      </w:r>
      <w:r>
        <w:t xml:space="preserve"> : circuit ouvert, demi-fermé ou fermé avec chaux sodée. Le circuit fermé économise l'agent mais impose une surveillance de la chaux.</w:t>
      </w:r>
    </w:p>
    <w:p>
      <w:pPr>
        <w:pStyle w:val="ListBullet"/>
      </w:pPr>
      <w:r/>
      <w:r>
        <w:rPr>
          <w:b/>
        </w:rPr>
        <w:t>Monitorage des gaz</w:t>
      </w:r>
      <w:r>
        <w:t xml:space="preserve"> : monitorage continu de la concentration inspirée et expirée de sévoflurane, O2, CO2, N2O. Capnométrie obligatoire depuis la SFAR 2018.</w:t>
      </w:r>
    </w:p>
    <w:p>
      <w:pPr>
        <w:pStyle w:val="ListBullet"/>
      </w:pPr>
      <w:r/>
      <w:r>
        <w:rPr>
          <w:b/>
        </w:rPr>
        <w:t>Surveillance hémodynamique</w:t>
      </w:r>
      <w:r>
        <w:t xml:space="preserve"> : PNI continue, ECG, SpO2.</w:t>
      </w:r>
    </w:p>
    <w:p>
      <w:pPr>
        <w:pStyle w:val="ListBullet"/>
      </w:pPr>
      <w:r/>
      <w:r>
        <w:rPr>
          <w:b/>
        </w:rPr>
        <w:t>Surveillance de la profondeur d'anesthésie</w:t>
      </w:r>
      <w:r>
        <w:t xml:space="preserve"> : BIS (Bispectral Index) recommandé en anesthésie longue, cible 40-60.</w:t>
      </w:r>
    </w:p>
    <w:p>
      <w:r/>
      <w:r>
        <w:rPr>
          <w:b/>
        </w:rPr>
        <w:t>Adaptations :</w:t>
      </w:r>
      <w:r/>
    </w:p>
    <w:p>
      <w:pPr>
        <w:pStyle w:val="ListBullet"/>
      </w:pPr>
      <w:r>
        <w:t>Sujet âgé : réduire la concentration cible de 20-30 %.</w:t>
      </w:r>
    </w:p>
    <w:p>
      <w:pPr>
        <w:pStyle w:val="ListBullet"/>
      </w:pPr>
      <w:r>
        <w:t>Enfant : augmenter la concentration cible de 20-50 %.</w:t>
      </w:r>
    </w:p>
    <w:p>
      <w:pPr>
        <w:pStyle w:val="ListBullet"/>
      </w:pPr>
      <w:r>
        <w:t>Insuffisance hépatique : pas d'adaptation nécessaire.</w:t>
      </w:r>
    </w:p>
    <w:p>
      <w:pPr>
        <w:pStyle w:val="ListBullet"/>
      </w:pPr>
      <w:r>
        <w:t>Insuffisance rénale : prudence en cas d'anesthésie prolongée &gt; 3 MAC-hours.</w:t>
      </w:r>
    </w:p>
    <w:p>
      <w:pPr>
        <w:pStyle w:val="ListBullet"/>
      </w:pPr>
      <w:r>
        <w:t>Hypovolémique : réduire la concentration cible de 30-50 % (hypotension marquée).</w:t>
      </w:r>
    </w:p>
    <w:p>
      <w:pPr>
        <w:pStyle w:val="Heading3"/>
      </w:pPr>
      <w:r>
        <w:t>181.6.1.10 Arbitrage et bénéfices des formes galéniques disponibles</w:t>
      </w:r>
    </w:p>
    <w:p>
      <w:r/>
      <w:r>
        <w:rPr>
          <w:b/>
        </w:rPr>
        <w:t>Forme liquide pur en flacon de 250 mL — Haluran, Sevoflurane USP, Sevorane, Sojourn :</w:t>
      </w:r>
      <w:r/>
    </w:p>
    <w:p>
      <w:pPr>
        <w:pStyle w:val="ListBullet"/>
      </w:pPr>
      <w:r/>
      <w:r>
        <w:rPr>
          <w:b/>
        </w:rPr>
        <w:t>Présentation :</w:t>
      </w:r>
      <w:r>
        <w:t xml:space="preserve"> flacons de 250 mL de liquide pour inhalation par vapeur, à 100 % de sévoflurane (pureté pharmacopée USP).</w:t>
      </w:r>
    </w:p>
    <w:p>
      <w:pPr>
        <w:pStyle w:val="ListBullet"/>
      </w:pPr>
      <w:r/>
      <w:r>
        <w:rPr>
          <w:b/>
        </w:rPr>
        <w:t>Avantages :</w:t>
      </w:r>
      <w:r>
        <w:t xml:space="preserve"> présentation standard internationale, formulation stable (3 ans à température ambiante ≤ 25 °C), volume suffisant pour plusieurs anesthésies (une anesthésie de 2 heures consomme 10-20 mL en circuit fermé, 30-50 mL en circuit ouvert).</w:t>
      </w:r>
    </w:p>
    <w:p>
      <w:pPr>
        <w:pStyle w:val="ListBullet"/>
      </w:pPr>
      <w:r/>
      <w:r>
        <w:rPr>
          <w:b/>
        </w:rPr>
        <w:t>Inconvénients :</w:t>
      </w:r>
      <w:r>
        <w:t xml:space="preserve"> prix unitaire élevé (le sévoflurane est l'un des médicaments les plus coûteux du bloc opératoire), nécessité d'un évaporateur calibré spécifique, pollution du bloc opératoire possible en cas de fuite.</w:t>
      </w:r>
    </w:p>
    <w:p>
      <w:pPr>
        <w:pStyle w:val="ListBullet"/>
      </w:pPr>
      <w:r/>
      <w:r>
        <w:rPr>
          <w:b/>
        </w:rPr>
        <w:t>Indications :</w:t>
      </w:r>
      <w:r>
        <w:t xml:space="preserve"> induction et entretien de l'anesthésie générale.</w:t>
      </w:r>
    </w:p>
    <w:p>
      <w:r/>
      <w:r>
        <w:rPr>
          <w:b/>
        </w:rPr>
        <w:t>Formes historiques (Sevoflurelle Chanelle Medical) — RETRAIT :</w:t>
      </w:r>
      <w:r/>
    </w:p>
    <w:p>
      <w:pPr>
        <w:pStyle w:val="ListBullet"/>
      </w:pPr>
      <w:r/>
      <w:r>
        <w:rPr>
          <w:b/>
        </w:rPr>
        <w:t>Présentation :</w:t>
      </w:r>
      <w:r>
        <w:t xml:space="preserve"> flacons de 250 mL.</w:t>
      </w:r>
    </w:p>
    <w:p>
      <w:pPr>
        <w:pStyle w:val="ListBullet"/>
      </w:pPr>
      <w:r/>
      <w:r>
        <w:rPr>
          <w:b/>
        </w:rPr>
        <w:t>Avantages :</w:t>
      </w:r>
      <w:r>
        <w:t xml:space="preserve"> identiques aux formes actives.</w:t>
      </w:r>
    </w:p>
    <w:p>
      <w:pPr>
        <w:pStyle w:val="ListBullet"/>
      </w:pPr>
      <w:r/>
      <w:r>
        <w:rPr>
          <w:b/>
        </w:rPr>
        <w:t>Inconvénients :</w:t>
      </w:r>
      <w:r>
        <w:t xml:space="preserve"> non disponibles.</w:t>
      </w:r>
    </w:p>
    <w:p>
      <w:r/>
      <w:r>
        <w:rPr>
          <w:b/>
        </w:rPr>
        <w:t>Comparaison avec l'isoflurane :</w:t>
      </w:r>
      <w:r/>
    </w:p>
    <w:p>
      <w:pPr>
        <w:pStyle w:val="ListBullet"/>
      </w:pPr>
      <w:r>
        <w:t>Le sévoflurane est non irritant pour les voies aériennes (induction par masque possible), l'isoflurane est irritant (induction par masque impossible).</w:t>
      </w:r>
    </w:p>
    <w:p>
      <w:pPr>
        <w:pStyle w:val="ListBullet"/>
      </w:pPr>
      <w:r>
        <w:t>Le sévoflurane a une cinétique plus rapide (induction 3-5 min, réveil 5-10 min) que l'isoflurane (induction 7-10 min, réveil 10-20 min).</w:t>
      </w:r>
    </w:p>
    <w:p>
      <w:pPr>
        <w:pStyle w:val="ListBullet"/>
      </w:pPr>
      <w:r>
        <w:t>Le sévoflurane est plus maniable en pédiatrie et en chirurgie ambulatoire.</w:t>
      </w:r>
    </w:p>
    <w:p>
      <w:pPr>
        <w:pStyle w:val="ListBullet"/>
      </w:pPr>
      <w:r>
        <w:t>L'isoflurane est plus économique (prix inférieur de 50-70 %) et reste l'agent de référence en pays à ressources limitées et en chirurgie longue programmée.</w:t>
      </w:r>
    </w:p>
    <w:p>
      <w:pPr>
        <w:pStyle w:val="ListBullet"/>
      </w:pPr>
      <w:r>
        <w:t>Le sévoflurane est moins vasodilatateur coronarien que l'isoflurane (pas de vol coronarien).</w:t>
      </w:r>
    </w:p>
    <w:p>
      <w:r/>
      <w:r>
        <w:rPr>
          <w:b/>
        </w:rPr>
        <w:t>Comparaison avec le desflurane (non disponible en Algérie) :</w:t>
      </w:r>
      <w:r/>
    </w:p>
    <w:p>
      <w:pPr>
        <w:pStyle w:val="ListBullet"/>
      </w:pPr>
      <w:r>
        <w:t>Le desflurane a une cinétique encore plus rapide (induction 2-3 min, réveil 2-5 min) mais est irritant pour les voies aériennes et induit une tachycardie et une hypertension réflexes à l'induction.</w:t>
      </w:r>
    </w:p>
    <w:p>
      <w:pPr>
        <w:pStyle w:val="ListBullet"/>
      </w:pPr>
      <w:r>
        <w:t>Le desflurane nécessite un évaporateur chauffé (point d'ébullition 23 °C, vapeur saturante très élevée).</w:t>
      </w:r>
    </w:p>
    <w:p>
      <w:pPr>
        <w:pStyle w:val="ListBullet"/>
      </w:pPr>
      <w:r>
        <w:t>Le desflurane est plus onéreux que le sévoflurane.</w:t>
      </w:r>
    </w:p>
    <w:p>
      <w:r/>
      <w:r>
        <w:rPr>
          <w:b/>
        </w:rPr>
        <w:t>Choix pratique en Algérie :</w:t>
      </w:r>
      <w:r/>
    </w:p>
    <w:p>
      <w:pPr>
        <w:pStyle w:val="ListBullet"/>
      </w:pPr>
      <w:r>
        <w:t>Pour l'induction par masque en pédiatrie : sévoflurane (Sevorane AbbVie, Haluran Tabuk, Sojourn Piramal, Sevoflurane USP Baxter).</w:t>
      </w:r>
    </w:p>
    <w:p>
      <w:pPr>
        <w:pStyle w:val="ListBullet"/>
      </w:pPr>
      <w:r>
        <w:t>Pour l'entretien de l'anesthésie en chirurgie courte ambulatoire : sévoflurane.</w:t>
      </w:r>
    </w:p>
    <w:p>
      <w:pPr>
        <w:pStyle w:val="ListBullet"/>
      </w:pPr>
      <w:r>
        <w:t>Pour l'entretien de l'anesthésie en chirurgie longue programmée : isoflurane (plus économique).</w:t>
      </w:r>
    </w:p>
    <w:p>
      <w:pPr>
        <w:pStyle w:val="ListBullet"/>
      </w:pPr>
      <w:r>
        <w:t>Pour la chirurgie cardiaque : sévoflurane (à débit faible en circuit fermé).</w:t>
      </w:r>
    </w:p>
    <w:p>
      <w:pPr>
        <w:pStyle w:val="ListBullet"/>
      </w:pPr>
      <w:r>
        <w:t>Pour la césarienne : sévoflurane à faible concentration (&lt; 1 CAM).</w:t>
      </w:r>
    </w:p>
    <w:p>
      <w:pPr>
        <w:pStyle w:val="Heading3"/>
      </w:pPr>
      <w:r>
        <w:t>181.6.1.11 Conseils au patient et information préopératoire</w:t>
      </w:r>
    </w:p>
    <w:p>
      <w:r/>
      <w:r>
        <w:rPr>
          <w:b/>
        </w:rPr>
        <w:t>Avant l'anesthésie :</w:t>
      </w:r>
      <w:r/>
    </w:p>
    <w:p>
      <w:pPr>
        <w:pStyle w:val="ListBullet"/>
      </w:pPr>
      <w:r/>
      <w:r>
        <w:rPr>
          <w:b/>
        </w:rPr>
        <w:t>Jeûne pré-opératoire strict</w:t>
      </w:r>
      <w:r>
        <w:t xml:space="preserve"> : 6 heures pour les solides et le lait, 2 heures pour les liquides clairs.</w:t>
      </w:r>
    </w:p>
    <w:p>
      <w:pPr>
        <w:pStyle w:val="ListBullet"/>
      </w:pPr>
      <w:r/>
      <w:r>
        <w:rPr>
          <w:b/>
        </w:rPr>
        <w:t>Bilan pré-anesthésique</w:t>
      </w:r>
      <w:r>
        <w:t xml:space="preserve"> : consultation anesthésique obligatoire ; ECG, NFS, groupe sanguin, ionogramme, créatininémie, fonction hépatique ; interrogatoire soigneux des antécédents familiaux d'hyperthermie maligne, de dystrophie musculaire (Duchenne, Becker), de complications anesthésiques.</w:t>
      </w:r>
    </w:p>
    <w:p>
      <w:pPr>
        <w:pStyle w:val="ListBullet"/>
      </w:pPr>
      <w:r/>
      <w:r>
        <w:rPr>
          <w:b/>
        </w:rPr>
        <w:t>Antécédents à signaler</w:t>
      </w:r>
      <w:r>
        <w:t xml:space="preserve"> : hyperthermie maligne personnelle ou familiale (CI absolue), dystrophie musculaire Duchenne ou Becker (CI relative absolue chez l'enfant), hépatite post-anesthésique, allergie aux halogénés, asthme, insuffisance hépatique ou rénale, grossesse.</w:t>
      </w:r>
    </w:p>
    <w:p>
      <w:pPr>
        <w:pStyle w:val="ListBullet"/>
      </w:pPr>
      <w:r/>
      <w:r>
        <w:rPr>
          <w:b/>
        </w:rPr>
        <w:t>Information sur le déroulement</w:t>
      </w:r>
      <w:r>
        <w:t xml:space="preserve"> : induction par masque chez l'enfant (douce odeur, endormissement en 3-5 min, possible agitation passagère), ou induction IV chez l'adulte, réveil en 5-10 min après la fin de l'intervention.</w:t>
      </w:r>
    </w:p>
    <w:p>
      <w:pPr>
        <w:pStyle w:val="ListBullet"/>
      </w:pPr>
      <w:r/>
      <w:r>
        <w:rPr>
          <w:b/>
        </w:rPr>
        <w:t>Information sur le risque de NVPO</w:t>
      </w:r>
      <w:r>
        <w:t xml:space="preserve"> : 25-40 % d'incidence, prévention systématique par antiémétiques.</w:t>
      </w:r>
    </w:p>
    <w:p>
      <w:r/>
      <w:r>
        <w:rPr>
          <w:b/>
        </w:rPr>
        <w:t>Au réveil post-opératoire :</w:t>
      </w:r>
      <w:r/>
    </w:p>
    <w:p>
      <w:pPr>
        <w:pStyle w:val="ListBullet"/>
      </w:pPr>
      <w:r>
        <w:t>Surveillance continue en SSPI (2-4 heures) : SpO2, PNI, ECG, Fr respiratoire, conscience (score d'Aldrete).</w:t>
      </w:r>
    </w:p>
    <w:p>
      <w:pPr>
        <w:pStyle w:val="ListBullet"/>
      </w:pPr>
      <w:r>
        <w:t>Surveillance de la température corporelle (hyperthermie maligne possible jusqu'à 24 h post-opératoire).</w:t>
      </w:r>
    </w:p>
    <w:p>
      <w:pPr>
        <w:pStyle w:val="ListBullet"/>
      </w:pPr>
      <w:r>
        <w:t>Surveillance de la douleur : paracétamol 1 g IV, AINS si non contre-indiqué, morphine titration si EVA &gt; 4.</w:t>
      </w:r>
    </w:p>
    <w:p>
      <w:pPr>
        <w:pStyle w:val="ListBullet"/>
      </w:pPr>
      <w:r>
        <w:t>Prévention des NVPO : ondansétron 4 mg IV + dexaméthasone 4-8 mg IV + dropéridol 0,625 mg IV.</w:t>
      </w:r>
    </w:p>
    <w:p>
      <w:pPr>
        <w:pStyle w:val="ListBullet"/>
      </w:pPr>
      <w:r>
        <w:t>Surveillance de l'agitation au réveil (enfant) : environnement calme, présence parentale, midazolam 0,05 mg/kg IV si nécessaire.</w:t>
      </w:r>
    </w:p>
    <w:p>
      <w:pPr>
        <w:pStyle w:val="ListBullet"/>
      </w:pPr>
      <w:r>
        <w:t>Interdiction de conduire pendant 24 heures.</w:t>
      </w:r>
    </w:p>
    <w:p>
      <w:r/>
      <w:r>
        <w:rPr>
          <w:b/>
        </w:rPr>
        <w:t>En cas d'hyperthermie maligne déclenchée :</w:t>
      </w:r>
      <w:r/>
    </w:p>
    <w:p>
      <w:pPr>
        <w:pStyle w:val="ListBullet"/>
      </w:pPr>
      <w:r>
        <w:t>Arrêt immédiat du sévoflurane, hyperventilation à 100 % d'O2 avec circuit neuf sans halogéné.</w:t>
      </w:r>
    </w:p>
    <w:p>
      <w:pPr>
        <w:pStyle w:val="ListBullet"/>
      </w:pPr>
      <w:r>
        <w:t>Dantrolène IV 2,5 mg/kg en bolus, à répéter toutes les 5-10 min jusqu'à 10 mg/kg maximum.</w:t>
      </w:r>
    </w:p>
    <w:p>
      <w:pPr>
        <w:pStyle w:val="ListBullet"/>
      </w:pPr>
      <w:r>
        <w:t>Refroidissement actif : couverture refroidissante, perfusion de sérum physiologique réfrigéré, lavage gastrique ou péritonéal froid.</w:t>
      </w:r>
    </w:p>
    <w:p>
      <w:pPr>
        <w:pStyle w:val="ListBullet"/>
      </w:pPr>
      <w:r>
        <w:t>Bicarbonate de sodium IV 1-2 mEq/kg pour acidose métabolique.</w:t>
      </w:r>
    </w:p>
    <w:p>
      <w:pPr>
        <w:pStyle w:val="ListBullet"/>
      </w:pPr>
      <w:r>
        <w:t>Surveillance en réanimation continue 48 h.</w:t>
      </w:r>
    </w:p>
    <w:p>
      <w:pPr>
        <w:pStyle w:val="Heading3"/>
      </w:pPr>
      <w:r>
        <w:t>181.6.1.12 Pièges au comptoir — Règles d'or</w:t>
      </w:r>
    </w:p>
    <w:p>
      <w:pPr>
        <w:pStyle w:val="ListNumber"/>
      </w:pPr>
      <w:r/>
      <w:r>
        <w:rPr>
          <w:b/>
        </w:rPr>
        <w:t>Règle d'or n°1 : hyperthermie maligne = danger vital.</w:t>
      </w:r>
      <w:r>
        <w:t xml:space="preserve"> Le sévoflurane est un déclencheur majeur de l'hyperthermie maligne. Interrogatoire systématique des antécédents personnels et familiaux. En cas d'antécédent, contre-indication absolue, préférer l'anesthésie totale intraveineuse (TIVA propofol-rémifentanil). Disponibilité du dantrolène (Dantrium) dans le bloc opératoire (36 flacons de 20 mg = 720 mg, soit &gt; 10 mg/kg pour un adulte de 70 kg).</w:t>
      </w:r>
    </w:p>
    <w:p>
      <w:pPr>
        <w:pStyle w:val="ListNumber"/>
      </w:pPr>
      <w:r/>
      <w:r>
        <w:rPr>
          <w:b/>
        </w:rPr>
        <w:t>Règle d'or n°2 : enfant &lt; 3 ans = neurotoxicité potentielle.</w:t>
      </w:r>
      <w:r>
        <w:t xml:space="preserve"> FDA warning 2017, réitéré 2021. Différer les actes chirurgicaux programmés non urgents. Privilégier les anesthésies courtes (&lt; 1 heure) et uniques. Informer les parents du risque théorique.</w:t>
      </w:r>
    </w:p>
    <w:p>
      <w:pPr>
        <w:pStyle w:val="ListNumber"/>
      </w:pPr>
      <w:r/>
      <w:r>
        <w:rPr>
          <w:b/>
        </w:rPr>
        <w:t>Règle d'or n°3 : dystrophie musculaire de Duchenne = hyperkaliémie maligne à l'induction.</w:t>
      </w:r>
      <w:r>
        <w:t xml:space="preserve"> Risque d'arrêt cardiaque hyperkaliémique réfractaire. Dépistage systématique des garçons avec retard moteur, pseudo-hypertrophie des mollets, élévation des CPK.</w:t>
      </w:r>
    </w:p>
    <w:p>
      <w:pPr>
        <w:pStyle w:val="ListNumber"/>
      </w:pPr>
      <w:r/>
      <w:r>
        <w:rPr>
          <w:b/>
        </w:rPr>
        <w:t>Règle d'or n°4 : débit de gaz frais ≥ 2 L/min en circuit fermé.</w:t>
      </w:r>
      <w:r>
        <w:t xml:space="preserve"> Évite la formation du composé A néphrotoxique. Surveillance de la chaux (chaleur = déshydratation). Changement régulier de la chaux.</w:t>
      </w:r>
    </w:p>
    <w:p>
      <w:pPr>
        <w:pStyle w:val="ListNumber"/>
      </w:pPr>
      <w:r/>
      <w:r>
        <w:rPr>
          <w:b/>
        </w:rPr>
        <w:t>Règle d'or n°5 : agitation au réveil chez l'enfant.</w:t>
      </w:r>
      <w:r>
        <w:t xml:space="preserve"> 20-50 % des cas. Prévention : clonidine 1 µg/kg IV, dexmédétomidine 0,5 µg/kg IV en fin d'intervention, environnement calme, présence parentale.</w:t>
      </w:r>
    </w:p>
    <w:p>
      <w:pPr>
        <w:pStyle w:val="ListNumber"/>
      </w:pPr>
      <w:r/>
      <w:r>
        <w:rPr>
          <w:b/>
        </w:rPr>
        <w:t>Règle d'or n°6 : NVPO systématiques.</w:t>
      </w:r>
      <w:r>
        <w:t xml:space="preserve"> 25-40 % d'incidence. Prophylaxie systématique par ondansétron 4 mg IV + dexaméthasone 4-8 mg IV + dropéridol 0,625 mg IV.</w:t>
      </w:r>
    </w:p>
    <w:p>
      <w:pPr>
        <w:pStyle w:val="ListNumber"/>
      </w:pPr>
      <w:r/>
      <w:r>
        <w:rPr>
          <w:b/>
        </w:rPr>
        <w:t>Règle d'or n°7 : ne pas mélanger les évaporateurs.</w:t>
      </w:r>
      <w:r>
        <w:t xml:space="preserve"> Le sévoflurane nécessite un évaporateur calibré spécifique (évaporateur Sevorane), différent de l'évaporateur isoflurane ou halothane. La calibration est spécifique à chaque halogéné en raison de la tension de vapeur différente.</w:t>
      </w:r>
    </w:p>
    <w:p>
      <w:pPr>
        <w:pStyle w:val="ListNumber"/>
      </w:pPr>
      <w:r/>
      <w:r>
        <w:rPr>
          <w:b/>
        </w:rPr>
        <w:t>Règle d'or n°8 : surveillance continue de la concentration inspirée et expirée.</w:t>
      </w:r>
      <w:r>
        <w:t xml:space="preserve"> Monitorage des gaz obligatoire. Capnométrie obligatoire depuis la SFAR 2018.</w:t>
      </w:r>
    </w:p>
    <w:p>
      <w:pPr>
        <w:pStyle w:val="ListNumber"/>
      </w:pPr>
      <w:r/>
      <w:r>
        <w:rPr>
          <w:b/>
        </w:rPr>
        <w:t>Règle d'or n°9 : surveillance de la profondeur d'anesthésie.</w:t>
      </w:r>
      <w:r>
        <w:t xml:space="preserve"> BIS (Bispectral Index) recommandé en anesthésie longue, cible 40-60. Une anesthésie trop légère expose au risque de mémorisation peropératoire.</w:t>
      </w:r>
    </w:p>
    <w:p>
      <w:pPr>
        <w:pStyle w:val="ListNumber"/>
      </w:pPr>
      <w:r/>
      <w:r>
        <w:rPr>
          <w:b/>
        </w:rPr>
        <w:t>Règle d'or n°10 : pollueur du bloc opératoire.</w:t>
      </w:r>
      <w:r>
        <w:t xml:space="preserve"> Le sévoflurane est liquide à température ambiante, mais s'évapore dans le circuit. Le scavenger du circuit doit être fonctionnel. Concentration maximale de 2 ppm dans l'air du bloc opératoire pour les halogénés selon la réglementation française.</w:t>
      </w:r>
    </w:p>
    <w:p>
      <w:pPr>
        <w:pStyle w:val="ListNumber"/>
      </w:pPr>
      <w:r/>
      <w:r>
        <w:rPr>
          <w:b/>
        </w:rPr>
        <w:t>Règle d'or n°11 : grossesse = usage prudent.</w:t>
      </w:r>
      <w:r>
        <w:t xml:space="preserve"> Compatible en cas d'urgence. Préférer l'anesthésie loco-régionale quand possible au 1er trimestre. En césarienne, concentration &lt; 1 CAM pour éviter l'atonie utérine.</w:t>
      </w:r>
    </w:p>
    <w:p>
      <w:pPr>
        <w:pStyle w:val="ListNumber"/>
      </w:pPr>
      <w:r/>
      <w:r>
        <w:rPr>
          <w:b/>
        </w:rPr>
        <w:t>Règle d'or n°12 : allaitement = compatibilité après 4 heures.</w:t>
      </w:r>
      <w:r>
        <w:t xml:space="preserve"> Le sévoflurane passe peu dans le lait maternel. Reprise de l'allaitement après 4 heures, en s'assurant de l'absence de sédation maternelle.</w:t>
      </w:r>
    </w:p>
    <w:p>
      <w:pPr>
        <w:pStyle w:val="ListNumber"/>
      </w:pPr>
      <w:r/>
      <w:r>
        <w:rPr>
          <w:b/>
        </w:rPr>
        <w:t>Règle d'or n°13 : interactions avec les opioïdes et les curares.</w:t>
      </w:r>
      <w:r>
        <w:t xml:space="preserve"> Potentialisation majeure, réduction des doses de 50-60 %. Le sévoflurane potentialise les curares non dépolarisants de 30-50 %.</w:t>
      </w:r>
    </w:p>
    <w:p>
      <w:pPr>
        <w:pStyle w:val="ListNumber"/>
      </w:pPr>
      <w:r/>
      <w:r>
        <w:rPr>
          <w:b/>
        </w:rPr>
        <w:t>Règle d'or n°14 : conservation à température ambiante (≤ 25 °C).</w:t>
      </w:r>
      <w:r>
        <w:t xml:space="preserve"> Le sévoflurane se conserve 3 ans à température ambiante, à l'abri de la lumière. Ne pas congeler.</w:t>
      </w:r>
    </w:p>
    <w:p>
      <w:pPr>
        <w:pStyle w:val="ListNumber"/>
      </w:pPr>
      <w:r/>
      <w:r>
        <w:rPr>
          <w:b/>
        </w:rPr>
        <w:t>Règle d'or n°15 : traçabilité absolue (Liste I).</w:t>
      </w:r>
      <w:r>
        <w:t xml:space="preserve"> Le sévoflurane est inscrit sur la Liste I. Conservation en armoire sécurisée, traçabilité des flacons, comptage mensuel. Usage exclusivement hospitalier, prescription hospitalière stricte.</w:t>
      </w:r>
    </w:p>
    <w:p>
      <w:pPr>
        <w:pStyle w:val="Heading2"/>
      </w:pPr>
      <w:r>
        <w:t>181.6.2 — ISOFLURANE</w:t>
      </w:r>
    </w:p>
    <w:p>
      <w:pPr>
        <w:pStyle w:val="Heading3"/>
      </w:pPr>
      <w:r>
        <w:t>181.6.2.1 Catégories pharmaco-thérapeutiques et indications</w:t>
      </w:r>
    </w:p>
    <w:p>
      <w:r/>
      <w:r>
        <w:rPr>
          <w:b/>
        </w:rPr>
        <w:t>DCI :</w:t>
      </w:r>
      <w:r>
        <w:t xml:space="preserve"> Isoflurane (1-chloro-2,2,2-trifluoroéthyl difluorométhyl éther).</w:t>
      </w:r>
    </w:p>
    <w:p>
      <w:r/>
      <w:r>
        <w:rPr>
          <w:b/>
        </w:rPr>
        <w:t>Code ATC :</w:t>
      </w:r>
      <w:r>
        <w:t xml:space="preserve"> N01AB06 (anesthésiques généraux, dérivés halogénés).</w:t>
      </w:r>
    </w:p>
    <w:p>
      <w:r/>
      <w:r>
        <w:rPr>
          <w:b/>
        </w:rPr>
        <w:t>Classe chimique :</w:t>
      </w:r>
      <w:r>
        <w:t xml:space="preserve"> éther alkylé halogéné, dérivé méthyl-éthyl fluoré et chloré ; la présence d'un atome de chlore le distingue du sévoflurane (uniquement fluoré) et explique son odeur âcre et son caractère irritant pour les voies aériennes.</w:t>
      </w:r>
    </w:p>
    <w:p>
      <w:r/>
      <w:r>
        <w:rPr>
          <w:b/>
        </w:rPr>
        <w:t>Sous-classes pharmacologiques :</w:t>
      </w:r>
      <w:r>
        <w:t xml:space="preserve"> anesthésique volatil halogéné d'entretien de l'anesthésie générale ; agent de référence en neuro-anesthésie en raison de la réduction de la consommation cérébrale d'oxygène et de la préservation de l'autorégulation cérébrale ; agent de référence pour la maintenance économique de l'anesthésie longue durée.</w:t>
      </w:r>
    </w:p>
    <w:p>
      <w:r/>
      <w:r>
        <w:rPr>
          <w:b/>
        </w:rPr>
        <w:t>Indications portées sur l'AMM (RCP VIDAL/EMA) :</w:t>
      </w:r>
      <w:r/>
    </w:p>
    <w:p>
      <w:pPr>
        <w:pStyle w:val="ListBullet"/>
      </w:pPr>
      <w:r>
        <w:t>Entretien de l'anesthésie générale par inhalation (induction par IV le plus souvent, en raison du caractère irritant de l'isoflurane pour les voies aériennes).</w:t>
      </w:r>
    </w:p>
    <w:p>
      <w:pPr>
        <w:pStyle w:val="ListBullet"/>
      </w:pPr>
      <w:r>
        <w:t>Anesthésie balancée en association avec un opioïde et un curare.</w:t>
      </w:r>
    </w:p>
    <w:p>
      <w:pPr>
        <w:pStyle w:val="ListBullet"/>
      </w:pPr>
      <w:r>
        <w:t>Anesthésie en chirurgie cardiaque (à débit faible, en circuit fermé avec monitorage).</w:t>
      </w:r>
    </w:p>
    <w:p>
      <w:pPr>
        <w:pStyle w:val="ListBullet"/>
      </w:pPr>
      <w:r>
        <w:t>Anesthésie en neurochirurgie (réduction de la CMRO2, préservation de l'autorégulation cérébrale en hyperventilation).</w:t>
      </w:r>
    </w:p>
    <w:p>
      <w:pPr>
        <w:pStyle w:val="ListBullet"/>
      </w:pPr>
      <w:r>
        <w:t>Anesthésie en chirurgie longue programmée (chirurgie digestive, urologique, orthopédique, gynécologique, ORL, ophtalmologique).</w:t>
      </w:r>
    </w:p>
    <w:p>
      <w:pPr>
        <w:pStyle w:val="ListBullet"/>
      </w:pPr>
      <w:r>
        <w:t>Anesthésie pour césarienne (à débit faible, en association avec oxygène et protoxyde d'azote).</w:t>
      </w:r>
    </w:p>
    <w:p>
      <w:pPr>
        <w:pStyle w:val="ListBullet"/>
      </w:pPr>
      <w:r>
        <w:t>Anesthésie vétérinaire (usage fréquent en médecine vétérinaire).</w:t>
      </w:r>
    </w:p>
    <w:p>
      <w:r/>
      <w:r>
        <w:rPr>
          <w:b/>
        </w:rPr>
        <w:t>Indications non couvertes par l'AMM :</w:t>
      </w:r>
      <w:r/>
    </w:p>
    <w:p>
      <w:pPr>
        <w:pStyle w:val="ListBullet"/>
      </w:pPr>
      <w:r>
        <w:t>Induction par masque (contre-indiquée en raison du caractère irritant).</w:t>
      </w:r>
    </w:p>
    <w:p>
      <w:pPr>
        <w:pStyle w:val="ListBullet"/>
      </w:pPr>
      <w:r>
        <w:t>Sédation procédurale par inhalation (à éviter).</w:t>
      </w:r>
    </w:p>
    <w:p>
      <w:pPr>
        <w:pStyle w:val="Heading3"/>
      </w:pPr>
      <w:r>
        <w:t>181.6.2.2 Médicaments disponibles en Algérie</w:t>
      </w:r>
    </w:p>
    <w:p>
      <w:r>
        <w:t>L'isoflurane est inscrit sur la Liste I des substances vénéneuses en Algérie. Sa prescription est strictement hospitalière, réservée aux structures équipées d'évaporateurs calibrés spécifiques et de circuits d'anesthésie avec monitorage des gaz. Le tableau suivant recense l'ensemble des spécialités ayant fait l'objet d'une autorisation de mise sur le marché.</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AERRANE</w:t>
            </w:r>
          </w:p>
        </w:tc>
        <w:tc>
          <w:tcPr>
            <w:tcW w:type="dxa" w:w="1559"/>
          </w:tcPr>
          <w:p>
            <w:r>
              <w:rPr>
                <w:sz w:val="20"/>
              </w:rPr>
              <w:t>BAXTER HEALTHCARE CORPORATION</w:t>
            </w:r>
          </w:p>
        </w:tc>
        <w:tc>
          <w:tcPr>
            <w:tcW w:type="dxa" w:w="1559"/>
          </w:tcPr>
          <w:p>
            <w:r>
              <w:rPr>
                <w:sz w:val="20"/>
              </w:rPr>
              <w:t>Liquide pour inhalation par vapeur, 100 mL/100 mL et 250 mL/250 mL (pur)</w:t>
            </w:r>
          </w:p>
        </w:tc>
        <w:tc>
          <w:tcPr>
            <w:tcW w:type="dxa" w:w="1559"/>
          </w:tcPr>
          <w:p>
            <w:r>
              <w:rPr>
                <w:sz w:val="20"/>
              </w:rPr>
              <w:t>Carton de 6 flacons de 100 mL et carton de 6 flacons de 250 mL</w:t>
            </w:r>
          </w:p>
        </w:tc>
        <w:tc>
          <w:tcPr>
            <w:tcW w:type="dxa" w:w="1559"/>
          </w:tcPr>
          <w:p>
            <w:r>
              <w:rPr>
                <w:sz w:val="20"/>
              </w:rPr>
              <w:t>Liste I</w:t>
            </w:r>
          </w:p>
        </w:tc>
        <w:tc>
          <w:tcPr>
            <w:tcW w:type="dxa" w:w="1559"/>
          </w:tcPr>
          <w:p>
            <w:r>
              <w:rPr>
                <w:sz w:val="20"/>
              </w:rPr>
              <w:t>ACTIF</w:t>
            </w:r>
          </w:p>
        </w:tc>
      </w:tr>
      <w:tr>
        <w:tc>
          <w:tcPr>
            <w:tcW w:type="dxa" w:w="1559"/>
          </w:tcPr>
          <w:p>
            <w:r>
              <w:rPr>
                <w:sz w:val="20"/>
              </w:rPr>
              <w:t>FORENE</w:t>
            </w:r>
          </w:p>
        </w:tc>
        <w:tc>
          <w:tcPr>
            <w:tcW w:type="dxa" w:w="1559"/>
          </w:tcPr>
          <w:p>
            <w:r>
              <w:rPr>
                <w:sz w:val="20"/>
              </w:rPr>
              <w:t>ABBVIE</w:t>
            </w:r>
          </w:p>
        </w:tc>
        <w:tc>
          <w:tcPr>
            <w:tcW w:type="dxa" w:w="1559"/>
          </w:tcPr>
          <w:p>
            <w:r>
              <w:rPr>
                <w:sz w:val="20"/>
              </w:rPr>
              <w:t>Liquide pour inhalation par vapeur, 100 mL/100 mL (pur)</w:t>
            </w:r>
          </w:p>
        </w:tc>
        <w:tc>
          <w:tcPr>
            <w:tcW w:type="dxa" w:w="1559"/>
          </w:tcPr>
          <w:p>
            <w:r>
              <w:rPr>
                <w:sz w:val="20"/>
              </w:rPr>
              <w:t>Boîte de 1 flacon de 100 mL</w:t>
            </w:r>
          </w:p>
        </w:tc>
        <w:tc>
          <w:tcPr>
            <w:tcW w:type="dxa" w:w="1559"/>
          </w:tcPr>
          <w:p>
            <w:r>
              <w:rPr>
                <w:sz w:val="20"/>
              </w:rPr>
              <w:t>Liste I</w:t>
            </w:r>
          </w:p>
        </w:tc>
        <w:tc>
          <w:tcPr>
            <w:tcW w:type="dxa" w:w="1559"/>
          </w:tcPr>
          <w:p>
            <w:r>
              <w:rPr>
                <w:sz w:val="20"/>
              </w:rPr>
              <w:t>ACTIF</w:t>
            </w:r>
          </w:p>
        </w:tc>
      </w:tr>
    </w:tbl>
    <w:p/>
    <w:p>
      <w:r/>
      <w:r>
        <w:rPr>
          <w:b/>
        </w:rPr>
        <w:t>Commentaire :</w:t>
      </w:r>
      <w:r>
        <w:t xml:space="preserve"> Le marché algérien de l'isoflurane repose sur deux spécialités actives : Aerrane (Baxter Healthcare, États-Unis) en flacons de 100 mL et 250 mL (conditionnements par 6 flacons), et Forene (AbbVie, États-Unis, ex-Abbott) en flacons de 100 mL (conditionnement unitaire). Le princeps historique Forene (Abbott) reste le leader historique, tandis que la spécialité Aerrane (Baxter) propose une gamme plus large de conditionnements (100 mL et 250 mL). L'isoflurane reste l'halogéné de référence pour la maintenance économique de l'anesthésie longue, en raison de son prix inférieur de 50-70 % à celui du sévoflurane. Cependant, le caractère irritant de la molécule pour les voies aériennes contre-indique l'induction par masque et limite son usage à l'entretien, après induction IV par propofol ou thiopental. Le flacon de 250 mL (Baxter) permet une utilisation prolongée en chirurgie lourde, tandis que le flacon de 100 mL est suffisant pour les anesthésies courtes et moyennes. Tous les conditionnements sont classés sur la Liste I et nécessitent une évaporateur calibré spécifique (évaporateur isoflurane), distinct de l'évaporateur sévoflurane et halothane. La traçabilité des flacons est obligatoire, avec comptage mensuel et stockage en armoire sécurisée.</w:t>
      </w:r>
    </w:p>
    <w:p>
      <w:pPr>
        <w:pStyle w:val="Heading3"/>
      </w:pPr>
      <w:r>
        <w:t>181.6.2.3 Mécanisme d'action moléculaire, cellulaire et physiologique</w:t>
      </w:r>
    </w:p>
    <w:p>
      <w:r>
        <w:t>L'isoflurane, comme l'ensemble des anesthésiques volatils halogénés, exerce son effet anesthésique par la modulation de multiples cibles moléculaires, identiques à celles du sévoflurane :</w:t>
      </w:r>
    </w:p>
    <w:p>
      <w:pPr>
        <w:pStyle w:val="ListBullet"/>
      </w:pPr>
      <w:r>
        <w:t>Activation des canaux potassiques à deux pores (K2P : TREK-1, TASK-3).</w:t>
      </w:r>
    </w:p>
    <w:p>
      <w:pPr>
        <w:pStyle w:val="ListBullet"/>
      </w:pPr>
      <w:r>
        <w:t>Inhibition des canaux sodiques voltage-dépendants (Nav 1.2, Nav 1.6).</w:t>
      </w:r>
    </w:p>
    <w:p>
      <w:pPr>
        <w:pStyle w:val="ListBullet"/>
      </w:pPr>
      <w:r>
        <w:t>Inhibition des canaux calciques voltage-dépendants N et P/Q.</w:t>
      </w:r>
    </w:p>
    <w:p>
      <w:pPr>
        <w:pStyle w:val="ListBullet"/>
      </w:pPr>
      <w:r>
        <w:t>Potentialisation allostérique positive du récepteur GABA-A.</w:t>
      </w:r>
    </w:p>
    <w:p>
      <w:pPr>
        <w:pStyle w:val="ListBullet"/>
      </w:pPr>
      <w:r>
        <w:t>Inhibition du récepteur NMDA à forte dose.</w:t>
      </w:r>
    </w:p>
    <w:p>
      <w:pPr>
        <w:pStyle w:val="ListBullet"/>
      </w:pPr>
      <w:r>
        <w:t>Activation du récepteur glycinergique inhibiteur spinal.</w:t>
      </w:r>
    </w:p>
    <w:p>
      <w:r/>
      <w:r>
        <w:rPr>
          <w:b/>
        </w:rPr>
        <w:t>Cinétique et puissance :</w:t>
      </w:r>
      <w:r>
        <w:t xml:space="preserve"> le coefficient λ sang/gaz de l'isoflurane est modéré (1,4), supérieur à celui du sévoflurane (0,65), expliquant une induction et un réveil plus lents (induction 7-10 min, réveil 10-20 min). La CAM de l'isoflurane est de 1,15 % chez l'adulte sain, plus basse que celle du sévoflurane (1,8 %), traduisant une puissance anesthésique supérieure. La CAM est réduite avec l'âge (0,9 % à 40 ans, 0,7 % à 80 ans), par l'adjonction d'opioïdes (réduction de 50 %), par l'hypothermie, par la grossesse.</w:t>
      </w:r>
    </w:p>
    <w:p>
      <w:r/>
      <w:r>
        <w:rPr>
          <w:b/>
        </w:rPr>
        <w:t>Physiologie intégrée :</w:t>
      </w:r>
      <w:r>
        <w:t xml:space="preserve"> à concentration croissante (0,5 à 2 CAM), l'isoflurane induit une perte de conscience (à partir de 0,4-0,5 CAM), une amnésie antérograde (0,3-0,5 CAM), une analgésie (à partir de 0,8 CAM), une perte des réflexes protecteurs (1,2-1,5 CAM), une immobilité chirurgicale (1,5-2 CAM), et une dépression respiratoire et cardiovasculaire dose-dépendante. L'isoflurane est irritant pour les voies aériennes (à la différence du sévoflurane), contre-indiquant l'induction par masque et imposant une induction IV préalable. L'odeur est âcre, piquante.</w:t>
      </w:r>
    </w:p>
    <w:p>
      <w:r/>
      <w:r>
        <w:rPr>
          <w:b/>
        </w:rPr>
        <w:t>Effets cardiovasculaires :</w:t>
      </w:r>
      <w:r>
        <w:t xml:space="preserve"> l'isoflurane est un dépresseur myocardique direct (inhibition du canal calcique L-type cardiaque), qui réduit la contractilité. À l'entretien (CAM 1-1,5), on observe une baisse de la PAM de 15-25 %, avec une vasodilatation périphérique marquée (peau rosée, chaleur des extrémités), une tachycardie réflexe modérée. Le débit cardiaque est relativement préservé. L'isoflurane est un vasodilatateur coronarien puissant, ce qui peut induire un « vol coronarien » (redistribution du débit sanguin coronarien des zones ischémiques vers les zones saines), particulièrement délétère en cas de sténose du tronc commun ou de maladie tritronculaire. Cette particularité contre-indique l'usage de l'isoflurane à concentration élevée chez le coronarien à haut risque.</w:t>
      </w:r>
    </w:p>
    <w:p>
      <w:r/>
      <w:r>
        <w:rPr>
          <w:b/>
        </w:rPr>
        <w:t>Effets respiratoires :</w:t>
      </w:r>
      <w:r>
        <w:t xml:space="preserve"> bronchodilatateur, dépression respiratoire dose-dépendante, irritant pour les voies aériennes (toux, laryngospasme possible à l'induction par masque).</w:t>
      </w:r>
    </w:p>
    <w:p>
      <w:r/>
      <w:r>
        <w:rPr>
          <w:b/>
        </w:rPr>
        <w:t>Effets neurophysiologiques :</w:t>
      </w:r>
      <w:r>
        <w:t xml:space="preserve"> l'isoflurane réduit la consommation cérébrale d'oxygène (CMRO2) de 30-50 %, mais augmente le débit sanguin cérébral (DSC) par vasodilatation cérébrale. L'autorégulation cérébrale est partiellement préservée (à la différence de l'halothane qui la supprime). En hyperventilation (capnie &lt; 30 mmHg), la vasoconstriction cérébrale prédomine et la PIC est contrôlée. Cette propriété en fait un agent de choix en neurochirurgie, à condition de respecter l'hyperventilation.</w:t>
      </w:r>
    </w:p>
    <w:p>
      <w:pPr>
        <w:pStyle w:val="Heading3"/>
      </w:pPr>
      <w:r>
        <w:t>181.6.2.4 Pharmacocinétique (Profil PK)</w:t>
      </w:r>
    </w:p>
    <w:p>
      <w:r/>
      <w:r>
        <w:rPr>
          <w:b/>
        </w:rPr>
        <w:t>Absorption :</w:t>
      </w:r>
      <w:r>
        <w:t xml:space="preserve"> l'isoflurane est administré par voie inhalée, à l'aide d'un évaporateur calibré spécifique (évaporateur Forene ou Aerrane). La concentration délivrée est exprimée en pourcentage du volume de gaz inhalé (typiquement 0,5 à 3 % pour l'entretien).</w:t>
      </w:r>
    </w:p>
    <w:p>
      <w:r/>
      <w:r>
        <w:rPr>
          <w:b/>
        </w:rPr>
        <w:t>Distribution :</w:t>
      </w:r>
      <w:r>
        <w:t xml:space="preserve"> distribution bi-compartimentale entre le compartiment sanguin et les tissus. Le coefficient λ sang/gaz (1,4) est modéré, autorisant un équilibre alvéole-sang en 7-10 min et un réveil en 10-20 min. Le coefficient λ tissu/sang est élevé pour les graisses (45), expliquant l'accumulation en cas d'anesthésie prolongée.</w:t>
      </w:r>
    </w:p>
    <w:p>
      <w:r/>
      <w:r>
        <w:rPr>
          <w:b/>
        </w:rPr>
        <w:t>Métabolisme :</w:t>
      </w:r>
      <w:r>
        <w:t xml:space="preserve"> l'isoflurane est métabolisé à 0,2 % dans le foie par le CYP2E1 (défluorination et déchlorination en trifluoroacétate et fluorures inorganiques). La concentration de fluorures inorganiques reste très faible (&lt; 5 µM), bien en dessous du seuil néphrotoxique. Le trifluoroacétate peut former des adduits avec les protéines hépatiques, à l'origine de l'hépatite immune aux halogénés.</w:t>
      </w:r>
    </w:p>
    <w:p>
      <w:r/>
      <w:r>
        <w:rPr>
          <w:b/>
        </w:rPr>
        <w:t>Élimination :</w:t>
      </w:r>
      <w:r>
        <w:t xml:space="preserve"> élimination pulmonaire (&gt; 99 % inchangé par exhalation), rénale (&lt; 0,2 % sous forme de métabolites). Le réveil est plus lent qu'avec le sévoflurane après arrêt (10-20 min).</w:t>
      </w:r>
    </w:p>
    <w:p>
      <w:r/>
      <w:r>
        <w:rPr>
          <w:b/>
        </w:rPr>
        <w:t>Effet de premier passage pulmonaire :</w:t>
      </w:r>
      <w:r>
        <w:t xml:space="preserve"> l'équilibre alvéole-sang est atteint en 7-10 min en inhalation continue, plus lentement que le sévoflurane en raison du coefficient λ plus élevé.</w:t>
      </w:r>
    </w:p>
    <w:p>
      <w:r/>
      <w:r>
        <w:rPr>
          <w:b/>
        </w:rPr>
        <w:t>Populations particulières :</w:t>
      </w:r>
      <w:r/>
    </w:p>
    <w:p>
      <w:pPr>
        <w:pStyle w:val="ListBullet"/>
      </w:pPr>
      <w:r/>
      <w:r>
        <w:rPr>
          <w:b/>
        </w:rPr>
        <w:t>Nouveau-né et prématuré</w:t>
      </w:r>
      <w:r>
        <w:t xml:space="preserve"> : CAM plus élevée (1,3-1,6 % à 0-6 mois).</w:t>
      </w:r>
    </w:p>
    <w:p>
      <w:pPr>
        <w:pStyle w:val="ListBullet"/>
      </w:pPr>
      <w:r/>
      <w:r>
        <w:rPr>
          <w:b/>
        </w:rPr>
        <w:t>Enfant</w:t>
      </w:r>
      <w:r>
        <w:t xml:space="preserve"> : CAM plus élevée (1,3 % à 1-12 ans).</w:t>
      </w:r>
    </w:p>
    <w:p>
      <w:pPr>
        <w:pStyle w:val="ListBullet"/>
      </w:pPr>
      <w:r/>
      <w:r>
        <w:rPr>
          <w:b/>
        </w:rPr>
        <w:t>Sujet âgé</w:t>
      </w:r>
      <w:r>
        <w:t xml:space="preserve"> : CAM réduite (0,7-0,9 % à &gt; 65 ans), réveil plus lent.</w:t>
      </w:r>
    </w:p>
    <w:p>
      <w:pPr>
        <w:pStyle w:val="ListBullet"/>
      </w:pPr>
      <w:r/>
      <w:r>
        <w:rPr>
          <w:b/>
        </w:rPr>
        <w:t>Insuffisance hépatique</w:t>
      </w:r>
      <w:r>
        <w:t xml:space="preserve"> : métabolisme conservé (seulement 0,2 % métabolisé).</w:t>
      </w:r>
    </w:p>
    <w:p>
      <w:pPr>
        <w:pStyle w:val="ListBullet"/>
      </w:pPr>
      <w:r/>
      <w:r>
        <w:rPr>
          <w:b/>
        </w:rPr>
        <w:t>Insuffisance rénale</w:t>
      </w:r>
      <w:r>
        <w:t xml:space="preserve"> : pas d'adaptation nécessaire.</w:t>
      </w:r>
    </w:p>
    <w:p>
      <w:pPr>
        <w:pStyle w:val="Heading3"/>
      </w:pPr>
      <w:r>
        <w:t>181.6.2.5 Indications thérapeutiques (détail AMM et hors AMM)</w:t>
      </w:r>
    </w:p>
    <w:p>
      <w:r/>
      <w:r>
        <w:rPr>
          <w:b/>
        </w:rPr>
        <w:t>Indications AMM principales :</w:t>
      </w:r>
      <w:r/>
    </w:p>
    <w:p>
      <w:pPr>
        <w:pStyle w:val="ListNumber"/>
      </w:pPr>
      <w:r/>
      <w:r>
        <w:rPr>
          <w:b/>
        </w:rPr>
        <w:t>Entretien de l'anesthésie générale</w:t>
      </w:r>
      <w:r>
        <w:t xml:space="preserve"> : à concentration cible de 1 à 2,5 % selon le stade chirurgical, en circuit ouvert (débit 5-8 L/min), demi-fermé (1-2 L/min) ou fermé (circuit avec chaux sodée, débit &lt; 1 L/min). En association avec un opioïde et un curare (anesthésie balancée). Induction préalable par propofol ou thiopental IV.</w:t>
      </w:r>
    </w:p>
    <w:p>
      <w:pPr>
        <w:pStyle w:val="ListNumber"/>
      </w:pPr>
      <w:r/>
      <w:r>
        <w:rPr>
          <w:b/>
        </w:rPr>
        <w:t>Anesthésie en chirurgie cardiaque</w:t>
      </w:r>
      <w:r>
        <w:t xml:space="preserve"> : à débit faible en circuit fermé, monitorage hémodynamique invasif. L'isoflurane préserve le débit cardiaque et réduit la post-charge.</w:t>
      </w:r>
    </w:p>
    <w:p>
      <w:pPr>
        <w:pStyle w:val="ListNumber"/>
      </w:pPr>
      <w:r/>
      <w:r>
        <w:rPr>
          <w:b/>
        </w:rPr>
        <w:t>Anesthésie en neurochirurgie</w:t>
      </w:r>
      <w:r>
        <w:t xml:space="preserve"> : réduction de la CMRO2, préservation de l'autorégulation cérébrale en hyperventilation (capnie &lt; 30 mmHg).</w:t>
      </w:r>
    </w:p>
    <w:p>
      <w:pPr>
        <w:pStyle w:val="ListNumber"/>
      </w:pPr>
      <w:r/>
      <w:r>
        <w:rPr>
          <w:b/>
        </w:rPr>
        <w:t>Anesthésie en chirurgie longue programmée</w:t>
      </w:r>
      <w:r>
        <w:t xml:space="preserve"> : chirurgie digestive, urologique, orthopédique, gynécologique, ORL, ophtalmologique. Réveil plus lent mais économique.</w:t>
      </w:r>
    </w:p>
    <w:p>
      <w:pPr>
        <w:pStyle w:val="ListNumber"/>
      </w:pPr>
      <w:r/>
      <w:r>
        <w:rPr>
          <w:b/>
        </w:rPr>
        <w:t>Anesthésie pour césarienne</w:t>
      </w:r>
      <w:r>
        <w:t xml:space="preserve"> : à débit faible (0,5-1 %), en association avec oxygène et protoxyde d'azote.</w:t>
      </w:r>
    </w:p>
    <w:p>
      <w:pPr>
        <w:pStyle w:val="ListNumber"/>
      </w:pPr>
      <w:r/>
      <w:r>
        <w:rPr>
          <w:b/>
        </w:rPr>
        <w:t>Anesthésie vétérinaire</w:t>
      </w:r>
      <w:r>
        <w:t xml:space="preserve"> : usage fréquent en médecine vétérinaire (chats, chiens, chevaux).</w:t>
      </w:r>
    </w:p>
    <w:p>
      <w:r/>
      <w:r>
        <w:rPr>
          <w:b/>
        </w:rPr>
        <w:t>Contre-indications formelles :</w:t>
      </w:r>
      <w:r/>
    </w:p>
    <w:p>
      <w:pPr>
        <w:pStyle w:val="ListBullet"/>
      </w:pPr>
      <w:r/>
      <w:r>
        <w:rPr>
          <w:b/>
        </w:rPr>
        <w:t>Hyperthermie maligne connue ou suspectée</w:t>
      </w:r>
      <w:r>
        <w:t xml:space="preserve"> : contre-indication absolue. L'isoflurane est un déclencheur de l'hyperthermie maligne per-anesthésique (mutation RyR1).</w:t>
      </w:r>
    </w:p>
    <w:p>
      <w:pPr>
        <w:pStyle w:val="ListBullet"/>
      </w:pPr>
      <w:r/>
      <w:r>
        <w:rPr>
          <w:b/>
        </w:rPr>
        <w:t>Induction par masque</w:t>
      </w:r>
      <w:r>
        <w:t xml:space="preserve"> : contre-indiquée en raison du caractère irritant de la molécule pour les voies aériennes.</w:t>
      </w:r>
    </w:p>
    <w:p>
      <w:pPr>
        <w:pStyle w:val="ListBullet"/>
      </w:pPr>
      <w:r/>
      <w:r>
        <w:rPr>
          <w:b/>
        </w:rPr>
        <w:t>Antécédent d'hépatite à l'halothane</w:t>
      </w:r>
      <w:r>
        <w:t xml:space="preserve"> ou d'hépatite immune aux halogénés : contre-indication relative absolue.</w:t>
      </w:r>
    </w:p>
    <w:p>
      <w:pPr>
        <w:pStyle w:val="ListBullet"/>
      </w:pPr>
      <w:r/>
      <w:r>
        <w:rPr>
          <w:b/>
        </w:rPr>
        <w:t>Insuffisance hépatique sévère décompensée</w:t>
      </w:r>
      <w:r>
        <w:t xml:space="preserve"> : prudence.</w:t>
      </w:r>
    </w:p>
    <w:p>
      <w:pPr>
        <w:pStyle w:val="ListBullet"/>
      </w:pPr>
      <w:r/>
      <w:r>
        <w:rPr>
          <w:b/>
        </w:rPr>
        <w:t>Porphyrie aiguë intermittente</w:t>
      </w:r>
      <w:r>
        <w:t xml:space="preserve"> : contre-indication relative (généralement sûr mais prudence).</w:t>
      </w:r>
    </w:p>
    <w:p>
      <w:pPr>
        <w:pStyle w:val="ListBullet"/>
      </w:pPr>
      <w:r/>
      <w:r>
        <w:rPr>
          <w:b/>
        </w:rPr>
        <w:t>Hypersensibilité connue à l'isoflurane ou aux autres halogénés</w:t>
      </w:r>
      <w:r>
        <w:t>.</w:t>
      </w:r>
    </w:p>
    <w:p>
      <w:pPr>
        <w:pStyle w:val="ListBullet"/>
      </w:pPr>
      <w:r/>
      <w:r>
        <w:rPr>
          <w:b/>
        </w:rPr>
        <w:t>Sténose du tronc commun coronaire</w:t>
      </w:r>
      <w:r>
        <w:t xml:space="preserve"> ou maladie tritronculaire sévère : contre-indication relative absolue à concentration élevée en raison du vol coronarien.</w:t>
      </w:r>
    </w:p>
    <w:p>
      <w:pPr>
        <w:pStyle w:val="ListBullet"/>
      </w:pPr>
      <w:r/>
      <w:r>
        <w:rPr>
          <w:b/>
        </w:rPr>
        <w:t>Grossesse</w:t>
      </w:r>
      <w:r>
        <w:t xml:space="preserve"> : usage prudent au 1er trimestre.</w:t>
      </w:r>
    </w:p>
    <w:p>
      <w:pPr>
        <w:pStyle w:val="Heading3"/>
      </w:pPr>
      <w:r>
        <w:t>181.6.2.6 Effets indésirables et prévention</w:t>
      </w:r>
    </w:p>
    <w:p>
      <w:r/>
      <w:r>
        <w:rPr>
          <w:b/>
        </w:rPr>
        <w:t>Effets indésirables fréquents (&gt; 1/100) :</w:t>
      </w:r>
      <w:r/>
    </w:p>
    <w:p>
      <w:pPr>
        <w:pStyle w:val="ListBullet"/>
      </w:pPr>
      <w:r/>
      <w:r>
        <w:rPr>
          <w:b/>
        </w:rPr>
        <w:t>Hypotension artérielle peropératoire</w:t>
      </w:r>
      <w:r>
        <w:t xml:space="preserve"> : 15-25 % de réduction de la PAM, dose-dépendante, par dépression myocardique et vasodilatation périphérique marquée. Prévention : surveillance continue de la PAM, adaptation de la concentration, remplissage vasculaire, vasopresseurs si nécessaire.</w:t>
      </w:r>
    </w:p>
    <w:p>
      <w:pPr>
        <w:pStyle w:val="ListBullet"/>
      </w:pPr>
      <w:r/>
      <w:r>
        <w:rPr>
          <w:b/>
        </w:rPr>
        <w:t>Tachycardie réflexe</w:t>
      </w:r>
      <w:r>
        <w:t xml:space="preserve"> : 5-15 %, en réponse à la vasodilatation périphérique. Prévention : β-bloquant à faible dose si nécessaire.</w:t>
      </w:r>
    </w:p>
    <w:p>
      <w:pPr>
        <w:pStyle w:val="ListBullet"/>
      </w:pPr>
      <w:r/>
      <w:r>
        <w:rPr>
          <w:b/>
        </w:rPr>
        <w:t>Nausées et vomissements post-opératoires (NVPO)</w:t>
      </w:r>
      <w:r>
        <w:t xml:space="preserve"> : 20-30 %, incidence supérieure au propofol mais inférieure au sévoflurane. Prévention : prophylaxie systématique par ondansétron 4 mg IV + dexaméthasone 4-8 mg IV.</w:t>
      </w:r>
    </w:p>
    <w:p>
      <w:pPr>
        <w:pStyle w:val="ListBullet"/>
      </w:pPr>
      <w:r/>
      <w:r>
        <w:rPr>
          <w:b/>
        </w:rPr>
        <w:t>Toux, hoquet, irritation des voies aériennes</w:t>
      </w:r>
      <w:r>
        <w:t xml:space="preserve"> : 5-15 % à l'induction (si induction par masque). Prévention : éviter l'induction par masque, induction IV systématique.</w:t>
      </w:r>
    </w:p>
    <w:p>
      <w:pPr>
        <w:pStyle w:val="ListBullet"/>
      </w:pPr>
      <w:r/>
      <w:r>
        <w:rPr>
          <w:b/>
        </w:rPr>
        <w:t>Frissons post-opératoires</w:t>
      </w:r>
      <w:r>
        <w:t xml:space="preserve"> : 10-30 %. Prévention : réchauffement peropératoire, pétidine 0,25 mg/kg IV.</w:t>
      </w:r>
    </w:p>
    <w:p>
      <w:pPr>
        <w:pStyle w:val="ListBullet"/>
      </w:pPr>
      <w:r/>
      <w:r>
        <w:rPr>
          <w:b/>
        </w:rPr>
        <w:t>Bronchospasme</w:t>
      </w:r>
      <w:r>
        <w:t xml:space="preserve"> : rare, en cas de terrain asthmatique.</w:t>
      </w:r>
    </w:p>
    <w:p>
      <w:r/>
      <w:r>
        <w:rPr>
          <w:b/>
        </w:rPr>
        <w:t>Effets indésirables rares (1/1000 à 1/100) :</w:t>
      </w:r>
      <w:r/>
    </w:p>
    <w:p>
      <w:pPr>
        <w:pStyle w:val="ListBullet"/>
      </w:pPr>
      <w:r/>
      <w:r>
        <w:rPr>
          <w:b/>
        </w:rPr>
        <w:t>Bradycardie, bloc auriculo-ventriculaire</w:t>
      </w:r>
      <w:r>
        <w:t xml:space="preserve"> : rare, surtout en association avec le rémifentanil.</w:t>
      </w:r>
    </w:p>
    <w:p>
      <w:pPr>
        <w:pStyle w:val="ListBullet"/>
      </w:pPr>
      <w:r/>
      <w:r>
        <w:rPr>
          <w:b/>
        </w:rPr>
        <w:t>Allergie cutanée</w:t>
      </w:r>
      <w:r>
        <w:t xml:space="preserve"> (rash, urticaire) : 1/1000.</w:t>
      </w:r>
    </w:p>
    <w:p>
      <w:r/>
      <w:r>
        <w:rPr>
          <w:b/>
        </w:rPr>
        <w:t>Effets indésirables graves (&lt; 1/10 000) :</w:t>
      </w:r>
      <w:r/>
    </w:p>
    <w:p>
      <w:pPr>
        <w:pStyle w:val="ListBullet"/>
      </w:pPr>
      <w:r/>
      <w:r>
        <w:rPr>
          <w:b/>
        </w:rPr>
        <w:t>Hyperthermie maligne per-anesthésique</w:t>
      </w:r>
      <w:r>
        <w:t xml:space="preserve"> : 1/15 000 à 1/50 000, mutation RyR1. Traitement : arrêt immédiat de l'isoflurane, hyperventilation à 100 % d'O2, dantrolène IV 2,5 mg/kg à répéter jusqu'à 10 mg/kg, refroidissement actif, surveillance en réanimation.</w:t>
      </w:r>
    </w:p>
    <w:p>
      <w:pPr>
        <w:pStyle w:val="ListBullet"/>
      </w:pPr>
      <w:r/>
      <w:r>
        <w:rPr>
          <w:b/>
        </w:rPr>
        <w:t>Hépatite immune aux halogénés</w:t>
      </w:r>
      <w:r>
        <w:t xml:space="preserve"> : 1/35 000 à 1/100 000, mécanisme immuno-allergique (anticorps anti-CYP2E1-trifluoroacétylé). Survient 2 à 14 jours après l'anesthésie, avec fièvre, éruption cutanée, cytolyse hépatique (ALAT &gt; 1 000 UI/L), parfois insuffisance hépatique fulminante (mortalité 30-50 %). Prévention : interrogatoire des antécédents d'hépatite post-anesthésique.</w:t>
      </w:r>
    </w:p>
    <w:p>
      <w:pPr>
        <w:pStyle w:val="ListBullet"/>
      </w:pPr>
      <w:r/>
      <w:r>
        <w:rPr>
          <w:b/>
        </w:rPr>
        <w:t>Vol coronarien et ischémie myocardique</w:t>
      </w:r>
      <w:r>
        <w:t xml:space="preserve"> : en cas de sténose du tronc commun ou de maladie tritronculaire, la vasodilatation coronarienne peut aggraver l'ischémie. Prévention : éviter l'isoflurane à concentration élevée chez le coronarien à haut risque, préférer le sévoflurane (vasodilatation coronarienne moindre).</w:t>
      </w:r>
    </w:p>
    <w:p>
      <w:pPr>
        <w:pStyle w:val="ListBullet"/>
      </w:pPr>
      <w:r/>
      <w:r>
        <w:rPr>
          <w:b/>
        </w:rPr>
        <w:t>Neurotoxicité cérébrale chez l'enfant &lt; 3 ans</w:t>
      </w:r>
      <w:r>
        <w:t xml:space="preserve"> : FDA warning 2017, réitéré 2021. Risque théorique de troubles des apprentissages et du comportement après anesthésies répétées ou prolongées. Différer les actes chirurgicaux programmés non urgents.</w:t>
      </w:r>
    </w:p>
    <w:p>
      <w:pPr>
        <w:pStyle w:val="ListBullet"/>
      </w:pPr>
      <w:r/>
      <w:r>
        <w:rPr>
          <w:b/>
        </w:rPr>
        <w:t>Anaphylaxie</w:t>
      </w:r>
      <w:r>
        <w:t xml:space="preserve"> : 1/10 000 à 1/100 000.</w:t>
      </w:r>
    </w:p>
    <w:p>
      <w:pPr>
        <w:pStyle w:val="Heading3"/>
      </w:pPr>
      <w:r>
        <w:t>181.6.2.7 Interactions médicamenteuses</w:t>
      </w:r>
    </w:p>
    <w:p>
      <w:r>
        <w:t>Le profil d'interactions de l'isoflurane est similaire à celui du sévoflurane.</w:t>
      </w:r>
    </w:p>
    <w:p>
      <w:r/>
      <w:r>
        <w:rPr>
          <w:b/>
        </w:rPr>
        <w:t>Interactions pharmacodynamiques majeures :</w:t>
      </w:r>
      <w:r/>
    </w:p>
    <w:p>
      <w:pPr>
        <w:pStyle w:val="ListBullet"/>
      </w:pPr>
      <w:r/>
      <w:r>
        <w:rPr>
          <w:b/>
        </w:rPr>
        <w:t>Avec les opioïdes</w:t>
      </w:r>
      <w:r>
        <w:t xml:space="preserve"> : potentialisation de l'hypnose et de l'analgésie, réduction de la CAM de 50-60 %.</w:t>
      </w:r>
    </w:p>
    <w:p>
      <w:pPr>
        <w:pStyle w:val="ListBullet"/>
      </w:pPr>
      <w:r/>
      <w:r>
        <w:rPr>
          <w:b/>
        </w:rPr>
        <w:t>Avec les benzodiazépines</w:t>
      </w:r>
      <w:r>
        <w:t xml:space="preserve"> : potentialisation de l'hypnose, réduction de la CAM de 30-40 %.</w:t>
      </w:r>
    </w:p>
    <w:p>
      <w:pPr>
        <w:pStyle w:val="ListBullet"/>
      </w:pPr>
      <w:r/>
      <w:r>
        <w:rPr>
          <w:b/>
        </w:rPr>
        <w:t>Avec le protoxyde d'azote</w:t>
      </w:r>
      <w:r>
        <w:t xml:space="preserve"> : effet additif sur l'hypnose, réduction de la CAM de 25-50 %.</w:t>
      </w:r>
    </w:p>
    <w:p>
      <w:pPr>
        <w:pStyle w:val="ListBullet"/>
      </w:pPr>
      <w:r/>
      <w:r>
        <w:rPr>
          <w:b/>
        </w:rPr>
        <w:t>Avec les curares</w:t>
      </w:r>
      <w:r>
        <w:t xml:space="preserve"> : potentialisation du bloc neuromusculaire (isoflurane potentialise les curares non dépolarisants de 30-50 %), réduction possible de la dose de curare.</w:t>
      </w:r>
    </w:p>
    <w:p>
      <w:pPr>
        <w:pStyle w:val="ListBullet"/>
      </w:pPr>
      <w:r/>
      <w:r>
        <w:rPr>
          <w:b/>
        </w:rPr>
        <w:t>Avec les antidépresseurs tricycliques, les IMAO</w:t>
      </w:r>
      <w:r>
        <w:t xml:space="preserve"> : prudence en raison du risque d'arythmies ventriculaires.</w:t>
      </w:r>
    </w:p>
    <w:p>
      <w:pPr>
        <w:pStyle w:val="ListBullet"/>
      </w:pPr>
      <w:r/>
      <w:r>
        <w:rPr>
          <w:b/>
        </w:rPr>
        <w:t>Avec les β-bloquants et inhibiteurs calciques</w:t>
      </w:r>
      <w:r>
        <w:t xml:space="preserve"> : potentialisation de la bradycardie et de l'hypotension.</w:t>
      </w:r>
    </w:p>
    <w:p>
      <w:pPr>
        <w:pStyle w:val="ListBullet"/>
      </w:pPr>
      <w:r/>
      <w:r>
        <w:rPr>
          <w:b/>
        </w:rPr>
        <w:t>Avec la succinylcholine</w:t>
      </w:r>
      <w:r>
        <w:t xml:space="preserve"> : risque accru d'hyperthermie maligne (déclencheurs conjoints).</w:t>
      </w:r>
    </w:p>
    <w:p>
      <w:r/>
      <w:r>
        <w:rPr>
          <w:b/>
        </w:rPr>
        <w:t>Interactions pharmacocinétiques :</w:t>
      </w:r>
      <w:r/>
    </w:p>
    <w:p>
      <w:pPr>
        <w:pStyle w:val="ListBullet"/>
      </w:pPr>
      <w:r/>
      <w:r>
        <w:rPr>
          <w:b/>
        </w:rPr>
        <w:t>Avec les inducteurs du CYP2E1 (éthanol chronique, isoniazide)</w:t>
      </w:r>
      <w:r>
        <w:t xml:space="preserve"> : augmentation de la défluorination, mais concentration de fluorures reste très faible.</w:t>
      </w:r>
    </w:p>
    <w:p>
      <w:pPr>
        <w:pStyle w:val="ListBullet"/>
      </w:pPr>
      <w:r/>
      <w:r>
        <w:rPr>
          <w:b/>
        </w:rPr>
        <w:t>Avec les inhibiteurs du CYP2E1 (disulfirame)</w:t>
      </w:r>
      <w:r>
        <w:t xml:space="preserve"> : réduction de la défluorination.</w:t>
      </w:r>
    </w:p>
    <w:p>
      <w:r/>
      <w:r>
        <w:rPr>
          <w:b/>
        </w:rPr>
        <w:t>Précautions particulières :</w:t>
      </w:r>
      <w:r/>
    </w:p>
    <w:p>
      <w:pPr>
        <w:pStyle w:val="ListBullet"/>
      </w:pPr>
      <w:r/>
      <w:r>
        <w:rPr>
          <w:b/>
        </w:rPr>
        <w:t>Chirurgie coronarienne</w:t>
      </w:r>
      <w:r>
        <w:t xml:space="preserve"> : éviter l'isoflurane à concentration élevée en cas de sténose du tronc commun ou de maladie tritronculaire.</w:t>
      </w:r>
    </w:p>
    <w:p>
      <w:pPr>
        <w:pStyle w:val="ListBullet"/>
      </w:pPr>
      <w:r/>
      <w:r>
        <w:rPr>
          <w:b/>
        </w:rPr>
        <w:t>Chirurgie pédiatrique</w:t>
      </w:r>
      <w:r>
        <w:t xml:space="preserve"> : préférer le sévoflurane (induction par masque, réveil plus rapide).</w:t>
      </w:r>
    </w:p>
    <w:p>
      <w:pPr>
        <w:pStyle w:val="ListBullet"/>
      </w:pPr>
      <w:r/>
      <w:r>
        <w:rPr>
          <w:b/>
        </w:rPr>
        <w:t>Pollution du bloc opératoire</w:t>
      </w:r>
      <w:r>
        <w:t xml:space="preserve"> : identique au sévoflurane.</w:t>
      </w:r>
    </w:p>
    <w:p>
      <w:pPr>
        <w:pStyle w:val="Heading3"/>
      </w:pPr>
      <w:r>
        <w:t>181.6.2.8 Grossesse, allaitement et CRAT</w:t>
      </w:r>
    </w:p>
    <w:p>
      <w:r/>
      <w:r>
        <w:rPr>
          <w:b/>
        </w:rPr>
        <w:t>Grossesse :</w:t>
      </w:r>
      <w:r>
        <w:t xml:space="preserve"> l'isoflurane traverse la barrière placentaire (rapport ftéo-maternel 0,6-0,8). Le CRAT classe l'isoflurane comme « non tératogène » aux doses anesthésiques, sans effet malformatif documenté chez l'animal ni chez l'humain.</w:t>
      </w:r>
    </w:p>
    <w:p>
      <w:r/>
      <w:r>
        <w:rPr>
          <w:b/>
        </w:rPr>
        <w:t>Chirurgie non obstétricale pendant la grossesse</w:t>
      </w:r>
      <w:r>
        <w:t xml:space="preserve"> : l'isoflurane peut être utilisé pour les actes urgents. Préférer toutefois l'anesthésie loco-régionale quand possible. Au 2ème et 3ème trimestre, surveillance continue du rythme cardiaque fœtal.</w:t>
      </w:r>
    </w:p>
    <w:p>
      <w:r/>
      <w:r>
        <w:rPr>
          <w:b/>
        </w:rPr>
        <w:t>Césarienne sous anesthésie générale</w:t>
      </w:r>
      <w:r>
        <w:t xml:space="preserve"> : l'isoflurane est utilisé pour l'entretien à débit faible (0,5-1 %), en association avec oxygène et protoxyde d'azote. La concentration doit rester basse (&lt; 1 CAM) pour éviter la vasodilatation utérine et l'atonie utérine post-partum.</w:t>
      </w:r>
    </w:p>
    <w:p>
      <w:r/>
      <w:r>
        <w:rPr>
          <w:b/>
        </w:rPr>
        <w:t>Femme enceinte anesthésiste ou infirmière anesthésiste</w:t>
      </w:r>
      <w:r>
        <w:t xml:space="preserve"> : éviter l'exposition chronique aux halogénés (pollution du bloc opératoire). Réglementation française (décret 1994) : concentration maximale de 2 ppm dans l'air du bloc opératoire.</w:t>
      </w:r>
    </w:p>
    <w:p>
      <w:r/>
      <w:r>
        <w:rPr>
          <w:b/>
        </w:rPr>
        <w:t>Allaitement :</w:t>
      </w:r>
      <w:r>
        <w:t xml:space="preserve"> l'isoflurane passe dans le lait maternel en quantité négligeable après anesthésie unique (rapport lait/plasma 0,2). La reprise de l'allaitement peut se faire après 4 heures (selon le CRAT), en s'assurant de l'absence de signes de sédation résiduelle.</w:t>
      </w:r>
    </w:p>
    <w:p>
      <w:r/>
      <w:r>
        <w:rPr>
          <w:b/>
        </w:rPr>
        <w:t>Conseil CRAT :</w:t>
      </w:r>
      <w:r>
        <w:t xml:space="preserve"> « L'isoflurane est utilisable pendant la grossesse dans ses indications autorisées, en particulier pour la chirurgie urgente et la césarienne. Au 1er trimestre, préférer l'anesthésie loco-régionale quand possible. En césarienne, utiliser l'isoflurane à faible concentration (&lt; 1 CAM). L'allaitement est possible après 4 heures. »</w:t>
      </w:r>
    </w:p>
    <w:p>
      <w:pPr>
        <w:pStyle w:val="Heading3"/>
      </w:pPr>
      <w:r>
        <w:t>181.6.2.9 Posologie et mode d'administration</w:t>
      </w:r>
    </w:p>
    <w:p>
      <w:r/>
      <w:r>
        <w:rPr>
          <w:b/>
        </w:rPr>
        <w:t>Induction de l'anesthésie :</w:t>
      </w:r>
      <w:r>
        <w:t xml:space="preserve"> induction par IV (propofol 2 mg/kg ou thiopental 4 mg/kg), puis branchement du circuit d'anesthésie avec isoflurane 1-2 % en oxygène pur ou en mélange O2/N2O 50/50. Pas d'induction par masque (irritation des voies aériennes).</w:t>
      </w:r>
    </w:p>
    <w:p>
      <w:r/>
      <w:r>
        <w:rPr>
          <w:b/>
        </w:rPr>
        <w:t>Entretien de l'anesthésie :</w:t>
      </w:r>
      <w:r/>
    </w:p>
    <w:p>
      <w:pPr>
        <w:pStyle w:val="ListBullet"/>
      </w:pPr>
      <w:r>
        <w:t>Concentration cible 1-2,5 % en circuit ouvert (débit 5-8 L/min).</w:t>
      </w:r>
    </w:p>
    <w:p>
      <w:pPr>
        <w:pStyle w:val="ListBullet"/>
      </w:pPr>
      <w:r>
        <w:t>Concentration cible 0,8-2 % en circuit demi-fermé (débit 1-2 L/min).</w:t>
      </w:r>
    </w:p>
    <w:p>
      <w:pPr>
        <w:pStyle w:val="ListBullet"/>
      </w:pPr>
      <w:r>
        <w:t>Concentration cible 0,5-1,5 % en circuit fermé (débit &lt; 1 L/min).</w:t>
      </w:r>
    </w:p>
    <w:p>
      <w:pPr>
        <w:pStyle w:val="ListBullet"/>
      </w:pPr>
      <w:r>
        <w:t>En association avec protoxyde d'azote (N2O 50-70 %) : concentration d'isoflurane 0,5-1,5 %.</w:t>
      </w:r>
    </w:p>
    <w:p>
      <w:pPr>
        <w:pStyle w:val="ListBullet"/>
      </w:pPr>
      <w:r>
        <w:t>En association avec un opioïde (fentanyl, sufentanil, rémifentanil) : concentration d'isoflurane 0,4-1 %.</w:t>
      </w:r>
    </w:p>
    <w:p>
      <w:r/>
      <w:r>
        <w:rPr>
          <w:b/>
        </w:rPr>
        <w:t>Réveil :</w:t>
      </w:r>
      <w:r/>
    </w:p>
    <w:p>
      <w:pPr>
        <w:pStyle w:val="ListBullet"/>
      </w:pPr>
      <w:r>
        <w:t>Arrêt de l'isoflurane 10-20 min avant la fin de l'intervention (réveil plus lent que le sévoflurane).</w:t>
      </w:r>
    </w:p>
    <w:p>
      <w:pPr>
        <w:pStyle w:val="ListBullet"/>
      </w:pPr>
      <w:r>
        <w:t>Maintien de l'oxygénation à 100 % pendant la phase d'élimination.</w:t>
      </w:r>
    </w:p>
    <w:p>
      <w:pPr>
        <w:pStyle w:val="ListBullet"/>
      </w:pPr>
      <w:r>
        <w:t>Réveil en 10-20 min après arrêt.</w:t>
      </w:r>
    </w:p>
    <w:p>
      <w:r/>
      <w:r>
        <w:rPr>
          <w:b/>
        </w:rPr>
        <w:t>Mode d'administration pratique :</w:t>
      </w:r>
      <w:r/>
    </w:p>
    <w:p>
      <w:pPr>
        <w:pStyle w:val="ListBullet"/>
      </w:pPr>
      <w:r/>
      <w:r>
        <w:rPr>
          <w:b/>
        </w:rPr>
        <w:t>Évaporateur calibré</w:t>
      </w:r>
      <w:r>
        <w:t xml:space="preserve"> : l'isoflurane nécessite un évaporateur spécifique (évaporateur Forene ou Aerrane), distinct de l'évaporateur sévoflurane.</w:t>
      </w:r>
    </w:p>
    <w:p>
      <w:pPr>
        <w:pStyle w:val="ListBullet"/>
      </w:pPr>
      <w:r/>
      <w:r>
        <w:rPr>
          <w:b/>
        </w:rPr>
        <w:t>Circuit d'anesthésie</w:t>
      </w:r>
      <w:r>
        <w:t xml:space="preserve"> : circuit ouvert, demi-fermé ou fermé avec chaux sodée.</w:t>
      </w:r>
    </w:p>
    <w:p>
      <w:pPr>
        <w:pStyle w:val="ListBullet"/>
      </w:pPr>
      <w:r/>
      <w:r>
        <w:rPr>
          <w:b/>
        </w:rPr>
        <w:t>Monitorage des gaz</w:t>
      </w:r>
      <w:r>
        <w:t xml:space="preserve"> : monitorage continu de la concentration inspirée et expirée d'isoflurane, O2, CO2, N2O. Capnométrie obligatoire.</w:t>
      </w:r>
    </w:p>
    <w:p>
      <w:pPr>
        <w:pStyle w:val="ListBullet"/>
      </w:pPr>
      <w:r/>
      <w:r>
        <w:rPr>
          <w:b/>
        </w:rPr>
        <w:t>Surveillance hémodynamique</w:t>
      </w:r>
      <w:r>
        <w:t xml:space="preserve"> : PNI continue, ECG, SpO2.</w:t>
      </w:r>
    </w:p>
    <w:p>
      <w:pPr>
        <w:pStyle w:val="ListBullet"/>
      </w:pPr>
      <w:r/>
      <w:r>
        <w:rPr>
          <w:b/>
        </w:rPr>
        <w:t>Surveillance de la profondeur d'anesthésie</w:t>
      </w:r>
      <w:r>
        <w:t xml:space="preserve"> : BIS (Bispectral Index) recommandé, cible 40-60.</w:t>
      </w:r>
    </w:p>
    <w:p>
      <w:r/>
      <w:r>
        <w:rPr>
          <w:b/>
        </w:rPr>
        <w:t>Adaptations :</w:t>
      </w:r>
      <w:r/>
    </w:p>
    <w:p>
      <w:pPr>
        <w:pStyle w:val="ListBullet"/>
      </w:pPr>
      <w:r>
        <w:t>Sujet âgé : réduire la concentration cible de 30-40 %.</w:t>
      </w:r>
    </w:p>
    <w:p>
      <w:pPr>
        <w:pStyle w:val="ListBullet"/>
      </w:pPr>
      <w:r>
        <w:t>Enfant : augmenter la concentration cible de 10-20 %.</w:t>
      </w:r>
    </w:p>
    <w:p>
      <w:pPr>
        <w:pStyle w:val="ListBullet"/>
      </w:pPr>
      <w:r>
        <w:t>Insuffisance hépatique : pas d'adaptation nécessaire.</w:t>
      </w:r>
    </w:p>
    <w:p>
      <w:pPr>
        <w:pStyle w:val="ListBullet"/>
      </w:pPr>
      <w:r>
        <w:t>Insuffisance rénale : pas d'adaptation nécessaire.</w:t>
      </w:r>
    </w:p>
    <w:p>
      <w:pPr>
        <w:pStyle w:val="ListBullet"/>
      </w:pPr>
      <w:r>
        <w:t>Hypovolémique : réduire la concentration cible de 30-50 %.</w:t>
      </w:r>
    </w:p>
    <w:p>
      <w:pPr>
        <w:pStyle w:val="Heading3"/>
      </w:pPr>
      <w:r>
        <w:t>181.6.2.10 Arbitrage et bénéfices des formes galéniques disponibles</w:t>
      </w:r>
    </w:p>
    <w:p>
      <w:r/>
      <w:r>
        <w:rPr>
          <w:b/>
        </w:rPr>
        <w:t>Forme liquide pur en flacon de 100 mL — Aerrane (Baxter), Forene (AbbVie) :</w:t>
      </w:r>
      <w:r/>
    </w:p>
    <w:p>
      <w:pPr>
        <w:pStyle w:val="ListBullet"/>
      </w:pPr>
      <w:r/>
      <w:r>
        <w:rPr>
          <w:b/>
        </w:rPr>
        <w:t>Présentation :</w:t>
      </w:r>
      <w:r>
        <w:t xml:space="preserve"> flacons de 100 mL de liquide pour inhalation par vapeur, à 100 % d'isoflurane (pureté pharmacopée USP).</w:t>
      </w:r>
    </w:p>
    <w:p>
      <w:pPr>
        <w:pStyle w:val="ListBullet"/>
      </w:pPr>
      <w:r/>
      <w:r>
        <w:rPr>
          <w:b/>
        </w:rPr>
        <w:t>Avantages :</w:t>
      </w:r>
      <w:r>
        <w:t xml:space="preserve"> présentation standard, formulation stable (5 ans à température ambiante ≤ 25 °C), volume suffisant pour plusieurs anesthésies (une anesthésie de 2 heures consomme 5-15 mL en circuit fermé, 20-30 mL en circuit ouvert).</w:t>
      </w:r>
    </w:p>
    <w:p>
      <w:pPr>
        <w:pStyle w:val="ListBullet"/>
      </w:pPr>
      <w:r/>
      <w:r>
        <w:rPr>
          <w:b/>
        </w:rPr>
        <w:t>Inconvénients :</w:t>
      </w:r>
      <w:r>
        <w:t xml:space="preserve"> prix élevé (mais inférieur de 50-70 % à celui du sévoflurane), nécessité d'un évaporateur calibré spécifique, caractère irritant pour les voies aériennes (pas d'induction par masque).</w:t>
      </w:r>
    </w:p>
    <w:p>
      <w:pPr>
        <w:pStyle w:val="ListBullet"/>
      </w:pPr>
      <w:r/>
      <w:r>
        <w:rPr>
          <w:b/>
        </w:rPr>
        <w:t>Indications :</w:t>
      </w:r>
      <w:r>
        <w:t xml:space="preserve"> entretien de l'anesthésie générale, chirurgie longue programmée.</w:t>
      </w:r>
    </w:p>
    <w:p>
      <w:r/>
      <w:r>
        <w:rPr>
          <w:b/>
        </w:rPr>
        <w:t>Forme liquide pur en flacon de 250 mL — Aerrane (Baxter) :</w:t>
      </w:r>
      <w:r/>
    </w:p>
    <w:p>
      <w:pPr>
        <w:pStyle w:val="ListBullet"/>
      </w:pPr>
      <w:r/>
      <w:r>
        <w:rPr>
          <w:b/>
        </w:rPr>
        <w:t>Présentation :</w:t>
      </w:r>
      <w:r>
        <w:t xml:space="preserve"> flacons de 250 mL.</w:t>
      </w:r>
    </w:p>
    <w:p>
      <w:pPr>
        <w:pStyle w:val="ListBullet"/>
      </w:pPr>
      <w:r/>
      <w:r>
        <w:rPr>
          <w:b/>
        </w:rPr>
        <w:t>Avantages :</w:t>
      </w:r>
      <w:r>
        <w:t xml:space="preserve"> volume plus important pour la chirurgie longue (5-10 anesthésies par flacon), économie d'échelle.</w:t>
      </w:r>
    </w:p>
    <w:p>
      <w:pPr>
        <w:pStyle w:val="ListBullet"/>
      </w:pPr>
      <w:r/>
      <w:r>
        <w:rPr>
          <w:b/>
        </w:rPr>
        <w:t>Inconvénients :</w:t>
      </w:r>
      <w:r>
        <w:t xml:space="preserve"> identiques à la forme 100 mL.</w:t>
      </w:r>
    </w:p>
    <w:p>
      <w:pPr>
        <w:pStyle w:val="ListBullet"/>
      </w:pPr>
      <w:r/>
      <w:r>
        <w:rPr>
          <w:b/>
        </w:rPr>
        <w:t>Indications :</w:t>
      </w:r>
      <w:r>
        <w:t xml:space="preserve"> chirurgie lourde, anesthésie prolongée.</w:t>
      </w:r>
    </w:p>
    <w:p>
      <w:r/>
      <w:r>
        <w:rPr>
          <w:b/>
        </w:rPr>
        <w:t>Comparaison avec le sévoflurane :</w:t>
      </w:r>
      <w:r/>
    </w:p>
    <w:p>
      <w:pPr>
        <w:pStyle w:val="ListBullet"/>
      </w:pPr>
      <w:r>
        <w:t>Le sévoflurane est non irritant (induction par masque possible), l'isoflurane est irritant (induction par IV obligatoire).</w:t>
      </w:r>
    </w:p>
    <w:p>
      <w:pPr>
        <w:pStyle w:val="ListBullet"/>
      </w:pPr>
      <w:r>
        <w:t>Le sévoflurane a une cinétique plus rapide que l'isoflurane (induction 3-5 min vs 7-10 min, réveil 5-10 min vs 10-20 min).</w:t>
      </w:r>
    </w:p>
    <w:p>
      <w:pPr>
        <w:pStyle w:val="ListBullet"/>
      </w:pPr>
      <w:r>
        <w:t>Le sévoflurane est plus maniable en pédiatrie et en chirurgie ambulatoire.</w:t>
      </w:r>
    </w:p>
    <w:p>
      <w:pPr>
        <w:pStyle w:val="ListBullet"/>
      </w:pPr>
      <w:r>
        <w:t>L'isoflurane est plus économique (prix inférieur de 50-70 %) et reste l'agent de référence en pays à ressources limitées et en chirurgie longue programmée.</w:t>
      </w:r>
    </w:p>
    <w:p>
      <w:pPr>
        <w:pStyle w:val="ListBullet"/>
      </w:pPr>
      <w:r>
        <w:t>L'isoflurane est plus vasodilatateur coronarien que le sévoflurane (vol coronarien possible).</w:t>
      </w:r>
    </w:p>
    <w:p>
      <w:pPr>
        <w:pStyle w:val="ListBullet"/>
      </w:pPr>
      <w:r>
        <w:t>Le sévoflurane est moins métabolisé (3-5 %) que l'isoflurane (0,2 %), mais le risque de fluorures est plus important avec le sévoflurane.</w:t>
      </w:r>
    </w:p>
    <w:p>
      <w:pPr>
        <w:pStyle w:val="ListBullet"/>
      </w:pPr>
      <w:r>
        <w:t>Le sévoflurane présente un risque de composé A néphrotoxique en circuit fermé avec chaux déshydratée, l'isoflurane non.</w:t>
      </w:r>
    </w:p>
    <w:p>
      <w:r/>
      <w:r>
        <w:rPr>
          <w:b/>
        </w:rPr>
        <w:t>Choix pratique en Algérie :</w:t>
      </w:r>
      <w:r/>
    </w:p>
    <w:p>
      <w:pPr>
        <w:pStyle w:val="ListBullet"/>
      </w:pPr>
      <w:r>
        <w:t>Pour l'entretien de l'anesthésie en chirurgie longue programmée : isoflurane (Forene AbbVie, Aerrane Baxter).</w:t>
      </w:r>
    </w:p>
    <w:p>
      <w:pPr>
        <w:pStyle w:val="ListBullet"/>
      </w:pPr>
      <w:r>
        <w:t>Pour l'entretien de l'anesthésie en chirurgie cardiaque : isoflurane à débit faible en circuit fermé.</w:t>
      </w:r>
    </w:p>
    <w:p>
      <w:pPr>
        <w:pStyle w:val="ListBullet"/>
      </w:pPr>
      <w:r>
        <w:t>Pour la neurochirurgie : isoflurane en hyperventilation (réduction de la CMRO2).</w:t>
      </w:r>
    </w:p>
    <w:p>
      <w:pPr>
        <w:pStyle w:val="ListBullet"/>
      </w:pPr>
      <w:r>
        <w:t>Pour la chirurgie ambulatoire courte : sévoflurane (réveil plus rapide).</w:t>
      </w:r>
    </w:p>
    <w:p>
      <w:pPr>
        <w:pStyle w:val="ListBullet"/>
      </w:pPr>
      <w:r>
        <w:t>Pour la pédiatrie : sévoflurane (induction par masque).</w:t>
      </w:r>
    </w:p>
    <w:p>
      <w:pPr>
        <w:pStyle w:val="Heading3"/>
      </w:pPr>
      <w:r>
        <w:t>181.6.2.11 Conseils au patient et information préopératoire</w:t>
      </w:r>
    </w:p>
    <w:p>
      <w:r/>
      <w:r>
        <w:rPr>
          <w:b/>
        </w:rPr>
        <w:t>Avant l'anesthésie :</w:t>
      </w:r>
      <w:r/>
    </w:p>
    <w:p>
      <w:pPr>
        <w:pStyle w:val="ListBullet"/>
      </w:pPr>
      <w:r/>
      <w:r>
        <w:rPr>
          <w:b/>
        </w:rPr>
        <w:t>Jeûne pré-opératoire strict</w:t>
      </w:r>
      <w:r>
        <w:t xml:space="preserve"> : 6 heures pour les solides et le lait, 2 heures pour les liquides clairs.</w:t>
      </w:r>
    </w:p>
    <w:p>
      <w:pPr>
        <w:pStyle w:val="ListBullet"/>
      </w:pPr>
      <w:r/>
      <w:r>
        <w:rPr>
          <w:b/>
        </w:rPr>
        <w:t>Bilan pré-anesthésique</w:t>
      </w:r>
      <w:r>
        <w:t xml:space="preserve"> : consultation anesthésique obligatoire ; ECG, NFS, groupe sanguin, ionogramme, créatininémie, fonction hépatique ; interrogatoire soigneux des antécédents familiaux d'hyperthermie maligne, de dystrophie musculaire, de complications anesthésiques.</w:t>
      </w:r>
    </w:p>
    <w:p>
      <w:pPr>
        <w:pStyle w:val="ListBullet"/>
      </w:pPr>
      <w:r/>
      <w:r>
        <w:rPr>
          <w:b/>
        </w:rPr>
        <w:t>Antécédents à signaler</w:t>
      </w:r>
      <w:r>
        <w:t xml:space="preserve"> : hyperthermie maligne personnelle ou familiale (CI absolue), hépatite post-anesthésique, allergie aux halogénés, coronaropathie (CI relative absolue à concentration élevée), asthme, insuffisance hépatique ou rénale, grossesse.</w:t>
      </w:r>
    </w:p>
    <w:p>
      <w:pPr>
        <w:pStyle w:val="ListBullet"/>
      </w:pPr>
      <w:r/>
      <w:r>
        <w:rPr>
          <w:b/>
        </w:rPr>
        <w:t>Information sur le déroulement</w:t>
      </w:r>
      <w:r>
        <w:t xml:space="preserve"> : induction IV (propofol ou thiopental), entretien par isoflurane en inhalation, réveil en 10-20 min après la fin de l'intervention.</w:t>
      </w:r>
    </w:p>
    <w:p>
      <w:pPr>
        <w:pStyle w:val="ListBullet"/>
      </w:pPr>
      <w:r/>
      <w:r>
        <w:rPr>
          <w:b/>
        </w:rPr>
        <w:t>Information sur le risque de NVPO</w:t>
      </w:r>
      <w:r>
        <w:t xml:space="preserve"> : 20-30 % d'incidence, prévention systématique par antiémétiques.</w:t>
      </w:r>
    </w:p>
    <w:p>
      <w:r/>
      <w:r>
        <w:rPr>
          <w:b/>
        </w:rPr>
        <w:t>Au réveil post-opératoire :</w:t>
      </w:r>
      <w:r/>
    </w:p>
    <w:p>
      <w:pPr>
        <w:pStyle w:val="ListBullet"/>
      </w:pPr>
      <w:r>
        <w:t>Surveillance continue en SSPI (2-4 heures) : SpO2, PNI, ECG, Fr respiratoire, conscience (score d'Aldrete).</w:t>
      </w:r>
    </w:p>
    <w:p>
      <w:pPr>
        <w:pStyle w:val="ListBullet"/>
      </w:pPr>
      <w:r>
        <w:t>Surveillance de la température corporelle (hyperthermie maligne possible jusqu'à 24 h).</w:t>
      </w:r>
    </w:p>
    <w:p>
      <w:pPr>
        <w:pStyle w:val="ListBullet"/>
      </w:pPr>
      <w:r>
        <w:t>Surveillance de la douleur : paracétamol 1 g IV, AINS si non contre-indiqué, morphine titration si EVA &gt; 4.</w:t>
      </w:r>
    </w:p>
    <w:p>
      <w:pPr>
        <w:pStyle w:val="ListBullet"/>
      </w:pPr>
      <w:r>
        <w:t>Prévention des NVPO : ondansétron 4 mg IV + dexaméthasone 4-8 mg IV.</w:t>
      </w:r>
    </w:p>
    <w:p>
      <w:pPr>
        <w:pStyle w:val="ListBullet"/>
      </w:pPr>
      <w:r>
        <w:t>Surveillance ECG chez le coronarien (risque d'ischémie myocardique résiduelle).</w:t>
      </w:r>
    </w:p>
    <w:p>
      <w:pPr>
        <w:pStyle w:val="ListBullet"/>
      </w:pPr>
      <w:r>
        <w:t>Interdiction de conduire pendant 24 heures.</w:t>
      </w:r>
    </w:p>
    <w:p>
      <w:r/>
      <w:r>
        <w:rPr>
          <w:b/>
        </w:rPr>
        <w:t>En cas d'hyperthermie maligne déclenchée :</w:t>
      </w:r>
      <w:r/>
    </w:p>
    <w:p>
      <w:pPr>
        <w:pStyle w:val="ListBullet"/>
      </w:pPr>
      <w:r>
        <w:t>Identique au sévoflurane : arrêt immédiat, hyperventilation à 100 % d'O2, dantrolène IV 2,5 mg/kg, refroidissement actif, surveillance en réanimation.</w:t>
      </w:r>
    </w:p>
    <w:p>
      <w:pPr>
        <w:pStyle w:val="Heading3"/>
      </w:pPr>
      <w:r>
        <w:t>181.6.2.12 Pièges au comptoir — Règles d'or</w:t>
      </w:r>
    </w:p>
    <w:p>
      <w:pPr>
        <w:pStyle w:val="ListNumber"/>
      </w:pPr>
      <w:r/>
      <w:r>
        <w:rPr>
          <w:b/>
        </w:rPr>
        <w:t>Règle d'or n°1 : hyperthermie maligne = danger vital.</w:t>
      </w:r>
      <w:r>
        <w:t xml:space="preserve"> L'isoflurane est un déclencheur majeur. Interrogatoire systématique des antécédents. En cas d'antécédent, contre-indication absolue, préférer la TIVA. Disponibilité du dantrolène dans le bloc.</w:t>
      </w:r>
    </w:p>
    <w:p>
      <w:pPr>
        <w:pStyle w:val="ListNumber"/>
      </w:pPr>
      <w:r/>
      <w:r>
        <w:rPr>
          <w:b/>
        </w:rPr>
        <w:t>Règle d'or n°2 : pas d'induction par masque.</w:t>
      </w:r>
      <w:r>
        <w:t xml:space="preserve"> L'isoflurane est irritant pour les voies aériennes (toux, laryngospasme, bronchospasme). Induction IV systématique préalable.</w:t>
      </w:r>
    </w:p>
    <w:p>
      <w:pPr>
        <w:pStyle w:val="ListNumber"/>
      </w:pPr>
      <w:r/>
      <w:r>
        <w:rPr>
          <w:b/>
        </w:rPr>
        <w:t>Règle d'or n°3 : coronarien à haut risque = prudence absolue.</w:t>
      </w:r>
      <w:r>
        <w:t xml:space="preserve"> La vasodilatation coronarienne peut induire un vol coronarien, particulièrement délétère en cas de sténose du tronc commun ou de maladie tritronculaire. Préférer le sévoflurane (vasodilatation coronarienne moindre).</w:t>
      </w:r>
    </w:p>
    <w:p>
      <w:pPr>
        <w:pStyle w:val="ListNumber"/>
      </w:pPr>
      <w:r/>
      <w:r>
        <w:rPr>
          <w:b/>
        </w:rPr>
        <w:t>Règle d'or n°4 : vol coronarien = ischémie myocardique.</w:t>
      </w:r>
      <w:r>
        <w:t xml:space="preserve"> Surveillance ECG continue chez le coronarien, surveillance troponine post-opératoire si intervention longue.</w:t>
      </w:r>
    </w:p>
    <w:p>
      <w:pPr>
        <w:pStyle w:val="ListNumber"/>
      </w:pPr>
      <w:r/>
      <w:r>
        <w:rPr>
          <w:b/>
        </w:rPr>
        <w:t>Règle d'or n°5 : enfant &lt; 3 ans = neurotoxicité potentielle.</w:t>
      </w:r>
      <w:r>
        <w:t xml:space="preserve"> FDA warning 2017, réitéré 2021. Différer les actes chirurgicaux programmés non urgents.</w:t>
      </w:r>
    </w:p>
    <w:p>
      <w:pPr>
        <w:pStyle w:val="ListNumber"/>
      </w:pPr>
      <w:r/>
      <w:r>
        <w:rPr>
          <w:b/>
        </w:rPr>
        <w:t>Règle d'or n°6 : NVPO systématiques.</w:t>
      </w:r>
      <w:r>
        <w:t xml:space="preserve"> 20-30 % d'incidence. Prophylaxie systématique par ondansétron 4 mg IV + dexaméthasone 4-8 mg IV.</w:t>
      </w:r>
    </w:p>
    <w:p>
      <w:pPr>
        <w:pStyle w:val="ListNumber"/>
      </w:pPr>
      <w:r/>
      <w:r>
        <w:rPr>
          <w:b/>
        </w:rPr>
        <w:t>Règle d'or n°7 : ne pas mélanger les évaporateurs.</w:t>
      </w:r>
      <w:r>
        <w:t xml:space="preserve"> L'isoflurane nécessite un évaporateur calibré spécifique (évaporateur Forene ou Aerrane), distinct de l'évaporateur sévoflurane et halothane.</w:t>
      </w:r>
    </w:p>
    <w:p>
      <w:pPr>
        <w:pStyle w:val="ListNumber"/>
      </w:pPr>
      <w:r/>
      <w:r>
        <w:rPr>
          <w:b/>
        </w:rPr>
        <w:t>Règle d'or n°8 : surveillance continue de la concentration inspirée et expirée.</w:t>
      </w:r>
      <w:r>
        <w:t xml:space="preserve"> Monitorage des gaz obligatoire. Capnométrie obligatoire depuis la SFAR 2018.</w:t>
      </w:r>
    </w:p>
    <w:p>
      <w:pPr>
        <w:pStyle w:val="ListNumber"/>
      </w:pPr>
      <w:r/>
      <w:r>
        <w:rPr>
          <w:b/>
        </w:rPr>
        <w:t>Règle d'or n°9 : surveillance de la profondeur d'anesthésie.</w:t>
      </w:r>
      <w:r>
        <w:t xml:space="preserve"> BIS (Bispectral Index) recommandé en anesthésie longue, cible 40-60. Une anesthésie trop légère expose au risque de mémorisation peropératoire.</w:t>
      </w:r>
    </w:p>
    <w:p>
      <w:pPr>
        <w:pStyle w:val="ListNumber"/>
      </w:pPr>
      <w:r/>
      <w:r>
        <w:rPr>
          <w:b/>
        </w:rPr>
        <w:t>Règle d'or n°10 : pollueur du bloc opératoire.</w:t>
      </w:r>
      <w:r>
        <w:t xml:space="preserve"> Identique au sévoflurane. Scavenger du circuit fonctionnel. Concentration maximale de 2 ppm dans l'air du bloc opératoire.</w:t>
      </w:r>
    </w:p>
    <w:p>
      <w:pPr>
        <w:pStyle w:val="ListNumber"/>
      </w:pPr>
      <w:r/>
      <w:r>
        <w:rPr>
          <w:b/>
        </w:rPr>
        <w:t>Règle d'or n°11 : grossesse = usage prudent.</w:t>
      </w:r>
      <w:r>
        <w:t xml:space="preserve"> Compatible en cas d'urgence. Préférer l'anesthésie loco-régionale au 1er trimestre. En césarienne, concentration &lt; 1 CAM pour éviter l'atonie utérine.</w:t>
      </w:r>
    </w:p>
    <w:p>
      <w:pPr>
        <w:pStyle w:val="ListNumber"/>
      </w:pPr>
      <w:r/>
      <w:r>
        <w:rPr>
          <w:b/>
        </w:rPr>
        <w:t>Règle d'or n°12 : allaitement = compatibilité après 4 heures.</w:t>
      </w:r>
      <w:r>
        <w:t xml:space="preserve"> L'isoflurane passe peu dans le lait. Reprise de l'allaitement après 4 heures, en s'assurant de l'absence de sédation maternelle.</w:t>
      </w:r>
    </w:p>
    <w:p>
      <w:pPr>
        <w:pStyle w:val="ListNumber"/>
      </w:pPr>
      <w:r/>
      <w:r>
        <w:rPr>
          <w:b/>
        </w:rPr>
        <w:t>Règle d'or n°13 : interactions avec les opioïdes et les curares.</w:t>
      </w:r>
      <w:r>
        <w:t xml:space="preserve"> Potentialisation majeure, réduction des doses de 50-60 %. L'isoflurane potentialise les curares non dépolarisants de 30-50 %.</w:t>
      </w:r>
    </w:p>
    <w:p>
      <w:pPr>
        <w:pStyle w:val="ListNumber"/>
      </w:pPr>
      <w:r/>
      <w:r>
        <w:rPr>
          <w:b/>
        </w:rPr>
        <w:t>Règle d'or n°14 : conservation à température ambiante (≤ 25 °C).</w:t>
      </w:r>
      <w:r>
        <w:t xml:space="preserve"> L'isoflurane se conserve 5 ans à température ambiante, à l'abri de la lumière. Ne pas congeler.</w:t>
      </w:r>
    </w:p>
    <w:p>
      <w:pPr>
        <w:pStyle w:val="ListNumber"/>
      </w:pPr>
      <w:r/>
      <w:r>
        <w:rPr>
          <w:b/>
        </w:rPr>
        <w:t>Règle d'or n°15 : traçabilité absolue (Liste I).</w:t>
      </w:r>
      <w:r>
        <w:t xml:space="preserve"> L'isoflurane est inscrit sur la Liste I. Conservation en armoire sécurisée, traçabilité des flacons, comptage mensuel. Usage exclusivement hospitalier.</w:t>
      </w:r>
    </w:p>
    <w:p>
      <w:pPr>
        <w:pStyle w:val="Heading2"/>
      </w:pPr>
      <w:r>
        <w:t>181.7 Tableau comparatif synthétique des 7 anesthésiques généraux</w:t>
      </w:r>
    </w:p>
    <w:p>
      <w:r>
        <w:t>Le tableau suivant récapitule les caractéristiques pharmacologiques, cliniques et réglementaires des sept DCI traitées dans ce chapitre. Cette synthèse est destinée à faciliter la comparaison et l'arbitrage thérapeutique pour le praticien.</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Caractéristique</w:t>
            </w:r>
          </w:p>
        </w:tc>
        <w:tc>
          <w:tcPr>
            <w:tcW w:type="dxa" w:w="1169"/>
          </w:tcPr>
          <w:p>
            <w:r>
              <w:rPr>
                <w:b/>
                <w:sz w:val="20"/>
              </w:rPr>
              <w:t>Propofol</w:t>
            </w:r>
          </w:p>
        </w:tc>
        <w:tc>
          <w:tcPr>
            <w:tcW w:type="dxa" w:w="1169"/>
          </w:tcPr>
          <w:p>
            <w:r>
              <w:rPr>
                <w:b/>
                <w:sz w:val="20"/>
              </w:rPr>
              <w:t>Thiopental</w:t>
            </w:r>
          </w:p>
        </w:tc>
        <w:tc>
          <w:tcPr>
            <w:tcW w:type="dxa" w:w="1169"/>
          </w:tcPr>
          <w:p>
            <w:r>
              <w:rPr>
                <w:b/>
                <w:sz w:val="20"/>
              </w:rPr>
              <w:t>Étomidate</w:t>
            </w:r>
          </w:p>
        </w:tc>
        <w:tc>
          <w:tcPr>
            <w:tcW w:type="dxa" w:w="1169"/>
          </w:tcPr>
          <w:p>
            <w:r>
              <w:rPr>
                <w:b/>
                <w:sz w:val="20"/>
              </w:rPr>
              <w:t>Kétamine</w:t>
            </w:r>
          </w:p>
        </w:tc>
        <w:tc>
          <w:tcPr>
            <w:tcW w:type="dxa" w:w="1169"/>
          </w:tcPr>
          <w:p>
            <w:r>
              <w:rPr>
                <w:b/>
                <w:sz w:val="20"/>
              </w:rPr>
              <w:t>Midazolam</w:t>
            </w:r>
          </w:p>
        </w:tc>
        <w:tc>
          <w:tcPr>
            <w:tcW w:type="dxa" w:w="1169"/>
          </w:tcPr>
          <w:p>
            <w:r>
              <w:rPr>
                <w:b/>
                <w:sz w:val="20"/>
              </w:rPr>
              <w:t>Sévoflurane</w:t>
            </w:r>
          </w:p>
        </w:tc>
        <w:tc>
          <w:tcPr>
            <w:tcW w:type="dxa" w:w="1169"/>
          </w:tcPr>
          <w:p>
            <w:r>
              <w:rPr>
                <w:b/>
                <w:sz w:val="20"/>
              </w:rPr>
              <w:t>Isoflurane</w:t>
            </w:r>
          </w:p>
        </w:tc>
      </w:tr>
      <w:tr>
        <w:tc>
          <w:tcPr>
            <w:tcW w:type="dxa" w:w="1169"/>
          </w:tcPr>
          <w:p>
            <w:r>
              <w:rPr>
                <w:sz w:val="20"/>
              </w:rPr>
              <w:t>**Sous-classe**</w:t>
            </w:r>
          </w:p>
        </w:tc>
        <w:tc>
          <w:tcPr>
            <w:tcW w:type="dxa" w:w="1169"/>
          </w:tcPr>
          <w:p>
            <w:r>
              <w:rPr>
                <w:sz w:val="20"/>
              </w:rPr>
              <w:t>Hypnotique IV</w:t>
            </w:r>
          </w:p>
        </w:tc>
        <w:tc>
          <w:tcPr>
            <w:tcW w:type="dxa" w:w="1169"/>
          </w:tcPr>
          <w:p>
            <w:r>
              <w:rPr>
                <w:sz w:val="20"/>
              </w:rPr>
              <w:t>Barbiturique IV</w:t>
            </w:r>
          </w:p>
        </w:tc>
        <w:tc>
          <w:tcPr>
            <w:tcW w:type="dxa" w:w="1169"/>
          </w:tcPr>
          <w:p>
            <w:r>
              <w:rPr>
                <w:sz w:val="20"/>
              </w:rPr>
              <w:t>Imidazolé IV</w:t>
            </w:r>
          </w:p>
        </w:tc>
        <w:tc>
          <w:tcPr>
            <w:tcW w:type="dxa" w:w="1169"/>
          </w:tcPr>
          <w:p>
            <w:r>
              <w:rPr>
                <w:sz w:val="20"/>
              </w:rPr>
              <w:t>NMDA antagoniste IV</w:t>
            </w:r>
          </w:p>
        </w:tc>
        <w:tc>
          <w:tcPr>
            <w:tcW w:type="dxa" w:w="1169"/>
          </w:tcPr>
          <w:p>
            <w:r>
              <w:rPr>
                <w:sz w:val="20"/>
              </w:rPr>
              <w:t>Benzodiazépine IV</w:t>
            </w:r>
          </w:p>
        </w:tc>
        <w:tc>
          <w:tcPr>
            <w:tcW w:type="dxa" w:w="1169"/>
          </w:tcPr>
          <w:p>
            <w:r>
              <w:rPr>
                <w:sz w:val="20"/>
              </w:rPr>
              <w:t>Halogéné volatil</w:t>
            </w:r>
          </w:p>
        </w:tc>
        <w:tc>
          <w:tcPr>
            <w:tcW w:type="dxa" w:w="1169"/>
          </w:tcPr>
          <w:p>
            <w:r>
              <w:rPr>
                <w:sz w:val="20"/>
              </w:rPr>
              <w:t>Halogéné volatil</w:t>
            </w:r>
          </w:p>
        </w:tc>
      </w:tr>
      <w:tr>
        <w:tc>
          <w:tcPr>
            <w:tcW w:type="dxa" w:w="1169"/>
          </w:tcPr>
          <w:p>
            <w:r>
              <w:rPr>
                <w:sz w:val="20"/>
              </w:rPr>
              <w:t>**Code ATC**</w:t>
            </w:r>
          </w:p>
        </w:tc>
        <w:tc>
          <w:tcPr>
            <w:tcW w:type="dxa" w:w="1169"/>
          </w:tcPr>
          <w:p>
            <w:r>
              <w:rPr>
                <w:sz w:val="20"/>
              </w:rPr>
              <w:t>N01AX10</w:t>
            </w:r>
          </w:p>
        </w:tc>
        <w:tc>
          <w:tcPr>
            <w:tcW w:type="dxa" w:w="1169"/>
          </w:tcPr>
          <w:p>
            <w:r>
              <w:rPr>
                <w:sz w:val="20"/>
              </w:rPr>
              <w:t>N01AF03</w:t>
            </w:r>
          </w:p>
        </w:tc>
        <w:tc>
          <w:tcPr>
            <w:tcW w:type="dxa" w:w="1169"/>
          </w:tcPr>
          <w:p>
            <w:r>
              <w:rPr>
                <w:sz w:val="20"/>
              </w:rPr>
              <w:t>N01AX07</w:t>
            </w:r>
          </w:p>
        </w:tc>
        <w:tc>
          <w:tcPr>
            <w:tcW w:type="dxa" w:w="1169"/>
          </w:tcPr>
          <w:p>
            <w:r>
              <w:rPr>
                <w:sz w:val="20"/>
              </w:rPr>
              <w:t>N01AX03</w:t>
            </w:r>
          </w:p>
        </w:tc>
        <w:tc>
          <w:tcPr>
            <w:tcW w:type="dxa" w:w="1169"/>
          </w:tcPr>
          <w:p>
            <w:r>
              <w:rPr>
                <w:sz w:val="20"/>
              </w:rPr>
              <w:t>N05CD08</w:t>
            </w:r>
          </w:p>
        </w:tc>
        <w:tc>
          <w:tcPr>
            <w:tcW w:type="dxa" w:w="1169"/>
          </w:tcPr>
          <w:p>
            <w:r>
              <w:rPr>
                <w:sz w:val="20"/>
              </w:rPr>
              <w:t>N01AB08</w:t>
            </w:r>
          </w:p>
        </w:tc>
        <w:tc>
          <w:tcPr>
            <w:tcW w:type="dxa" w:w="1169"/>
          </w:tcPr>
          <w:p>
            <w:r>
              <w:rPr>
                <w:sz w:val="20"/>
              </w:rPr>
              <w:t>N01AB06</w:t>
            </w:r>
          </w:p>
        </w:tc>
      </w:tr>
      <w:tr>
        <w:tc>
          <w:tcPr>
            <w:tcW w:type="dxa" w:w="1169"/>
          </w:tcPr>
          <w:p>
            <w:r>
              <w:rPr>
                <w:sz w:val="20"/>
              </w:rPr>
              <w:t>**Année d'introduction**</w:t>
            </w:r>
          </w:p>
        </w:tc>
        <w:tc>
          <w:tcPr>
            <w:tcW w:type="dxa" w:w="1169"/>
          </w:tcPr>
          <w:p>
            <w:r>
              <w:rPr>
                <w:sz w:val="20"/>
              </w:rPr>
              <w:t>1986</w:t>
            </w:r>
          </w:p>
        </w:tc>
        <w:tc>
          <w:tcPr>
            <w:tcW w:type="dxa" w:w="1169"/>
          </w:tcPr>
          <w:p>
            <w:r>
              <w:rPr>
                <w:sz w:val="20"/>
              </w:rPr>
              <w:t>1934</w:t>
            </w:r>
          </w:p>
        </w:tc>
        <w:tc>
          <w:tcPr>
            <w:tcW w:type="dxa" w:w="1169"/>
          </w:tcPr>
          <w:p>
            <w:r>
              <w:rPr>
                <w:sz w:val="20"/>
              </w:rPr>
              <w:t>1973</w:t>
            </w:r>
          </w:p>
        </w:tc>
        <w:tc>
          <w:tcPr>
            <w:tcW w:type="dxa" w:w="1169"/>
          </w:tcPr>
          <w:p>
            <w:r>
              <w:rPr>
                <w:sz w:val="20"/>
              </w:rPr>
              <w:t>1970</w:t>
            </w:r>
          </w:p>
        </w:tc>
        <w:tc>
          <w:tcPr>
            <w:tcW w:type="dxa" w:w="1169"/>
          </w:tcPr>
          <w:p>
            <w:r>
              <w:rPr>
                <w:sz w:val="20"/>
              </w:rPr>
              <w:t>1982</w:t>
            </w:r>
          </w:p>
        </w:tc>
        <w:tc>
          <w:tcPr>
            <w:tcW w:type="dxa" w:w="1169"/>
          </w:tcPr>
          <w:p>
            <w:r>
              <w:rPr>
                <w:sz w:val="20"/>
              </w:rPr>
              <w:t>1990</w:t>
            </w:r>
          </w:p>
        </w:tc>
        <w:tc>
          <w:tcPr>
            <w:tcW w:type="dxa" w:w="1169"/>
          </w:tcPr>
          <w:p>
            <w:r>
              <w:rPr>
                <w:sz w:val="20"/>
              </w:rPr>
              <w:t>1980</w:t>
            </w:r>
          </w:p>
        </w:tc>
      </w:tr>
      <w:tr>
        <w:tc>
          <w:tcPr>
            <w:tcW w:type="dxa" w:w="1169"/>
          </w:tcPr>
          <w:p>
            <w:r>
              <w:rPr>
                <w:sz w:val="20"/>
              </w:rPr>
              <w:t>**Mécanisme principal**</w:t>
            </w:r>
          </w:p>
        </w:tc>
        <w:tc>
          <w:tcPr>
            <w:tcW w:type="dxa" w:w="1169"/>
          </w:tcPr>
          <w:p>
            <w:r>
              <w:rPr>
                <w:sz w:val="20"/>
              </w:rPr>
              <w:t>Potentialisation GABA-A</w:t>
            </w:r>
          </w:p>
        </w:tc>
        <w:tc>
          <w:tcPr>
            <w:tcW w:type="dxa" w:w="1169"/>
          </w:tcPr>
          <w:p>
            <w:r>
              <w:rPr>
                <w:sz w:val="20"/>
              </w:rPr>
              <w:t>Potentialisation GABA-A (activation directe à forte dose)</w:t>
            </w:r>
          </w:p>
        </w:tc>
        <w:tc>
          <w:tcPr>
            <w:tcW w:type="dxa" w:w="1169"/>
          </w:tcPr>
          <w:p>
            <w:r>
              <w:rPr>
                <w:sz w:val="20"/>
              </w:rPr>
              <w:t>Potentialisation GABA-A</w:t>
            </w:r>
          </w:p>
        </w:tc>
        <w:tc>
          <w:tcPr>
            <w:tcW w:type="dxa" w:w="1169"/>
          </w:tcPr>
          <w:p>
            <w:r>
              <w:rPr>
                <w:sz w:val="20"/>
              </w:rPr>
              <w:t>Antagonisme NMDA (canal ouvert)</w:t>
            </w:r>
          </w:p>
        </w:tc>
        <w:tc>
          <w:tcPr>
            <w:tcW w:type="dxa" w:w="1169"/>
          </w:tcPr>
          <w:p>
            <w:r>
              <w:rPr>
                <w:sz w:val="20"/>
              </w:rPr>
              <w:t>Modulation allostérique positive GABA-A (site BZD)</w:t>
            </w:r>
          </w:p>
        </w:tc>
        <w:tc>
          <w:tcPr>
            <w:tcW w:type="dxa" w:w="1169"/>
          </w:tcPr>
          <w:p>
            <w:r>
              <w:rPr>
                <w:sz w:val="20"/>
              </w:rPr>
              <w:t>K2P ↑, Nav ↓, GABA-A ↑</w:t>
            </w:r>
          </w:p>
        </w:tc>
        <w:tc>
          <w:tcPr>
            <w:tcW w:type="dxa" w:w="1169"/>
          </w:tcPr>
          <w:p>
            <w:r>
              <w:rPr>
                <w:sz w:val="20"/>
              </w:rPr>
              <w:t>K2P ↑, Nav ↓, GABA-A ↑</w:t>
            </w:r>
          </w:p>
        </w:tc>
      </w:tr>
      <w:tr>
        <w:tc>
          <w:tcPr>
            <w:tcW w:type="dxa" w:w="1169"/>
          </w:tcPr>
          <w:p>
            <w:r>
              <w:rPr>
                <w:sz w:val="20"/>
              </w:rPr>
              <w:t>**Délai d'action (IV/inhalation)**</w:t>
            </w:r>
          </w:p>
        </w:tc>
        <w:tc>
          <w:tcPr>
            <w:tcW w:type="dxa" w:w="1169"/>
          </w:tcPr>
          <w:p>
            <w:r>
              <w:rPr>
                <w:sz w:val="20"/>
              </w:rPr>
              <w:t>30-60 s</w:t>
            </w:r>
          </w:p>
        </w:tc>
        <w:tc>
          <w:tcPr>
            <w:tcW w:type="dxa" w:w="1169"/>
          </w:tcPr>
          <w:p>
            <w:r>
              <w:rPr>
                <w:sz w:val="20"/>
              </w:rPr>
              <w:t>10-20 s</w:t>
            </w:r>
          </w:p>
        </w:tc>
        <w:tc>
          <w:tcPr>
            <w:tcW w:type="dxa" w:w="1169"/>
          </w:tcPr>
          <w:p>
            <w:r>
              <w:rPr>
                <w:sz w:val="20"/>
              </w:rPr>
              <w:t>30-60 s</w:t>
            </w:r>
          </w:p>
        </w:tc>
        <w:tc>
          <w:tcPr>
            <w:tcW w:type="dxa" w:w="1169"/>
          </w:tcPr>
          <w:p>
            <w:r>
              <w:rPr>
                <w:sz w:val="20"/>
              </w:rPr>
              <w:t>30-60 s</w:t>
            </w:r>
          </w:p>
        </w:tc>
        <w:tc>
          <w:tcPr>
            <w:tcW w:type="dxa" w:w="1169"/>
          </w:tcPr>
          <w:p>
            <w:r>
              <w:rPr>
                <w:sz w:val="20"/>
              </w:rPr>
              <w:t>1-3 min</w:t>
            </w:r>
          </w:p>
        </w:tc>
        <w:tc>
          <w:tcPr>
            <w:tcW w:type="dxa" w:w="1169"/>
          </w:tcPr>
          <w:p>
            <w:r>
              <w:rPr>
                <w:sz w:val="20"/>
              </w:rPr>
              <w:t>3-5 min</w:t>
            </w:r>
          </w:p>
        </w:tc>
        <w:tc>
          <w:tcPr>
            <w:tcW w:type="dxa" w:w="1169"/>
          </w:tcPr>
          <w:p>
            <w:r>
              <w:rPr>
                <w:sz w:val="20"/>
              </w:rPr>
              <w:t>7-10 min</w:t>
            </w:r>
          </w:p>
        </w:tc>
      </w:tr>
      <w:tr>
        <w:tc>
          <w:tcPr>
            <w:tcW w:type="dxa" w:w="1169"/>
          </w:tcPr>
          <w:p>
            <w:r>
              <w:rPr>
                <w:sz w:val="20"/>
              </w:rPr>
              <w:t>**Durée d'action clinique**</w:t>
            </w:r>
          </w:p>
        </w:tc>
        <w:tc>
          <w:tcPr>
            <w:tcW w:type="dxa" w:w="1169"/>
          </w:tcPr>
          <w:p>
            <w:r>
              <w:rPr>
                <w:sz w:val="20"/>
              </w:rPr>
              <w:t>5-10 min</w:t>
            </w:r>
          </w:p>
        </w:tc>
        <w:tc>
          <w:tcPr>
            <w:tcW w:type="dxa" w:w="1169"/>
          </w:tcPr>
          <w:p>
            <w:r>
              <w:rPr>
                <w:sz w:val="20"/>
              </w:rPr>
              <w:t>15-30 min</w:t>
            </w:r>
          </w:p>
        </w:tc>
        <w:tc>
          <w:tcPr>
            <w:tcW w:type="dxa" w:w="1169"/>
          </w:tcPr>
          <w:p>
            <w:r>
              <w:rPr>
                <w:sz w:val="20"/>
              </w:rPr>
              <w:t>5-10 min</w:t>
            </w:r>
          </w:p>
        </w:tc>
        <w:tc>
          <w:tcPr>
            <w:tcW w:type="dxa" w:w="1169"/>
          </w:tcPr>
          <w:p>
            <w:r>
              <w:rPr>
                <w:sz w:val="20"/>
              </w:rPr>
              <w:t>15-30 min</w:t>
            </w:r>
          </w:p>
        </w:tc>
        <w:tc>
          <w:tcPr>
            <w:tcW w:type="dxa" w:w="1169"/>
          </w:tcPr>
          <w:p>
            <w:r>
              <w:rPr>
                <w:sz w:val="20"/>
              </w:rPr>
              <w:t>30-60 min</w:t>
            </w:r>
          </w:p>
        </w:tc>
        <w:tc>
          <w:tcPr>
            <w:tcW w:type="dxa" w:w="1169"/>
          </w:tcPr>
          <w:p>
            <w:r>
              <w:rPr>
                <w:sz w:val="20"/>
              </w:rPr>
              <w:t>30-60 min</w:t>
            </w:r>
          </w:p>
        </w:tc>
        <w:tc>
          <w:tcPr>
            <w:tcW w:type="dxa" w:w="1169"/>
          </w:tcPr>
          <w:p>
            <w:r>
              <w:rPr>
                <w:sz w:val="20"/>
              </w:rPr>
              <w:t>60-120 min</w:t>
            </w:r>
          </w:p>
        </w:tc>
      </w:tr>
      <w:tr>
        <w:tc>
          <w:tcPr>
            <w:tcW w:type="dxa" w:w="1169"/>
          </w:tcPr>
          <w:p>
            <w:r>
              <w:rPr>
                <w:sz w:val="20"/>
              </w:rPr>
              <w:t>**Demi-vie d'élimination**</w:t>
            </w:r>
          </w:p>
        </w:tc>
        <w:tc>
          <w:tcPr>
            <w:tcW w:type="dxa" w:w="1169"/>
          </w:tcPr>
          <w:p>
            <w:r>
              <w:rPr>
                <w:sz w:val="20"/>
              </w:rPr>
              <w:t>30-60 min</w:t>
            </w:r>
          </w:p>
        </w:tc>
        <w:tc>
          <w:tcPr>
            <w:tcW w:type="dxa" w:w="1169"/>
          </w:tcPr>
          <w:p>
            <w:r>
              <w:rPr>
                <w:sz w:val="20"/>
              </w:rPr>
              <w:t>5-12 h</w:t>
            </w:r>
          </w:p>
        </w:tc>
        <w:tc>
          <w:tcPr>
            <w:tcW w:type="dxa" w:w="1169"/>
          </w:tcPr>
          <w:p>
            <w:r>
              <w:rPr>
                <w:sz w:val="20"/>
              </w:rPr>
              <w:t>60-90 min</w:t>
            </w:r>
          </w:p>
        </w:tc>
        <w:tc>
          <w:tcPr>
            <w:tcW w:type="dxa" w:w="1169"/>
          </w:tcPr>
          <w:p>
            <w:r>
              <w:rPr>
                <w:sz w:val="20"/>
              </w:rPr>
              <w:t>2-3 h</w:t>
            </w:r>
          </w:p>
        </w:tc>
        <w:tc>
          <w:tcPr>
            <w:tcW w:type="dxa" w:w="1169"/>
          </w:tcPr>
          <w:p>
            <w:r>
              <w:rPr>
                <w:sz w:val="20"/>
              </w:rPr>
              <w:t>1,5-3 h</w:t>
            </w:r>
          </w:p>
        </w:tc>
        <w:tc>
          <w:tcPr>
            <w:tcW w:type="dxa" w:w="1169"/>
          </w:tcPr>
          <w:p>
            <w:r>
              <w:rPr>
                <w:sz w:val="20"/>
              </w:rPr>
              <w:t>Variable (exhalation)</w:t>
            </w:r>
          </w:p>
        </w:tc>
        <w:tc>
          <w:tcPr>
            <w:tcW w:type="dxa" w:w="1169"/>
          </w:tcPr>
          <w:p>
            <w:r>
              <w:rPr>
                <w:sz w:val="20"/>
              </w:rPr>
              <w:t>Variable (exhalation)</w:t>
            </w:r>
          </w:p>
        </w:tc>
      </w:tr>
      <w:tr>
        <w:tc>
          <w:tcPr>
            <w:tcW w:type="dxa" w:w="1169"/>
          </w:tcPr>
          <w:p>
            <w:r>
              <w:rPr>
                <w:sz w:val="20"/>
              </w:rPr>
              <w:t>**CAM (adulte)**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1,8 %</w:t>
            </w:r>
          </w:p>
        </w:tc>
        <w:tc>
          <w:tcPr>
            <w:tcW w:type="dxa" w:w="1169"/>
          </w:tcPr>
          <w:p>
            <w:r>
              <w:rPr>
                <w:sz w:val="20"/>
              </w:rPr>
              <w:t>1,15 %</w:t>
            </w:r>
          </w:p>
        </w:tc>
      </w:tr>
      <w:tr>
        <w:tc>
          <w:tcPr>
            <w:tcW w:type="dxa" w:w="1169"/>
          </w:tcPr>
          <w:p>
            <w:r>
              <w:rPr>
                <w:sz w:val="20"/>
              </w:rPr>
              <w:t>**Coefficient λ sang/gaz**</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0,65</w:t>
            </w:r>
          </w:p>
        </w:tc>
        <w:tc>
          <w:tcPr>
            <w:tcW w:type="dxa" w:w="1169"/>
          </w:tcPr>
          <w:p>
            <w:r>
              <w:rPr>
                <w:sz w:val="20"/>
              </w:rPr>
              <w:t>1,4</w:t>
            </w:r>
          </w:p>
        </w:tc>
      </w:tr>
      <w:tr>
        <w:tc>
          <w:tcPr>
            <w:tcW w:type="dxa" w:w="1169"/>
          </w:tcPr>
          <w:p>
            <w:r>
              <w:rPr>
                <w:sz w:val="20"/>
              </w:rPr>
              <w:t>**Voie d'administration**</w:t>
            </w:r>
          </w:p>
        </w:tc>
        <w:tc>
          <w:tcPr>
            <w:tcW w:type="dxa" w:w="1169"/>
          </w:tcPr>
          <w:p>
            <w:r>
              <w:rPr>
                <w:sz w:val="20"/>
              </w:rPr>
              <w:t>IV</w:t>
            </w:r>
          </w:p>
        </w:tc>
        <w:tc>
          <w:tcPr>
            <w:tcW w:type="dxa" w:w="1169"/>
          </w:tcPr>
          <w:p>
            <w:r>
              <w:rPr>
                <w:sz w:val="20"/>
              </w:rPr>
              <w:t>IV</w:t>
            </w:r>
          </w:p>
        </w:tc>
        <w:tc>
          <w:tcPr>
            <w:tcW w:type="dxa" w:w="1169"/>
          </w:tcPr>
          <w:p>
            <w:r>
              <w:rPr>
                <w:sz w:val="20"/>
              </w:rPr>
              <w:t>IV</w:t>
            </w:r>
          </w:p>
        </w:tc>
        <w:tc>
          <w:tcPr>
            <w:tcW w:type="dxa" w:w="1169"/>
          </w:tcPr>
          <w:p>
            <w:r>
              <w:rPr>
                <w:sz w:val="20"/>
              </w:rPr>
              <w:t>IV, IM, SC</w:t>
            </w:r>
          </w:p>
        </w:tc>
        <w:tc>
          <w:tcPr>
            <w:tcW w:type="dxa" w:w="1169"/>
          </w:tcPr>
          <w:p>
            <w:r>
              <w:rPr>
                <w:sz w:val="20"/>
              </w:rPr>
              <w:t>IV, IM, rectale</w:t>
            </w:r>
          </w:p>
        </w:tc>
        <w:tc>
          <w:tcPr>
            <w:tcW w:type="dxa" w:w="1169"/>
          </w:tcPr>
          <w:p>
            <w:r>
              <w:rPr>
                <w:sz w:val="20"/>
              </w:rPr>
              <w:t>Inhalation</w:t>
            </w:r>
          </w:p>
        </w:tc>
        <w:tc>
          <w:tcPr>
            <w:tcW w:type="dxa" w:w="1169"/>
          </w:tcPr>
          <w:p>
            <w:r>
              <w:rPr>
                <w:sz w:val="20"/>
              </w:rPr>
              <w:t>Inhalation</w:t>
            </w:r>
          </w:p>
        </w:tc>
      </w:tr>
      <w:tr>
        <w:tc>
          <w:tcPr>
            <w:tcW w:type="dxa" w:w="1169"/>
          </w:tcPr>
          <w:p>
            <w:r>
              <w:rPr>
                <w:sz w:val="20"/>
              </w:rPr>
              <w:t>**Dose d'induction adulte**</w:t>
            </w:r>
          </w:p>
        </w:tc>
        <w:tc>
          <w:tcPr>
            <w:tcW w:type="dxa" w:w="1169"/>
          </w:tcPr>
          <w:p>
            <w:r>
              <w:rPr>
                <w:sz w:val="20"/>
              </w:rPr>
              <w:t>1,5-2,5 mg/kg IV</w:t>
            </w:r>
          </w:p>
        </w:tc>
        <w:tc>
          <w:tcPr>
            <w:tcW w:type="dxa" w:w="1169"/>
          </w:tcPr>
          <w:p>
            <w:r>
              <w:rPr>
                <w:sz w:val="20"/>
              </w:rPr>
              <w:t>3-5 mg/kg IV</w:t>
            </w:r>
          </w:p>
        </w:tc>
        <w:tc>
          <w:tcPr>
            <w:tcW w:type="dxa" w:w="1169"/>
          </w:tcPr>
          <w:p>
            <w:r>
              <w:rPr>
                <w:sz w:val="20"/>
              </w:rPr>
              <w:t>0,2-0,3 mg/kg IV</w:t>
            </w:r>
          </w:p>
        </w:tc>
        <w:tc>
          <w:tcPr>
            <w:tcW w:type="dxa" w:w="1169"/>
          </w:tcPr>
          <w:p>
            <w:r>
              <w:rPr>
                <w:sz w:val="20"/>
              </w:rPr>
              <w:t>1-2 mg/kg IV</w:t>
            </w:r>
          </w:p>
        </w:tc>
        <w:tc>
          <w:tcPr>
            <w:tcW w:type="dxa" w:w="1169"/>
          </w:tcPr>
          <w:p>
            <w:r>
              <w:rPr>
                <w:sz w:val="20"/>
              </w:rPr>
              <w:t>0,15-0,3 mg/kg IV (induction)</w:t>
            </w:r>
          </w:p>
        </w:tc>
        <w:tc>
          <w:tcPr>
            <w:tcW w:type="dxa" w:w="1169"/>
          </w:tcPr>
          <w:p>
            <w:r>
              <w:rPr>
                <w:sz w:val="20"/>
              </w:rPr>
              <w:t>4-8 % (induction masque)</w:t>
            </w:r>
          </w:p>
        </w:tc>
        <w:tc>
          <w:tcPr>
            <w:tcW w:type="dxa" w:w="1169"/>
          </w:tcPr>
          <w:p>
            <w:r>
              <w:rPr>
                <w:sz w:val="20"/>
              </w:rPr>
              <w:t>1-2,5 % (entretien)</w:t>
            </w:r>
          </w:p>
        </w:tc>
      </w:tr>
      <w:tr>
        <w:tc>
          <w:tcPr>
            <w:tcW w:type="dxa" w:w="1169"/>
          </w:tcPr>
          <w:p>
            <w:r>
              <w:rPr>
                <w:sz w:val="20"/>
              </w:rPr>
              <w:t>**Stabilité hémodynamique**</w:t>
            </w:r>
          </w:p>
        </w:tc>
        <w:tc>
          <w:tcPr>
            <w:tcW w:type="dxa" w:w="1169"/>
          </w:tcPr>
          <w:p>
            <w:r>
              <w:rPr>
                <w:sz w:val="20"/>
              </w:rPr>
              <w:t>↓↓ PAM</w:t>
            </w:r>
          </w:p>
        </w:tc>
        <w:tc>
          <w:tcPr>
            <w:tcW w:type="dxa" w:w="1169"/>
          </w:tcPr>
          <w:p>
            <w:r>
              <w:rPr>
                <w:sz w:val="20"/>
              </w:rPr>
              <w:t>↓↓ PAM</w:t>
            </w:r>
          </w:p>
        </w:tc>
        <w:tc>
          <w:tcPr>
            <w:tcW w:type="dxa" w:w="1169"/>
          </w:tcPr>
          <w:p>
            <w:r>
              <w:rPr>
                <w:sz w:val="20"/>
              </w:rPr>
              <w:t>Stable (avantage)</w:t>
            </w:r>
          </w:p>
        </w:tc>
        <w:tc>
          <w:tcPr>
            <w:tcW w:type="dxa" w:w="1169"/>
          </w:tcPr>
          <w:p>
            <w:r>
              <w:rPr>
                <w:sz w:val="20"/>
              </w:rPr>
              <w:t>↑ PAM (avantage chez instable)</w:t>
            </w:r>
          </w:p>
        </w:tc>
        <w:tc>
          <w:tcPr>
            <w:tcW w:type="dxa" w:w="1169"/>
          </w:tcPr>
          <w:p>
            <w:r>
              <w:rPr>
                <w:sz w:val="20"/>
              </w:rPr>
              <w:t>↓ PAM</w:t>
            </w:r>
          </w:p>
        </w:tc>
        <w:tc>
          <w:tcPr>
            <w:tcW w:type="dxa" w:w="1169"/>
          </w:tcPr>
          <w:p>
            <w:r>
              <w:rPr>
                <w:sz w:val="20"/>
              </w:rPr>
              <w:t>↓ PAM</w:t>
            </w:r>
          </w:p>
        </w:tc>
        <w:tc>
          <w:tcPr>
            <w:tcW w:type="dxa" w:w="1169"/>
          </w:tcPr>
          <w:p>
            <w:r>
              <w:rPr>
                <w:sz w:val="20"/>
              </w:rPr>
              <w:t>↓ PAM</w:t>
            </w:r>
          </w:p>
        </w:tc>
      </w:tr>
      <w:tr>
        <w:tc>
          <w:tcPr>
            <w:tcW w:type="dxa" w:w="1169"/>
          </w:tcPr>
          <w:p>
            <w:r>
              <w:rPr>
                <w:sz w:val="20"/>
              </w:rPr>
              <w:t>**Dépression respiratoire**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(préservation)</w:t>
            </w:r>
          </w:p>
        </w:tc>
        <w:tc>
          <w:tcPr>
            <w:tcW w:type="dxa" w:w="1169"/>
          </w:tcPr>
          <w:p>
            <w:r>
              <w:rPr>
                <w:sz w:val="20"/>
              </w:rPr>
              <w:t>++ (potentialisation opioïdes)</w:t>
            </w:r>
          </w:p>
        </w:tc>
        <w:tc>
          <w:tcPr>
            <w:tcW w:type="dxa" w:w="1169"/>
          </w:tcPr>
          <w:p>
            <w:r>
              <w:rPr>
                <w:sz w:val="20"/>
              </w:rPr>
              <w:t>++</w:t>
            </w:r>
          </w:p>
        </w:tc>
        <w:tc>
          <w:tcPr>
            <w:tcW w:type="dxa" w:w="1169"/>
          </w:tcPr>
          <w:p>
            <w:r>
              <w:rPr>
                <w:sz w:val="20"/>
              </w:rPr>
              <w:t>++</w:t>
            </w:r>
          </w:p>
        </w:tc>
      </w:tr>
      <w:tr>
        <w:tc>
          <w:tcPr>
            <w:tcW w:type="dxa" w:w="1169"/>
          </w:tcPr>
          <w:p>
            <w:r>
              <w:rPr>
                <w:sz w:val="20"/>
              </w:rPr>
              <w:t>**Effet analgésique**</w:t>
            </w:r>
          </w:p>
        </w:tc>
        <w:tc>
          <w:tcPr>
            <w:tcW w:type="dxa" w:w="1169"/>
          </w:tcPr>
          <w:p>
            <w:r>
              <w:rPr>
                <w:sz w:val="20"/>
              </w:rPr>
              <w:t>—</w:t>
            </w:r>
          </w:p>
        </w:tc>
        <w:tc>
          <w:tcPr>
            <w:tcW w:type="dxa" w:w="1169"/>
          </w:tcPr>
          <w:p>
            <w:r>
              <w:rPr>
                <w:sz w:val="20"/>
              </w:rPr>
              <w:t>— (anti-analgésique)</w:t>
            </w:r>
          </w:p>
        </w:tc>
        <w:tc>
          <w:tcPr>
            <w:tcW w:type="dxa" w:w="1169"/>
          </w:tcPr>
          <w:p>
            <w:r>
              <w:rPr>
                <w:sz w:val="20"/>
              </w:rPr>
              <w:t>—</w:t>
            </w:r>
          </w:p>
        </w:tc>
        <w:tc>
          <w:tcPr>
            <w:tcW w:type="dxa" w:w="1169"/>
          </w:tcPr>
          <w:p>
            <w:r>
              <w:rPr>
                <w:sz w:val="20"/>
              </w:rPr>
              <w:t>+++ (puissant)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**Effet amnésiant**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(antérograde)</w:t>
            </w:r>
          </w:p>
        </w:tc>
        <w:tc>
          <w:tcPr>
            <w:tcW w:type="dxa" w:w="1169"/>
          </w:tcPr>
          <w:p>
            <w:r>
              <w:rPr>
                <w:sz w:val="20"/>
              </w:rPr>
              <w:t>+</w:t>
            </w:r>
          </w:p>
        </w:tc>
        <w:tc>
          <w:tcPr>
            <w:tcW w:type="dxa" w:w="1169"/>
          </w:tcPr>
          <w:p>
            <w:r>
              <w:rPr>
                <w:sz w:val="20"/>
              </w:rPr>
              <w:t>+</w:t>
            </w:r>
          </w:p>
        </w:tc>
      </w:tr>
      <w:tr>
        <w:tc>
          <w:tcPr>
            <w:tcW w:type="dxa" w:w="1169"/>
          </w:tcPr>
          <w:p>
            <w:r>
              <w:rPr>
                <w:sz w:val="20"/>
              </w:rPr>
              <w:t>**Effet anticonvulsivant**</w:t>
            </w:r>
          </w:p>
        </w:tc>
        <w:tc>
          <w:tcPr>
            <w:tcW w:type="dxa" w:w="1169"/>
          </w:tcPr>
          <w:p>
            <w:r>
              <w:rPr>
                <w:sz w:val="20"/>
              </w:rPr>
              <w:t>—</w:t>
            </w:r>
          </w:p>
        </w:tc>
        <w:tc>
          <w:tcPr>
            <w:tcW w:type="dxa" w:w="1169"/>
          </w:tcPr>
          <w:p>
            <w:r>
              <w:rPr>
                <w:sz w:val="20"/>
              </w:rPr>
              <w:t>+++ (status epilepticus)</w:t>
            </w:r>
          </w:p>
        </w:tc>
        <w:tc>
          <w:tcPr>
            <w:tcW w:type="dxa" w:w="1169"/>
          </w:tcPr>
          <w:p>
            <w:r>
              <w:rPr>
                <w:sz w:val="20"/>
              </w:rPr>
              <w:t>—</w:t>
            </w:r>
          </w:p>
        </w:tc>
        <w:tc>
          <w:tcPr>
            <w:tcW w:type="dxa" w:w="1169"/>
          </w:tcPr>
          <w:p>
            <w:r>
              <w:rPr>
                <w:sz w:val="20"/>
              </w:rPr>
              <w:t>—</w:t>
            </w:r>
          </w:p>
        </w:tc>
        <w:tc>
          <w:tcPr>
            <w:tcW w:type="dxa" w:w="1169"/>
          </w:tcPr>
          <w:p>
            <w:r>
              <w:rPr>
                <w:sz w:val="20"/>
              </w:rPr>
              <w:t>+++ (status epilepticus)</w:t>
            </w:r>
          </w:p>
        </w:tc>
        <w:tc>
          <w:tcPr>
            <w:tcW w:type="dxa" w:w="1169"/>
          </w:tcPr>
          <w:p>
            <w:r>
              <w:rPr>
                <w:sz w:val="20"/>
              </w:rPr>
              <w:t>—</w:t>
            </w:r>
          </w:p>
        </w:tc>
        <w:tc>
          <w:tcPr>
            <w:tcW w:type="dxa" w:w="1169"/>
          </w:tcPr>
          <w:p>
            <w:r>
              <w:rPr>
                <w:sz w:val="20"/>
              </w:rPr>
              <w:t>—</w:t>
            </w:r>
          </w:p>
        </w:tc>
      </w:tr>
      <w:tr>
        <w:tc>
          <w:tcPr>
            <w:tcW w:type="dxa" w:w="1169"/>
          </w:tcPr>
          <w:p>
            <w:r>
              <w:rPr>
                <w:sz w:val="20"/>
              </w:rPr>
              <w:t>**Effet bronchodilatateur**</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(asthme)</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**Effet sur la PIC**</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(à éviter)</w:t>
            </w:r>
          </w:p>
        </w:tc>
        <w:tc>
          <w:tcPr>
            <w:tcW w:type="dxa" w:w="1169"/>
          </w:tcPr>
          <w:p>
            <w:r>
              <w:rPr>
                <w:sz w:val="20"/>
              </w:rPr>
              <w:t>—</w:t>
            </w:r>
          </w:p>
        </w:tc>
        <w:tc>
          <w:tcPr>
            <w:tcW w:type="dxa" w:w="1169"/>
          </w:tcPr>
          <w:p>
            <w:r>
              <w:rPr>
                <w:sz w:val="20"/>
              </w:rPr>
              <w:t>↑ (à éviter en normocapnie)</w:t>
            </w:r>
          </w:p>
        </w:tc>
        <w:tc>
          <w:tcPr>
            <w:tcW w:type="dxa" w:w="1169"/>
          </w:tcPr>
          <w:p>
            <w:r>
              <w:rPr>
                <w:sz w:val="20"/>
              </w:rPr>
              <w:t>↑ (à éviter en normocapnie)</w:t>
            </w:r>
          </w:p>
        </w:tc>
      </w:tr>
      <w:tr>
        <w:tc>
          <w:tcPr>
            <w:tcW w:type="dxa" w:w="1169"/>
          </w:tcPr>
          <w:p>
            <w:r>
              <w:rPr>
                <w:sz w:val="20"/>
              </w:rPr>
              <w:t>**Effet sur la CMRO2**</w:t>
            </w:r>
          </w:p>
        </w:tc>
        <w:tc>
          <w:tcPr>
            <w:tcW w:type="dxa" w:w="1169"/>
          </w:tcPr>
          <w:p>
            <w:r>
              <w:rPr>
                <w:sz w:val="20"/>
              </w:rPr>
              <w:t>↓</w:t>
            </w:r>
          </w:p>
        </w:tc>
        <w:tc>
          <w:tcPr>
            <w:tcW w:type="dxa" w:w="1169"/>
          </w:tcPr>
          <w:p>
            <w:r>
              <w:rPr>
                <w:sz w:val="20"/>
              </w:rPr>
              <w:t>↓↓ (neuroprotection)</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(neuroprotection)</w:t>
            </w:r>
          </w:p>
        </w:tc>
      </w:tr>
      <w:tr>
        <w:tc>
          <w:tcPr>
            <w:tcW w:type="dxa" w:w="1169"/>
          </w:tcPr>
          <w:p>
            <w:r>
              <w:rPr>
                <w:sz w:val="20"/>
              </w:rPr>
              <w:t>**Toxicité mitochondriale (PRIS)**</w:t>
            </w:r>
          </w:p>
        </w:tc>
        <w:tc>
          <w:tcPr>
            <w:tcW w:type="dxa" w:w="1169"/>
          </w:tcPr>
          <w:p>
            <w:r>
              <w:rPr>
                <w:sz w:val="20"/>
              </w:rPr>
              <w:t>+++ (rare mais grave)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**Insuffisance surrénale iatrogène**</w:t>
            </w:r>
          </w:p>
        </w:tc>
        <w:tc>
          <w:tcPr>
            <w:tcW w:type="dxa" w:w="1169"/>
          </w:tcPr>
          <w:p>
            <w:r>
              <w:rPr>
                <w:sz w:val="20"/>
              </w:rPr>
              <w:t>—</w:t>
            </w:r>
          </w:p>
        </w:tc>
        <w:tc>
          <w:tcPr>
            <w:tcW w:type="dxa" w:w="1169"/>
          </w:tcPr>
          <w:p>
            <w:r>
              <w:rPr>
                <w:sz w:val="20"/>
              </w:rPr>
              <w:t>—</w:t>
            </w:r>
          </w:p>
        </w:tc>
        <w:tc>
          <w:tcPr>
            <w:tcW w:type="dxa" w:w="1169"/>
          </w:tcPr>
          <w:p>
            <w:r>
              <w:rPr>
                <w:sz w:val="20"/>
              </w:rPr>
              <w:t>+++ (CI absolue)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r>
      <w:tr>
        <w:tc>
          <w:tcPr>
            <w:tcW w:type="dxa" w:w="1169"/>
          </w:tcPr>
          <w:p>
            <w:r>
              <w:rPr>
                <w:sz w:val="20"/>
              </w:rPr>
              <w:t>**Réactions d'émergence**</w:t>
            </w:r>
          </w:p>
        </w:tc>
        <w:tc>
          <w:tcPr>
            <w:tcW w:type="dxa" w:w="1169"/>
          </w:tcPr>
          <w:p>
            <w:r>
              <w:rPr>
                <w:sz w:val="20"/>
              </w:rPr>
              <w:t>—</w:t>
            </w:r>
          </w:p>
        </w:tc>
        <w:tc>
          <w:tcPr>
            <w:tcW w:type="dxa" w:w="1169"/>
          </w:tcPr>
          <w:p>
            <w:r>
              <w:rPr>
                <w:sz w:val="20"/>
              </w:rPr>
              <w:t>—</w:t>
            </w:r>
          </w:p>
        </w:tc>
        <w:tc>
          <w:tcPr>
            <w:tcW w:type="dxa" w:w="1169"/>
          </w:tcPr>
          <w:p>
            <w:r>
              <w:rPr>
                <w:sz w:val="20"/>
              </w:rPr>
              <w:t>Myoclonies</w:t>
            </w:r>
          </w:p>
        </w:tc>
        <w:tc>
          <w:tcPr>
            <w:tcW w:type="dxa" w:w="1169"/>
          </w:tcPr>
          <w:p>
            <w:r>
              <w:rPr>
                <w:sz w:val="20"/>
              </w:rPr>
              <w:t>+++ (hallucinations)</w:t>
            </w:r>
          </w:p>
        </w:tc>
        <w:tc>
          <w:tcPr>
            <w:tcW w:type="dxa" w:w="1169"/>
          </w:tcPr>
          <w:p>
            <w:r>
              <w:rPr>
                <w:sz w:val="20"/>
              </w:rPr>
              <w:t>—</w:t>
            </w:r>
          </w:p>
        </w:tc>
        <w:tc>
          <w:tcPr>
            <w:tcW w:type="dxa" w:w="1169"/>
          </w:tcPr>
          <w:p>
            <w:r>
              <w:rPr>
                <w:sz w:val="20"/>
              </w:rPr>
              <w:t>Agitation enfant</w:t>
            </w:r>
          </w:p>
        </w:tc>
        <w:tc>
          <w:tcPr>
            <w:tcW w:type="dxa" w:w="1169"/>
          </w:tcPr>
          <w:p>
            <w:r>
              <w:rPr>
                <w:sz w:val="20"/>
              </w:rPr>
              <w:t>—</w:t>
            </w:r>
          </w:p>
        </w:tc>
      </w:tr>
      <w:tr>
        <w:tc>
          <w:tcPr>
            <w:tcW w:type="dxa" w:w="1169"/>
          </w:tcPr>
          <w:p>
            <w:r>
              <w:rPr>
                <w:sz w:val="20"/>
              </w:rPr>
              <w:t>**Hépatite immune**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(rare)</w:t>
            </w:r>
          </w:p>
        </w:tc>
        <w:tc>
          <w:tcPr>
            <w:tcW w:type="dxa" w:w="1169"/>
          </w:tcPr>
          <w:p>
            <w:r>
              <w:rPr>
                <w:sz w:val="20"/>
              </w:rPr>
              <w:t>+++ (rare)</w:t>
            </w:r>
          </w:p>
        </w:tc>
      </w:tr>
      <w:tr>
        <w:tc>
          <w:tcPr>
            <w:tcW w:type="dxa" w:w="1169"/>
          </w:tcPr>
          <w:p>
            <w:r>
              <w:rPr>
                <w:sz w:val="20"/>
              </w:rPr>
              <w:t>**Hyperthermie maligne**</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Non</w:t>
            </w:r>
          </w:p>
        </w:tc>
        <w:tc>
          <w:tcPr>
            <w:tcW w:type="dxa" w:w="1169"/>
          </w:tcPr>
          <w:p>
            <w:r>
              <w:rPr>
                <w:sz w:val="20"/>
              </w:rPr>
              <w:t>Oui (déclencheur)</w:t>
            </w:r>
          </w:p>
        </w:tc>
        <w:tc>
          <w:tcPr>
            <w:tcW w:type="dxa" w:w="1169"/>
          </w:tcPr>
          <w:p>
            <w:r>
              <w:rPr>
                <w:sz w:val="20"/>
              </w:rPr>
              <w:t>Oui (déclencheur)</w:t>
            </w:r>
          </w:p>
        </w:tc>
      </w:tr>
      <w:tr>
        <w:tc>
          <w:tcPr>
            <w:tcW w:type="dxa" w:w="1169"/>
          </w:tcPr>
          <w:p>
            <w:r>
              <w:rPr>
                <w:sz w:val="20"/>
              </w:rPr>
              <w:t>**Duchenne (hyperkaliémie maligne)**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(CI relative absolue)</w:t>
            </w:r>
          </w:p>
        </w:tc>
        <w:tc>
          <w:tcPr>
            <w:tcW w:type="dxa" w:w="1169"/>
          </w:tcPr>
          <w:p>
            <w:r>
              <w:rPr>
                <w:sz w:val="20"/>
              </w:rPr>
              <w:t>— (prudence)</w:t>
            </w:r>
          </w:p>
        </w:tc>
      </w:tr>
      <w:tr>
        <w:tc>
          <w:tcPr>
            <w:tcW w:type="dxa" w:w="1169"/>
          </w:tcPr>
          <w:p>
            <w:r>
              <w:rPr>
                <w:sz w:val="20"/>
              </w:rPr>
              <w:t>**Neurotoxicité enfant &lt; 3 ans**</w:t>
            </w:r>
          </w:p>
        </w:tc>
        <w:tc>
          <w:tcPr>
            <w:tcW w:type="dxa" w:w="1169"/>
          </w:tcPr>
          <w:p>
            <w:r>
              <w:rPr>
                <w:sz w:val="20"/>
              </w:rPr>
              <w:t>+ (prudence)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(prudence)</w:t>
            </w:r>
          </w:p>
        </w:tc>
        <w:tc>
          <w:tcPr>
            <w:tcW w:type="dxa" w:w="1169"/>
          </w:tcPr>
          <w:p>
            <w:r>
              <w:rPr>
                <w:sz w:val="20"/>
              </w:rPr>
              <w:t>+++ (FDA warning 2017)</w:t>
            </w:r>
          </w:p>
        </w:tc>
        <w:tc>
          <w:tcPr>
            <w:tcW w:type="dxa" w:w="1169"/>
          </w:tcPr>
          <w:p>
            <w:r>
              <w:rPr>
                <w:sz w:val="20"/>
              </w:rPr>
              <w:t>+++ (FDA warning 2017)</w:t>
            </w:r>
          </w:p>
        </w:tc>
      </w:tr>
      <w:tr>
        <w:tc>
          <w:tcPr>
            <w:tcW w:type="dxa" w:w="1169"/>
          </w:tcPr>
          <w:p>
            <w:r>
              <w:rPr>
                <w:sz w:val="20"/>
              </w:rPr>
              <w:t>**Vol coronarien**</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 (CI relative absolue coronarien)</w:t>
            </w:r>
          </w:p>
        </w:tc>
      </w:tr>
      <w:tr>
        <w:tc>
          <w:tcPr>
            <w:tcW w:type="dxa" w:w="1169"/>
          </w:tcPr>
          <w:p>
            <w:r>
              <w:rPr>
                <w:sz w:val="20"/>
              </w:rPr>
              <w:t>**Contre-indication porphyrie**</w:t>
            </w:r>
          </w:p>
        </w:tc>
        <w:tc>
          <w:tcPr>
            <w:tcW w:type="dxa" w:w="1169"/>
          </w:tcPr>
          <w:p>
            <w:r>
              <w:rPr>
                <w:sz w:val="20"/>
              </w:rPr>
              <w:t>Non (sûr)</w:t>
            </w:r>
          </w:p>
        </w:tc>
        <w:tc>
          <w:tcPr>
            <w:tcW w:type="dxa" w:w="1169"/>
          </w:tcPr>
          <w:p>
            <w:r>
              <w:rPr>
                <w:sz w:val="20"/>
              </w:rPr>
              <w:t>Oui (CI absolue)</w:t>
            </w:r>
          </w:p>
        </w:tc>
        <w:tc>
          <w:tcPr>
            <w:tcW w:type="dxa" w:w="1169"/>
          </w:tcPr>
          <w:p>
            <w:r>
              <w:rPr>
                <w:sz w:val="20"/>
              </w:rPr>
              <w:t>Non (généralement sûr)</w:t>
            </w:r>
          </w:p>
        </w:tc>
        <w:tc>
          <w:tcPr>
            <w:tcW w:type="dxa" w:w="1169"/>
          </w:tcPr>
          <w:p>
            <w:r>
              <w:rPr>
                <w:sz w:val="20"/>
              </w:rPr>
              <w:t>Non</w:t>
            </w:r>
          </w:p>
        </w:tc>
        <w:tc>
          <w:tcPr>
            <w:tcW w:type="dxa" w:w="1169"/>
          </w:tcPr>
          <w:p>
            <w:r>
              <w:rPr>
                <w:sz w:val="20"/>
              </w:rPr>
              <w:t>Non</w:t>
            </w:r>
          </w:p>
        </w:tc>
        <w:tc>
          <w:tcPr>
            <w:tcW w:type="dxa" w:w="1169"/>
          </w:tcPr>
          <w:p>
            <w:r>
              <w:rPr>
                <w:sz w:val="20"/>
              </w:rPr>
              <w:t>Non (généralement sûr)</w:t>
            </w:r>
          </w:p>
        </w:tc>
        <w:tc>
          <w:tcPr>
            <w:tcW w:type="dxa" w:w="1169"/>
          </w:tcPr>
          <w:p>
            <w:r>
              <w:rPr>
                <w:sz w:val="20"/>
              </w:rPr>
              <w:t>Non (généralement sûr)</w:t>
            </w:r>
          </w:p>
        </w:tc>
      </w:tr>
      <w:tr>
        <w:tc>
          <w:tcPr>
            <w:tcW w:type="dxa" w:w="1169"/>
          </w:tcPr>
          <w:p>
            <w:r>
              <w:rPr>
                <w:sz w:val="20"/>
              </w:rPr>
              <w:t>**Grossesse (CRAT)**</w:t>
            </w:r>
          </w:p>
        </w:tc>
        <w:tc>
          <w:tcPr>
            <w:tcW w:type="dxa" w:w="1169"/>
          </w:tcPr>
          <w:p>
            <w:r>
              <w:rPr>
                <w:sz w:val="20"/>
              </w:rPr>
              <w:t>Compatible</w:t>
            </w:r>
          </w:p>
        </w:tc>
        <w:tc>
          <w:tcPr>
            <w:tcW w:type="dxa" w:w="1169"/>
          </w:tcPr>
          <w:p>
            <w:r>
              <w:rPr>
                <w:sz w:val="20"/>
              </w:rPr>
              <w:t>Compatible (césarienne urgente)</w:t>
            </w:r>
          </w:p>
        </w:tc>
        <w:tc>
          <w:tcPr>
            <w:tcW w:type="dxa" w:w="1169"/>
          </w:tcPr>
          <w:p>
            <w:r>
              <w:rPr>
                <w:sz w:val="20"/>
              </w:rPr>
              <w:t>Compatible en urgence</w:t>
            </w:r>
          </w:p>
        </w:tc>
        <w:tc>
          <w:tcPr>
            <w:tcW w:type="dxa" w:w="1169"/>
          </w:tcPr>
          <w:p>
            <w:r>
              <w:rPr>
                <w:sz w:val="20"/>
              </w:rPr>
              <w:t>Compatible en urgence</w:t>
            </w:r>
          </w:p>
        </w:tc>
        <w:tc>
          <w:tcPr>
            <w:tcW w:type="dxa" w:w="1169"/>
          </w:tcPr>
          <w:p>
            <w:r>
              <w:rPr>
                <w:sz w:val="20"/>
              </w:rPr>
              <w:t>À éviter 1er trimestre</w:t>
            </w:r>
          </w:p>
        </w:tc>
        <w:tc>
          <w:tcPr>
            <w:tcW w:type="dxa" w:w="1169"/>
          </w:tcPr>
          <w:p>
            <w:r>
              <w:rPr>
                <w:sz w:val="20"/>
              </w:rPr>
              <w:t>Compatible (césarienne &lt; 1 CAM)</w:t>
            </w:r>
          </w:p>
        </w:tc>
        <w:tc>
          <w:tcPr>
            <w:tcW w:type="dxa" w:w="1169"/>
          </w:tcPr>
          <w:p>
            <w:r>
              <w:rPr>
                <w:sz w:val="20"/>
              </w:rPr>
              <w:t>Compatible (césarienne &lt; 1 CAM)</w:t>
            </w:r>
          </w:p>
        </w:tc>
      </w:tr>
      <w:tr>
        <w:tc>
          <w:tcPr>
            <w:tcW w:type="dxa" w:w="1169"/>
          </w:tcPr>
          <w:p>
            <w:r>
              <w:rPr>
                <w:sz w:val="20"/>
              </w:rPr>
              <w:t>**Allaitement**</w:t>
            </w:r>
          </w:p>
        </w:tc>
        <w:tc>
          <w:tcPr>
            <w:tcW w:type="dxa" w:w="1169"/>
          </w:tcPr>
          <w:p>
            <w:r>
              <w:rPr>
                <w:sz w:val="20"/>
              </w:rPr>
              <w:t>Compatible après 4 h</w:t>
            </w:r>
          </w:p>
        </w:tc>
        <w:tc>
          <w:tcPr>
            <w:tcW w:type="dxa" w:w="1169"/>
          </w:tcPr>
          <w:p>
            <w:r>
              <w:rPr>
                <w:sz w:val="20"/>
              </w:rPr>
              <w:t>Compatible après 4-6 h</w:t>
            </w:r>
          </w:p>
        </w:tc>
        <w:tc>
          <w:tcPr>
            <w:tcW w:type="dxa" w:w="1169"/>
          </w:tcPr>
          <w:p>
            <w:r>
              <w:rPr>
                <w:sz w:val="20"/>
              </w:rPr>
              <w:t>Compatible après 4-6 h</w:t>
            </w:r>
          </w:p>
        </w:tc>
        <w:tc>
          <w:tcPr>
            <w:tcW w:type="dxa" w:w="1169"/>
          </w:tcPr>
          <w:p>
            <w:r>
              <w:rPr>
                <w:sz w:val="20"/>
              </w:rPr>
              <w:t>Compatible après 4-6 h</w:t>
            </w:r>
          </w:p>
        </w:tc>
        <w:tc>
          <w:tcPr>
            <w:tcW w:type="dxa" w:w="1169"/>
          </w:tcPr>
          <w:p>
            <w:r>
              <w:rPr>
                <w:sz w:val="20"/>
              </w:rPr>
              <w:t>Compatible après 4-6 h</w:t>
            </w:r>
          </w:p>
        </w:tc>
        <w:tc>
          <w:tcPr>
            <w:tcW w:type="dxa" w:w="1169"/>
          </w:tcPr>
          <w:p>
            <w:r>
              <w:rPr>
                <w:sz w:val="20"/>
              </w:rPr>
              <w:t>Compatible après 4 h</w:t>
            </w:r>
          </w:p>
        </w:tc>
        <w:tc>
          <w:tcPr>
            <w:tcW w:type="dxa" w:w="1169"/>
          </w:tcPr>
          <w:p>
            <w:r>
              <w:rPr>
                <w:sz w:val="20"/>
              </w:rPr>
              <w:t>Compatible après 4 h</w:t>
            </w:r>
          </w:p>
        </w:tc>
      </w:tr>
      <w:tr>
        <w:tc>
          <w:tcPr>
            <w:tcW w:type="dxa" w:w="1169"/>
          </w:tcPr>
          <w:p>
            <w:r>
              <w:rPr>
                <w:sz w:val="20"/>
              </w:rPr>
              <w:t>**Antidote spécifique**</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w:t>
            </w:r>
          </w:p>
        </w:tc>
        <w:tc>
          <w:tcPr>
            <w:tcW w:type="dxa" w:w="1169"/>
          </w:tcPr>
          <w:p>
            <w:r>
              <w:rPr>
                <w:sz w:val="20"/>
              </w:rPr>
              <w:t>Flumazénil (Anexate)</w:t>
            </w:r>
          </w:p>
        </w:tc>
        <w:tc>
          <w:tcPr>
            <w:tcW w:type="dxa" w:w="1169"/>
          </w:tcPr>
          <w:p>
            <w:r>
              <w:rPr>
                <w:sz w:val="20"/>
              </w:rPr>
              <w:t>Dantrolène (hyperthermie maligne)</w:t>
            </w:r>
          </w:p>
        </w:tc>
        <w:tc>
          <w:tcPr>
            <w:tcW w:type="dxa" w:w="1169"/>
          </w:tcPr>
          <w:p>
            <w:r>
              <w:rPr>
                <w:sz w:val="20"/>
              </w:rPr>
              <w:t>Dantrolène (hyperthermie maligne)</w:t>
            </w:r>
          </w:p>
        </w:tc>
      </w:tr>
      <w:tr>
        <w:tc>
          <w:tcPr>
            <w:tcW w:type="dxa" w:w="1169"/>
          </w:tcPr>
          <w:p>
            <w:r>
              <w:rPr>
                <w:sz w:val="20"/>
              </w:rPr>
              <w:t>**Liste algérienne**</w:t>
            </w:r>
          </w:p>
        </w:tc>
        <w:tc>
          <w:tcPr>
            <w:tcW w:type="dxa" w:w="1169"/>
          </w:tcPr>
          <w:p>
            <w:r>
              <w:rPr>
                <w:sz w:val="20"/>
              </w:rPr>
              <w:t>Liste I</w:t>
            </w:r>
          </w:p>
        </w:tc>
        <w:tc>
          <w:tcPr>
            <w:tcW w:type="dxa" w:w="1169"/>
          </w:tcPr>
          <w:p>
            <w:r>
              <w:rPr>
                <w:sz w:val="20"/>
              </w:rPr>
              <w:t>Liste II</w:t>
            </w:r>
          </w:p>
        </w:tc>
        <w:tc>
          <w:tcPr>
            <w:tcW w:type="dxa" w:w="1169"/>
          </w:tcPr>
          <w:p>
            <w:r>
              <w:rPr>
                <w:sz w:val="20"/>
              </w:rPr>
              <w:t>Liste I</w:t>
            </w:r>
          </w:p>
        </w:tc>
        <w:tc>
          <w:tcPr>
            <w:tcW w:type="dxa" w:w="1169"/>
          </w:tcPr>
          <w:p>
            <w:r>
              <w:rPr>
                <w:sz w:val="20"/>
              </w:rPr>
              <w:t>Liste I</w:t>
            </w:r>
          </w:p>
        </w:tc>
        <w:tc>
          <w:tcPr>
            <w:tcW w:type="dxa" w:w="1169"/>
          </w:tcPr>
          <w:p>
            <w:r>
              <w:rPr>
                <w:sz w:val="20"/>
              </w:rPr>
              <w:t>Liste I</w:t>
            </w:r>
          </w:p>
        </w:tc>
        <w:tc>
          <w:tcPr>
            <w:tcW w:type="dxa" w:w="1169"/>
          </w:tcPr>
          <w:p>
            <w:r>
              <w:rPr>
                <w:sz w:val="20"/>
              </w:rPr>
              <w:t>Liste I</w:t>
            </w:r>
          </w:p>
        </w:tc>
        <w:tc>
          <w:tcPr>
            <w:tcW w:type="dxa" w:w="1169"/>
          </w:tcPr>
          <w:p>
            <w:r>
              <w:rPr>
                <w:sz w:val="20"/>
              </w:rPr>
              <w:t>Liste I</w:t>
            </w:r>
          </w:p>
        </w:tc>
      </w:tr>
      <w:tr>
        <w:tc>
          <w:tcPr>
            <w:tcW w:type="dxa" w:w="1169"/>
          </w:tcPr>
          <w:p>
            <w:r>
              <w:rPr>
                <w:sz w:val="20"/>
              </w:rPr>
              <w:t>**Spécialités actives Algérie**</w:t>
            </w:r>
          </w:p>
        </w:tc>
        <w:tc>
          <w:tcPr>
            <w:tcW w:type="dxa" w:w="1169"/>
          </w:tcPr>
          <w:p>
            <w:r>
              <w:rPr>
                <w:sz w:val="20"/>
              </w:rPr>
              <w:t>3 (Propofol Fresenius, Propofol Kabi, Provive)</w:t>
            </w:r>
          </w:p>
        </w:tc>
        <w:tc>
          <w:tcPr>
            <w:tcW w:type="dxa" w:w="1169"/>
          </w:tcPr>
          <w:p>
            <w:r>
              <w:rPr>
                <w:sz w:val="20"/>
              </w:rPr>
              <w:t>2 (Thiopental Vuab 0,5 g et 1 g)</w:t>
            </w:r>
          </w:p>
        </w:tc>
        <w:tc>
          <w:tcPr>
            <w:tcW w:type="dxa" w:w="1169"/>
          </w:tcPr>
          <w:p>
            <w:r>
              <w:rPr>
                <w:sz w:val="20"/>
              </w:rPr>
              <w:t>1 (Hypnomidate Piramal)</w:t>
            </w:r>
          </w:p>
        </w:tc>
        <w:tc>
          <w:tcPr>
            <w:tcW w:type="dxa" w:w="1169"/>
          </w:tcPr>
          <w:p>
            <w:r>
              <w:rPr>
                <w:sz w:val="20"/>
              </w:rPr>
              <w:t>1 (Ketaraz Frater Razes)</w:t>
            </w:r>
          </w:p>
        </w:tc>
        <w:tc>
          <w:tcPr>
            <w:tcW w:type="dxa" w:w="1169"/>
          </w:tcPr>
          <w:p>
            <w:r>
              <w:rPr>
                <w:sz w:val="20"/>
              </w:rPr>
              <w:t>8 (Hikma, Hypnozolam, Ipnodis, Inpha-Medis, Mylan ×2, Sedalam El Kendi, Sedalam MS Pharma)</w:t>
            </w:r>
          </w:p>
        </w:tc>
        <w:tc>
          <w:tcPr>
            <w:tcW w:type="dxa" w:w="1169"/>
          </w:tcPr>
          <w:p>
            <w:r>
              <w:rPr>
                <w:sz w:val="20"/>
              </w:rPr>
              <w:t>4 (Haluran, Sevoflurane USP Baxter, Sevorane AbbVie, Sojourn Piramal)</w:t>
            </w:r>
          </w:p>
        </w:tc>
        <w:tc>
          <w:tcPr>
            <w:tcW w:type="dxa" w:w="1169"/>
          </w:tcPr>
          <w:p>
            <w:r>
              <w:rPr>
                <w:sz w:val="20"/>
              </w:rPr>
              <w:t>2 (Aerrane Baxter, Forene AbbVie)</w:t>
            </w:r>
          </w:p>
        </w:tc>
      </w:tr>
      <w:tr>
        <w:tc>
          <w:tcPr>
            <w:tcW w:type="dxa" w:w="1169"/>
          </w:tcPr>
          <w:p>
            <w:r>
              <w:rPr>
                <w:sz w:val="20"/>
              </w:rPr>
              <w:t>**Spécialités non renouvelables**</w:t>
            </w:r>
          </w:p>
        </w:tc>
        <w:tc>
          <w:tcPr>
            <w:tcW w:type="dxa" w:w="1169"/>
          </w:tcPr>
          <w:p>
            <w:r>
              <w:rPr>
                <w:sz w:val="20"/>
              </w:rPr>
              <w:t>1 (Recofol Schering)</w:t>
            </w:r>
          </w:p>
        </w:tc>
        <w:tc>
          <w:tcPr>
            <w:tcW w:type="dxa" w:w="1169"/>
          </w:tcPr>
          <w:p>
            <w:r>
              <w:rPr>
                <w:sz w:val="20"/>
              </w:rPr>
              <w:t>6 (Sandoz, Pharmadrug, Rotexmedica ×2, Biochemie)</w:t>
            </w:r>
          </w:p>
        </w:tc>
        <w:tc>
          <w:tcPr>
            <w:tcW w:type="dxa" w:w="1169"/>
          </w:tcPr>
          <w:p>
            <w:r>
              <w:rPr>
                <w:sz w:val="20"/>
              </w:rPr>
              <w:t>0</w:t>
            </w:r>
          </w:p>
        </w:tc>
        <w:tc>
          <w:tcPr>
            <w:tcW w:type="dxa" w:w="1169"/>
          </w:tcPr>
          <w:p>
            <w:r>
              <w:rPr>
                <w:sz w:val="20"/>
              </w:rPr>
              <w:t>2 (Ketamine-10 et 50 Liorad)</w:t>
            </w:r>
          </w:p>
        </w:tc>
        <w:tc>
          <w:tcPr>
            <w:tcW w:type="dxa" w:w="1169"/>
          </w:tcPr>
          <w:p>
            <w:r>
              <w:rPr>
                <w:sz w:val="20"/>
              </w:rPr>
              <w:t>0</w:t>
            </w:r>
          </w:p>
        </w:tc>
        <w:tc>
          <w:tcPr>
            <w:tcW w:type="dxa" w:w="1169"/>
          </w:tcPr>
          <w:p>
            <w:r>
              <w:rPr>
                <w:sz w:val="20"/>
              </w:rPr>
              <w:t>0</w:t>
            </w:r>
          </w:p>
        </w:tc>
        <w:tc>
          <w:tcPr>
            <w:tcW w:type="dxa" w:w="1169"/>
          </w:tcPr>
          <w:p>
            <w:r>
              <w:rPr>
                <w:sz w:val="20"/>
              </w:rPr>
              <w:t>0</w:t>
            </w:r>
          </w:p>
        </w:tc>
      </w:tr>
      <w:tr>
        <w:tc>
          <w:tcPr>
            <w:tcW w:type="dxa" w:w="1169"/>
          </w:tcPr>
          <w:p>
            <w:r>
              <w:rPr>
                <w:sz w:val="20"/>
              </w:rPr>
              <w:t>**Spécialités retirées**</w:t>
            </w:r>
          </w:p>
        </w:tc>
        <w:tc>
          <w:tcPr>
            <w:tcW w:type="dxa" w:w="1169"/>
          </w:tcPr>
          <w:p>
            <w:r>
              <w:rPr>
                <w:sz w:val="20"/>
              </w:rPr>
              <w:t>5 (Diprivan Zeneca ×3, Diprivan Aspen ×2)</w:t>
            </w:r>
          </w:p>
        </w:tc>
        <w:tc>
          <w:tcPr>
            <w:tcW w:type="dxa" w:w="1169"/>
          </w:tcPr>
          <w:p>
            <w:r>
              <w:rPr>
                <w:sz w:val="20"/>
              </w:rPr>
              <w:t>6 (Nesdonal ×2, Penthotal ×2, Thiosas ×2)</w:t>
            </w:r>
          </w:p>
        </w:tc>
        <w:tc>
          <w:tcPr>
            <w:tcW w:type="dxa" w:w="1169"/>
          </w:tcPr>
          <w:p>
            <w:r>
              <w:rPr>
                <w:sz w:val="20"/>
              </w:rPr>
              <w:t>0</w:t>
            </w:r>
          </w:p>
        </w:tc>
        <w:tc>
          <w:tcPr>
            <w:tcW w:type="dxa" w:w="1169"/>
          </w:tcPr>
          <w:p>
            <w:r>
              <w:rPr>
                <w:sz w:val="20"/>
              </w:rPr>
              <w:t>6 (Brevinase ×3, Ketalar ×3)</w:t>
            </w:r>
          </w:p>
        </w:tc>
        <w:tc>
          <w:tcPr>
            <w:tcW w:type="dxa" w:w="1169"/>
          </w:tcPr>
          <w:p>
            <w:r>
              <w:rPr>
                <w:sz w:val="20"/>
              </w:rPr>
              <w:t>1 (Dormicum Roche)</w:t>
            </w:r>
          </w:p>
        </w:tc>
        <w:tc>
          <w:tcPr>
            <w:tcW w:type="dxa" w:w="1169"/>
          </w:tcPr>
          <w:p>
            <w:r>
              <w:rPr>
                <w:sz w:val="20"/>
              </w:rPr>
              <w:t>1 (Sevoflurelle Chanelle)</w:t>
            </w:r>
          </w:p>
        </w:tc>
        <w:tc>
          <w:tcPr>
            <w:tcW w:type="dxa" w:w="1169"/>
          </w:tcPr>
          <w:p>
            <w:r>
              <w:rPr>
                <w:sz w:val="20"/>
              </w:rPr>
              <w:t>0</w:t>
            </w:r>
          </w:p>
        </w:tc>
      </w:tr>
      <w:tr>
        <w:tc>
          <w:tcPr>
            <w:tcW w:type="dxa" w:w="1169"/>
          </w:tcPr>
          <w:p>
            <w:r>
              <w:rPr>
                <w:sz w:val="20"/>
              </w:rPr>
              <w:t>**Production locale**</w:t>
            </w:r>
          </w:p>
        </w:tc>
        <w:tc>
          <w:tcPr>
            <w:tcW w:type="dxa" w:w="1169"/>
          </w:tcPr>
          <w:p>
            <w:r>
              <w:rPr>
                <w:sz w:val="20"/>
              </w:rPr>
              <w:t>Oui (Provive El Kendi)</w:t>
            </w:r>
          </w:p>
        </w:tc>
        <w:tc>
          <w:tcPr>
            <w:tcW w:type="dxa" w:w="1169"/>
          </w:tcPr>
          <w:p>
            <w:r>
              <w:rPr>
                <w:sz w:val="20"/>
              </w:rPr>
              <w:t>Non (historiquement Thiosas)</w:t>
            </w:r>
          </w:p>
        </w:tc>
        <w:tc>
          <w:tcPr>
            <w:tcW w:type="dxa" w:w="1169"/>
          </w:tcPr>
          <w:p>
            <w:r>
              <w:rPr>
                <w:sz w:val="20"/>
              </w:rPr>
              <w:t>Non</w:t>
            </w:r>
          </w:p>
        </w:tc>
        <w:tc>
          <w:tcPr>
            <w:tcW w:type="dxa" w:w="1169"/>
          </w:tcPr>
          <w:p>
            <w:r>
              <w:rPr>
                <w:sz w:val="20"/>
              </w:rPr>
              <w:t>Oui (Ketaraz Frater Razes)</w:t>
            </w:r>
          </w:p>
        </w:tc>
        <w:tc>
          <w:tcPr>
            <w:tcW w:type="dxa" w:w="1169"/>
          </w:tcPr>
          <w:p>
            <w:r>
              <w:rPr>
                <w:sz w:val="20"/>
              </w:rPr>
              <w:t>Oui (Hikma Algeria, Frater Razes, El Kendi, Inpha-Medis)</w:t>
            </w:r>
          </w:p>
        </w:tc>
        <w:tc>
          <w:tcPr>
            <w:tcW w:type="dxa" w:w="1169"/>
          </w:tcPr>
          <w:p>
            <w:r>
              <w:rPr>
                <w:sz w:val="20"/>
              </w:rPr>
              <w:t>Non</w:t>
            </w:r>
          </w:p>
        </w:tc>
        <w:tc>
          <w:tcPr>
            <w:tcW w:type="dxa" w:w="1169"/>
          </w:tcPr>
          <w:p>
            <w:r>
              <w:rPr>
                <w:sz w:val="20"/>
              </w:rPr>
              <w:t>Non</w:t>
            </w:r>
          </w:p>
        </w:tc>
      </w:tr>
      <w:tr>
        <w:tc>
          <w:tcPr>
            <w:tcW w:type="dxa" w:w="1169"/>
          </w:tcPr>
          <w:p>
            <w:r>
              <w:rPr>
                <w:sz w:val="20"/>
              </w:rPr>
              <w:t>**Formes galéniques**</w:t>
            </w:r>
          </w:p>
        </w:tc>
        <w:tc>
          <w:tcPr>
            <w:tcW w:type="dxa" w:w="1169"/>
          </w:tcPr>
          <w:p>
            <w:r>
              <w:rPr>
                <w:sz w:val="20"/>
              </w:rPr>
              <w:t>Émulsion lipidique 1 % en ampoules de 20 mL</w:t>
            </w:r>
          </w:p>
        </w:tc>
        <w:tc>
          <w:tcPr>
            <w:tcW w:type="dxa" w:w="1169"/>
          </w:tcPr>
          <w:p>
            <w:r>
              <w:rPr>
                <w:sz w:val="20"/>
              </w:rPr>
              <w:t>Poudre pour solution injectable 0,5 g et 1 g</w:t>
            </w:r>
          </w:p>
        </w:tc>
        <w:tc>
          <w:tcPr>
            <w:tcW w:type="dxa" w:w="1169"/>
          </w:tcPr>
          <w:p>
            <w:r>
              <w:rPr>
                <w:sz w:val="20"/>
              </w:rPr>
              <w:t>Solution 2 mg/mL en ampoules de 10 mL</w:t>
            </w:r>
          </w:p>
        </w:tc>
        <w:tc>
          <w:tcPr>
            <w:tcW w:type="dxa" w:w="1169"/>
          </w:tcPr>
          <w:p>
            <w:r>
              <w:rPr>
                <w:sz w:val="20"/>
              </w:rPr>
              <w:t>Solution 50 mg/mL en ampoules de 2 mL</w:t>
            </w:r>
          </w:p>
        </w:tc>
        <w:tc>
          <w:tcPr>
            <w:tcW w:type="dxa" w:w="1169"/>
          </w:tcPr>
          <w:p>
            <w:r>
              <w:rPr>
                <w:sz w:val="20"/>
              </w:rPr>
              <w:t>Solution 1 et 5 mg/mL en ampoules de 1, 3, 5 et 10 mL</w:t>
            </w:r>
          </w:p>
        </w:tc>
        <w:tc>
          <w:tcPr>
            <w:tcW w:type="dxa" w:w="1169"/>
          </w:tcPr>
          <w:p>
            <w:r>
              <w:rPr>
                <w:sz w:val="20"/>
              </w:rPr>
              <w:t>Liquide pur en flacon de 250 mL</w:t>
            </w:r>
          </w:p>
        </w:tc>
        <w:tc>
          <w:tcPr>
            <w:tcW w:type="dxa" w:w="1169"/>
          </w:tcPr>
          <w:p>
            <w:r>
              <w:rPr>
                <w:sz w:val="20"/>
              </w:rPr>
              <w:t>Liquide pur en flacons de 100 mL et 250 mL</w:t>
            </w:r>
          </w:p>
        </w:tc>
      </w:tr>
      <w:tr>
        <w:tc>
          <w:tcPr>
            <w:tcW w:type="dxa" w:w="1169"/>
          </w:tcPr>
          <w:p>
            <w:r>
              <w:rPr>
                <w:sz w:val="20"/>
              </w:rPr>
              <w:t>**Conservation**</w:t>
            </w:r>
          </w:p>
        </w:tc>
        <w:tc>
          <w:tcPr>
            <w:tcW w:type="dxa" w:w="1169"/>
          </w:tcPr>
          <w:p>
            <w:r>
              <w:rPr>
                <w:sz w:val="20"/>
              </w:rPr>
              <w:t>3 ans ≤ 25 °C</w:t>
            </w:r>
          </w:p>
        </w:tc>
        <w:tc>
          <w:tcPr>
            <w:tcW w:type="dxa" w:w="1169"/>
          </w:tcPr>
          <w:p>
            <w:r>
              <w:rPr>
                <w:sz w:val="20"/>
              </w:rPr>
              <w:t>3 ans ≤ 25 °C</w:t>
            </w:r>
          </w:p>
        </w:tc>
        <w:tc>
          <w:tcPr>
            <w:tcW w:type="dxa" w:w="1169"/>
          </w:tcPr>
          <w:p>
            <w:r>
              <w:rPr>
                <w:sz w:val="20"/>
              </w:rPr>
              <w:t>3 ans ≤ 25 °C</w:t>
            </w:r>
          </w:p>
        </w:tc>
        <w:tc>
          <w:tcPr>
            <w:tcW w:type="dxa" w:w="1169"/>
          </w:tcPr>
          <w:p>
            <w:r>
              <w:rPr>
                <w:sz w:val="20"/>
              </w:rPr>
              <w:t>3 ans ≤ 25 °C</w:t>
            </w:r>
          </w:p>
        </w:tc>
        <w:tc>
          <w:tcPr>
            <w:tcW w:type="dxa" w:w="1169"/>
          </w:tcPr>
          <w:p>
            <w:r>
              <w:rPr>
                <w:sz w:val="20"/>
              </w:rPr>
              <w:t>3 ans ≤ 25 °C</w:t>
            </w:r>
          </w:p>
        </w:tc>
        <w:tc>
          <w:tcPr>
            <w:tcW w:type="dxa" w:w="1169"/>
          </w:tcPr>
          <w:p>
            <w:r>
              <w:rPr>
                <w:sz w:val="20"/>
              </w:rPr>
              <w:t>3 ans ≤ 25 °C</w:t>
            </w:r>
          </w:p>
        </w:tc>
        <w:tc>
          <w:tcPr>
            <w:tcW w:type="dxa" w:w="1169"/>
          </w:tcPr>
          <w:p>
            <w:r>
              <w:rPr>
                <w:sz w:val="20"/>
              </w:rPr>
              <w:t>5 ans ≤ 25 °C</w:t>
            </w:r>
          </w:p>
        </w:tc>
      </w:tr>
      <w:tr>
        <w:tc>
          <w:tcPr>
            <w:tcW w:type="dxa" w:w="1169"/>
          </w:tcPr>
          <w:p>
            <w:r>
              <w:rPr>
                <w:sz w:val="20"/>
              </w:rPr>
              <w:t>**Indication de prédilection**</w:t>
            </w:r>
          </w:p>
        </w:tc>
        <w:tc>
          <w:tcPr>
            <w:tcW w:type="dxa" w:w="1169"/>
          </w:tcPr>
          <w:p>
            <w:r>
              <w:rPr>
                <w:sz w:val="20"/>
              </w:rPr>
              <w:t>Induction + entretien + sédation réanimation</w:t>
            </w:r>
          </w:p>
        </w:tc>
        <w:tc>
          <w:tcPr>
            <w:tcW w:type="dxa" w:w="1169"/>
          </w:tcPr>
          <w:p>
            <w:r>
              <w:rPr>
                <w:sz w:val="20"/>
              </w:rPr>
              <w:t>Status epilepticus + neuroprotection + césarienne estomac plein</w:t>
            </w:r>
          </w:p>
        </w:tc>
        <w:tc>
          <w:tcPr>
            <w:tcW w:type="dxa" w:w="1169"/>
          </w:tcPr>
          <w:p>
            <w:r>
              <w:rPr>
                <w:sz w:val="20"/>
              </w:rPr>
              <w:t>Induction patient instable</w:t>
            </w:r>
          </w:p>
        </w:tc>
        <w:tc>
          <w:tcPr>
            <w:tcW w:type="dxa" w:w="1169"/>
          </w:tcPr>
          <w:p>
            <w:r>
              <w:rPr>
                <w:sz w:val="20"/>
              </w:rPr>
              <w:t>Anesthésie préhospitalière + analgésie réfractaire + asthme</w:t>
            </w:r>
          </w:p>
        </w:tc>
        <w:tc>
          <w:tcPr>
            <w:tcW w:type="dxa" w:w="1169"/>
          </w:tcPr>
          <w:p>
            <w:r>
              <w:rPr>
                <w:sz w:val="20"/>
              </w:rPr>
              <w:t>Prémédication + sédation procédurale + status epilepticus</w:t>
            </w:r>
          </w:p>
        </w:tc>
        <w:tc>
          <w:tcPr>
            <w:tcW w:type="dxa" w:w="1169"/>
          </w:tcPr>
          <w:p>
            <w:r>
              <w:rPr>
                <w:sz w:val="20"/>
              </w:rPr>
              <w:t>Induction masque enfant + anesthésie ambulatoire</w:t>
            </w:r>
          </w:p>
        </w:tc>
        <w:tc>
          <w:tcPr>
            <w:tcW w:type="dxa" w:w="1169"/>
          </w:tcPr>
          <w:p>
            <w:r>
              <w:rPr>
                <w:sz w:val="20"/>
              </w:rPr>
              <w:t>Entretien économique + neurochirurgie + chirurgie longue</w:t>
            </w:r>
          </w:p>
        </w:tc>
      </w:tr>
      <w:tr>
        <w:tc>
          <w:tcPr>
            <w:tcW w:type="dxa" w:w="1169"/>
          </w:tcPr>
          <w:p>
            <w:r>
              <w:rPr>
                <w:sz w:val="20"/>
              </w:rPr>
              <w:t>**Piège principal**</w:t>
            </w:r>
          </w:p>
        </w:tc>
        <w:tc>
          <w:tcPr>
            <w:tcW w:type="dxa" w:w="1169"/>
          </w:tcPr>
          <w:p>
            <w:r>
              <w:rPr>
                <w:sz w:val="20"/>
              </w:rPr>
              <w:t>PRIS (perf &gt; 4 mg/kg/h &gt; 48 h)</w:t>
            </w:r>
          </w:p>
        </w:tc>
        <w:tc>
          <w:tcPr>
            <w:tcW w:type="dxa" w:w="1169"/>
          </w:tcPr>
          <w:p>
            <w:r>
              <w:rPr>
                <w:sz w:val="20"/>
              </w:rPr>
              <w:t>Porphyrie (CI absolue)</w:t>
            </w:r>
          </w:p>
        </w:tc>
        <w:tc>
          <w:tcPr>
            <w:tcW w:type="dxa" w:w="1169"/>
          </w:tcPr>
          <w:p>
            <w:r>
              <w:rPr>
                <w:sz w:val="20"/>
              </w:rPr>
              <w:t>Insuffisance surrénale (11β-hydroxylase)</w:t>
            </w:r>
          </w:p>
        </w:tc>
        <w:tc>
          <w:tcPr>
            <w:tcW w:type="dxa" w:w="1169"/>
          </w:tcPr>
          <w:p>
            <w:r>
              <w:rPr>
                <w:sz w:val="20"/>
              </w:rPr>
              <w:t>Réactions d'émergence + HTA</w:t>
            </w:r>
          </w:p>
        </w:tc>
        <w:tc>
          <w:tcPr>
            <w:tcW w:type="dxa" w:w="1169"/>
          </w:tcPr>
          <w:p>
            <w:r>
              <w:rPr>
                <w:sz w:val="20"/>
              </w:rPr>
              <w:t>Dépression respiratoire + flumazénil</w:t>
            </w:r>
          </w:p>
        </w:tc>
        <w:tc>
          <w:tcPr>
            <w:tcW w:type="dxa" w:w="1169"/>
          </w:tcPr>
          <w:p>
            <w:r>
              <w:rPr>
                <w:sz w:val="20"/>
              </w:rPr>
              <w:t>Hyperthermie maligne + neurotoxicité enfant</w:t>
            </w:r>
          </w:p>
        </w:tc>
        <w:tc>
          <w:tcPr>
            <w:tcW w:type="dxa" w:w="1169"/>
          </w:tcPr>
          <w:p>
            <w:r>
              <w:rPr>
                <w:sz w:val="20"/>
              </w:rPr>
              <w:t>Vol coronarien + hyperthermie maligne</w:t>
            </w:r>
          </w:p>
        </w:tc>
      </w:tr>
    </w:tbl>
    <w:p/>
    <w:p>
      <w:pPr>
        <w:pStyle w:val="Heading2"/>
      </w:pPr>
      <w:r>
        <w:t>181.8 Synthèse pédagogique transversale</w:t>
      </w:r>
    </w:p>
    <w:p>
      <w:r>
        <w:t>L'enseignement de l'anesthésiologie pharmacologique repose sur la compréhension intégrée de plusieurs principes transversaux que les sept DCI traitées dans ce chapitre illustrent parfaitement.</w:t>
      </w:r>
    </w:p>
    <w:p>
      <w:pPr>
        <w:pStyle w:val="Heading3"/>
      </w:pPr>
      <w:r>
        <w:t>181.8.1 Principe de la triple composante de l'anesthésie générale</w:t>
      </w:r>
    </w:p>
    <w:p>
      <w:r>
        <w:t>L'anesthésie générale moderne, théorisée par Ralph Waters en 1942, repose sur la triade « hypnose + analgésie + myorelaxation ». Aucune molécule unique n'assure ces trois composantes de manière optimale :</w:t>
      </w:r>
    </w:p>
    <w:p>
      <w:pPr>
        <w:pStyle w:val="ListBullet"/>
      </w:pPr>
      <w:r/>
      <w:r>
        <w:rPr>
          <w:b/>
        </w:rPr>
        <w:t>Hypnose</w:t>
      </w:r>
      <w:r>
        <w:t xml:space="preserve"> : propofol, thiopental, étomidate, midazolam, sévoflurane, isoflurane (tous les agents traités sauf la kétamine qui produit une dissociation).</w:t>
      </w:r>
    </w:p>
    <w:p>
      <w:pPr>
        <w:pStyle w:val="ListBullet"/>
      </w:pPr>
      <w:r/>
      <w:r>
        <w:rPr>
          <w:b/>
        </w:rPr>
        <w:t>Analgésie</w:t>
      </w:r>
      <w:r>
        <w:t xml:space="preserve"> : morphiniques (fentanyl, sufentanil, rémifentanil, morphine, alfentanil) — non traités dans ce chapitre mais évoqués en association ; la kétamine est la seule molécule de ce chapitre à avoir un effet analgésique propre puissant.</w:t>
      </w:r>
    </w:p>
    <w:p>
      <w:pPr>
        <w:pStyle w:val="ListBullet"/>
      </w:pPr>
      <w:r/>
      <w:r>
        <w:rPr>
          <w:b/>
        </w:rPr>
        <w:t>Myorelaxation</w:t>
      </w:r>
      <w:r>
        <w:t xml:space="preserve"> : curares (succinylcholine, rocuronium, cisatracurium, atracurium, vécuronium) — traités dans le chapitre 182 dédié.</w:t>
      </w:r>
    </w:p>
    <w:p>
      <w:r>
        <w:t>La pratique contemporaine privilégie l'anesthésie « balancée » ou « combinée » : association d'un hypnotique (IV ou volatil), d'un morphinique et d'un curare, à doses réduites synergiques, minimisant les effets indésirables de chaque agent.</w:t>
      </w:r>
    </w:p>
    <w:p>
      <w:pPr>
        <w:pStyle w:val="Heading3"/>
      </w:pPr>
      <w:r>
        <w:t>181.8.2 Principe de la cinétique d'entrée et de sortie</w:t>
      </w:r>
    </w:p>
    <w:p>
      <w:r>
        <w:t>La cinétique de l'effet anesthésique dépend de la lipophilie (log P), du coefficient de solubilité sang/gaz (pour les halogénés), de la fixation protéique, du volume de distribution et de la clearance. Les agents à cinétique rapide (propofol, étomidate, sévoflurane) permettent une induction et un réveil rapides, précieux en chirurgie ambulatoire et en sédation procédurale. Les agents à cinétique plus lente (thiopental, isoflurane) imposent une surveillance prolongée en SSPI et une préparation anticipée du réveil.</w:t>
      </w:r>
    </w:p>
    <w:p>
      <w:pPr>
        <w:pStyle w:val="Heading3"/>
      </w:pPr>
      <w:r>
        <w:t>181.8.3 Principe du choix selon le profil du patient</w:t>
      </w:r>
    </w:p>
    <w:p>
      <w:r>
        <w:t>L'arbitrage thérapeutique repose sur l'évaluation pré-anesthésique du patient :</w:t>
      </w:r>
    </w:p>
    <w:p>
      <w:pPr>
        <w:pStyle w:val="ListBullet"/>
      </w:pPr>
      <w:r/>
      <w:r>
        <w:rPr>
          <w:b/>
        </w:rPr>
        <w:t>Patient stable, chirurgie programmée</w:t>
      </w:r>
      <w:r>
        <w:t xml:space="preserve"> : propofol (induction) + sévoflurane (entretien) — cinétique rapide, réveil précoce, peu de NVPO avec le propofol.</w:t>
      </w:r>
    </w:p>
    <w:p>
      <w:pPr>
        <w:pStyle w:val="ListBullet"/>
      </w:pPr>
      <w:r/>
      <w:r>
        <w:rPr>
          <w:b/>
        </w:rPr>
        <w:t>Patient instable (choc, hypovolémie, insuffisance cardiaque)</w:t>
      </w:r>
      <w:r>
        <w:t xml:space="preserve"> : étomidate (induction) + isoflurane (entretien) — préservation hémodynamique ; ou kétamine (induction et entretien) — stimulation sympathique.</w:t>
      </w:r>
    </w:p>
    <w:p>
      <w:pPr>
        <w:pStyle w:val="ListBullet"/>
      </w:pPr>
      <w:r/>
      <w:r>
        <w:rPr>
          <w:b/>
        </w:rPr>
        <w:t>Patient à risque d'hyperthermie maligne</w:t>
      </w:r>
      <w:r>
        <w:t xml:space="preserve"> : TIVA propofol-rémifentanil — contre-indication absolue des halogénés et de la succinylcholine.</w:t>
      </w:r>
    </w:p>
    <w:p>
      <w:pPr>
        <w:pStyle w:val="ListBullet"/>
      </w:pPr>
      <w:r/>
      <w:r>
        <w:rPr>
          <w:b/>
        </w:rPr>
        <w:t>Patient coronarien à haut risque</w:t>
      </w:r>
      <w:r>
        <w:t xml:space="preserve"> : étomidate (induction) + sévoflurane (entretien) — éviter l'isoflurane à concentration élevée (vol coronarien).</w:t>
      </w:r>
    </w:p>
    <w:p>
      <w:pPr>
        <w:pStyle w:val="ListBullet"/>
      </w:pPr>
      <w:r/>
      <w:r>
        <w:rPr>
          <w:b/>
        </w:rPr>
        <w:t>Patient asthmatique</w:t>
      </w:r>
      <w:r>
        <w:t xml:space="preserve"> : propofol (induction) + sévoflurane (entretien) — bronchodilatation, éviter le thiopental à dose élevée (dépression respiratoire centrale).</w:t>
      </w:r>
    </w:p>
    <w:p>
      <w:pPr>
        <w:pStyle w:val="ListBullet"/>
      </w:pPr>
      <w:r/>
      <w:r>
        <w:rPr>
          <w:b/>
        </w:rPr>
        <w:t>Patient porphyrique</w:t>
      </w:r>
      <w:r>
        <w:t xml:space="preserve"> : propofol, étomidate, kétamine — contre-indication absolue du thiopental.</w:t>
      </w:r>
    </w:p>
    <w:p>
      <w:pPr>
        <w:pStyle w:val="ListBullet"/>
      </w:pPr>
      <w:r/>
      <w:r>
        <w:rPr>
          <w:b/>
        </w:rPr>
        <w:t>Patient en status epilepticus</w:t>
      </w:r>
      <w:r>
        <w:t xml:space="preserve"> : midazolam (1ère ligne) ou thiopental (3ème ligne réfractaire) — effet anticonvulsivant puissant.</w:t>
      </w:r>
    </w:p>
    <w:p>
      <w:pPr>
        <w:pStyle w:val="ListBullet"/>
      </w:pPr>
      <w:r/>
      <w:r>
        <w:rPr>
          <w:b/>
        </w:rPr>
        <w:t>Enfant sans voie veineuse</w:t>
      </w:r>
      <w:r>
        <w:t xml:space="preserve"> : sévoflurane par masque (induction douce, non irritant).</w:t>
      </w:r>
    </w:p>
    <w:p>
      <w:pPr>
        <w:pStyle w:val="ListBullet"/>
      </w:pPr>
      <w:r/>
      <w:r>
        <w:rPr>
          <w:b/>
        </w:rPr>
        <w:t>Patient en estomac plein (césarienne urgente, trauma)</w:t>
      </w:r>
      <w:r>
        <w:t xml:space="preserve"> : induction en séquence rapide (thiopental ou propofol ou étomidate + succinylcholine, pression cricoïdienne).</w:t>
      </w:r>
    </w:p>
    <w:p>
      <w:pPr>
        <w:pStyle w:val="ListBullet"/>
      </w:pPr>
      <w:r/>
      <w:r>
        <w:rPr>
          <w:b/>
        </w:rPr>
        <w:t>Patient en médecine préhospitalière ou militaire</w:t>
      </w:r>
      <w:r>
        <w:t xml:space="preserve"> : kétamine IM (préservation ventilation, hémodynamique stable).</w:t>
      </w:r>
    </w:p>
    <w:p>
      <w:pPr>
        <w:pStyle w:val="ListBullet"/>
      </w:pPr>
      <w:r/>
      <w:r>
        <w:rPr>
          <w:b/>
        </w:rPr>
        <w:t>Femme enceinte au 1er trimestre</w:t>
      </w:r>
      <w:r>
        <w:t xml:space="preserve"> : éviter les anesthésies programmées non urgentes ; préférer l'anesthésie loco-régionale.</w:t>
      </w:r>
    </w:p>
    <w:p>
      <w:pPr>
        <w:pStyle w:val="ListBullet"/>
      </w:pPr>
      <w:r/>
      <w:r>
        <w:rPr>
          <w:b/>
        </w:rPr>
        <w:t>Patient âgé fragile</w:t>
      </w:r>
      <w:r>
        <w:t xml:space="preserve"> : réduire les doses de 30-50 % (propofol 1-1,5 mg/kg, midazolam 0,015-0,03 mg/kg, sévoflurane 0,8-1,5 %), surveillance prolongée.</w:t>
      </w:r>
    </w:p>
    <w:p>
      <w:pPr>
        <w:pStyle w:val="Heading3"/>
      </w:pPr>
      <w:r>
        <w:t>181.8.4 Principe de la sécurité d'emploi</w:t>
      </w:r>
    </w:p>
    <w:p>
      <w:r>
        <w:t>La sécurité anesthésique repose sur des protocoles standardisés et la disponibilité d'antidotes :</w:t>
      </w:r>
    </w:p>
    <w:p>
      <w:pPr>
        <w:pStyle w:val="ListBullet"/>
      </w:pPr>
      <w:r/>
      <w:r>
        <w:rPr>
          <w:b/>
        </w:rPr>
        <w:t>Monitorage minimal obligatoire</w:t>
      </w:r>
      <w:r>
        <w:t xml:space="preserve"> (SFAR 2018) : ECG, PNI, SpO2, capnographie (EtCO2), température, BIS (profondeur anesthésie), gaz anesthésiques (pour halogénés).</w:t>
      </w:r>
    </w:p>
    <w:p>
      <w:pPr>
        <w:pStyle w:val="ListBullet"/>
      </w:pPr>
      <w:r/>
      <w:r>
        <w:rPr>
          <w:b/>
        </w:rPr>
        <w:t>Disponibilité du matériel d'intubation et de ventilation</w:t>
      </w:r>
      <w:r>
        <w:t xml:space="preserve"> : laryngoscope, tubes endotrachéaux, mandres, bougie d'Eschmann, masque laryngé, ventilateur automatique.</w:t>
      </w:r>
    </w:p>
    <w:p>
      <w:pPr>
        <w:pStyle w:val="ListBullet"/>
      </w:pPr>
      <w:r/>
      <w:r>
        <w:rPr>
          <w:b/>
        </w:rPr>
        <w:t>Disponibilité des antidotes</w:t>
      </w:r>
      <w:r>
        <w:t xml:space="preserve"> : flumazénil (antagoniste BZD), naloxone (antagoniste opioïdes), dantrolène (hyperthermie maligne), hydrocortisone (insuffisance surrénale), adrénaline (anaphylaxie, arrêt cardiaque).</w:t>
      </w:r>
    </w:p>
    <w:p>
      <w:pPr>
        <w:pStyle w:val="ListBullet"/>
      </w:pPr>
      <w:r/>
      <w:r>
        <w:rPr>
          <w:b/>
        </w:rPr>
        <w:t>Disponibilité des vasopresseurs</w:t>
      </w:r>
      <w:r>
        <w:t xml:space="preserve"> : éphédrine, phényléphrine, noradrénaline, adrénaline.</w:t>
      </w:r>
    </w:p>
    <w:p>
      <w:pPr>
        <w:pStyle w:val="ListBullet"/>
      </w:pPr>
      <w:r/>
      <w:r>
        <w:rPr>
          <w:b/>
        </w:rPr>
        <w:t>Protocoles d'urgence</w:t>
      </w:r>
      <w:r>
        <w:t xml:space="preserve"> : protocole d'induction en séquence rapide, protocole d'hyperthermie maligne (dantrolène 2,5 mg/kg IV), protocole d'anaphylaxie (adrénaline 0,1-0,5 mg IV + remplissage), protocole d'arrêt cardiaque (réanimation cardiopulmonaire, adrénaline 1 mg IV).</w:t>
      </w:r>
    </w:p>
    <w:p>
      <w:pPr>
        <w:pStyle w:val="Heading3"/>
      </w:pPr>
      <w:r>
        <w:t>181.8.5 Principe de la traçabilité et de la vigilance</w:t>
      </w:r>
    </w:p>
    <w:p>
      <w:r>
        <w:t>La prescription et la dispensation des anesthésiques généraux sont encadrées par des règles strictes :</w:t>
      </w:r>
    </w:p>
    <w:p>
      <w:pPr>
        <w:pStyle w:val="ListBullet"/>
      </w:pPr>
      <w:r/>
      <w:r>
        <w:rPr>
          <w:b/>
        </w:rPr>
        <w:t>Liste I</w:t>
      </w:r>
      <w:r>
        <w:t xml:space="preserve"> (substances vénéneuses) pour le propofol, l'étomidate, la kétamine, le midazolam, le sévoflurane, l'isoflurane.</w:t>
      </w:r>
    </w:p>
    <w:p>
      <w:pPr>
        <w:pStyle w:val="ListBullet"/>
      </w:pPr>
      <w:r/>
      <w:r>
        <w:rPr>
          <w:b/>
        </w:rPr>
        <w:t>Liste II</w:t>
      </w:r>
      <w:r>
        <w:t xml:space="preserve"> (substances à potentiel d'usage détourné) pour le thiopental.</w:t>
      </w:r>
    </w:p>
    <w:p>
      <w:pPr>
        <w:pStyle w:val="ListBullet"/>
      </w:pPr>
      <w:r/>
      <w:r>
        <w:rPr>
          <w:b/>
        </w:rPr>
        <w:t>Prescription hospitalière stricte</w:t>
      </w:r>
      <w:r>
        <w:t xml:space="preserve"> : ordo nominative, datée, signée par un médecin anesthésiste-réanimateur.</w:t>
      </w:r>
    </w:p>
    <w:p>
      <w:pPr>
        <w:pStyle w:val="ListBullet"/>
      </w:pPr>
      <w:r/>
      <w:r>
        <w:rPr>
          <w:b/>
        </w:rPr>
        <w:t>Stockage en armoire sécurisée</w:t>
      </w:r>
      <w:r>
        <w:t xml:space="preserve"> : traçabilité des ampoules et des flacons, comptage mensuel.</w:t>
      </w:r>
    </w:p>
    <w:p>
      <w:pPr>
        <w:pStyle w:val="ListBullet"/>
      </w:pPr>
      <w:r/>
      <w:r>
        <w:rPr>
          <w:b/>
        </w:rPr>
        <w:t>Déclaration des effets indésirables graves</w:t>
      </w:r>
      <w:r>
        <w:t xml:space="preserve"> : Centre National de Pharmacovigilance (CNPV) d'Alger ; notification obligatoire des cas d'hyperthermie maligne, de PRIS, d'anaphylaxie, d'hépatite immune, d'insuffisance surrénalienne iatrogène.</w:t>
      </w:r>
    </w:p>
    <w:p>
      <w:pPr>
        <w:pStyle w:val="ListBullet"/>
      </w:pPr>
      <w:r/>
      <w:r>
        <w:rPr>
          <w:b/>
        </w:rPr>
        <w:t>Dossier d'anesthésie informatisé</w:t>
      </w:r>
      <w:r>
        <w:t xml:space="preserve"> : traçabilité de l'ensemble des actes, des doses, des événements peranesthésiques.</w:t>
      </w:r>
    </w:p>
    <w:p>
      <w:pPr>
        <w:pStyle w:val="Heading3"/>
      </w:pPr>
      <w:r>
        <w:t>181.8.6 Principe de l'arbitrage économique</w:t>
      </w:r>
    </w:p>
    <w:p>
      <w:r>
        <w:t>Le coût des anesthésiques varie considérablement et influence les choix en pratique courante :</w:t>
      </w:r>
    </w:p>
    <w:p>
      <w:pPr>
        <w:pStyle w:val="ListBullet"/>
      </w:pPr>
      <w:r/>
      <w:r>
        <w:rPr>
          <w:b/>
        </w:rPr>
        <w:t>Le propofol</w:t>
      </w:r>
      <w:r>
        <w:t xml:space="preserve"> (Provive El Kendi, Propofol Fresenius) reste le plus accessible des hypnotiques IV modernes, en raison de la production locale.</w:t>
      </w:r>
    </w:p>
    <w:p>
      <w:pPr>
        <w:pStyle w:val="ListBullet"/>
      </w:pPr>
      <w:r/>
      <w:r>
        <w:rPr>
          <w:b/>
        </w:rPr>
        <w:t>Le thiopental</w:t>
      </w:r>
      <w:r>
        <w:t xml:space="preserve"> (Thiopental Vuab) reste économique mais impose une reconstitution et expose à un risque d'erreur.</w:t>
      </w:r>
    </w:p>
    <w:p>
      <w:pPr>
        <w:pStyle w:val="ListBullet"/>
      </w:pPr>
      <w:r/>
      <w:r>
        <w:rPr>
          <w:b/>
        </w:rPr>
        <w:t>L'étomidate</w:t>
      </w:r>
      <w:r>
        <w:t xml:space="preserve"> (Hypnomidate Piramal) reste coûteux, à réserver aux indications d'instabilité hémodynamique.</w:t>
      </w:r>
    </w:p>
    <w:p>
      <w:pPr>
        <w:pStyle w:val="ListBullet"/>
      </w:pPr>
      <w:r/>
      <w:r>
        <w:rPr>
          <w:b/>
        </w:rPr>
        <w:t>La kétamine</w:t>
      </w:r>
      <w:r>
        <w:t xml:space="preserve"> (Ketaraz Frater Razes) reste accessible, en raison de la production locale, et polyvalente (anesthésie, analgésie, médecine préhospitalière, dépression résistante).</w:t>
      </w:r>
    </w:p>
    <w:p>
      <w:pPr>
        <w:pStyle w:val="ListBullet"/>
      </w:pPr>
      <w:r/>
      <w:r>
        <w:rPr>
          <w:b/>
        </w:rPr>
        <w:t>Le midazolam</w:t>
      </w:r>
      <w:r>
        <w:t xml:space="preserve"> (8 spécialités) reste très accessible et diversifié.</w:t>
      </w:r>
    </w:p>
    <w:p>
      <w:pPr>
        <w:pStyle w:val="ListBullet"/>
      </w:pPr>
      <w:r/>
      <w:r>
        <w:rPr>
          <w:b/>
        </w:rPr>
        <w:t>Le sévoflurane</w:t>
      </w:r>
      <w:r>
        <w:t xml:space="preserve"> (4 spécialités) reste l'halogéné le plus coûteux mais polyvalent (induction + entretien, pédiatrie).</w:t>
      </w:r>
    </w:p>
    <w:p>
      <w:pPr>
        <w:pStyle w:val="ListBullet"/>
      </w:pPr>
      <w:r/>
      <w:r>
        <w:rPr>
          <w:b/>
        </w:rPr>
        <w:t>L'isoflurane</w:t>
      </w:r>
      <w:r>
        <w:t xml:space="preserve"> (2 spécialités) reste économique, à privilégier en chirurgie longue programmée.</w:t>
      </w:r>
    </w:p>
    <w:p>
      <w:pPr>
        <w:pStyle w:val="Heading3"/>
      </w:pPr>
      <w:r>
        <w:t>181.8.7 Principe de la formation continue</w:t>
      </w:r>
    </w:p>
    <w:p>
      <w:r>
        <w:t>La pharmacologie anesthésique évolue rapidement : nouveaux agents (réminifentanil, dexmédétomidine, sugammadex), nouvelles formulations (étomidate lipidique, propofol en seringue pré-remplie), nouveaux monitorages (BIS, entropy, depth of anesthesia), nouvelles recommandations (FDA warning 2017 sur la neurotoxicité pédiatrique, PRIS, hyperkaliémie maligne à l'induction chez les dystrophies musculaires). La formation médicale continue et la lecture régulière des RCP actualisés sont indispensables.</w:t>
      </w:r>
    </w:p>
    <w:p>
      <w:pPr>
        <w:pStyle w:val="Heading2"/>
      </w:pPr>
      <w:r>
        <w:t>181.9 Conclusion du chapitre 181</w:t>
      </w:r>
    </w:p>
    <w:p>
      <w:r>
        <w:t>L'anesthésie générale moderne repose sur un socle de sept dénominations communes internationales disponibles en Algérie : le propofol, le thiopental, l'étomidate, la kétamine, le midazolam, le sévoflurane et l'isoflurane. Chacune de ces molécules possède un profil pharmacologique singulier, fruit de son histoire, de sa structure chimique et de ses cibles moléculaires. Leur maîtrise conditionne la sécurité des millions d'anesthésies générales pratiquées chaque année en Algérie, du bloc obstétrical d'un centre de santé périphérique à la chirurgie cardiaque d'un CHU.</w:t>
      </w:r>
    </w:p>
    <w:p>
      <w:r>
        <w:t>L'enseignement de la pharmacologie anesthésique repose sur la compréhension intégrée de plusieurs dimensions : (i) la pharmacodynamie moléculaire (récepteurs GABA-A, NMDA, canaux Na+/Ca2+/K2P) qui explique les profils cliniques ; (ii) la pharmacocinétique (lipophilie, coefficient λ sang/gaz, métabolisme, clearance) qui conditionne l'induction, l'entretien et le réveil ; (iii) la sécurité d'emploi (PRIS, insuffisance surrénalienne, réactions d'émergence, hyperthermie maligne, neurotoxicité pédiatrique, vol coronarien) qui impose la vigilance continue ; (iv) le contexte réglementaire (Liste I et II, prescription hospitalière stricte, traçabilité) qui structure la pratique.</w:t>
      </w:r>
    </w:p>
    <w:p>
      <w:r>
        <w:t>La pratique algérienne contemporaine bénéficie d'un marché diversifié où production locale (Fresenius Kabi Algérie, El Kendi, Liorad, Frater Razes, Inpha-Medis, Hikma Pharma Algeria, Saidal) et importation internationale (AbbVie, Baxter, Piramal, Mylan, MS Pharma Jordan, Tabuk) coexistent. Cette diversité assure l'accessibilité nationale mais impose au pharmacien et à l'anesthésiste une connaissance fine des spécialités disponibles, de leurs dosages et de leurs statuts (actifs, non renouvelables, retirés).</w:t>
      </w:r>
    </w:p>
    <w:p>
      <w:r>
        <w:t>Le pharmacien hospitalier joue un rôle pivot dans la sécurisation de la circuit du médicament anesthésique : gestion des stocks, traçabilité des ampoures et des flacons, contrôle des dates de péremption, formation des manipulateurs aux règles d'asepsie (propofol en émulsion lipidique), disponibilité des antidotes (flumazénil, dantrolène, naloxone), veille pharmacovigilante. Son rôle s'étend à la formation continue des équipes soignantes et à l'information des patients.</w:t>
      </w:r>
    </w:p>
    <w:p>
      <w:r>
        <w:t>Le chapitre suivant (chapitre 182) traitera les anesthésiques locaux (lidocaïne, bupivacaïne, ropivacaïne) et les curares de l'anesthésie (succinylcholine, rocuronium, cisatracurium), compléments indispensables de l'anesthésie générale et de l'anesthésie loco-régionale. Le chapitre 183 abordera les antagonistes (flumazénil, naloxone, sugammadex, néostigmine) qui sécurisent la pratique. Le chapitre 184 traitera les médicaments de la réanimation (vasopresseurs, inotropes, sédation prolongée), prolongement naturel de l'anesthésie en médecine critique.</w:t>
      </w:r>
    </w:p>
    <w:p>
      <w:pPr>
        <w:pStyle w:val="Heading2"/>
      </w:pPr>
      <w:r>
        <w:t>181.10 Sources académiques mobilisées</w:t>
      </w:r>
    </w:p>
    <w:p>
      <w:pPr>
        <w:pStyle w:val="ListBullet"/>
      </w:pPr>
      <w:r>
        <w:t>VIDAL 2025 (électronique et papier), RCP officiels des spécialités.</w:t>
      </w:r>
    </w:p>
    <w:p>
      <w:pPr>
        <w:pStyle w:val="ListBullet"/>
      </w:pPr>
      <w:r>
        <w:t>ANSM (Agence Nationale de Sécurité du Médicament et des produits de santé) : RCP, mises en garde, lettres aux professionnels de santé.</w:t>
      </w:r>
    </w:p>
    <w:p>
      <w:pPr>
        <w:pStyle w:val="ListBullet"/>
      </w:pPr>
      <w:r>
        <w:t>EMA (European Medicines Agency) : EPAR (European Public Assessment Reports) du propofol, du sévoflurane, de l'isoflurane, du midazolam.</w:t>
      </w:r>
    </w:p>
    <w:p>
      <w:pPr>
        <w:pStyle w:val="ListBullet"/>
      </w:pPr>
      <w:r>
        <w:t>Thériaque (CNHIM) : base de données pharmacologique et interactions médicamenteuses.</w:t>
      </w:r>
    </w:p>
    <w:p>
      <w:pPr>
        <w:pStyle w:val="ListBullet"/>
      </w:pPr>
      <w:r>
        <w:t>CRAT (Centre de Renseignement sur les Agents Tératogènes, Hôpital Armand-Trousseau, Paris) : fiches spécifiques Propofol, Thiopental, Étomidate, Kétamine, Midazolam, Sévoflurane, Isoflurane.</w:t>
      </w:r>
    </w:p>
    <w:p>
      <w:pPr>
        <w:pStyle w:val="ListBullet"/>
      </w:pPr>
      <w:r>
        <w:t>SFAR (Société Française d'Anesthésie-Réanimation) : recommandations formelles :</w:t>
      </w:r>
    </w:p>
    <w:p>
      <w:pPr>
        <w:pStyle w:val="ListBullet"/>
      </w:pPr>
      <w:r>
        <w:t>Référentiel d'organisation de l'anesthésie (2018).</w:t>
      </w:r>
    </w:p>
    <w:p>
      <w:pPr>
        <w:pStyle w:val="ListBullet"/>
      </w:pPr>
      <w:r>
        <w:t>Prévention des NVPO (2018).</w:t>
      </w:r>
    </w:p>
    <w:p>
      <w:pPr>
        <w:pStyle w:val="ListBullet"/>
      </w:pPr>
      <w:r>
        <w:t>Anesthésie du patient coronarien (2017).</w:t>
      </w:r>
    </w:p>
    <w:p>
      <w:pPr>
        <w:pStyle w:val="ListBullet"/>
      </w:pPr>
      <w:r>
        <w:t>Induction en séquence rapide (2019).</w:t>
      </w:r>
    </w:p>
    <w:p>
      <w:pPr>
        <w:pStyle w:val="ListBullet"/>
      </w:pPr>
      <w:r>
        <w:t>Anesthésie du patient obèse (2019).</w:t>
      </w:r>
    </w:p>
    <w:p>
      <w:pPr>
        <w:pStyle w:val="ListBullet"/>
      </w:pPr>
      <w:r>
        <w:t>Hyperthermie maligne per-anesthésique (2017).</w:t>
      </w:r>
    </w:p>
    <w:p>
      <w:pPr>
        <w:pStyle w:val="ListBullet"/>
      </w:pPr>
      <w:r>
        <w:t>Anesthésie pédiatrique (2018).</w:t>
      </w:r>
    </w:p>
    <w:p>
      <w:pPr>
        <w:pStyle w:val="ListBullet"/>
      </w:pPr>
      <w:r>
        <w:t>Status epilepticus (2015, en collaboration avec la SFEMER).</w:t>
      </w:r>
    </w:p>
    <w:p>
      <w:pPr>
        <w:pStyle w:val="ListBullet"/>
      </w:pPr>
      <w:r>
        <w:t>ASA (American Society of Anesthesiologists) : standards of basic anesthetic monitoring (2015, révisés 2018).</w:t>
      </w:r>
    </w:p>
    <w:p>
      <w:pPr>
        <w:pStyle w:val="ListBullet"/>
      </w:pPr>
      <w:r>
        <w:t>FDA (Food and Drug Administration) : Drug Safety Communications sur le PRIS (2010), la neurotoxicité pédiatrique (2017, réitéré 2021), l'hyperkaliémie maligne à l'induction chez les dystrophies musculaires (2007).</w:t>
      </w:r>
    </w:p>
    <w:p>
      <w:pPr>
        <w:pStyle w:val="ListBullet"/>
      </w:pPr>
      <w:r>
        <w:t>UpToDate : fiches « Propofol : pharmacology and adverse effects », « Etomidate : pharmacology and adrenal suppression », « Ketamine : pharmacology and emerging indications », « Volatile anesthetics : pharmacology ».</w:t>
      </w:r>
    </w:p>
    <w:p>
      <w:pPr>
        <w:pStyle w:val="ListBullet"/>
      </w:pPr>
      <w:r>
        <w:t>Nomenclature algérienne des médicaments (Avril 2026) : statuts ACTIF, NON_RENOUVELABLE, RETRAIT pour chaque spécialité.</w:t>
      </w:r>
    </w:p>
    <w:p>
      <w:pPr>
        <w:pStyle w:val="ListBullet"/>
      </w:pPr>
      <w:r>
        <w:t>Recommandations NICE (National Institute for Health and Care Excellence, UK) : « Status epilepticus » (2016), « Sedation in children and young people » (2019).</w:t>
      </w:r>
    </w:p>
    <w:p>
      <w:pPr>
        <w:pStyle w:val="ListBullet"/>
      </w:pPr>
      <w:r>
        <w:t>Recommandations SCCM (Society of Critical Care Medicine) : « Etomidate in septic shock » (2018).</w:t>
      </w:r>
    </w:p>
    <w:p>
      <w:pPr>
        <w:pStyle w:val="ListBullet"/>
      </w:pPr>
      <w:r>
        <w:t>Études cliniques pivot : Parke TJ (1992) sur le PRIS ; Komatsu R (2014) méta-analyse étomidate en réanimation ; Gu WJ (2015) méta-analyse étomidate et sepsis ; GAS Study (Lancet 2019, Mayo Clinic) sur la neurotoxicité pédiatrique du sévoflurane ; PANDA Study (JAMA 2016) sur l'exposition unique chez l'enfant.</w:t>
      </w:r>
    </w:p>
    <w:p>
      <w:pPr>
        <w:pStyle w:val="ListBullet"/>
      </w:pPr>
      <w:r>
        <w:t>Cohortes obstétricales : FDA Pregnancy Exposure Registries, NBDPS (National Birth Defects Prevention Study).</w:t>
      </w:r>
    </w:p>
    <w:p>
      <w:pPr>
        <w:pStyle w:val="ListBullet"/>
      </w:pPr>
      <w:r>
        <w:t>Pharmacopée Européenne (Ph. Eur.) : monographies Propofol, Thiopental sodium, Etomidate, Ketamine hydrochloride, Midazolam hydrochloride, Sevoflurane, Isoflurane.</w:t>
      </w:r>
    </w:p>
    <w:p>
      <w:pPr>
        <w:pStyle w:val="Heading2"/>
      </w:pPr>
      <w:r>
        <w:t>181.11 Récapitulatif des statuts des spécialités en Algérie (Avril 2026)</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sz w:val="20"/>
              </w:rPr>
              <w:t>DCI</w:t>
            </w:r>
          </w:p>
        </w:tc>
        <w:tc>
          <w:tcPr>
            <w:tcW w:type="dxa" w:w="1871"/>
          </w:tcPr>
          <w:p>
            <w:r>
              <w:rPr>
                <w:b/>
                <w:sz w:val="20"/>
              </w:rPr>
              <w:t>Spécialités actives</w:t>
            </w:r>
          </w:p>
        </w:tc>
        <w:tc>
          <w:tcPr>
            <w:tcW w:type="dxa" w:w="1871"/>
          </w:tcPr>
          <w:p>
            <w:r>
              <w:rPr>
                <w:b/>
                <w:sz w:val="20"/>
              </w:rPr>
              <w:t>Non renouvelables</w:t>
            </w:r>
          </w:p>
        </w:tc>
        <w:tc>
          <w:tcPr>
            <w:tcW w:type="dxa" w:w="1871"/>
          </w:tcPr>
          <w:p>
            <w:r>
              <w:rPr>
                <w:b/>
                <w:sz w:val="20"/>
              </w:rPr>
              <w:t>Retirées</w:t>
            </w:r>
          </w:p>
        </w:tc>
        <w:tc>
          <w:tcPr>
            <w:tcW w:type="dxa" w:w="1871"/>
          </w:tcPr>
          <w:p>
            <w:r>
              <w:rPr>
                <w:b/>
                <w:sz w:val="20"/>
              </w:rPr>
              <w:t>Total</w:t>
            </w:r>
          </w:p>
        </w:tc>
      </w:tr>
      <w:tr>
        <w:tc>
          <w:tcPr>
            <w:tcW w:type="dxa" w:w="1871"/>
          </w:tcPr>
          <w:p>
            <w:r>
              <w:rPr>
                <w:sz w:val="20"/>
              </w:rPr>
              <w:t>Propofol</w:t>
            </w:r>
          </w:p>
        </w:tc>
        <w:tc>
          <w:tcPr>
            <w:tcW w:type="dxa" w:w="1871"/>
          </w:tcPr>
          <w:p>
            <w:r>
              <w:rPr>
                <w:sz w:val="20"/>
              </w:rPr>
              <w:t>3 (Propofol Fresenius 1%, Propofol Kabi, Provive)</w:t>
            </w:r>
          </w:p>
        </w:tc>
        <w:tc>
          <w:tcPr>
            <w:tcW w:type="dxa" w:w="1871"/>
          </w:tcPr>
          <w:p>
            <w:r>
              <w:rPr>
                <w:sz w:val="20"/>
              </w:rPr>
              <w:t>1 (Recofol)</w:t>
            </w:r>
          </w:p>
        </w:tc>
        <w:tc>
          <w:tcPr>
            <w:tcW w:type="dxa" w:w="1871"/>
          </w:tcPr>
          <w:p>
            <w:r>
              <w:rPr>
                <w:sz w:val="20"/>
              </w:rPr>
              <w:t>5 (Diprivan ×5)</w:t>
            </w:r>
          </w:p>
        </w:tc>
        <w:tc>
          <w:tcPr>
            <w:tcW w:type="dxa" w:w="1871"/>
          </w:tcPr>
          <w:p>
            <w:r>
              <w:rPr>
                <w:sz w:val="20"/>
              </w:rPr>
              <w:t>9</w:t>
            </w:r>
          </w:p>
        </w:tc>
      </w:tr>
      <w:tr>
        <w:tc>
          <w:tcPr>
            <w:tcW w:type="dxa" w:w="1871"/>
          </w:tcPr>
          <w:p>
            <w:r>
              <w:rPr>
                <w:sz w:val="20"/>
              </w:rPr>
              <w:t>Thiopental</w:t>
            </w:r>
          </w:p>
        </w:tc>
        <w:tc>
          <w:tcPr>
            <w:tcW w:type="dxa" w:w="1871"/>
          </w:tcPr>
          <w:p>
            <w:r>
              <w:rPr>
                <w:sz w:val="20"/>
              </w:rPr>
              <w:t>2 (Thiopental Vuab 0,5 g et 1 g)</w:t>
            </w:r>
          </w:p>
        </w:tc>
        <w:tc>
          <w:tcPr>
            <w:tcW w:type="dxa" w:w="1871"/>
          </w:tcPr>
          <w:p>
            <w:r>
              <w:rPr>
                <w:sz w:val="20"/>
              </w:rPr>
              <w:t>6 (Sandoz, Pharmadrug ×2, Rotexmedica ×2, Biochemie)</w:t>
            </w:r>
          </w:p>
        </w:tc>
        <w:tc>
          <w:tcPr>
            <w:tcW w:type="dxa" w:w="1871"/>
          </w:tcPr>
          <w:p>
            <w:r>
              <w:rPr>
                <w:sz w:val="20"/>
              </w:rPr>
              <w:t>6 (Nesdonal ×2, Penthotal ×2, Thiosas ×2)</w:t>
            </w:r>
          </w:p>
        </w:tc>
        <w:tc>
          <w:tcPr>
            <w:tcW w:type="dxa" w:w="1871"/>
          </w:tcPr>
          <w:p>
            <w:r>
              <w:rPr>
                <w:sz w:val="20"/>
              </w:rPr>
              <w:t>14</w:t>
            </w:r>
          </w:p>
        </w:tc>
      </w:tr>
      <w:tr>
        <w:tc>
          <w:tcPr>
            <w:tcW w:type="dxa" w:w="1871"/>
          </w:tcPr>
          <w:p>
            <w:r>
              <w:rPr>
                <w:sz w:val="20"/>
              </w:rPr>
              <w:t>Étomidate</w:t>
            </w:r>
          </w:p>
        </w:tc>
        <w:tc>
          <w:tcPr>
            <w:tcW w:type="dxa" w:w="1871"/>
          </w:tcPr>
          <w:p>
            <w:r>
              <w:rPr>
                <w:sz w:val="20"/>
              </w:rPr>
              <w:t>1 (Hypnomidate)</w:t>
            </w:r>
          </w:p>
        </w:tc>
        <w:tc>
          <w:tcPr>
            <w:tcW w:type="dxa" w:w="1871"/>
          </w:tcPr>
          <w:p>
            <w:r>
              <w:rPr>
                <w:sz w:val="20"/>
              </w:rPr>
              <w:t>0</w:t>
            </w:r>
          </w:p>
        </w:tc>
        <w:tc>
          <w:tcPr>
            <w:tcW w:type="dxa" w:w="1871"/>
          </w:tcPr>
          <w:p>
            <w:r>
              <w:rPr>
                <w:sz w:val="20"/>
              </w:rPr>
              <w:t>0</w:t>
            </w:r>
          </w:p>
        </w:tc>
        <w:tc>
          <w:tcPr>
            <w:tcW w:type="dxa" w:w="1871"/>
          </w:tcPr>
          <w:p>
            <w:r>
              <w:rPr>
                <w:sz w:val="20"/>
              </w:rPr>
              <w:t>1</w:t>
            </w:r>
          </w:p>
        </w:tc>
      </w:tr>
      <w:tr>
        <w:tc>
          <w:tcPr>
            <w:tcW w:type="dxa" w:w="1871"/>
          </w:tcPr>
          <w:p>
            <w:r>
              <w:rPr>
                <w:sz w:val="20"/>
              </w:rPr>
              <w:t>Kétamine</w:t>
            </w:r>
          </w:p>
        </w:tc>
        <w:tc>
          <w:tcPr>
            <w:tcW w:type="dxa" w:w="1871"/>
          </w:tcPr>
          <w:p>
            <w:r>
              <w:rPr>
                <w:sz w:val="20"/>
              </w:rPr>
              <w:t>1 (Ketaraz)</w:t>
            </w:r>
          </w:p>
        </w:tc>
        <w:tc>
          <w:tcPr>
            <w:tcW w:type="dxa" w:w="1871"/>
          </w:tcPr>
          <w:p>
            <w:r>
              <w:rPr>
                <w:sz w:val="20"/>
              </w:rPr>
              <w:t>2 (Ketamine-10 et 50 Liorad)</w:t>
            </w:r>
          </w:p>
        </w:tc>
        <w:tc>
          <w:tcPr>
            <w:tcW w:type="dxa" w:w="1871"/>
          </w:tcPr>
          <w:p>
            <w:r>
              <w:rPr>
                <w:sz w:val="20"/>
              </w:rPr>
              <w:t>6 (Brevinase ×3, Ketalar ×3)</w:t>
            </w:r>
          </w:p>
        </w:tc>
        <w:tc>
          <w:tcPr>
            <w:tcW w:type="dxa" w:w="1871"/>
          </w:tcPr>
          <w:p>
            <w:r>
              <w:rPr>
                <w:sz w:val="20"/>
              </w:rPr>
              <w:t>9</w:t>
            </w:r>
          </w:p>
        </w:tc>
      </w:tr>
      <w:tr>
        <w:tc>
          <w:tcPr>
            <w:tcW w:type="dxa" w:w="1871"/>
          </w:tcPr>
          <w:p>
            <w:r>
              <w:rPr>
                <w:sz w:val="20"/>
              </w:rPr>
              <w:t>Midazolam</w:t>
            </w:r>
          </w:p>
        </w:tc>
        <w:tc>
          <w:tcPr>
            <w:tcW w:type="dxa" w:w="1871"/>
          </w:tcPr>
          <w:p>
            <w:r>
              <w:rPr>
                <w:sz w:val="20"/>
              </w:rPr>
              <w:t>8 (Hikma, Hypnozolam, Ipnodis, Inpha-Medis, Mylan ×2, Sedalam El Kendi, Sedalam MS Pharma)</w:t>
            </w:r>
          </w:p>
        </w:tc>
        <w:tc>
          <w:tcPr>
            <w:tcW w:type="dxa" w:w="1871"/>
          </w:tcPr>
          <w:p>
            <w:r>
              <w:rPr>
                <w:sz w:val="20"/>
              </w:rPr>
              <w:t>0</w:t>
            </w:r>
          </w:p>
        </w:tc>
        <w:tc>
          <w:tcPr>
            <w:tcW w:type="dxa" w:w="1871"/>
          </w:tcPr>
          <w:p>
            <w:r>
              <w:rPr>
                <w:sz w:val="20"/>
              </w:rPr>
              <w:t>1 (Dormicum)</w:t>
            </w:r>
          </w:p>
        </w:tc>
        <w:tc>
          <w:tcPr>
            <w:tcW w:type="dxa" w:w="1871"/>
          </w:tcPr>
          <w:p>
            <w:r>
              <w:rPr>
                <w:sz w:val="20"/>
              </w:rPr>
              <w:t>9</w:t>
            </w:r>
          </w:p>
        </w:tc>
      </w:tr>
      <w:tr>
        <w:tc>
          <w:tcPr>
            <w:tcW w:type="dxa" w:w="1871"/>
          </w:tcPr>
          <w:p>
            <w:r>
              <w:rPr>
                <w:sz w:val="20"/>
              </w:rPr>
              <w:t>Sévoflurane</w:t>
            </w:r>
          </w:p>
        </w:tc>
        <w:tc>
          <w:tcPr>
            <w:tcW w:type="dxa" w:w="1871"/>
          </w:tcPr>
          <w:p>
            <w:r>
              <w:rPr>
                <w:sz w:val="20"/>
              </w:rPr>
              <w:t>4 (Haluran, Sevoflurane USP Baxter, Sevorane AbbVie, Sojourn Piramal)</w:t>
            </w:r>
          </w:p>
        </w:tc>
        <w:tc>
          <w:tcPr>
            <w:tcW w:type="dxa" w:w="1871"/>
          </w:tcPr>
          <w:p>
            <w:r>
              <w:rPr>
                <w:sz w:val="20"/>
              </w:rPr>
              <w:t>0</w:t>
            </w:r>
          </w:p>
        </w:tc>
        <w:tc>
          <w:tcPr>
            <w:tcW w:type="dxa" w:w="1871"/>
          </w:tcPr>
          <w:p>
            <w:r>
              <w:rPr>
                <w:sz w:val="20"/>
              </w:rPr>
              <w:t>1 (Sevoflurelle)</w:t>
            </w:r>
          </w:p>
        </w:tc>
        <w:tc>
          <w:tcPr>
            <w:tcW w:type="dxa" w:w="1871"/>
          </w:tcPr>
          <w:p>
            <w:r>
              <w:rPr>
                <w:sz w:val="20"/>
              </w:rPr>
              <w:t>5</w:t>
            </w:r>
          </w:p>
        </w:tc>
      </w:tr>
      <w:tr>
        <w:tc>
          <w:tcPr>
            <w:tcW w:type="dxa" w:w="1871"/>
          </w:tcPr>
          <w:p>
            <w:r>
              <w:rPr>
                <w:sz w:val="20"/>
              </w:rPr>
              <w:t>Isoflurane</w:t>
            </w:r>
          </w:p>
        </w:tc>
        <w:tc>
          <w:tcPr>
            <w:tcW w:type="dxa" w:w="1871"/>
          </w:tcPr>
          <w:p>
            <w:r>
              <w:rPr>
                <w:sz w:val="20"/>
              </w:rPr>
              <w:t>2 (Aerrane Baxter, Forene AbbVie)</w:t>
            </w:r>
          </w:p>
        </w:tc>
        <w:tc>
          <w:tcPr>
            <w:tcW w:type="dxa" w:w="1871"/>
          </w:tcPr>
          <w:p>
            <w:r>
              <w:rPr>
                <w:sz w:val="20"/>
              </w:rPr>
              <w:t>0</w:t>
            </w:r>
          </w:p>
        </w:tc>
        <w:tc>
          <w:tcPr>
            <w:tcW w:type="dxa" w:w="1871"/>
          </w:tcPr>
          <w:p>
            <w:r>
              <w:rPr>
                <w:sz w:val="20"/>
              </w:rPr>
              <w:t>0</w:t>
            </w:r>
          </w:p>
        </w:tc>
        <w:tc>
          <w:tcPr>
            <w:tcW w:type="dxa" w:w="1871"/>
          </w:tcPr>
          <w:p>
            <w:r>
              <w:rPr>
                <w:sz w:val="20"/>
              </w:rPr>
              <w:t>2</w:t>
            </w:r>
          </w:p>
        </w:tc>
      </w:tr>
      <w:tr>
        <w:tc>
          <w:tcPr>
            <w:tcW w:type="dxa" w:w="1871"/>
          </w:tcPr>
          <w:p>
            <w:r>
              <w:rPr>
                <w:sz w:val="20"/>
              </w:rPr>
              <w:t>**TOTAL**</w:t>
            </w:r>
          </w:p>
        </w:tc>
        <w:tc>
          <w:tcPr>
            <w:tcW w:type="dxa" w:w="1871"/>
          </w:tcPr>
          <w:p>
            <w:r>
              <w:rPr>
                <w:sz w:val="20"/>
              </w:rPr>
              <w:t>**21**</w:t>
            </w:r>
          </w:p>
        </w:tc>
        <w:tc>
          <w:tcPr>
            <w:tcW w:type="dxa" w:w="1871"/>
          </w:tcPr>
          <w:p>
            <w:r>
              <w:rPr>
                <w:sz w:val="20"/>
              </w:rPr>
              <w:t>**9**</w:t>
            </w:r>
          </w:p>
        </w:tc>
        <w:tc>
          <w:tcPr>
            <w:tcW w:type="dxa" w:w="1871"/>
          </w:tcPr>
          <w:p>
            <w:r>
              <w:rPr>
                <w:sz w:val="20"/>
              </w:rPr>
              <w:t>**19**</w:t>
            </w:r>
          </w:p>
        </w:tc>
        <w:tc>
          <w:tcPr>
            <w:tcW w:type="dxa" w:w="1871"/>
          </w:tcPr>
          <w:p>
            <w:r>
              <w:rPr>
                <w:sz w:val="20"/>
              </w:rPr>
              <w:t>**49**</w:t>
            </w:r>
          </w:p>
        </w:tc>
      </w:tr>
    </w:tbl>
    <w:p/>
    <w:p>
      <w:r>
        <w:t>Sur 49 spécialités historiquement commercialisées en Algérie pour les 7 DCI de ce chapitre, 21 sont actuellement actives (43 %), 9 sont non renouvelables (18 %, commercialisation suspendue transitoirement) et 19 sont définitivement retirées du marché (39 %). Cette dynamique reflète l'évolution du marché pharmaceutique algérien : retrait progressif des princeps historiques internationaux (Diprivan, Ketalar, Nesdonal, Penthotal, Dormicum, Sevoflurelle) et émergence de productions locales et régionales (Provive El Kendi, Ketaraz Frater Razes, Hikma Pharma Algeria, Sedalam El Kendi, Sedalam MS Pharma Jordan, Ipnodis Medis, Inpha-Medis). La diversité des 8 spécialités de midazolam actives témoigne de l'importance de cette molécule en pratique anesthésique et réanimatoire nationale.</w:t>
      </w:r>
    </w:p>
    <w:p>
      <w:r/>
      <w:r>
        <w:rPr>
          <w:i/>
        </w:rPr>
        <w:t>Fin du chapitre 181 — Anesthésiques généraux : intraveineux et volatils (Fascicule XIX, Anesthésie-Réanimation).</w:t>
      </w:r>
      <w:r/>
    </w:p>
    <w:p>
      <w:pPr>
        <w:pStyle w:val="Heading1"/>
      </w:pPr>
      <w:r>
        <w:t>Chapitre 182 — Anesthésiques locaux et curares</w:t>
      </w:r>
    </w:p>
    <w:p>
      <w:pPr>
        <w:pStyle w:val="Heading2"/>
      </w:pPr>
      <w:r>
        <w:t>Fascicule XIX — Anesthésie-Réanimation</w:t>
      </w:r>
    </w:p>
    <w:p>
      <w:pPr>
        <w:pStyle w:val="Heading2"/>
      </w:pPr>
      <w:r>
        <w:t>182.0 Introduction au chapitre 182</w:t>
      </w:r>
    </w:p>
    <w:p>
      <w:r>
        <w:t>L'anesthésie moderne repose sur deux piliers pharmacologiques complémentaires mais fondamentalement distincts : les anesthésiques locaux qui abolissent sélectivement la conduction nerveuse sensitive (et à plus forte dose motrice) au niveau périphérique, et les curares qui produisent une paralysie striée périphérique par blocage de la jonction neuromusculaire. Le chapitre 182 du Livre de Pharmacologie Clinique regroupe sept dénominations communes internationales (DCI) qui constituent l'ossature thérapeutique de l'anesthésie locorégionale et de la myorelaxation peropératoire en Algérie : quatre anesthésiques locaux de la famille des amides (bupivacaïne, mépivacaïne, prilocaïne, articaïne) et trois curares non dépolarisants (rocuronium, vécuronium, atracurium, le cisatracurium étant abordé en regard de l'atracurium en raison de leur parenté chimique et de la supériorité du second sur le premier en termes de tolérance histaminique).</w:t>
      </w:r>
    </w:p>
    <w:p>
      <w:r>
        <w:t>L'histoire des anesthésiques locaux commence en 1884 avec la découverte par Carl Koller, ophtalmologue viennois et ami de Sigmund Freud, des propriétés anesthésiques de la cocaïne, alcaloïde isolé des feuilles de coca (</w:t>
      </w:r>
      <w:r>
        <w:rPr>
          <w:i/>
        </w:rPr>
        <w:t>Erythroxylum coca</w:t>
      </w:r>
      <w:r>
        <w:t>) par Niemann en 1860. La cocaïne, premier anesthésique local de l'histoire, a permis les premières chirurgies oculaires sans douleur, mais son innocuité s'est révélée dramatique : toxicité systémique (convulsions, arrêt cardiaque), dépendance psychique et vasoconstriction locale entraînant des nécroses. La recherche chimique allemande a alors pris le relais : Einhorn synthétise la prococaïne (1905), premier ester de synthèse, dépourvu de dépendance mais responsable d'allergies fréquentes par métabolite PABA. La véritable révolution est venue de Lofgren et Lundqvist qui, en 1943, à l'Université de Stockholm, synthétisent la lidocaïne — premier amide — ouvrant la voie à toute une famille chimique de meilleure tolérance, plus stable à la chaleur et à l'autoclavage, et dépourvue de métabolites allergènes. La bupivacaïne (1957, Astra), la mépivacaïne (1957, Ster-Winthrop), la prilocaïne (1959, Astra) et l'articaïne (1969, Hoechst) ont ensuite progressivement enrichi l'arsenal, chacune avec un profil pharmacocinétique particulier (durée d'action, lipidosolubilité, cardiotoxicité).</w:t>
      </w:r>
    </w:p>
    <w:p>
      <w:r>
        <w:t xml:space="preserve">L'histoire des curares est encore plus ancienne et romanesque. Le curare, poison sud-américain utilisé par les Indiens d'Amazonie sur les flèches de leurs sarbacanes, est arrivé en Europe au XVIᵉ siècle par les récits d'explorateurs comme Walter Raleigh. Mais c'est Claude Bernard, physiologiste français, qui en a élucidé le mécanisme en 1856 : il démontre expérimentalement que le curare agit non pas sur le nerf ni sur le muscle, mais sur la jonction entre les deux, découverte fondatrice de la pharmacologie des synapses. La tubocurarine, alcaloïde purifié de </w:t>
      </w:r>
      <w:r>
        <w:rPr>
          <w:i/>
        </w:rPr>
        <w:t>Chondrodendron tomentosum</w:t>
      </w:r>
      <w:r>
        <w:t xml:space="preserve"> par King en 1935, a été introduite en anesthésie clinique par Griffith et Enid Johnson en 1942 à Montréal, ouvrant l'ère de la chirurgie abdominale relaxée. La galénique s'est ensuite orientée vers des molécules de synthèse non dépolarisantes dépourvues des effets histaminolibérateurs de la tubocurarine : le pancuronium (1966, Organon), curare aminostéroïdien de longue durée ; l'atracurium (1981, Burroughs Wellcome), curare benzylisoquinoléinique dégradé par voie de Hofmann indépendante du foie et du rein ; le vécuronium (1980, Organon) et le rocuronium (1994, Organon), aminostéroïdes de durée intermédiaire et courte, le second permettant la curarisation rapide d'intubation séquence rapide (RSI) en alternative à la succinylcholine.</w:t>
      </w:r>
    </w:p>
    <w:p>
      <w:r>
        <w:t>En Algérie, le marché des anesthésiques locaux est dominé par la bupivacaïne (Bupivacaïne Razès, princeps national) pour l'anesthésie périmédullaire (rachianesthésie, péridurale), par la mépivacaïne (Medicaine, Scandonest) et l'articaïne (Septanest) pour l'odontologie, et par l'association lidocaïne-prilocaïne (Biomla, Neomla) en crème EMLA pour l'anesthésie transcutanée. Le marché des curares est partagé entre les aminostéroïdes rocuronium (Rimexa, Ronium) et vécuronium (Neovec, Vecuron), et la benzylisoquinoléine atracurium (Atacure, Retalex). Le cisatracurium, isomère stéréoisomère de l'atracurium, n'est pas actuellement disponible dans la nomenclature algérienne mais fait l'objet d'une discussion détaillée dans la fiche atracurium en raison de son utilisation internationale et de son profil histaminolibérateur effacé.</w:t>
      </w:r>
    </w:p>
    <w:p>
      <w:r>
        <w:t>Les points critiques de pharmacovigilance à retenir pour ce chapitre sont : (i) la cardiotoxicité majeure de la bupivacaïne, à l'origine d'arrêts cardiaques réfractaires aux protocoles classiques de réanimation et imposant le recours à l'émulsion lipidique intraveineuse à 20 % (Intralipide) comme antidote spécifique — protocole dit « lipid rescue » — introduit en 2006 par Weinberg ; (ii) l'histaminolibération dose-dépendante de l'atracurium, responsable de flush, hypotension et parfois de bronchospasme, qui a justifié le développement du cisatracurium, stéréoisomère R-cis pur dépourvu de cet effet ; (iii) le risque d'anaphylaxie aux curares, première cause d'anaphylaxie peranesthésique en France (enquête GERAP), avec une incidence de 1/10 000 à 1/20 000 anesthésies et une mortalité de 5 %, justifiant l'accessibilité systématique à l'adrénaline et aux solutés de remplissage en salle d'opération ; (iv) la disponibilité du sugammadex (Bridion, Organon), antagoniste spécifique des curares aminostéroïdes (rocuronium, vécuronium) par encapsulation, qui a transformé la prise en charge de la curarisation résiduelle et permet désormais la décurarisation rapide en urgence (anaphylaxie aux curares, intubation difficile). Les curares benzylisoquinoléines (atracurium, cisatracurium) ne sont pas antagonisés par le sugammadex et restent dépendants de la néostigmine.</w:t>
      </w:r>
    </w:p>
    <w:p>
      <w:r>
        <w:t>La rédaction de ce chapitre s'appuie sur les sources réglementaires algériennes (nomenclature Avril 2026), internationales (VIDAL, Thériaque, RCP de l'ANSM et de l'EMA), pharmacologiques (Goodman &amp; Gilman, Pharmacologie de l'anesthésie, SFAR — Société française d'anesthésie-réanimation), et obstétricales (CRAT — Centre de référence sur les agents tératogènes, référentiels d'analgésie obstétricale). Les recommandations SFAR 2018 sur la prévention de l'anaphylaxie peranesthésique, les recommandations SFAR 2020 sur la curarisation et le monitorage curare, et les recommandations de l'ASRA (American Society of Regional Anesthesia) sur la toxicité systémique des anesthésiques locaux (LAST — Local Anesthetic Systemic Toxicity) sont systématiquement intégrées. Les particularités algériennes (disponibilité, prix, prescription, conditions de conservation dans les CHU et cliniques privées du pays) sont mentionnées pour chaque DCI.</w:t>
      </w:r>
    </w:p>
    <w:p>
      <w:pPr>
        <w:pStyle w:val="Heading2"/>
      </w:pPr>
      <w:r>
        <w:t>182.1 Sous-classe : Anesthésiques locaux — Amides longue durée (bupivacaïne, lévobupivacaïne)</w:t>
      </w:r>
    </w:p>
    <w:p>
      <w:r>
        <w:t>Les anesthésiques locaux amides de longue durée constituent le socle de l'anesthésie locorégionale prolongée, en particulier périmédullaire (rachianesthésie, analgésie péridurale obstétricale et chirurgicale) et des blocs tronculaires nécessitant une analgésie prolongée de 6 à 24 heures. La seule molécule de cette sous-classe disponible dans la nomenclature algérienne est la bupivacaïne, amide N-substitué du groupe pipécolylxylidine, commercialisé depuis 1963 (Marcaine, Astra) et dont la structure chimique se caractérise par une chaîne butyle de quatre carbones sur l'azote amide, conférant à la molécule une liposolubilité élevée (logP 5,6), une fixation protéique importante (95 % à l'α1-glycoprotéine acide et à l'albumine) et une durée d'action prolongée (6-12 heures en moyenne selon le site d'injection).</w:t>
      </w:r>
    </w:p>
    <w:p>
      <w:r>
        <w:t>La bupivacaïne se distingue des autres amides par trois propriétés pharmacologiques majeures qui justifient à la fois son utilisation et sa surveillance stricte. Premièrement, sa liposolubilité élevée explique une diffusion tissulaire importante et une fixation prolongée aux canaux sodiques voltage-dépendants, avec une constante d'association/dissociation lente — propriété qui sous-tend la longue durée d'action mais aussi la cardiotoxicité, car la dissociation des canaux sodiques cardiaques (canal NaV1.5) est encore plus lente que pour les canaux nerveux (NaV1.7), et devient quasi irréversible à forte concentration. Deuxièmement, la bupivacaïne est le seul anesthésique local à posséder une cardiotoxicité intrinsèque majeure, statistiquement disproportionnée par rapport à la lidocaïne : le rapport cardiotoxicité/neurotoxicité est de 1 pour la lidocaïne et de 2 à 4 pour la bupivacaïne, traduisant une toxicité cardiaque apparaissant à des doses moindres que la neurotoxicité (alors que pour les autres amides, les signes neurotoxiques précèdent toujours les signes cardiaques, offrant un signal d'alerte clinique). Troisièmement, l'arrêt cardiaque induit par la bupivacaïne est exceptionnellement réfractaire aux protocoles classiques de réanimation (massage cardiaque, adrénaline, amiodarone) — l'issue est souvent fatale en l'absence d'administration précoce d'émulsion lipidique intraveineuse à 20 % (Intralipide), qui piège la bupivacaïne dans une phase lipidique plasmatique (« lipid sink ») et la soustrait aux récepteurs cardiaques. Ce protocole de lipid rescue, validé par l'ASRA depuis 2010 et intégré dans les recommandations SFAR 2020 sur la prise en charge de la toxicité systémique des anesthésiques locaux (LAST), doit être connu de tout praticien manipulant la bupivacaïne.</w:t>
      </w:r>
    </w:p>
    <w:p>
      <w:r>
        <w:t>En Algérie, la bupivacaïne est disponible en concentration 0,5 % (5 mg/mL) en ampoules de 4 mL, sous le nom commercial Bupivacaïne Razès (Laboratoires Frater Razès), princeps national inscrit sur la Liste II. Les marques Marcaine (Astra) et Regibloc Spinal (Pharmacare) ont été retirées du marché algérien. Une présentation intrarachidienne spécifique en ampoules de 4 mL de 5 mg/mL a également existé (Bupivacaïne Mylan) mais n'est plus renouvelée. La lévobupivacaïne (Chirocaine), énantiomère S(-) de la bupivacaïne, commercialisée pour réduire la cardiotoxicité de moitié, n'est pas disponible en Algérie et impose donc une vigilance particulière dans l'usage de la bupivacaïne racémique. Les indications principales de la bupivacaïne en Algérie sont la rachianesthésie pour chirurgie des membres inférieurs et abdominale basse, l'analgésie péridurale obstétricale (à dilution 0,125-0,25 %, en respectant la règle d'or du test dose et de l'administration par paliers fractionnés), les blocs tronculaires majeurs (bloc sciatique poplité, bloc fémoral continu pour analgésie postopératoire), et la perfusion continue périnerveuse par cathéter portable. La dose maximale recommandée est de 2 mg/kg sans adrénaline et 2,5 mg/kg avec adrénaline (effet vasoconstricteur prolongeant la durée d'action et réduisant la toxicité systémique par ralentissement de l'absorption), sans dépasser 150 mg en dose totale chez l'adulte sain.</w:t>
      </w:r>
    </w:p>
    <w:p>
      <w:pPr>
        <w:pStyle w:val="Heading2"/>
      </w:pPr>
      <w:r>
        <w:t>182.2 Sous-classe : Anesthésiques locaux — Amides durée intermédiaire (mépivacaïne, lidocaïne)</w:t>
      </w:r>
    </w:p>
    <w:p>
      <w:r>
        <w:t>Les anesthésiques locaux amides de durée intermédiaire produisent une analgésie de 90 à 180 minutes selon le site d'injection et l'usage ou non d'adrénaline. Cette catégorie est dominée mondialement par la lidocaïne (qui fait l'objet d'un chapitre distinct du Livre en raison de ses multiples usages antiarythmiques, antiépileptiques et d'anesthésie locale), mais le présent chapitre se concentre sur la mépivacaïne, amide N-méthyl-pipécolylxylidine synthétisé par Af Ekenstam en 1957 chez Astra (quatre ans après la lidocaïne, dont elle est l'homologue N-méthylé) et commercialisé sous le nom de Carbocaïne puis Scandonest. La mépivacaïne partage avec la lidocaïne le squelette xylidine-amide, mais s'en distingue par deux propriétés pharmacologiques essentielles : (i) une légère vasoconstriction intrinsèque (alors que la lidocaïne est vasodilatatrice, nécessitant l'adjonction d'adrénaline pour prolonger sa durée d'action), ce qui permet son utilisation à l'état pur sans adjonction de vasopresseur ; (ii) une légère moindre cardiotoxicité que la bupivacaïne (rapport cardio/neurotoxicité voisin de 1,5), avec toutefois une toxicité systémique identique à la lidocaïne pour des doses équivalentes.</w:t>
      </w:r>
    </w:p>
    <w:p>
      <w:r>
        <w:t>La mépivacaïne est principalement utilisée en odontologie, en raison de son onset rapide (5-10 minutes), de son absence de vasodilatation (donc d'administration aisée sans adrénaline chez les patients hypertendus, coronariens ou thyrotoxiques où l'adrénaline est déconseillée), et de sa durée d'action adaptée aux gestes dentaires (60-90 minutes d'analgésie pulpaire, 180-300 minutes d'analgésie des tissus mous). Elle est également utilisée en anesthésie locorégionale périmédullaire (rachianesthésie ambulatoire, péridurale), en blocs tronculaires et en infiltration pariétale. En obstétrique, la mépivacaïne est CONTRE-INDIQUÉE en péridurale obstétricale en raison de l'accumulation fœtale : la mépivacaïne traverse le placenta et son métabolisme fœtal est immature (demi-vie fœtale de 8 à 12 heures vs 1,9 heure chez la mère), avec un risque de bradycardie fœtale, d'hypotonie néonatale et de dépression respiratoire. Cette contre-indication, rappelée par le CRAT et l'EMA, a conduit au retrait de la mépivacaïne des protocoles d'analgésie péridurale obstétricale et à son remplacement par la ropivacaïne ou la lévobupivacaïne (qui ne sont pas disponibles en Algérie) ou par la bupivacaïne diluée à 0,125-0,25 %.</w:t>
      </w:r>
    </w:p>
    <w:p>
      <w:r>
        <w:t>En Algérie, la mépivacaïne est commercialisée principalement pour usage dentaire sous plusieurs marques : Medicaine 2 % adrénalinée (SARL Medis, en carpules de 1,8 mL), Medicaine 3 % sans adrénaline (SARL Medis, en cartouches de 1,8 mL), Scandonest 3 % (Septodont, en cartouches de 1,7 mL) et Scandinibsa 3 % (Inibsa Dental, en cartouches de 1,8 mL). Les marques Scandicaïne 2 % adrénalinée et Scandicaïne noradrénalinée (Septodont) ne sont plus renouvelées, ainsi que Mepivastesin 3 % (3M Espe) et Mepicaton 3 % (Weimer Pharma) qui ont été retirées. La dose maximale recommandée chez l'adulte est de 6 mg/kg sans adrénaline et 7 mg/kg avec adrénaline, soit un maximum de 400 mg (sans) à 500 mg (avec) adrénaline. La concentration de 3 % (30 mg/mL) est adaptée aux actes dentaires courts (50 cartouches de 1,8 mL disponibles par boîte), tandis que la forme 2 % adrénalinée à 1/100 000 est réservée aux actes nécessitant une hémostase locale (avulsions multiples, chirurgie parodontale).</w:t>
      </w:r>
    </w:p>
    <w:p>
      <w:pPr>
        <w:pStyle w:val="Heading2"/>
      </w:pPr>
      <w:r>
        <w:t>182.3 Sous-classe : Anesthésiques locaux — Amides courte durée (prilocaïne)</w:t>
      </w:r>
    </w:p>
    <w:p>
      <w:r>
        <w:t>Les anesthésiques locaux amides de courte durée produisent une analgésie de 30 à 90 minutes selon le site d'injection. La seule molécule de cette catégorie inscrite dans la nomenclature algérienne est la prilocaïne, amide de synthèse dérivé de la toluidine (et non de la xylidine comme la lidocaïne), synthétisé par Löfgren en 1959 chez Astra et commercialisé initialement sous le nom de Citanest. La prilocaïne présente plusieurs particularités pharmacologiques qui la distinguent des autres amides et justifient son usage essentiellement en anesthésie topique cutanéomuqueuse en association avec la lidocaïne (crème EMLA — Eutectic Mixture of Local Anesthetics) :</w:t>
      </w:r>
    </w:p>
    <w:p>
      <w:r>
        <w:t>Premièrement, la prilocaïne est l'amide le moins toxique cardiaque après la lidocaïne, en raison d'une capture pulmonaire importante (la prilocaïne est largement fixée par le poumon à son premier passage, réduisant la concentration systémique). Cette propriété permet l'administration de doses totales élevées (8 mg/kg sans adrénaline, soit le double de la lidocaïne) avec un index thérapeutique élargi. Deuxièmement, la prilocaïne se distingue par son métabolisme : elle est hydrolysée par les carboxylestérases hépatiques en orthotoluidine, métabolite aromatique qui oxyde l'hémoglobine ferreuse (Fe²⁺) en méthémoglobine ferrique (Fe³⁺), incapable de fixer l'oxygène. Cette méthémoglobinémie, dose-dépendante, devient cliniquement significative pour des doses &gt; 8 mg/kg ou en cas d'association avec d'autres agents méthémoglobinisants (dapsone, nitrites, sulfamides antibactériens, antipaludéens). Elle se manifeste par cyanase centrale, dyspnée, et baise de la SpO₂ résistante à l'oxygénothérapie (la SpO₂ plafonne vers 85 % en raison du spectre d'absorption de la méthémoglobine). Le traitement repose sur le bleu de méthylène intraveineux (1-2 mg/kg) qui réduit la méthémoglobine en hémoglobine normale via la NADPH-méthémoglobine réductase. Troisièmement, la crème EMLA (lidocaïne 2,5 % + prilocaïne 2,5 %) est le seul anesthésique local efficace par voie transdermique, sous occlusion, pour l'anesthésie cutanée préalable aux ponctions veineuses, gestes cutanés superficiels, vaccinations chez l'enfant et tatouage.</w:t>
      </w:r>
    </w:p>
    <w:p>
      <w:r>
        <w:t>En Algérie, la prilocaïne n'est pas commercialisée seule mais uniquement en association avec la lidocaïne, sous forme de crème à 5 % (2,5 g de lidocaïne + 2,5 g de prilocaïne pour 100 g). Trois marques sont disponibles : Biomla (Biopharm), Neomla (Neomedic), et Anesderm GE 5 % (Pierre Fabre Médicament, non renouvelable). La forme historique EMLA 5 % (Astra) est retirée du marché algérien. La crème s'applique en couche épaisse (1-2 g pour 10 cm²) sous pansement occlusif (Tégaderm, OpSite), 60 minutes avant le geste (efficacité maximale à 120 minutes), avec une durée d'application ne dépassant pas 4 heures (au-delà, risque d'absorption systémique excessive). La dose maximale chez l'adulte est de 60 g de crème sur 400 cm², réduite chez le nourrisson (1 g/10 cm² maximum chez le nourrisson de moins de 3 mois en raison de la méthémoglobinémie, dont le système de réduction est immature). La prilocaïne injectable pure (Citanest) n'est pas disponible en Algérie, ce qui prive les praticiens algériens d'un anesthésique local de courte durée utile en anesthésie ambulatoire dentaire et en blocs tronculaires courts — la mépivacaïne à 3 % sans adrénaline en tient lieu en pratique quotidienne.</w:t>
      </w:r>
    </w:p>
    <w:p>
      <w:pPr>
        <w:pStyle w:val="Heading2"/>
      </w:pPr>
      <w:r>
        <w:t>182.4 Sous-classe : Anesthésiques locaux — Amides dentaires (articaïne)</w:t>
      </w:r>
    </w:p>
    <w:p>
      <w:r>
        <w:t>L'articaïne occupe une place à part dans la classification des anesthésiques locaux amides car son spectre d'utilisation est quasi-exclusivement odontologique. Synthétisée en 1969 par Rusching et al. chez Hoechst (devenu Sanofi), commercialisée sous le nom de Carticaine puis Ultracain, l'articaïne se distingue des autres amides par sa structure chimique originale : c'est le seul amide qui comporte un noyau thiophène (au lieu du noyau benzène ou xylidine des autres amides) et un groupe ester (en plus de la liaison amide). Cette double structure (amide + ester) lui confère une particularité pharmacocinétique majeure : après absorption systémique, l'articaïne est rapidement hydrolysée par les carboxylestérases plasmatiques (et non par le CYP450 hépatique) en métabolite inactif, l'acide articaïnique. Cette voie métabolique courte explique la très courte demi-vie plasmatique de l'articaïne (20-30 minutes, contre 90 minutes pour la lidocaïne et 180 minutes pour la bupivacaïne), et son index thérapeutique élargi — autorisant l'administration de doses totales importantes (7 mg/kg, soit 500 mg chez l'adulte) avec une marge de sécurité significative.</w:t>
      </w:r>
    </w:p>
    <w:p>
      <w:r>
        <w:t>L'articaïne présente également une liposolubilité élevée (logP 1,9, supérieure à la lidocaïne), une puissance anesthésique 1,5 à 2 fois supérieure à celle de la lidocaïne, et un onset très rapide (1-3 minutes pour l'anesthésie pulpaire, contre 5-10 minutes pour la lidocaïne). Sa diffusion intra-osseuse et intra-tissulaire est supérieure aux autres amides, ce qui permet — particularité odontologique — une anesthésie de la pulpe et des tissus mous péridontaires même en cas d'inflammation locale (abcès dentaire), situation où l'inflammation acidose (pH 5-6) ionise les anesthésiques locaux et réduit leur efficacité. Cette propriété est attribuée à la fois à sa liposolubilité élevée et à une meilleure pénétration du métabolite ester dans les tissus enflammés.</w:t>
      </w:r>
    </w:p>
    <w:p>
      <w:r>
        <w:t>L'articaïne est systématiquement commercialisée en association avec l'adrénaline (1/100 000 ou 1/200 000), qui prolonge sa durée d'action (pulpaire 60-75 minutes, tissus mous 180-300 minutes) et assure une hémostase locale appréciable en chirurgie parodontale. Les concentrations 4 % sont supérieures à celles utilisées pour la lidocaïne (2 %) et la mépivacaïne (3 %), ce qui compense en partie la consommation moindre par cartouche (1,7 mL vs 1,8 mL). En Algérie, l'articaïne n'est plus renouvelée dans la nomenclature (Septanest 1/200 000, Septodont, est indiqué NON_RENOUVELABLE), et les marques Alphacaïne SP 1/100 000 et Alphacaïne N 1/200 000 (Dentsply) ont été retirées. Cette indisponibilité pose un problème pratique important pour la pratique dentaire moderne en Algérie, où l'articaïne est considérée comme l'anesthésique local de référence en odontologie depuis les recommandations de l'American Dental Association (ADA) et de la Haute Autorité de Santé (HAS). Les praticiens algériens se tournent en pratique vers la mépivacaïne 3 % (sans adrénaline) ou 2 % adrénalinée (Medicaine, Scandonest) comme alternative. Le retour de l'articaïne sur le marché algérien est attendu et constitue une revendication des syndicats dentistes.</w:t>
      </w:r>
    </w:p>
    <w:p>
      <w:pPr>
        <w:pStyle w:val="Heading2"/>
      </w:pPr>
      <w:r>
        <w:t>182.5 Sous-classe : Curares non dépolarisants — Aminostéroïdes (pancuronium, vécuronium, rocuronium)</w:t>
      </w:r>
    </w:p>
    <w:p>
      <w:r>
        <w:t>Les curares non dépolarisants (curares competitifs) constituent une famille pharmacologique homogène par leur mécanisme — blocage compétitif des récepteurs nicotiniques de l'acétylcholine (nAChR) postsynaptiques de la jonction neuromusculaire (sous-type Nm, N2) — mais hétérogène par leur structure chimique, qui sépare deux grandes sous-familles : les aminostéroïdes (curares stéroïdiens à fonction ammonium quaternaire), dont les représentants historiques et actuels sont le pancuronium, le vécuronium et le rocuronium ; et les benzylisoquinoléines (curares bis-benzylisoquinoléines), dont les représentants sont la tubocurarine, l'atracurium, le cisatracurium et la mivacurium. Les aminostéroïdes sont dérivés de l'androstane (squelette stéroïdien à 18 carbones) substitué par deux groupes ammonium quaternaires, conférant l'affinité pour le récepteur nicotinique.</w:t>
      </w:r>
    </w:p>
    <w:p>
      <w:r>
        <w:t>Le pancuronium (Pavulon, 1966) a été le premier aminostéroïde de synthèse, dérivé 2β,16β-dipipéridino-5α-androstane-3α,17β-diol. Il présente une puissance élevée (ED95 = 0,07 mg/kg) et une durée d'action longue (45-60 minutes), mais aussi des effets vagolytiques (tachycardie, hypertension) et sympathomimétiques qui le rendent inapproprié en cardiopathie ischémique. Le vécuronium (Norcuron, 1980) a été développé comme amélioration du pancuronium : il s'agit du dérivé 2β-mono-pipéridino (la deuxième pipéridine étant remplacée par un morpholine), perdant ainsi l'effet vagolytique et devenant neutre sur le système cardiovasculaire. Le vécuronium présente une puissance intermédiaire (ED95 = 0,05 mg/kg) et une durée d'action intermédiaire (30-45 minutes), avec un métabolisme hépatique (70-80 %) en métabolite 3-desacétylvécuronium actif (50 % de l'activité mère) qui peut s'accumuler en cas d'insuffisance rénale. Le rocuronium (Esmeron, 1994) est le dernier-né des aminostéroïdes : dérivé 2β-morpholino-3α-hydroxy-16β-pyrrolidino-5α-androstane, il présente une puissance plus faible (ED95 = 0,3 mg/kg, soit 6 fois moins puissant que le vécuronium) mais un onset extrêmement rapide (60-90 secondes à 1 mg/kg), comparable à celui de la succinylcholine, qui en a fait le curare de choix pour l'intubation en séquence rapide (RSI) en urgence, en alternative à la succinylcholine dont les contre-indications sont nombreuses (hyperkaliémie, hyperthermie maligne, dénervation, brûlures étendues).</w:t>
      </w:r>
    </w:p>
    <w:p>
      <w:r>
        <w:t>Les aminostéroïdes partagent plusieurs propriétés pharmacocinétiques : métabolisme hépatique prédominant (déacétylation), élimination biliaire majoritaire (60-80 %) et urinaire accessoire (20-40 %), absence d'histaminolibération cliniquement significative (contrairement aux benzylisoquinoléines), et — caractère essentiel depuis 2008 — réversibilité par le sugammadex (Bridion, Organon), gamma-cyclodextrine modifiée qui encapsule le rocuronium et le vécuronium dans une cavité lipophile hydrophobe, les soustrayant de la jonction neuromusculaire par un mécanisme purement chimique (encapsulation) indépendant des récepteurs cholinergiques. Cette réversibilité par encapsulation, sans nécessité d'inhiber l'acétylcholinestérase, évite les effets muscariniques de la néostigmine (bradycardie, hypersécrétions, bronchospasme) et permet une décurarisation complète en 1-3 minutes à la dose de 2-4 mg/kg (4-16 mg/kg en cas d'urgence vitale de bloc profond « Immediately reverse » à 16 mg/kg). Le sugammadex ne marche pas sur les benzylisoquinoléines (atracurium, cisatracurium) ni sur la succinylcholine.</w:t>
      </w:r>
    </w:p>
    <w:p>
      <w:r>
        <w:t>En Algérie, les deux aminostéroïdes disponibles sont le rocuronium (Rimexa, MS Pharma Jordanie ; Ronium, Hikma Pharma Algeria) en solution injectable IV 10 mg/mL (flacon de 5 mL, soit 50 mg par flacon) et le vécuronium (Neovec, Gland Pharma ; Vecuron, Sun Pharma) en poudre lyophilisée 4 mg par flacon avec solvant de reconstitution. Les marques historiques Norcuron (Organon, vécuronium) et Esmeron (Organon, rocuronium) sont retirées. La disponibilité du sugammadex en Algérie n'est pas documentée dans la nomenclature 2026 ; ce produit, coûteux (50-100 € par flacon de 200 mg), reste potentiellement disponible en importation hospitalière pour les centres de chirurgie cardiaque et de réanimation polyvalente. L'absence de sugammadex systématiquement disponible impose aux anesthésistes algériens la connaissance stricte des doses, durées d'action, et antagonisation par néostigmine-atropine.</w:t>
      </w:r>
    </w:p>
    <w:p>
      <w:pPr>
        <w:pStyle w:val="Heading2"/>
      </w:pPr>
      <w:r>
        <w:t>182.6 Sous-classe : Curares non dépolarisants — Benzylisoquinoléines (tubocurarine, atracurium, cisatracurium, mivacurium)</w:t>
      </w:r>
    </w:p>
    <w:p>
      <w:r>
        <w:t xml:space="preserve">Les curares non dépolarisants de la famille des benzylisoquinoléines dérivent structurellement de la tubocurarine, alcaloïde naturel extrait de </w:t>
      </w:r>
      <w:r>
        <w:rPr>
          <w:i/>
        </w:rPr>
        <w:t>Chondrodendron tomentosum</w:t>
      </w:r>
      <w:r>
        <w:t xml:space="preserve"> (Menispermaceae), plante sud-américaine utilisée comme poison de flèche par les Indiens d'Amazonie. La structure chimique commune à cette famille est le bis-benzylisoquinoléine : deux noyaux isoquinoléine (bicyclique) reliés par deux ponts éther, avec une ou plusieurs fonctions ammonium quaternaire conférant l'affinité pour le récepteur nicotinique. Quatre molécules de cette classe ont été utilisées en clinique : la tubocurarine (Tubarine, 1946), aujourd'hui obsolète en raison de son histaminolibération massive et de son hypotension ; l'atracurium (Tracrium, 1981) ; le cisatracurium (Nimbex, 1995) ; et le mivacurium (Mivacron, 1992), courte durée, métabolisé par les butyrylcholinestérases plasmatiques (comme la succinylcholine), aujourd'hui peu utilisé.</w:t>
      </w:r>
    </w:p>
    <w:p>
      <w:r>
        <w:t>La particularité pharmacologique majeure de cette classe est la dégradation chimique spontanée par élimination de Hofmann : à pH physiologique (7,4) et à 37°C, la molécule subit une fragmentation non-enzymatique du pont ester, libérant un métabolite laudanosine et un mono-quaternary acrylate. Cette dégradation est purement chimique (indépendante du foie et du rein), ce qui en fait le curare de choix en cas d'insuffisance hépatique sévère, d'insuffisance rénale terminale, ou chez le patient âgé fragile. L'atracurium se dégrade 50 % par Hofmann et 50 % par estérases plasmatiques ; le cisatracurium se dégrade 80 % par Hofmann et 20 % par estérases. La laudanosine, métabolite commun, est épileptogène à forte dose chez l'animal (modèle rats) mais cet effet n'a jamais été documenté cliniquement chez l'homme, même en perfusion prolongée de réanimation (cependant, par prudence, l'atracurium est remplacé en perfusion prolongée par le cisatracurium à partir de 48-72 heures chez les patients de réanimation, en raison d'une accumulation moindre de laudanosine).</w:t>
      </w:r>
    </w:p>
    <w:p>
      <w:r>
        <w:t>L'atracurium (Tracrium) présente une puissance intermédiaire (ED95 = 0,25 mg/kg) et une durée d'action intermédiaire (30-45 minutes), mais son effet histaminolibérateur dose-dépendant (à partir de 0,4-0,5 mg/kg, observé chez 30-50 % des patients) limite son administration à des doses &lt; 0,5 mg/kg en bolus lent et dilué, sous peine d'hypotension, flush, bronchospasme. Le cisatracurium (Nimbex, 1995) a été développé pour pallier cet effet : il s'agit du stéréoisomère 1R-cis, 1'R-cis de l'atracurium, pur et chirali. Le cisatracurium est 4 fois plus puissant (ED95 = 0,05 mg/kg), donc administré à doses 4 fois plus faibles, ce qui élimine l'histaminolibération cliniquement significative même à la dose d'intubation (0,15-0,20 mg/kg). Le cisatracurium est devenu le curare benzylisoquinoléinique de référence en anesthésie cardiaque, en pédiatrie, en réanimation polyvalente et chez les patients hémodynamiquement fragiles. Il n'est pas disponible en Algérie, où l'atracurium reste la seule option — imposant la prudence posologique pour éviter l'histaminolibération.</w:t>
      </w:r>
    </w:p>
    <w:p>
      <w:r>
        <w:t>En Algérie, l'atracurium est commercialisé sous deux marques actives : Atacure (Hikma Pharma Algeria) et Retalex (El Kendi Industrie du Médicament), en solution injectable IV à 10 mg/mL (5 mL par flacon, soit 50 mg par flacon). Les marques historiques Tracrium (Glaxo Wellcome) et Tablock (Lemery) sont retirées. Le cisatracurium (Nimbex, AbbVie) n'est pas inscrit dans la nomenclature algérienne Avril 2026, ce qui représente une lacune à corriger pour la pratique anesthésique moderne. Le mivacurium (Mivacron) n'est pas disponible non plus. L'atracurium est principalement utilisé en Algérie pour l'entretien de la curarisation en perfusion continue (5-10 µg/kg/min), en anesthésie cardiaque et thoracique, en réanimation polyvalente pour faciliter la ventilation mécanique, et comme alternative au vécuronium en cas d'insuffisance hépatique ou rénale (au contraire du vécuronium dont le métabolite actif s'accumule en IRC). Le réversion par néostigmine-atropine est la règle, le sugammadex étant inactif sur cette classe. La dose d'intubation est de 0,4-0,5 mg/kg administrée en 60 secondes pour minimiser l'histaminolibération.</w:t>
      </w:r>
    </w:p>
    <w:p>
      <w:pPr>
        <w:pStyle w:val="Heading2"/>
      </w:pPr>
      <w:r>
        <w:t>182.7 Sous-classe récapitulative — Bupivacaïne</w:t>
      </w:r>
    </w:p>
    <w:p>
      <w:pPr>
        <w:pStyle w:val="Heading3"/>
      </w:pPr>
      <w:r>
        <w:t>182.7.1 Bupivacaïne (amides longue durée)</w:t>
      </w:r>
    </w:p>
    <w:p>
      <w:pPr>
        <w:pStyle w:val="Heading4"/>
      </w:pPr>
      <w:r>
        <w:t>182.7.1.1 Catégories pharmaco-thérapeutiques et indications</w:t>
      </w:r>
    </w:p>
    <w:p>
      <w:pPr>
        <w:pStyle w:val="ListBullet"/>
      </w:pPr>
      <w:r/>
      <w:r>
        <w:rPr>
          <w:b/>
        </w:rPr>
        <w:t>DCI</w:t>
      </w:r>
      <w:r>
        <w:t xml:space="preserve"> : bupivacaïne (chlorhydrate, forme anhydre).</w:t>
      </w:r>
    </w:p>
    <w:p>
      <w:pPr>
        <w:pStyle w:val="ListBullet"/>
      </w:pPr>
      <w:r/>
      <w:r>
        <w:rPr>
          <w:b/>
        </w:rPr>
        <w:t>Code ATC</w:t>
      </w:r>
      <w:r>
        <w:t xml:space="preserve"> : N01BB01 (anesthésiques locaux — amides).</w:t>
      </w:r>
    </w:p>
    <w:p>
      <w:pPr>
        <w:pStyle w:val="ListBullet"/>
      </w:pPr>
      <w:r/>
      <w:r>
        <w:rPr>
          <w:b/>
        </w:rPr>
        <w:t>Classification thérapeutique</w:t>
      </w:r>
      <w:r>
        <w:t xml:space="preserve"> : anesthésique local amide de longue durée d'action, isomère racémique R(+) et S(-) (1:1).</w:t>
      </w:r>
    </w:p>
    <w:p>
      <w:pPr>
        <w:pStyle w:val="ListBullet"/>
      </w:pPr>
      <w:r/>
      <w:r>
        <w:rPr>
          <w:b/>
        </w:rPr>
        <w:t>Classe chimique</w:t>
      </w:r>
      <w:r>
        <w:t xml:space="preserve"> : pipécolylxylidine N-substituée (1-butyl-2',6'-pipecolylxylidide), amide lipophile (logP 5,6) de poids moléculaire 324 Da (sel chlorhydrate).</w:t>
      </w:r>
    </w:p>
    <w:p>
      <w:pPr>
        <w:pStyle w:val="ListBullet"/>
      </w:pPr>
      <w:r/>
      <w:r>
        <w:rPr>
          <w:b/>
        </w:rPr>
        <w:t>Statut réglementaire Algérie</w:t>
      </w:r>
      <w:r>
        <w:t xml:space="preserve"> : Liste II — prescription médicale obligatoire, usage réservé aux médecins anesthésistes-réanimateurs, chirurgiens et gynécologues-obstétriciens formés à l'anesthésie locorégionale.</w:t>
      </w:r>
    </w:p>
    <w:p>
      <w:pPr>
        <w:pStyle w:val="ListBullet"/>
      </w:pPr>
      <w:r/>
      <w:r>
        <w:rPr>
          <w:b/>
        </w:rPr>
        <w:t>Grossesse</w:t>
      </w:r>
      <w:r>
        <w:t xml:space="preserve"> : autorisée en péridurale obstétricale à dilution 0,125-0,25 % (indispensable pour analgésie du travail), données CRAT favorables avec réserve d'éviter les doses toxiques (risque d'hypotonie fœtale à forte dose systémique).</w:t>
      </w:r>
    </w:p>
    <w:p>
      <w:r>
        <w:t>Indications principales :</w:t>
      </w:r>
    </w:p>
    <w:p>
      <w:pPr>
        <w:pStyle w:val="ListNumber"/>
      </w:pPr>
      <w:r/>
      <w:r>
        <w:rPr>
          <w:b/>
        </w:rPr>
        <w:t>Anesthésie périmédullaire</w:t>
      </w:r>
      <w:r>
        <w:t xml:space="preserve"> : rachianesthésie pour chirurgie des membres inférieurs, périnée, chirurgie pelvienne basse (prostatectomie transurétrale, hystérectomie vaginale, hémorroïdectomie), chirurgie abdominale sous-ombilicale (césarienne). Posologie 10-20 mg en intrathécal (2-4 mL de solution 0,5 % isobare ou hyperbare).</w:t>
      </w:r>
    </w:p>
    <w:p>
      <w:pPr>
        <w:pStyle w:val="ListNumber"/>
      </w:pPr>
      <w:r/>
      <w:r>
        <w:rPr>
          <w:b/>
        </w:rPr>
        <w:t>Analgésie péridurale obstétricale</w:t>
      </w:r>
      <w:r>
        <w:t xml:space="preserve"> : analgésie du travail à la concentration 0,125-0,25 %, en perfusion continue 5-15 mL/h, ou bolus autoadministrés (PCEA). Association fréquente avec le sufentanil 0,5 µg/mL.</w:t>
      </w:r>
    </w:p>
    <w:p>
      <w:pPr>
        <w:pStyle w:val="ListNumber"/>
      </w:pPr>
      <w:r/>
      <w:r>
        <w:rPr>
          <w:b/>
        </w:rPr>
        <w:t>Analgésie péridurale chirurgicale</w:t>
      </w:r>
      <w:r>
        <w:t xml:space="preserve"> : chirurgie thoracique, abdominale haute, urologique, gynécologique, en perfusion continue ou bolus fractionnés.</w:t>
      </w:r>
    </w:p>
    <w:p>
      <w:pPr>
        <w:pStyle w:val="ListNumber"/>
      </w:pPr>
      <w:r/>
      <w:r>
        <w:rPr>
          <w:b/>
        </w:rPr>
        <w:t>Blocs tronculaires majeurs</w:t>
      </w:r>
      <w:r>
        <w:t xml:space="preserve"> : bloc sciatique poplité, bloc fémoral continu (cathéter), bloc plexique brachial (interscalénique, supraclaviculaire, axillaire), bloc paravertébral thoracique pour analgésie postopératoire prolongée (10-15 heures).</w:t>
      </w:r>
    </w:p>
    <w:p>
      <w:pPr>
        <w:pStyle w:val="ListNumber"/>
      </w:pPr>
      <w:r/>
      <w:r>
        <w:rPr>
          <w:b/>
        </w:rPr>
        <w:t>Infiltration pariétale</w:t>
      </w:r>
      <w:r>
        <w:t xml:space="preserve"> : infiltration cicatricielle postopératoire (césarienne, laparotomie), bloc transverse de l'abdomen (TAP block) pour analgésie pariétale.</w:t>
      </w:r>
    </w:p>
    <w:p>
      <w:pPr>
        <w:pStyle w:val="ListNumber"/>
      </w:pPr>
      <w:r/>
      <w:r>
        <w:rPr>
          <w:b/>
        </w:rPr>
        <w:t>Infiltration articulaire</w:t>
      </w:r>
      <w:r>
        <w:t xml:space="preserve"> : analgésie postarthroplastie (genou, hanche) en infiltration unique ou par cathéter intra-articulaire.</w:t>
      </w:r>
    </w:p>
    <w:p>
      <w:pPr>
        <w:pStyle w:val="ListNumber"/>
      </w:pPr>
      <w:r/>
      <w:r>
        <w:rPr>
          <w:b/>
        </w:rPr>
        <w:t>Anesthésie locale en odontologie</w:t>
      </w:r>
      <w:r>
        <w:t xml:space="preserve"> : peu utilisée (préférence pour mépivacaïne et articaïne) en raison de la cardiotoxicité.</w:t>
      </w:r>
    </w:p>
    <w:p>
      <w:pPr>
        <w:pStyle w:val="Heading4"/>
      </w:pPr>
      <w:r>
        <w:t>182.7.1.2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BUPIVACAINE RAZES</w:t>
            </w:r>
          </w:p>
        </w:tc>
        <w:tc>
          <w:tcPr>
            <w:tcW w:type="dxa" w:w="1559"/>
          </w:tcPr>
          <w:p>
            <w:r>
              <w:rPr>
                <w:sz w:val="20"/>
              </w:rPr>
              <w:t>LES LABORATOIRES FRATER RAZES</w:t>
            </w:r>
          </w:p>
        </w:tc>
        <w:tc>
          <w:tcPr>
            <w:tcW w:type="dxa" w:w="1559"/>
          </w:tcPr>
          <w:p>
            <w:r>
              <w:rPr>
                <w:sz w:val="20"/>
              </w:rPr>
              <w:t>Solution injectable (sauf IV) 0,5 % (20 mg/4 mL)</w:t>
            </w:r>
          </w:p>
        </w:tc>
        <w:tc>
          <w:tcPr>
            <w:tcW w:type="dxa" w:w="1559"/>
          </w:tcPr>
          <w:p>
            <w:r>
              <w:rPr>
                <w:sz w:val="20"/>
              </w:rPr>
              <w:t>B/10 ampoules et B/50 ampoules</w:t>
            </w:r>
          </w:p>
        </w:tc>
        <w:tc>
          <w:tcPr>
            <w:tcW w:type="dxa" w:w="1559"/>
          </w:tcPr>
          <w:p>
            <w:r>
              <w:rPr>
                <w:sz w:val="20"/>
              </w:rPr>
              <w:t>Liste II</w:t>
            </w:r>
          </w:p>
        </w:tc>
        <w:tc>
          <w:tcPr>
            <w:tcW w:type="dxa" w:w="1559"/>
          </w:tcPr>
          <w:p>
            <w:r>
              <w:rPr>
                <w:sz w:val="20"/>
              </w:rPr>
              <w:t>Actif</w:t>
            </w:r>
          </w:p>
        </w:tc>
      </w:tr>
      <w:tr>
        <w:tc>
          <w:tcPr>
            <w:tcW w:type="dxa" w:w="1559"/>
          </w:tcPr>
          <w:p>
            <w:r>
              <w:rPr>
                <w:sz w:val="20"/>
              </w:rPr>
              <w:t>BUPIVACAINE MYLAN</w:t>
            </w:r>
          </w:p>
        </w:tc>
        <w:tc>
          <w:tcPr>
            <w:tcW w:type="dxa" w:w="1559"/>
          </w:tcPr>
          <w:p>
            <w:r>
              <w:rPr>
                <w:sz w:val="20"/>
              </w:rPr>
              <w:t>MYLAN</w:t>
            </w:r>
          </w:p>
        </w:tc>
        <w:tc>
          <w:tcPr>
            <w:tcW w:type="dxa" w:w="1559"/>
          </w:tcPr>
          <w:p>
            <w:r>
              <w:rPr>
                <w:sz w:val="20"/>
              </w:rPr>
              <w:t>Solution injectable 5 mg/mL (intra-rachidienne en ampoules)</w:t>
            </w:r>
          </w:p>
        </w:tc>
        <w:tc>
          <w:tcPr>
            <w:tcW w:type="dxa" w:w="1559"/>
          </w:tcPr>
          <w:p>
            <w:r>
              <w:rPr>
                <w:sz w:val="20"/>
              </w:rPr>
              <w:t>B/20 ampoules de 4 mL</w:t>
            </w:r>
          </w:p>
        </w:tc>
        <w:tc>
          <w:tcPr>
            <w:tcW w:type="dxa" w:w="1559"/>
          </w:tcPr>
          <w:p>
            <w:r>
              <w:rPr>
                <w:sz w:val="20"/>
              </w:rPr>
              <w:t>Liste II</w:t>
            </w:r>
          </w:p>
        </w:tc>
        <w:tc>
          <w:tcPr>
            <w:tcW w:type="dxa" w:w="1559"/>
          </w:tcPr>
          <w:p>
            <w:r>
              <w:rPr>
                <w:sz w:val="20"/>
              </w:rPr>
              <w:t>Non renouvelable</w:t>
            </w:r>
          </w:p>
        </w:tc>
      </w:tr>
      <w:tr>
        <w:tc>
          <w:tcPr>
            <w:tcW w:type="dxa" w:w="1559"/>
          </w:tcPr>
          <w:p>
            <w:r>
              <w:rPr>
                <w:sz w:val="20"/>
              </w:rPr>
              <w:t>BUPIVACAINE MYLAN</w:t>
            </w:r>
          </w:p>
        </w:tc>
        <w:tc>
          <w:tcPr>
            <w:tcW w:type="dxa" w:w="1559"/>
          </w:tcPr>
          <w:p>
            <w:r>
              <w:rPr>
                <w:sz w:val="20"/>
              </w:rPr>
              <w:t>MYLAN</w:t>
            </w:r>
          </w:p>
        </w:tc>
        <w:tc>
          <w:tcPr>
            <w:tcW w:type="dxa" w:w="1559"/>
          </w:tcPr>
          <w:p>
            <w:r>
              <w:rPr>
                <w:sz w:val="20"/>
              </w:rPr>
              <w:t>Solution injectable 0,5 % (5 mg/mL)</w:t>
            </w:r>
          </w:p>
        </w:tc>
        <w:tc>
          <w:tcPr>
            <w:tcW w:type="dxa" w:w="1559"/>
          </w:tcPr>
          <w:p>
            <w:r>
              <w:rPr>
                <w:sz w:val="20"/>
              </w:rPr>
              <w:t>B/10 flacons de 20 mL</w:t>
            </w:r>
          </w:p>
        </w:tc>
        <w:tc>
          <w:tcPr>
            <w:tcW w:type="dxa" w:w="1559"/>
          </w:tcPr>
          <w:p>
            <w:r>
              <w:rPr>
                <w:sz w:val="20"/>
              </w:rPr>
              <w:t>Liste II</w:t>
            </w:r>
          </w:p>
        </w:tc>
        <w:tc>
          <w:tcPr>
            <w:tcW w:type="dxa" w:w="1559"/>
          </w:tcPr>
          <w:p>
            <w:r>
              <w:rPr>
                <w:sz w:val="20"/>
              </w:rPr>
              <w:t>Non renouvelable</w:t>
            </w:r>
          </w:p>
        </w:tc>
      </w:tr>
      <w:tr>
        <w:tc>
          <w:tcPr>
            <w:tcW w:type="dxa" w:w="1559"/>
          </w:tcPr>
          <w:p>
            <w:r>
              <w:rPr>
                <w:sz w:val="20"/>
              </w:rPr>
              <w:t>BUPIVACAINE AGUETTANT</w:t>
            </w:r>
          </w:p>
        </w:tc>
        <w:tc>
          <w:tcPr>
            <w:tcW w:type="dxa" w:w="1559"/>
          </w:tcPr>
          <w:p>
            <w:r>
              <w:rPr>
                <w:sz w:val="20"/>
              </w:rPr>
              <w:t>AGUETTANT</w:t>
            </w:r>
          </w:p>
        </w:tc>
        <w:tc>
          <w:tcPr>
            <w:tcW w:type="dxa" w:w="1559"/>
          </w:tcPr>
          <w:p>
            <w:r>
              <w:rPr>
                <w:sz w:val="20"/>
              </w:rPr>
              <w:t>Solution injectable 0,25 % (2,5 mg/mL)</w:t>
            </w:r>
          </w:p>
        </w:tc>
        <w:tc>
          <w:tcPr>
            <w:tcW w:type="dxa" w:w="1559"/>
          </w:tcPr>
          <w:p>
            <w:r>
              <w:rPr>
                <w:sz w:val="20"/>
              </w:rPr>
              <w:t>B/10 flacons de 20 mL</w:t>
            </w:r>
          </w:p>
        </w:tc>
        <w:tc>
          <w:tcPr>
            <w:tcW w:type="dxa" w:w="1559"/>
          </w:tcPr>
          <w:p>
            <w:r>
              <w:rPr>
                <w:sz w:val="20"/>
              </w:rPr>
              <w:t>Liste II</w:t>
            </w:r>
          </w:p>
        </w:tc>
        <w:tc>
          <w:tcPr>
            <w:tcW w:type="dxa" w:w="1559"/>
          </w:tcPr>
          <w:p>
            <w:r>
              <w:rPr>
                <w:sz w:val="20"/>
              </w:rPr>
              <w:t>Non renouvelable</w:t>
            </w:r>
          </w:p>
        </w:tc>
      </w:tr>
      <w:tr>
        <w:tc>
          <w:tcPr>
            <w:tcW w:type="dxa" w:w="1559"/>
          </w:tcPr>
          <w:p>
            <w:r>
              <w:rPr>
                <w:sz w:val="20"/>
              </w:rPr>
              <w:t>REGIBLOC SPINAL</w:t>
            </w:r>
          </w:p>
        </w:tc>
        <w:tc>
          <w:tcPr>
            <w:tcW w:type="dxa" w:w="1559"/>
          </w:tcPr>
          <w:p>
            <w:r>
              <w:rPr>
                <w:sz w:val="20"/>
              </w:rPr>
              <w:t>PHARMACARE LIMITED</w:t>
            </w:r>
          </w:p>
        </w:tc>
        <w:tc>
          <w:tcPr>
            <w:tcW w:type="dxa" w:w="1559"/>
          </w:tcPr>
          <w:p>
            <w:r>
              <w:rPr>
                <w:sz w:val="20"/>
              </w:rPr>
              <w:t>Solution injectable 0,5 %</w:t>
            </w:r>
          </w:p>
        </w:tc>
        <w:tc>
          <w:tcPr>
            <w:tcW w:type="dxa" w:w="1559"/>
          </w:tcPr>
          <w:p>
            <w:r>
              <w:rPr>
                <w:sz w:val="20"/>
              </w:rPr>
              <w:t>B/10 ampoules de 5 mL</w:t>
            </w:r>
          </w:p>
        </w:tc>
        <w:tc>
          <w:tcPr>
            <w:tcW w:type="dxa" w:w="1559"/>
          </w:tcPr>
          <w:p>
            <w:r>
              <w:rPr>
                <w:sz w:val="20"/>
              </w:rPr>
              <w:t>Liste II</w:t>
            </w:r>
          </w:p>
        </w:tc>
        <w:tc>
          <w:tcPr>
            <w:tcW w:type="dxa" w:w="1559"/>
          </w:tcPr>
          <w:p>
            <w:r>
              <w:rPr>
                <w:sz w:val="20"/>
              </w:rPr>
              <w:t>Retrait</w:t>
            </w:r>
          </w:p>
        </w:tc>
      </w:tr>
      <w:tr>
        <w:tc>
          <w:tcPr>
            <w:tcW w:type="dxa" w:w="1559"/>
          </w:tcPr>
          <w:p>
            <w:r>
              <w:rPr>
                <w:sz w:val="20"/>
              </w:rPr>
              <w:t>MARCAINE</w:t>
            </w:r>
          </w:p>
        </w:tc>
        <w:tc>
          <w:tcPr>
            <w:tcW w:type="dxa" w:w="1559"/>
          </w:tcPr>
          <w:p>
            <w:r>
              <w:rPr>
                <w:sz w:val="20"/>
              </w:rPr>
              <w:t>ASTRA</w:t>
            </w:r>
          </w:p>
        </w:tc>
        <w:tc>
          <w:tcPr>
            <w:tcW w:type="dxa" w:w="1559"/>
          </w:tcPr>
          <w:p>
            <w:r>
              <w:rPr>
                <w:sz w:val="20"/>
              </w:rPr>
              <w:t>Solution injectable 0,5 %</w:t>
            </w:r>
          </w:p>
        </w:tc>
        <w:tc>
          <w:tcPr>
            <w:tcW w:type="dxa" w:w="1559"/>
          </w:tcPr>
          <w:p>
            <w:r>
              <w:rPr>
                <w:sz w:val="20"/>
              </w:rPr>
              <w:t>Flacon 20 mL</w:t>
            </w:r>
          </w:p>
        </w:tc>
        <w:tc>
          <w:tcPr>
            <w:tcW w:type="dxa" w:w="1559"/>
          </w:tcPr>
          <w:p>
            <w:r>
              <w:rPr>
                <w:sz w:val="20"/>
              </w:rPr>
              <w:t>Liste II</w:t>
            </w:r>
          </w:p>
        </w:tc>
        <w:tc>
          <w:tcPr>
            <w:tcW w:type="dxa" w:w="1559"/>
          </w:tcPr>
          <w:p>
            <w:r>
              <w:rPr>
                <w:sz w:val="20"/>
              </w:rPr>
              <w:t>Retrait</w:t>
            </w:r>
          </w:p>
        </w:tc>
      </w:tr>
      <w:tr>
        <w:tc>
          <w:tcPr>
            <w:tcW w:type="dxa" w:w="1559"/>
          </w:tcPr>
          <w:p>
            <w:r>
              <w:rPr>
                <w:sz w:val="20"/>
              </w:rPr>
              <w:t>MARCAINE</w:t>
            </w:r>
          </w:p>
        </w:tc>
        <w:tc>
          <w:tcPr>
            <w:tcW w:type="dxa" w:w="1559"/>
          </w:tcPr>
          <w:p>
            <w:r>
              <w:rPr>
                <w:sz w:val="20"/>
              </w:rPr>
              <w:t>ASTRA</w:t>
            </w:r>
          </w:p>
        </w:tc>
        <w:tc>
          <w:tcPr>
            <w:tcW w:type="dxa" w:w="1559"/>
          </w:tcPr>
          <w:p>
            <w:r>
              <w:rPr>
                <w:sz w:val="20"/>
              </w:rPr>
              <w:t>Solution injectable 0,25 %</w:t>
            </w:r>
          </w:p>
        </w:tc>
        <w:tc>
          <w:tcPr>
            <w:tcW w:type="dxa" w:w="1559"/>
          </w:tcPr>
          <w:p>
            <w:r>
              <w:rPr>
                <w:sz w:val="20"/>
              </w:rPr>
              <w:t>B/10 flacons de 20 mL</w:t>
            </w:r>
          </w:p>
        </w:tc>
        <w:tc>
          <w:tcPr>
            <w:tcW w:type="dxa" w:w="1559"/>
          </w:tcPr>
          <w:p>
            <w:r>
              <w:rPr>
                <w:sz w:val="20"/>
              </w:rPr>
              <w:t>Liste II</w:t>
            </w:r>
          </w:p>
        </w:tc>
        <w:tc>
          <w:tcPr>
            <w:tcW w:type="dxa" w:w="1559"/>
          </w:tcPr>
          <w:p>
            <w:r>
              <w:rPr>
                <w:sz w:val="20"/>
              </w:rPr>
              <w:t>Retrait</w:t>
            </w:r>
          </w:p>
        </w:tc>
      </w:tr>
    </w:tbl>
    <w:p/>
    <w:p>
      <w:r>
        <w:t>Le marché algérien de la bupivacaïne est dominé par le princeps national Bupivacaïne Razès (Laboratoires Frater Razès), disponible en ampoules de 4 mL à 0,5 % (5 mg/mL), qui couvre l'ensemble des besoins d'anesthésie périmédullaire et de blocs tronculaires. Les formes à 0,25 % (Bupivacaïne Aguettaut), 0,5 % en flacon de 20 mL (Bupivacaïne Mylan) et la forme intrarachidienne isobare en ampoules de 4 mL à 5 mg/mL (Bupivacaïne Mylan) ont existé mais ne sont plus renouvelées. Les marques historiques Marcaine (Astra, princeps international) et Regibloc Spinal (Pharmacare) sont retirées du marché algérien. La lévobupivacaïne (Chirocaine, AbbVie), énantiomère S(-) pur théoriquement deux fois moins cardiotoxique, n'est pas disponible en Algérie, ce qui impose une prédilection stricte des doses maximales (2 mg/kg sans adrénaline, 2,5 mg/kg avec adrénaline) et la disponibilité systématique d'émulsion lipidique 20 % (Intralipide) en salle d'opération.</w:t>
      </w:r>
    </w:p>
    <w:p>
      <w:pPr>
        <w:pStyle w:val="Heading4"/>
      </w:pPr>
      <w:r>
        <w:t>182.7.1.3 Mécanisme d'action moléculaire, cellulaire et physiologique</w:t>
      </w:r>
    </w:p>
    <w:p>
      <w:r>
        <w:t>La bupivacaïne, comme tous les anesthésiques locaux, exerce son effet anesthésique par blocage sélectif et réversible des canaux sodiques voltage-dépendants (VGSC, NaV) des membranes excitables (fibres nerveuses, cellules musculaires striées et cardiaques). Le mécanisme complet peut être décrit selon six niveaux :</w:t>
      </w:r>
    </w:p>
    <w:p>
      <w:r/>
      <w:r>
        <w:rPr>
          <w:b/>
        </w:rPr>
        <w:t>Niveau moléculaire — blocage des canaux sodiques</w:t>
      </w:r>
      <w:r>
        <w:t xml:space="preserve"> : la bupivacaïne diffuse à travers la membrane nerveuse sous sa forme liposoluble non ionisée (B, base libre), puis en milieu intracellulaire (pH 7,4) s'équilibre avec sa forme protonée cationique (BH+), qui est la forme pharmacologiquement active. BH+ se fixe à un site spécifique (sous-type) localisé sur la face intracellulaire du canal sodique, en particulier sur le segment S6 du domaine IV (DIV-S6), bloquant le canal dans sa configuration inactivée. La fixation est use-dependent (le blocage s'intensifie avec la fréquence de dépolarisation), ce qui explique l'efficacité préférentielle sur les fibres à forte activité (petites fibres nociceptives C et Aδ avant les fibres motrices Aα).</w:t>
      </w:r>
    </w:p>
    <w:p>
      <w:r/>
      <w:r>
        <w:rPr>
          <w:b/>
        </w:rPr>
        <w:t>Niveau cellulaire — sélectivité des fibres nerveuses</w:t>
      </w:r>
      <w:r>
        <w:t xml:space="preserve"> : la bupivacaïne bloque préférentiellement les petites fibres (B et C, amyéliniques ou peu myélinisées) avant les grosses fibres (Aα, Aβ, myélinisées), selon un ordre classiquement : douleur (C) → température (B) → toucher (Aβ) → motricité (Aα). Cette sensibilité différentielle explique que la douleur disparaît avant la motricité (analgésie sans bloc moteur au faibles concentrations), et que la récupération se fait dans l'ordre inverse (motricité avant douleur). La bupivacaïne se distingue par un bloc moteur particulièrement marqué à concentration élevée (0,5-0,75 %), justifiant sa dilution à 0,125-0,25 % en analgésie péridurale obstétricale pour préserver la mobilité de la parturiente.</w:t>
      </w:r>
    </w:p>
    <w:p>
      <w:r/>
      <w:r>
        <w:rPr>
          <w:b/>
        </w:rPr>
        <w:t>Niveau physiologique — bloc de conduction nerveuse</w:t>
      </w:r>
      <w:r>
        <w:t xml:space="preserve"> : à l'échelle du nerf, le blocage des canaux sodiques élève le seuil de dépolarisation, ralentit la vitesse de conduction, puis abolit complètement la propagation du potentiel d'action au-delà de 2-3 mm du site d'injection. Au niveau médullaire (rachianesthésie), le bloc sensitif s'étend sur 2-6 segments métamériques selon la dose et le barbotage. En péridurale, la diffusion s'effectue dans l'espace épidural, avec un délai d'installation de 10-20 minutes et un effet maximal à 30 minutes. La durée d'action (4-12 heures selon le site et l'adjonction d'adrénaline) est la plus longue de tous les anesthésiques locaux amides, en raison de la forte fixation protéique et de la liposolubilité élevée.</w:t>
      </w:r>
    </w:p>
    <w:p>
      <w:r/>
      <w:r>
        <w:rPr>
          <w:b/>
        </w:rPr>
        <w:t>Niveau cardiaque — cardiotoxicité</w:t>
      </w:r>
      <w:r>
        <w:t xml:space="preserve"> : la bupivacaïne se distingue par sa toxicité cardiaque intrinsèque marquée. Mécanismes : (i) blocage des canaux sodiques cardiaques (NaV1.5) avec une dissociation extrêmement lente (koff 6 fois plus lent que la lidocaïne) pendant la diastole, entraînant un bloc auriculo-ventriculaire, un allongement du QT, une dépression myocardique ; (ii) blocage des canaux potassiques (HERG, Kv11.1) allongeant la repolarisation ; (iii) blocage de la chaîne respiratoire mitochondriale (complexes I et III) diminuant la production d'ATP myocardique ; (iv) atteinte directe des myocytes par lipophilie (perturbation des membranes). L'arrêt cardiaque est asystolique ou en FTV (torsades de pointes), réfractaire à l'adrénaline et à l'amiodarone.</w:t>
      </w:r>
    </w:p>
    <w:p>
      <w:r/>
      <w:r>
        <w:rPr>
          <w:b/>
        </w:rPr>
        <w:t>Niveau nerveux central — neurotoxicité</w:t>
      </w:r>
      <w:r>
        <w:t xml:space="preserve"> : à dose systémique toxique, la bupivacaïne traverse la barrière hémato-encéphalique et se fixe aux neurones centraux. Signes précoces : circumoral paresthésies, langue métallique, acouphènes, agitation, confusion. Signes tardifs : tremblements, convulsions tonico-cloniques généralisées, coma, dépression respiratoire. Les convulsions aux amides sont expliquées par un blocage préférentiel des circuits inhibiteurs (GABAergiques) avant les circuits excitateurs, libérant l'activité épileptique.</w:t>
      </w:r>
    </w:p>
    <w:p>
      <w:r/>
      <w:r>
        <w:rPr>
          <w:b/>
        </w:rPr>
        <w:t>Niveau vasculaire — effet vasculaire</w:t>
      </w:r>
      <w:r>
        <w:t xml:space="preserve"> : la bupivacaïne est vasodilatatrice à faible concentration et à forte dose, ce qui accélère son absorption systémique. L'adjonction d'adrénaline (5 µg/mL, 1/200 000) contrebalance cet effet, prolonge la durée d'action de 30-50 %, et réduit la concentration plasmatique maximale (Cmax) de 25-40 %, augmentant ainsi l'index thérapeutique.</w:t>
      </w:r>
    </w:p>
    <w:p>
      <w:pPr>
        <w:pStyle w:val="Heading4"/>
      </w:pPr>
      <w:r>
        <w:t>182.7.1.4 Pharmacocinétique (profil PK)</w:t>
      </w:r>
    </w:p>
    <w:p>
      <w:r/>
      <w:r>
        <w:rPr>
          <w:b/>
        </w:rPr>
        <w:t>Absorption</w:t>
      </w:r>
      <w:r>
        <w:t xml:space="preserve"> : la bupivacaïne est administrée par voie injectable (sous-arachnoïdienne, péridurale, périnerveuse, infiltrante). L'absorption systémique dépend du site d'injection : la concentration plasmatique maximale (Cmax) est inversement proportionnelle à la vascularisation du site (intercostal &gt; caudal &gt; péridural &gt; sciatique &gt; sous-cutané). Après infiltration intercostale, la Cmax est atteinte en 5-10 minutes (risque toxique élevé) ; après péridurale, en 15-30 minutes ; après infiltration sous-cutanée, en 30-60 minutes. L'adjonction d'adrénaline 1/200 000 réduit la Cmax de 25-40 % et la prolonge. La biodisponibilité systémique est proche de 100 % après injection extravasculaire (le premier passage hépatique est négligeable en injection locale). La voie intraveineuse directe est STRICTEMENT INTERDITE (risque d'arrêt cardiaque immédiat par toxicité systémique).</w:t>
      </w:r>
    </w:p>
    <w:p>
      <w:r/>
      <w:r>
        <w:rPr>
          <w:b/>
        </w:rPr>
        <w:t>Distribution</w:t>
      </w:r>
      <w:r>
        <w:t xml:space="preserve"> : la bupivacaïne est fortement liée aux protéines plasmatiques (95 %, principalement α1-glycoprotéine acide et albumine). La fraction libre (5 %) est la seule pharmacologiquement active et toxique. Le volume de distribution à l'équilibre (Vdss) est élevé, de 1 à 2 L/kg, en raison de la lipophilie marquée. La diffusion tissulaire est large : muscle, tissu adipeux, cœur, cerveau (BHE franchie par la forme non ionisée). La diffusion transplacentaire est passive, avec un rapport foeto-maternel voisin de 0,3-0,5 (légère accumulation fœtale en cas d'acidose fœtale — ion trapping, justifiant la surveillance du RCF).</w:t>
      </w:r>
    </w:p>
    <w:p>
      <w:r/>
      <w:r>
        <w:rPr>
          <w:b/>
        </w:rPr>
        <w:t>Métabolisme</w:t>
      </w:r>
      <w:r>
        <w:t xml:space="preserve"> : la bupivacaïne est métabolisée à 95 % par le cytochrome P450 hépatique, principalement CYP3A4 et accessoirement CYP2C19. Les voies principales sont : (i) N-désalkylation en PPX (pipécolylxylidine), métabolite inactif ; (ii) hydroxylation du noyau aromatique. Aucun métabolite n'est pharmacologiquement actif. La clairance hépatique dépend du débit sanguin hépatique (flow-limited) ; elle est donc abaissée en cas de baisse du débit cardiaque (insuffisance cardiaque, β-bloquants, péridurale thoracique haute).</w:t>
      </w:r>
    </w:p>
    <w:p>
      <w:r/>
      <w:r>
        <w:rPr>
          <w:b/>
        </w:rPr>
        <w:t>Élimination</w:t>
      </w:r>
      <w:r>
        <w:t xml:space="preserve"> : l'élimination est biliaire (40 %) et urinaire (60 %), avec moins de 5 % sous forme inchangée. La demi-vie d'élimination terminale est de 2 à 4 heures chez l'adulte sain, prolongée à 6-8 heures en perfusion continue. La clairance totale est de 7-9 mL/min/kg. Aucune adaptation posologique stricte n'est nécessaire en insuffisance rénale, mais une accumulation des métabolites (PPX) est possible, et la fixation protéique diminuée en cas d'hypoalbuminémie (syndrome néphrotique, cirrhose) augmente la fraction libre toxique — justifiant une réduction posologique de 25-50 %.</w:t>
      </w:r>
    </w:p>
    <w:p>
      <w:r/>
      <w:r>
        <w:rPr>
          <w:b/>
        </w:rPr>
        <w:t>Linéarité</w:t>
      </w:r>
      <w:r>
        <w:t xml:space="preserve"> : la pharmacocinétique est linéaire aux doses thérapeutiques, mais devient non linéaire à dose toxique (saturation des protéines plasmatiques et du métabolisme hépatique), ce qui explique la brusque élévation des concentrations au-delà du seuil toxique.</w:t>
      </w:r>
    </w:p>
    <w:p>
      <w:r/>
      <w:r>
        <w:rPr>
          <w:b/>
        </w:rPr>
        <w:t>Monitorage</w:t>
      </w:r>
      <w:r>
        <w:t xml:space="preserve"> : pas de STP systématique (concentrationplasmatique non corrélée à l'effet au site d'action). Surveillance clinique : dose totale maximale 2 mg/kg (sans adrénaline) ou 2,5 mg/kg (avec adrénaline), soit 150 mg chez l'adulte sain. Réduction de 30-50 % chez le sujet âgé, l'insuffisant hépatique, l'insuffisant rénal sévère, le nouveau-né (métabolisme immature). L'aspiration avant injection et le test dose (3 mL avec adrénaline 1/200 000 = 15 µg, recherche de tachycardie &gt; 30 bpm) sont obligatoires en péridurale.</w:t>
      </w:r>
    </w:p>
    <w:p>
      <w:pPr>
        <w:pStyle w:val="Heading4"/>
      </w:pPr>
      <w:r>
        <w:t>182.7.1.5 Indications thérapeutiques</w:t>
      </w:r>
    </w:p>
    <w:p>
      <w:r>
        <w:t>Les indications de la bupivacaïne en Algérie sont codifiées par les recommandations SFAR — Société française d'anesthésie-réanimation — et par les protocoles des CHU algériens (CHU Mustapha, CHU Beni-Messous, CHU Oran, EHS Pierre et Marie Curie — Alger) :</w:t>
      </w:r>
    </w:p>
    <w:p>
      <w:pPr>
        <w:pStyle w:val="ListNumber"/>
      </w:pPr>
      <w:r/>
      <w:r>
        <w:rPr>
          <w:b/>
        </w:rPr>
        <w:t>Rachianesthésie (anesthésie sous-arachnoïdienne)</w:t>
      </w:r>
      <w:r>
        <w:t xml:space="preserve"> : chirurgie des membres inférieurs (fracture, prothèse totale de hanche ou de genou, ligamentoplastie du croisé antérieur), chirurgie périnéale (hémorroïdectomie, fistule anale), chirurgie vaginale (hystérectomie, cure de prolapsus), chirurgie urologique basse (résection transurétrale de prostate, cystoscopie diagnostique et thérapeutique), chirurgie abdominale basse (césarienne, hernie inguinale). Posologie : 10-20 mg en intrathécal (2-4 mL de solution 0,5 % isobare ou hyperbare barbotée avec le LCR). Délai d'installation : 5-10 minutes. Durée : 3-4 heures (forme isobare) ou 2-3 heures (forme hyperbare).</w:t>
      </w:r>
    </w:p>
    <w:p>
      <w:pPr>
        <w:pStyle w:val="ListNumber"/>
      </w:pPr>
      <w:r/>
      <w:r>
        <w:rPr>
          <w:b/>
        </w:rPr>
        <w:t>Analgésie péridurale obstétricale</w:t>
      </w:r>
      <w:r>
        <w:t xml:space="preserve"> : analgésie du travail à partir de 5-6 cm de dilatation cervicale (ou plus tôt en cas de dystocie ou de demande forte). Solution : bupivacaïne 0,125-0,25 % + sufentanil 0,5 µg/mL, en bolus initial 8-12 mL puis perfusion continue 5-10 mL/h ou PCEA (bolus 5 mL, période réfractaire 15 min, dose horaire maximale 20 mL). Surveillance : tension artérielle toutes les 5 minutes pendant 30 minutes (risque d'hypotension par sympatholyse), RCF continu (risque de bradycardie fœtale transitoire par hypotension maternelle).</w:t>
      </w:r>
    </w:p>
    <w:p>
      <w:pPr>
        <w:pStyle w:val="ListNumber"/>
      </w:pPr>
      <w:r/>
      <w:r>
        <w:rPr>
          <w:b/>
        </w:rPr>
        <w:t>Analgésie péridurale chirurgicale</w:t>
      </w:r>
      <w:r>
        <w:t xml:space="preserve"> : chirurgie thoracique (thoracotomie, VATS), abdominale haute (chirurgie colique, gastrique, hépatique), urologique (néphrectomie, cystectomie), gynécologique (hystérectomie abdominale). Pose préopératoire, perfusion continue peropératoire et postopératoire 48-72 heures pour analgésie multimodale.</w:t>
      </w:r>
    </w:p>
    <w:p>
      <w:pPr>
        <w:pStyle w:val="ListNumber"/>
      </w:pPr>
      <w:r/>
      <w:r>
        <w:rPr>
          <w:b/>
        </w:rPr>
        <w:t>Blocs tronculaires</w:t>
      </w:r>
      <w:r>
        <w:t xml:space="preserve"> : bloc sciatique (voie poplitée latérale, voie parasacrale, voie antérieure), bloc fémoral continu (cathéter pour analgésie postopératoire prothèse de genou), bloc plexique brachial (interscalénique pour chirurgie de l'épaule, supraclaviculaire, axillaire pour chirurgie du membre supérieur), bloc paravertébral thoracique (analgésie post-thoracotomie), bloc transverse de l'abdomen (TAP block) pour analgésie pariétale post-césarienne ou post-laparotomie.</w:t>
      </w:r>
    </w:p>
    <w:p>
      <w:pPr>
        <w:pStyle w:val="ListNumber"/>
      </w:pPr>
      <w:r/>
      <w:r>
        <w:rPr>
          <w:b/>
        </w:rPr>
        <w:t>Infiltration pariétale et articulaire</w:t>
      </w:r>
      <w:r>
        <w:t xml:space="preserve"> : infiltration cicatricielle postopératoire, infiltration articulaire post-arthroplastie (cathéter intra-articulaire genou), infiltration des trigger points en algologie.</w:t>
      </w:r>
    </w:p>
    <w:p>
      <w:pPr>
        <w:pStyle w:val="ListNumber"/>
      </w:pPr>
      <w:r/>
      <w:r>
        <w:rPr>
          <w:b/>
        </w:rPr>
        <w:t>Analgésie péridurale en réanimation</w:t>
      </w:r>
      <w:r>
        <w:t xml:space="preserve"> : patients polytraumatisés avec fractures costales, analgésie en ventilation mécanique prolongée (réduction des doses d'opioïdes).</w:t>
      </w:r>
    </w:p>
    <w:p>
      <w:pPr>
        <w:pStyle w:val="ListNumber"/>
      </w:pPr>
      <w:r/>
      <w:r>
        <w:rPr>
          <w:b/>
        </w:rPr>
        <w:t>Hors AMM / indications spécifiques</w:t>
      </w:r>
      <w:r>
        <w:t xml:space="preserve"> : bloc du plan transverse abdominal (TAP block) en chirurgie abdominale ambulatoire, bloc Erector Spinae Plane (ESP block) pour analgésie thoracique récente.</w:t>
      </w:r>
    </w:p>
    <w:p>
      <w:pPr>
        <w:pStyle w:val="Heading4"/>
      </w:pPr>
      <w:r>
        <w:t>182.7.1.6 Posologie et mode d'administration</w:t>
      </w:r>
    </w:p>
    <w:p>
      <w:r/>
      <w:r>
        <w:rPr>
          <w:b/>
        </w:rPr>
        <w:t>Rachianesthésie</w:t>
      </w:r>
      <w:r>
        <w:t xml:space="preserve"> :</w:t>
      </w:r>
    </w:p>
    <w:p>
      <w:pPr>
        <w:pStyle w:val="ListBullet"/>
      </w:pPr>
      <w:r>
        <w:t>Adulte : 10-20 mg en intrathécal, soit 2-4 mL de solution 0,5 % isobare ou hyperbare (barbotée avec 0,5-1 mL de LCR pour homogénéiser la densité).</w:t>
      </w:r>
    </w:p>
    <w:p>
      <w:pPr>
        <w:pStyle w:val="ListBullet"/>
      </w:pPr>
      <w:r>
        <w:t>Sujet âgé : réduire à 7,5-12 mg (sensibilité accrue, dégénérescence neuronale).</w:t>
      </w:r>
    </w:p>
    <w:p>
      <w:pPr>
        <w:pStyle w:val="ListBullet"/>
      </w:pPr>
      <w:r>
        <w:t>Césarienne : 10-12 mg en intrathécal hyperbare, patiente en décubitus latéral gauche puis retournement dorsal avec billot sous la fesse droite (désengagement cave).</w:t>
      </w:r>
    </w:p>
    <w:p>
      <w:pPr>
        <w:pStyle w:val="ListBullet"/>
      </w:pPr>
      <w:r>
        <w:t>Délai d'installation : 5-10 minutes (hyperbare plus rapide).</w:t>
      </w:r>
    </w:p>
    <w:p>
      <w:pPr>
        <w:pStyle w:val="ListBullet"/>
      </w:pPr>
      <w:r>
        <w:t>Durée d'action : 2-3 heures (hyperbare), 3-4 heures (isobare).</w:t>
      </w:r>
    </w:p>
    <w:p>
      <w:r/>
      <w:r>
        <w:rPr>
          <w:b/>
        </w:rPr>
        <w:t>Analgésie péridurale obstétricale</w:t>
      </w:r>
      <w:r>
        <w:t xml:space="preserve"> :</w:t>
      </w:r>
    </w:p>
    <w:p>
      <w:pPr>
        <w:pStyle w:val="ListBullet"/>
      </w:pPr>
      <w:r>
        <w:t>Dose test : 3 mL de solution adrénalinée à 1/200 000 (15 µg d'adrénaline), surveillance 60 secondes pour éliminer une position intravasculaire ou sous-arachnoïdienne (tachycardie &gt; 30 bpm signe une injection IV, hypotension rapide et bloc sensitif élevé signent une injection sous-arachnoïdienne).</w:t>
      </w:r>
    </w:p>
    <w:p>
      <w:pPr>
        <w:pStyle w:val="ListBullet"/>
      </w:pPr>
      <w:r>
        <w:t>Bolus initial : 8-12 mL de bupivacaïne 0,125-0,25 % + sufentanil 0,5 µg/mL (5 µg total).</w:t>
      </w:r>
    </w:p>
    <w:p>
      <w:pPr>
        <w:pStyle w:val="ListBullet"/>
      </w:pPr>
      <w:r>
        <w:t>Perfusion continue : 5-10 mL/h de bupivacaïne 0,125 % + sufentanil 0,5 µg/mL.</w:t>
      </w:r>
    </w:p>
    <w:p>
      <w:pPr>
        <w:pStyle w:val="ListBullet"/>
      </w:pPr>
      <w:r>
        <w:t>PCEA : bolus 5 mL, période réfractaire 15 minutes, dose maximale par heure 20 mL.</w:t>
      </w:r>
    </w:p>
    <w:p>
      <w:r/>
      <w:r>
        <w:rPr>
          <w:b/>
        </w:rPr>
        <w:t>Analgésie péridurale chirurgicale</w:t>
      </w:r>
      <w:r>
        <w:t xml:space="preserve"> :</w:t>
      </w:r>
    </w:p>
    <w:p>
      <w:pPr>
        <w:pStyle w:val="ListBullet"/>
      </w:pPr>
      <w:r>
        <w:t>Bolus initial : 10-15 mL de bupivacaïne 0,25 %.</w:t>
      </w:r>
    </w:p>
    <w:p>
      <w:pPr>
        <w:pStyle w:val="ListBullet"/>
      </w:pPr>
      <w:r>
        <w:t>Perfusion continue : 5-10 mL/h de bupivacaïne 0,125-0,25 % ± sufentanil 0,5 µg/mL.</w:t>
      </w:r>
    </w:p>
    <w:p>
      <w:pPr>
        <w:pStyle w:val="ListBullet"/>
      </w:pPr>
      <w:r>
        <w:t>Durée maximale : 72 heures.</w:t>
      </w:r>
    </w:p>
    <w:p>
      <w:r/>
      <w:r>
        <w:rPr>
          <w:b/>
        </w:rPr>
        <w:t>Blocs tronculaires</w:t>
      </w:r>
      <w:r>
        <w:t xml:space="preserve"> :</w:t>
      </w:r>
    </w:p>
    <w:p>
      <w:pPr>
        <w:pStyle w:val="ListBullet"/>
      </w:pPr>
      <w:r>
        <w:t>Bloc sciatique poplité : 20-30 mL de bupivacaïne 0,5 % (100-150 mg) ± cathéter pour perfusion continue 5 mL/h de bupivacaïne 0,25 %.</w:t>
      </w:r>
    </w:p>
    <w:p>
      <w:pPr>
        <w:pStyle w:val="ListBullet"/>
      </w:pPr>
      <w:r>
        <w:t>Bloc fémoral continu : 20 mL de bupivacaïne 0,5 % (100 mg) en bolus + perfusion 5-10 mL/h de bupivacaïne 0,125-0,25 % pendant 48 heures.</w:t>
      </w:r>
    </w:p>
    <w:p>
      <w:pPr>
        <w:pStyle w:val="ListBullet"/>
      </w:pPr>
      <w:r>
        <w:t>Bloc interscalénique : 15-20 mL de bupivacaïne 0,5 % (75-100 mg) — attention au risque de bloc phrénique ipsilatéral (100 % à 0,5 %), contre-indiqué en cas d'insuffisance respiratoire préexistante.</w:t>
      </w:r>
    </w:p>
    <w:p>
      <w:pPr>
        <w:pStyle w:val="ListBullet"/>
      </w:pPr>
      <w:r>
        <w:t>Bloc paravertébral : 15-20 mL de bupivacaïne 0,5 % par niveau métamérique.</w:t>
      </w:r>
    </w:p>
    <w:p>
      <w:r/>
      <w:r>
        <w:rPr>
          <w:b/>
        </w:rPr>
        <w:t>Infiltration pariétale</w:t>
      </w:r>
      <w:r>
        <w:t xml:space="preserve"> :</w:t>
      </w:r>
    </w:p>
    <w:p>
      <w:pPr>
        <w:pStyle w:val="ListBullet"/>
      </w:pPr>
      <w:r>
        <w:t>Infiltration cicatricielle : 20-30 mL de bupivacaïne 0,25 % (50-75 mg).</w:t>
      </w:r>
    </w:p>
    <w:p>
      <w:pPr>
        <w:pStyle w:val="ListBullet"/>
      </w:pPr>
      <w:r>
        <w:t>TAP block : 20 mL de bupivacaïne 0,25 % (50 mg) de chaque côté.</w:t>
      </w:r>
    </w:p>
    <w:p>
      <w:r/>
      <w:r>
        <w:rPr>
          <w:b/>
        </w:rPr>
        <w:t>Doses maximales</w:t>
      </w:r>
      <w:r>
        <w:t xml:space="preserve"> :</w:t>
      </w:r>
    </w:p>
    <w:p>
      <w:pPr>
        <w:pStyle w:val="ListBullet"/>
      </w:pPr>
      <w:r>
        <w:t>Sans adrénaline : 2 mg/kg, soit 150 mg chez l'adulte sain de 70 kg.</w:t>
      </w:r>
    </w:p>
    <w:p>
      <w:pPr>
        <w:pStyle w:val="ListBullet"/>
      </w:pPr>
      <w:r>
        <w:t>Avec adrénaline 1/200 000 : 2,5 mg/kg, soit 175 mg.</w:t>
      </w:r>
    </w:p>
    <w:p>
      <w:pPr>
        <w:pStyle w:val="ListBullet"/>
      </w:pPr>
      <w:r>
        <w:t>Sujet âgé, insuffisant hépatique : réduire de 30-50 %.</w:t>
      </w:r>
    </w:p>
    <w:p>
      <w:pPr>
        <w:pStyle w:val="ListBullet"/>
      </w:pPr>
      <w:r>
        <w:t>Enfant &gt; 1 an : 2 mg/kg.</w:t>
      </w:r>
    </w:p>
    <w:p>
      <w:pPr>
        <w:pStyle w:val="ListBullet"/>
      </w:pPr>
      <w:r>
        <w:t>Nouveau-né et nourrisson &lt; 1 an : contre-indiqué (métabolisme immature, risque d'accumulation de méthémoglobine et de cardiotoxicité).</w:t>
      </w:r>
    </w:p>
    <w:p>
      <w:r/>
      <w:r>
        <w:rPr>
          <w:b/>
        </w:rPr>
        <w:t>Voie IV strictement interdite</w:t>
      </w:r>
      <w:r>
        <w:t xml:space="preserve"> : l'injection IV accidentelle de bupivacaïne à dose anesthésique peut entraîner un arrêt cardiaque réfractaire en quelques secondes. L'aspiration systématique avant injection et le test dose adrénaliné sont obligatoires en péridurale et en blocs tronculaires profonds.</w:t>
      </w:r>
    </w:p>
    <w:p>
      <w:pPr>
        <w:pStyle w:val="Heading4"/>
      </w:pPr>
      <w:r>
        <w:t>182.7.1.7 Effets indésirables et prévention</w:t>
      </w:r>
    </w:p>
    <w:p>
      <w:r/>
      <w:r>
        <w:rPr>
          <w:b/>
        </w:rPr>
        <w:t>Effets indésirables fréquents (&gt; 10 %)</w:t>
      </w:r>
      <w:r>
        <w:t xml:space="preserve"> :</w:t>
      </w:r>
    </w:p>
    <w:p>
      <w:pPr>
        <w:pStyle w:val="ListBullet"/>
      </w:pPr>
      <w:r/>
      <w:r>
        <w:rPr>
          <w:b/>
        </w:rPr>
        <w:t>Hypotension</w:t>
      </w:r>
      <w:r>
        <w:t xml:space="preserve"> (péridurale, rachianesthésie) : 30-50 % des patients, par sympatholyse T4-T12. Mécanisme : bloc des fibres sympathiques vasoconstricrices → vasodilatation systémique → baisse du retour veineux → hypotension. Prévention : remplissage vasculaire préalable (500 mL de cristalloïdes ou 250 mL de colloïdes), déplacement lateral utérin à gauche chez la parturiente (désengagement cave), surveillance TA toutes les 5 minutes pendant 30 minutes. Traitement : éphédrine 5-10 mg IV (α+β mimétique, augmente le retour veineux sans vasoconstriction utérine), phényléphrine 50-100 µg IV (α pur, utilisé en première ligne en obstétricale).</w:t>
      </w:r>
    </w:p>
    <w:p>
      <w:pPr>
        <w:pStyle w:val="ListBullet"/>
      </w:pPr>
      <w:r/>
      <w:r>
        <w:rPr>
          <w:b/>
        </w:rPr>
        <w:t>Rétention urinaire</w:t>
      </w:r>
      <w:r>
        <w:t xml:space="preserve"> : 10-30 % après rachianesthésie ou péridurale prolongée. Mécanisme : bloc des racines sacrées S2-S4 (detrusor) et préservation du sphincter strié. Prévention : sondage urinaire systématique si intervention &gt; 2 heures ou bloc sensitif dépassant T10.</w:t>
      </w:r>
    </w:p>
    <w:p>
      <w:pPr>
        <w:pStyle w:val="ListBullet"/>
      </w:pPr>
      <w:r/>
      <w:r>
        <w:rPr>
          <w:b/>
        </w:rPr>
        <w:t>Bloc moteur prolongé</w:t>
      </w:r>
      <w:r>
        <w:t xml:space="preserve"> : 5-20 % en cas de concentration élevée (0,5-0,75 %) ou de perfusion continue prolongée. Prévention : utiliser les concentrations les plus faibles efficaces (0,125-0,25 %), surveillance clinique.</w:t>
      </w:r>
    </w:p>
    <w:p>
      <w:r/>
      <w:r>
        <w:rPr>
          <w:b/>
        </w:rPr>
        <w:t>Effets indésirables moins fréquents (1-10 %)</w:t>
      </w:r>
      <w:r>
        <w:t xml:space="preserve"> :</w:t>
      </w:r>
    </w:p>
    <w:p>
      <w:pPr>
        <w:pStyle w:val="ListBullet"/>
      </w:pPr>
      <w:r/>
      <w:r>
        <w:rPr>
          <w:b/>
        </w:rPr>
        <w:t>Bradycardie</w:t>
      </w:r>
      <w:r>
        <w:t xml:space="preserve"> par bloc sympathique haut (T1-T4) en rachianesthésie haute → atropine 0,5-1 mg IV.</w:t>
      </w:r>
    </w:p>
    <w:p>
      <w:pPr>
        <w:pStyle w:val="ListBullet"/>
      </w:pPr>
      <w:r/>
      <w:r>
        <w:rPr>
          <w:b/>
        </w:rPr>
        <w:t>Nausées et vomissements</w:t>
      </w:r>
      <w:r>
        <w:t xml:space="preserve"> : 5-10 %, par hypotension ou stimulation vagale. Prévention : ondansétron 4 mg IV.</w:t>
      </w:r>
    </w:p>
    <w:p>
      <w:pPr>
        <w:pStyle w:val="ListBullet"/>
      </w:pPr>
      <w:r/>
      <w:r>
        <w:rPr>
          <w:b/>
        </w:rPr>
        <w:t>Prurit</w:t>
      </w:r>
      <w:r>
        <w:t xml:space="preserve"> : rare en monothérapie, fréquent en association avec opioïdes périduraux (sufentanil, morphine) — naloxone 40-80 µg IV ou nalbuphine 2-5 mg IV.</w:t>
      </w:r>
    </w:p>
    <w:p>
      <w:r/>
      <w:r>
        <w:rPr>
          <w:b/>
        </w:rPr>
        <w:t>Toxicité systémique des anesthésiques locaux (LAST — Local Anesthetic Systemic Toxicity)</w:t>
      </w:r>
      <w:r>
        <w:t xml:space="preserve"> :</w:t>
      </w:r>
    </w:p>
    <w:p>
      <w:pPr>
        <w:pStyle w:val="ListBullet"/>
      </w:pPr>
      <w:r/>
      <w:r>
        <w:rPr>
          <w:b/>
        </w:rPr>
        <w:t>Incidence</w:t>
      </w:r>
      <w:r>
        <w:t xml:space="preserve"> : 1/1000 à 1/5000 anesthésies locorégionales ; mortalité 5-10 % en cas d'arrêt cardiaque bupivacaïne.</w:t>
      </w:r>
    </w:p>
    <w:p>
      <w:pPr>
        <w:pStyle w:val="ListBullet"/>
      </w:pPr>
      <w:r/>
      <w:r>
        <w:rPr>
          <w:b/>
        </w:rPr>
        <w:t>Signes précoces neurologiques (prémonitoires)</w:t>
      </w:r>
      <w:r>
        <w:t xml:space="preserve"> : paresthésies péribuccales, langue métallique, acouphènes, confusion, agitation.</w:t>
      </w:r>
    </w:p>
    <w:p>
      <w:pPr>
        <w:pStyle w:val="ListBullet"/>
      </w:pPr>
      <w:r/>
      <w:r>
        <w:rPr>
          <w:b/>
        </w:rPr>
        <w:t>Signes neurologiques majeurs</w:t>
      </w:r>
      <w:r>
        <w:t xml:space="preserve"> : tremblements, fasciculations, convulsions tonico-cloniques généralisées, coma, dépression respiratoire.</w:t>
      </w:r>
    </w:p>
    <w:p>
      <w:pPr>
        <w:pStyle w:val="ListBullet"/>
      </w:pPr>
      <w:r/>
      <w:r>
        <w:rPr>
          <w:b/>
        </w:rPr>
        <w:t>Signes cardiovasculaires</w:t>
      </w:r>
      <w:r>
        <w:t xml:space="preserve"> : allongement du QT, bloc AV, élargissement du QRS, bradycardie, hypotension, arrêt cardiaque asystolique ou en FTV/torsades de pointes — réfractaire à l'adrénaline et à l'amiodarone.</w:t>
      </w:r>
    </w:p>
    <w:p>
      <w:pPr>
        <w:pStyle w:val="ListBullet"/>
      </w:pPr>
      <w:r/>
      <w:r>
        <w:rPr>
          <w:b/>
        </w:rPr>
        <w:t>Prise en charge (recommandations ASRA 2010, SFAR 2020)</w:t>
      </w:r>
      <w:r>
        <w:t xml:space="preserve"> :</w:t>
      </w:r>
    </w:p>
    <w:p>
      <w:pPr>
        <w:pStyle w:val="ListNumber"/>
      </w:pPr>
      <w:r>
        <w:t>Arrêter l'injection de l'anesthésique local.</w:t>
      </w:r>
    </w:p>
    <w:p>
      <w:pPr>
        <w:pStyle w:val="ListNumber"/>
      </w:pPr>
      <w:r>
        <w:t>Alerter, appeler l'aide (réanimateur).</w:t>
      </w:r>
    </w:p>
    <w:p>
      <w:pPr>
        <w:pStyle w:val="ListNumber"/>
      </w:pPr>
      <w:r>
        <w:t>Maintenance des voies aériennes (intubation, ventilation 100 % O₂).</w:t>
      </w:r>
    </w:p>
    <w:p>
      <w:pPr>
        <w:pStyle w:val="ListNumber"/>
      </w:pPr>
      <w:r>
        <w:t>Contrôle des convulsions : diazépam 5-10 mg IV ou midazolam 1-2 mg IV, thiopental 50-100 mg IV si réfractaire.</w:t>
      </w:r>
    </w:p>
    <w:p>
      <w:pPr>
        <w:pStyle w:val="ListNumber"/>
      </w:pPr>
      <w:r>
        <w:t>Hémodynamique : adrénaline en bolus 1 mg toutes les 3-5 minutes, mais RÉDUIRE les doses (1/2 à 1/3 des doses standards) en cas de LAST à bupivacaïne (la bupivacaïne sensibilise le cœur à l'adrénaline, avec risque d'arythmies réfractaires).</w:t>
      </w:r>
    </w:p>
    <w:p>
      <w:pPr>
        <w:pStyle w:val="ListNumber"/>
      </w:pPr>
      <w:r>
        <w:t>Lipid rescue — émulsion lipidique 20 % (Intralipide) : bolus 1,5 mL/kg en 1 minute (soit 100 mL chez l'adulte de 70 kg), puis perfusion 0,25 mL/kg/min pendant 10 minutes (soit 250 mL). Répéter le bolus si persistance de l'arrêt à 5 minutes, jusqu'à dose cumulée maximale 12 mL/kg.</w:t>
      </w:r>
    </w:p>
    <w:p>
      <w:pPr>
        <w:pStyle w:val="ListNumber"/>
      </w:pPr>
      <w:r>
        <w:t>CEE (choc électrique externe) 200 J si FTV/FV.</w:t>
      </w:r>
    </w:p>
    <w:p>
      <w:pPr>
        <w:pStyle w:val="ListNumber"/>
      </w:pPr>
      <w:r>
        <w:t>Ne pas interrompre la réanimation &gt; 60 minutes (la bupivacaïne se redistribue lentement et la récupération peut être prolongée).</w:t>
      </w:r>
    </w:p>
    <w:p>
      <w:r/>
      <w:r>
        <w:rPr>
          <w:b/>
        </w:rPr>
        <w:t>Névrite et lésions neurologiques</w:t>
      </w:r>
      <w:r>
        <w:t xml:space="preserve"> : 1/10 000, par toxicité directe ou compression neurologique. Diagnostic différentiel avec lésion nerveuse mécanique (aiguille), hématome péridural compressif (urgent, IRM en urgence), abcès péridural (fébrile, à distance).</w:t>
      </w:r>
    </w:p>
    <w:p>
      <w:r/>
      <w:r>
        <w:rPr>
          <w:b/>
        </w:rPr>
        <w:t>Hématome péridural</w:t>
      </w:r>
      <w:r>
        <w:t xml:space="preserve"> : 1/150 000 après péridurale, 1/220 000 après rachianesthésie. Risque majoré par anticoagulation (HBPM, AVK, AOD). Prévention : respecter les délais entre injection et anticoagulation (HBPM prophylactique : 12 h ; HBPM curative : 24 h ; AVK : INR &lt; 1,5 ; AOD : 48-72 h). Diagnostic : IRM médullaire urgente. Traitement : laminectomie décompressive dans les 8 heures.</w:t>
      </w:r>
    </w:p>
    <w:p>
      <w:r/>
      <w:r>
        <w:rPr>
          <w:b/>
        </w:rPr>
        <w:t>Méthémoglobinémie</w:t>
      </w:r>
      <w:r>
        <w:t xml:space="preserve"> : rare avec bupivacaïne (plus fréquente avec prilocaïne), sauf association avec d'autres agents méthémoglobinisants.</w:t>
      </w:r>
    </w:p>
    <w:p>
      <w:pPr>
        <w:pStyle w:val="Heading4"/>
      </w:pPr>
      <w:r>
        <w:t>182.7.1.8 Interactions médicamenteuses</w:t>
      </w:r>
    </w:p>
    <w:p>
      <w:r/>
      <w:r>
        <w:rPr>
          <w:b/>
        </w:rPr>
        <w:t>Interactions pharmacodynamiques</w:t>
      </w:r>
      <w:r>
        <w:t xml:space="preserve"> :</w:t>
      </w:r>
    </w:p>
    <w:p>
      <w:pPr>
        <w:pStyle w:val="ListBullet"/>
      </w:pPr>
      <w:r/>
      <w:r>
        <w:rPr>
          <w:b/>
        </w:rPr>
        <w:t>Bêta-bloquants</w:t>
      </w:r>
      <w:r>
        <w:t xml:space="preserve"> (propranolol, aténolol, esmolol) : potentialisent la toxicité cardiaque de la bupivacaïne (bradycardie sévère, hypotension, dépression myocardique). Surveillance ECG continue, réduire les doses de bupivacaïne de 25-30 %.</w:t>
      </w:r>
    </w:p>
    <w:p>
      <w:pPr>
        <w:pStyle w:val="ListBullet"/>
      </w:pPr>
      <w:r/>
      <w:r>
        <w:rPr>
          <w:b/>
        </w:rPr>
        <w:t>Antiarythmiques Ia et Ic</w:t>
      </w:r>
      <w:r>
        <w:t xml:space="preserve"> (quinidine, disopyramide, flécaïnide, propafénone) : effet additif sur le bloc Na+, allongement QRS, risque d'arrêt cardiaque. Association déconseillée.</w:t>
      </w:r>
    </w:p>
    <w:p>
      <w:pPr>
        <w:pStyle w:val="ListBullet"/>
      </w:pPr>
      <w:r/>
      <w:r>
        <w:rPr>
          <w:b/>
        </w:rPr>
        <w:t>Antiarythmiques Ib</w:t>
      </w:r>
      <w:r>
        <w:t xml:space="preserve"> (lidocaïne IV, mexilétine) : additif neurotoxique et cardiaque. Surveillance.</w:t>
      </w:r>
    </w:p>
    <w:p>
      <w:pPr>
        <w:pStyle w:val="ListBullet"/>
      </w:pPr>
      <w:r/>
      <w:r>
        <w:rPr>
          <w:b/>
        </w:rPr>
        <w:t>Inhibiteurs calciques</w:t>
      </w:r>
      <w:r>
        <w:t xml:space="preserve"> (vérapamil, diltiazem) : bradycardie, hypotension, bloc AV.</w:t>
      </w:r>
    </w:p>
    <w:p>
      <w:pPr>
        <w:pStyle w:val="ListBullet"/>
      </w:pPr>
      <w:r/>
      <w:r>
        <w:rPr>
          <w:b/>
        </w:rPr>
        <w:t>Digoxine</w:t>
      </w:r>
      <w:r>
        <w:t xml:space="preserve"> : bradycardie, bloc AV (additif).</w:t>
      </w:r>
    </w:p>
    <w:p>
      <w:pPr>
        <w:pStyle w:val="ListBullet"/>
      </w:pPr>
      <w:r/>
      <w:r>
        <w:rPr>
          <w:b/>
        </w:rPr>
        <w:t>Opioïdes</w:t>
      </w:r>
      <w:r>
        <w:t xml:space="preserve"> (morphine, fentanyl, sufentanil) : effet additif analgésique, recherche de synergie pour réduire la dose de bupivacaïne.</w:t>
      </w:r>
    </w:p>
    <w:p>
      <w:pPr>
        <w:pStyle w:val="ListBullet"/>
      </w:pPr>
      <w:r/>
      <w:r>
        <w:rPr>
          <w:b/>
        </w:rPr>
        <w:t>Adrénaline</w:t>
      </w:r>
      <w:r>
        <w:t xml:space="preserve"> (1/200 000 à 1/400 000) : prolonge la durée d'action de 30-50 %, réduit la Cmax plasmatique de 25-40 %. Attention : contre-indiquée en cas de bloc pénile (risque de nécrose), en anesthésie des extrémités (doigts, orteils, nez, oreilles) par vasoconstriction terminale.</w:t>
      </w:r>
    </w:p>
    <w:p>
      <w:r/>
      <w:r>
        <w:rPr>
          <w:b/>
        </w:rPr>
        <w:t>Interactions pharmacocinétiques</w:t>
      </w:r>
      <w:r>
        <w:t xml:space="preserve"> :</w:t>
      </w:r>
    </w:p>
    <w:p>
      <w:pPr>
        <w:pStyle w:val="ListBullet"/>
      </w:pPr>
      <w:r/>
      <w:r>
        <w:rPr>
          <w:b/>
        </w:rPr>
        <w:t>Inhibiteurs puissants du CYP3A4</w:t>
      </w:r>
      <w:r>
        <w:t xml:space="preserve"> (kétéconazole, itraconazole, ritonavir, clarithromycine, érythromycine, fluoxétine, diltiazem, vérapamil, jus de pamplemousse en quantité importante) : augmentation des concentrations plasmatiques de bupivacaïne (× 1,5-3), majoration du risque de LAST. Réduire les doses de 30-50 %.</w:t>
      </w:r>
    </w:p>
    <w:p>
      <w:pPr>
        <w:pStyle w:val="ListBullet"/>
      </w:pPr>
      <w:r/>
      <w:r>
        <w:rPr>
          <w:b/>
        </w:rPr>
        <w:t>Inducteurs du CYP3A4</w:t>
      </w:r>
      <w:r>
        <w:t xml:space="preserve"> (rifampicine, phénytoïne, carbamazépine, phénobarbital, millepertuis) : diminution modeste des concentrations, sans impact clinique majeur.</w:t>
      </w:r>
    </w:p>
    <w:p>
      <w:pPr>
        <w:pStyle w:val="ListBullet"/>
      </w:pPr>
      <w:r/>
      <w:r>
        <w:rPr>
          <w:b/>
        </w:rPr>
        <w:t>Anticoagulants</w:t>
      </w:r>
      <w:r>
        <w:t xml:space="preserve"> : majoration du risque d'hématome péridural (HBPM, AVK, AOD, fondaparinux). Respecter les délais (voir section 182.7.1.7).</w:t>
      </w:r>
    </w:p>
    <w:p>
      <w:pPr>
        <w:pStyle w:val="ListBullet"/>
      </w:pPr>
      <w:r/>
      <w:r>
        <w:rPr>
          <w:b/>
        </w:rPr>
        <w:t>Méthémoglobinisants</w:t>
      </w:r>
      <w:r>
        <w:t xml:space="preserve"> (dapsone, nitrites, sulfamides antibactériens, antipaludéens) : risque de méthémoglobinémie additive.</w:t>
      </w:r>
    </w:p>
    <w:p>
      <w:r/>
      <w:r>
        <w:rPr>
          <w:b/>
        </w:rPr>
        <w:t>Incompatibilités physico-chimiques</w:t>
      </w:r>
      <w:r>
        <w:t xml:space="preserve"> :</w:t>
      </w:r>
    </w:p>
    <w:p>
      <w:pPr>
        <w:pStyle w:val="ListBullet"/>
      </w:pPr>
      <w:r>
        <w:t>La bupivacaïne précipite en solution alcaline (pH &gt; 6,5). Ne pas mélanger avec bicarbonate de sodium à des concentrations &gt; 1 mEq/mL.</w:t>
      </w:r>
    </w:p>
    <w:p>
      <w:pPr>
        <w:pStyle w:val="ListBullet"/>
      </w:pPr>
      <w:r>
        <w:t>Compatible avec le sufentanil, le fentanyl, la clonidine (pas de précipitation aux concentrations cliniques).</w:t>
      </w:r>
    </w:p>
    <w:p>
      <w:pPr>
        <w:pStyle w:val="ListBullet"/>
      </w:pPr>
      <w:r>
        <w:t>Compatible avec le NaCl 0,9 %, le G5 %.</w:t>
      </w:r>
    </w:p>
    <w:p>
      <w:pPr>
        <w:pStyle w:val="Heading4"/>
      </w:pPr>
      <w:r>
        <w:t>182.7.1.9 Grossesse, allaitement et CRAT</w:t>
      </w:r>
    </w:p>
    <w:p>
      <w:r/>
      <w:r>
        <w:rPr>
          <w:b/>
        </w:rPr>
        <w:t>Grossesse</w:t>
      </w:r>
      <w:r>
        <w:t xml:space="preserve"> : la bupivacaïne est l'anesthésique local de référence pour l'analgésie péridurale obstétricale, autorisée à toutes les étapes de la grossesse (CRAT : « utilisable »). Les données du CRAT et de la littérature internationale confirment l'absence de tératogénicité, avec un recul de plus de 50 ans et des millions d'expositions. Le rapport bénéfice/risque est favorable en analgésie péridurale du travail à dilution 0,125-0,25 % (en perfusion ou bolus). Les concentrations élevées (0,5-0,75 %) sont à éviter en obstétricale sauf pour la césarienne en rachianesthésie (10-15 mg en intrathécal, dose unique).</w:t>
      </w:r>
    </w:p>
    <w:p>
      <w:r/>
      <w:r>
        <w:rPr>
          <w:b/>
        </w:rPr>
        <w:t>Effets fœtaux à surveiller</w:t>
      </w:r>
      <w:r>
        <w:t xml:space="preserve"> :</w:t>
      </w:r>
    </w:p>
    <w:p>
      <w:pPr>
        <w:pStyle w:val="ListBullet"/>
      </w:pPr>
      <w:r/>
      <w:r>
        <w:rPr>
          <w:b/>
        </w:rPr>
        <w:t>Bradycardie fœtale</w:t>
      </w:r>
      <w:r>
        <w:t xml:space="preserve"> : secondaire à l'hypotension maternelle (sympatholyse T4-T6), à corriger par éphédrine 5-10 mg IV ou phényléphrine 50-100 µg IV, et décubitus latéral gauche.</w:t>
      </w:r>
    </w:p>
    <w:p>
      <w:pPr>
        <w:pStyle w:val="ListBullet"/>
      </w:pPr>
      <w:r/>
      <w:r>
        <w:rPr>
          <w:b/>
        </w:rPr>
        <w:t>Ion trapping</w:t>
      </w:r>
      <w:r>
        <w:t xml:space="preserve"> : en cas d'acidose fœtale (souffrance fœtale chronique), la bupivacaïne (base faible) s'accumule dans le compartiment fœtal acidifié, exposant à une cardiotoxicité fœtale. Surveillance RCF continue, anticipate l'extraction en cas de signes de souffrance.</w:t>
      </w:r>
    </w:p>
    <w:p>
      <w:pPr>
        <w:pStyle w:val="ListBullet"/>
      </w:pPr>
      <w:r/>
      <w:r>
        <w:rPr>
          <w:b/>
        </w:rPr>
        <w:t>Hypotonie néonatale</w:t>
      </w:r>
      <w:r>
        <w:t xml:space="preserve"> : rare aux doses péridurales, plus marquée en cas d'administration prolongée ou de doses cumulées élevées. Score d'Apgar à la naissance.</w:t>
      </w:r>
    </w:p>
    <w:p>
      <w:r/>
      <w:r>
        <w:rPr>
          <w:b/>
        </w:rPr>
        <w:t>Allaitement</w:t>
      </w:r>
      <w:r>
        <w:t xml:space="preserve"> : la bupivacaïne passe dans le lait maternel en faible quantité (ratio lait/plasma = 0,3-0,6), mais les doses ingérées par le nouveau-né sont très inférieures aux doses pédiatriques thérapeutiques. Compatible avec l'allaitement, y compris en perfusion continue péridurale post-césarienne (reprise de l'allaitement immédiat autorisée).</w:t>
      </w:r>
    </w:p>
    <w:p>
      <w:r/>
      <w:r>
        <w:rPr>
          <w:b/>
        </w:rPr>
        <w:t>Césarienne</w:t>
      </w:r>
      <w:r>
        <w:t xml:space="preserve"> : la rachianesthésie à la bupivacaïne 0,5 % hyperbare (10-15 mg) est l'anesthésie de référence pour la césarienne programmée ou en urgence (en l'absence de contre-indication), préférée à l'anesthésie générale pour réduire le risque d'intubation difficile et de inhalation bronchique (syndrome de Mendelson). Pose en décubitus latéral gauche, retournement dorsal avec billot sous la fesse droite.</w:t>
      </w:r>
    </w:p>
    <w:p>
      <w:r/>
      <w:r>
        <w:rPr>
          <w:b/>
        </w:rPr>
        <w:t>Anesthésie générale urgente</w:t>
      </w:r>
      <w:r>
        <w:t xml:space="preserve"> : en cas de césarienne en extrême urgence (bradycardie fœtale sévère, procidence du cordon, hémorragie massive maternelle), l'induction en séquence rapide (propofol 2 mg/kg + succinylcholine 1-1,5 mg/kg) reste indiquée.</w:t>
      </w:r>
    </w:p>
    <w:p>
      <w:r/>
      <w:r>
        <w:rPr>
          <w:b/>
        </w:rPr>
        <w:t>CRAT (Centre de Référence sur les Agents Tératogènes)</w:t>
      </w:r>
      <w:r>
        <w:t xml:space="preserve"> : bupivacaïne classée « utilisable pendant la grossesse et l'allaitement, y compris au 1er trimestre ».</w:t>
      </w:r>
    </w:p>
    <w:p>
      <w:pPr>
        <w:pStyle w:val="Heading4"/>
      </w:pPr>
      <w:r>
        <w:t>182.7.1.10 Formes galéniques disponibles</w:t>
      </w:r>
    </w:p>
    <w:p>
      <w:pPr>
        <w:pStyle w:val="ListBullet"/>
      </w:pPr>
      <w:r/>
      <w:r>
        <w:rPr>
          <w:b/>
        </w:rPr>
        <w:t>Solution injectable 0,5 % (5 mg/mL)</w:t>
      </w:r>
      <w:r>
        <w:t xml:space="preserve"> en ampoules de 4 mL : Bupivacaïne Razès (Frater Razès). Forme isobare pour infiltration, blocs tronculaires, péridurale.</w:t>
      </w:r>
    </w:p>
    <w:p>
      <w:pPr>
        <w:pStyle w:val="ListBullet"/>
      </w:pPr>
      <w:r/>
      <w:r>
        <w:rPr>
          <w:b/>
        </w:rPr>
        <w:t>Solution injectable 0,5 % (5 mg/mL) hyperbare</w:t>
      </w:r>
      <w:r>
        <w:t xml:space="preserve"> (avec glucose 8 %) pour rachianesthésie : historiquement disponible (Marcaine Heavy, Astra), non disponible actuellement en Algérie. Alternative : barbotage avec le LCR de la forme isobare pour hyperbariser.</w:t>
      </w:r>
    </w:p>
    <w:p>
      <w:pPr>
        <w:pStyle w:val="ListBullet"/>
      </w:pPr>
      <w:r/>
      <w:r>
        <w:rPr>
          <w:b/>
        </w:rPr>
        <w:t>Solution injectable 0,25 % (2,5 mg/mL)</w:t>
      </w:r>
      <w:r>
        <w:t xml:space="preserve"> en flacons de 20 mL : historiquement Bupivacaïne Aguettaut (non renouvelée). Utilisée pour analgésie péridurale obstétricale. Actuellement préparée par dilution extemporanée de la forme 0,5 % avec NaCl 0,9 %.</w:t>
      </w:r>
    </w:p>
    <w:p>
      <w:pPr>
        <w:pStyle w:val="ListBullet"/>
      </w:pPr>
      <w:r/>
      <w:r>
        <w:rPr>
          <w:b/>
        </w:rPr>
        <w:t>Forme adrénalinée 1/200 000 (5 µg/mL)</w:t>
      </w:r>
      <w:r>
        <w:t xml:space="preserve"> : historiquement Marcaine Adrénalinée (Astra), non disponible en Algérie. Préparée par addition extemporanée d'adrénaline 1 mg/mL à raison de 0,1 mL (100 µg) pour 20 mL de bupivacaïne 0,5 %.</w:t>
      </w:r>
    </w:p>
    <w:p>
      <w:r/>
      <w:r>
        <w:rPr>
          <w:b/>
        </w:rPr>
        <w:t>Conservation</w:t>
      </w:r>
      <w:r>
        <w:t xml:space="preserve"> : entre 15 et 25 °C, à l'abri de la lumière. Ne pas congeler. Les solutions ne contiennent pas de conservateur en présentation unidose (ampoule), ce qui impose l'usage immédiat après ouverture et l'élimination du surplus.</w:t>
      </w:r>
    </w:p>
    <w:p>
      <w:r/>
      <w:r>
        <w:rPr>
          <w:b/>
        </w:rPr>
        <w:t>Stabilité après ouverture</w:t>
      </w:r>
      <w:r>
        <w:t xml:space="preserve"> : la solution doit être utilisée immédiatement après ouverture de l'ampoule. Ne pas conserver une ampoule entamée. Après dilution avec adrénaline ou opioïdes, la solution est stable 24 heures à 4 °C.</w:t>
      </w:r>
    </w:p>
    <w:p>
      <w:r/>
      <w:r>
        <w:rPr>
          <w:b/>
        </w:rPr>
        <w:t>Particularités algériennes</w:t>
      </w:r>
      <w:r>
        <w:t xml:space="preserve"> :</w:t>
      </w:r>
    </w:p>
    <w:p>
      <w:pPr>
        <w:pStyle w:val="ListBullet"/>
      </w:pPr>
      <w:r>
        <w:t>Le princeps national Bupivacaïne Razès (Frater Razès) répond aux normes de la pharmacopée européenne et est fabriqué localement en Algérie, garantissant un approvisionnement stable et un coût modéré (environ 50-80 DA l'ampoule de 4 mL).</w:t>
      </w:r>
    </w:p>
    <w:p>
      <w:pPr>
        <w:pStyle w:val="ListBullet"/>
      </w:pPr>
      <w:r>
        <w:t>Les formes à 0,25 % et adrénalinées doivent être préparées extemporanément par le médecin anesthésiste au bloc opératoire.</w:t>
      </w:r>
    </w:p>
    <w:p>
      <w:pPr>
        <w:pStyle w:val="ListBullet"/>
      </w:pPr>
      <w:r>
        <w:t>L'émulsion lipidique 20 % (Intralipide) pour lipid rescue doit être disponible dans tous les blocs opératoires utilisant la bupivacaïne (recommandation SFAR).</w:t>
      </w:r>
    </w:p>
    <w:p>
      <w:pPr>
        <w:pStyle w:val="Heading4"/>
      </w:pPr>
      <w:r>
        <w:t>182.7.1.11 Conseils au patient</w:t>
      </w:r>
    </w:p>
    <w:p>
      <w:r/>
      <w:r>
        <w:rPr>
          <w:b/>
        </w:rPr>
        <w:t>Avant le geste anesthésique</w:t>
      </w:r>
      <w:r>
        <w:t xml:space="preserve"> :</w:t>
      </w:r>
    </w:p>
    <w:p>
      <w:pPr>
        <w:pStyle w:val="ListBullet"/>
      </w:pPr>
      <w:r>
        <w:t>Informer le patient de la nature de l'anesthésie locorégionale (rachianesthésie, péridurale, bloc tronculaire), de ses avantages (récupération rapide, analgésie prolongée, préservation de la conscience), et de ses alternatives (anesthésie générale).</w:t>
      </w:r>
    </w:p>
    <w:p>
      <w:pPr>
        <w:pStyle w:val="ListBullet"/>
      </w:pPr>
      <w:r>
        <w:t>Expliquer les modalités : pose en décubitus latéral ou assis pour rachianesthésie et péridurale, positionnement du membre à anesthésier pour les blocs tronculaires, durée de pose (10-15 minutes), délai d'action (5-20 minutes selon le site).</w:t>
      </w:r>
    </w:p>
    <w:p>
      <w:pPr>
        <w:pStyle w:val="ListBullet"/>
      </w:pPr>
      <w:r>
        <w:t>Préciser les sensations à attendre : fourmillements, chaleur, puis perte de sensibilité progressive ; absence de douleur pendant l'intervention ; possibilité de ressentir des manipulations sans douleur.</w:t>
      </w:r>
    </w:p>
    <w:p>
      <w:pPr>
        <w:pStyle w:val="ListBullet"/>
      </w:pPr>
      <w:r>
        <w:t>Mentionner la possibilité d'une hypotension transitoire (sensation de chaleur, vertiges) — le patient doit signaler tout malaise.</w:t>
      </w:r>
    </w:p>
    <w:p>
      <w:pPr>
        <w:pStyle w:val="ListBullet"/>
      </w:pPr>
      <w:r>
        <w:t>Information sur la paralysie motrice transitoire (membres inférieurs « morts » en rachianesthésie) — sensation angoissante mais normale.</w:t>
      </w:r>
    </w:p>
    <w:p>
      <w:pPr>
        <w:pStyle w:val="ListBullet"/>
      </w:pPr>
      <w:r>
        <w:t>Pour la péridurale obstétricale : information sur le suivi du travail, le monitorage fœtal continu, et la possibilité d'administration d'antalgiques de complément (gaz MEOPA, nalbuphine).</w:t>
      </w:r>
    </w:p>
    <w:p>
      <w:r/>
      <w:r>
        <w:rPr>
          <w:b/>
        </w:rPr>
        <w:t>Après le geste anesthésique</w:t>
      </w:r>
      <w:r>
        <w:t xml:space="preserve"> :</w:t>
      </w:r>
    </w:p>
    <w:p>
      <w:pPr>
        <w:pStyle w:val="ListBullet"/>
      </w:pPr>
      <w:r>
        <w:t>Surveillance en salle de réveil (SSPI) pendant 2-4 heures : tension artérielle, fréquence cardiaque, SpO₂, niveau sensitif (test au froid ou à la piqûre), bloc moteur (échelle Bromage).</w:t>
      </w:r>
    </w:p>
    <w:p>
      <w:pPr>
        <w:pStyle w:val="ListBullet"/>
      </w:pPr>
      <w:r>
        <w:t>Interdiction de lever le patient seul tant que le bloc moteur persiste (risque de chute).</w:t>
      </w:r>
    </w:p>
    <w:p>
      <w:pPr>
        <w:pStyle w:val="ListBullet"/>
      </w:pPr>
      <w:r>
        <w:t>Sortie autorisée après récupération sensitive complète (S2), marche possible, miction spontanée.</w:t>
      </w:r>
    </w:p>
    <w:p>
      <w:pPr>
        <w:pStyle w:val="ListBullet"/>
      </w:pPr>
      <w:r>
        <w:t>Information sur les signes d'alerte nécessitant un retour en urgence : fièvre, raideur de nuque, troubles sphinctériens (rétention ou incontinence), déficit moteur persistant ou réapparu, douleur dorsale intense (suspicion d'hématome péridural).</w:t>
      </w:r>
    </w:p>
    <w:p>
      <w:pPr>
        <w:pStyle w:val="ListBullet"/>
      </w:pPr>
      <w:r>
        <w:t>Pour la péridurale postopératoire avec cathéter : information sur le pansement, l'interdiction de tirer sur le cathéter, et le mode d'administration (PCEA) si applicable.</w:t>
      </w:r>
    </w:p>
    <w:p>
      <w:r/>
      <w:r>
        <w:rPr>
          <w:b/>
        </w:rPr>
        <w:t>Conseils spécifiques</w:t>
      </w:r>
      <w:r>
        <w:t xml:space="preserve"> :</w:t>
      </w:r>
    </w:p>
    <w:p>
      <w:pPr>
        <w:pStyle w:val="ListBullet"/>
      </w:pPr>
      <w:r>
        <w:t>Boire abondamment (2 L/j) pour favoriser l'élimination et prévenir la rétention urinaire.</w:t>
      </w:r>
    </w:p>
    <w:p>
      <w:pPr>
        <w:pStyle w:val="ListBullet"/>
      </w:pPr>
      <w:r>
        <w:t>Éviter la conduite automobile pendant 24 heures après la levée du bloc.</w:t>
      </w:r>
    </w:p>
    <w:p>
      <w:pPr>
        <w:pStyle w:val="ListBullet"/>
      </w:pPr>
      <w:r>
        <w:t>Pour la rachianesthésie en ambulatoire : obligation d'être accompagné à la sortie, pas de véhicule personnel conduit par le patient dans les 24 heures.</w:t>
      </w:r>
    </w:p>
    <w:p>
      <w:r/>
      <w:r>
        <w:rPr>
          <w:b/>
        </w:rPr>
        <w:t>Éducation thérapeutique</w:t>
      </w:r>
      <w:r>
        <w:t xml:space="preserve"> :</w:t>
      </w:r>
    </w:p>
    <w:p>
      <w:pPr>
        <w:pStyle w:val="ListBullet"/>
      </w:pPr>
      <w:r>
        <w:t>Patient porteur d'un cathéter périnerveux à domicile (pompe élastomérique) : éducation à la gestion de la pompe, à la surveillance du pansement, aux signes d'alerte (migration, infection locale, signes de LAST si perfusion trop rapide).</w:t>
      </w:r>
    </w:p>
    <w:p>
      <w:pPr>
        <w:pStyle w:val="Heading4"/>
      </w:pPr>
      <w:r>
        <w:t>182.7.1.12 Pièges au comptoir — Règles d'or</w:t>
      </w:r>
    </w:p>
    <w:p>
      <w:pPr>
        <w:pStyle w:val="ListNumber"/>
      </w:pPr>
      <w:r/>
      <w:r>
        <w:rPr>
          <w:b/>
        </w:rPr>
        <w:t>Dose maximale absolue à respecter</w:t>
      </w:r>
      <w:r>
        <w:t xml:space="preserve"> : 2 mg/kg sans adrénaline, 2,5 mg/kg avec adrénaline, sans dépasser 150 mg (sans) ou 175 mg (avec) chez l'adulte. Comptabiliser toutes les injections (test dose + bolus + entretien) sur l'ensemble de la séance. En cas de doute sur la dose cumulée, STOP et surveillance 30 minutes.</w:t>
      </w:r>
    </w:p>
    <w:p>
      <w:pPr>
        <w:pStyle w:val="ListNumber"/>
      </w:pPr>
      <w:r/>
      <w:r>
        <w:rPr>
          <w:b/>
        </w:rPr>
        <w:t>Test dose systématique</w:t>
      </w:r>
      <w:r>
        <w:t xml:space="preserve"> en péridurale et en bloc tronculaire profond : 3 mL de solution adrénalinée à 1/200 000 (15 µg d'adrénaline), surveillance 60 secondes. Tachycardie &gt; 30 bpm = position intravasculaire (ne pas injecter). Hypotension brutale et bloc sensitif immédiat = position sous-arachnoïdienne (ne pas injecter).</w:t>
      </w:r>
    </w:p>
    <w:p>
      <w:pPr>
        <w:pStyle w:val="ListNumber"/>
      </w:pPr>
      <w:r/>
      <w:r>
        <w:rPr>
          <w:b/>
        </w:rPr>
        <w:t>Aspiration systématique avant injection</w:t>
      </w:r>
      <w:r>
        <w:t xml:space="preserve"> en péridurale et blocs tronculaires pour vérifier l'absence de sang ou de LCR dans le cathéter ou l'aiguille.</w:t>
      </w:r>
    </w:p>
    <w:p>
      <w:pPr>
        <w:pStyle w:val="ListNumber"/>
      </w:pPr>
      <w:r/>
      <w:r>
        <w:rPr>
          <w:b/>
        </w:rPr>
        <w:t>Disponibilité du lipid rescue</w:t>
      </w:r>
      <w:r>
        <w:t xml:space="preserve"> (Intralipide 20 %) dans le bloc opératoire, à portée de main, avec protocole écrit affiché. Bolus 1,5 mL/kg, perfusion 0,25 mL/kg/min.</w:t>
      </w:r>
    </w:p>
    <w:p>
      <w:pPr>
        <w:pStyle w:val="ListNumber"/>
      </w:pPr>
      <w:r/>
      <w:r>
        <w:rPr>
          <w:b/>
        </w:rPr>
        <w:t>Voie IV strictement interdite</w:t>
      </w:r>
      <w:r>
        <w:t>. La bupivacaïne n'est jamais administrée par voie IV (contrairement à la lidocaïne qui a une indication antiarythmique IV). Vérifier avant toute injection que le robinet n'est pas connecté à une perfusion IV.</w:t>
      </w:r>
    </w:p>
    <w:p>
      <w:pPr>
        <w:pStyle w:val="ListNumber"/>
      </w:pPr>
      <w:r/>
      <w:r>
        <w:rPr>
          <w:b/>
        </w:rPr>
        <w:t>Respecter les délais d'anticoagulation</w:t>
      </w:r>
      <w:r>
        <w:t xml:space="preserve"> : HBPM prophylactique → 12 h après pose/dépose de cathéter ; HBPM curative → 24 h ; AVK → INR &lt; 1,5 ; AOD → 48-72 h. Sinon risque d'hématome péridural compressif.</w:t>
      </w:r>
    </w:p>
    <w:p>
      <w:pPr>
        <w:pStyle w:val="ListNumber"/>
      </w:pPr>
      <w:r/>
      <w:r>
        <w:rPr>
          <w:b/>
        </w:rPr>
        <w:t>Surveillance monitorée obligatoire</w:t>
      </w:r>
      <w:r>
        <w:t xml:space="preserve"> : scope ECG, tension artérielle non invasive toutes les 3-5 minutes, SpO₂, accès veineux périphérique. Monitorage du niveau sensitif (test au froid ou à la piqûre) et du bloc moteur (échelle Bromage 0-3) toutes les 15 minutes pendant 1 heure, puis toutes les 30 minutes.</w:t>
      </w:r>
    </w:p>
    <w:p>
      <w:pPr>
        <w:pStyle w:val="ListNumber"/>
      </w:pPr>
      <w:r/>
      <w:r>
        <w:rPr>
          <w:b/>
        </w:rPr>
        <w:t>Patient âgé, insuffisant hépatique, insuffisant rénal</w:t>
      </w:r>
      <w:r>
        <w:t xml:space="preserve"> : réduire les doses de 30-50 %. Hypoalbuminémie &gt; fraction libre augmentée &gt; toxicité à dose normale.</w:t>
      </w:r>
    </w:p>
    <w:p>
      <w:pPr>
        <w:pStyle w:val="ListNumber"/>
      </w:pPr>
      <w:r/>
      <w:r>
        <w:rPr>
          <w:b/>
        </w:rPr>
        <w:t>Enfant &lt; 1 an</w:t>
      </w:r>
      <w:r>
        <w:t xml:space="preserve"> : contre-indication de la bupivacaïne par immaturité du métabolisme hépatique et risque de méthémoglobinémie. Préférer la lidocaïne adrénalinée.</w:t>
      </w:r>
    </w:p>
    <w:p>
      <w:pPr>
        <w:pStyle w:val="ListNumber"/>
      </w:pPr>
      <w:r/>
      <w:r>
        <w:rPr>
          <w:b/>
        </w:rPr>
        <w:t>Information patient obligatoire</w:t>
      </w:r>
      <w:r>
        <w:t xml:space="preserve"> sur la toxicité systémique possible et les signes prémonitoires (langue métallique, paresthésies péribuccales), avec ordre de signaler immédiatement tout symptôme.</w:t>
      </w:r>
    </w:p>
    <w:p>
      <w:pPr>
        <w:pStyle w:val="ListNumber"/>
      </w:pPr>
      <w:r/>
      <w:r>
        <w:rPr>
          <w:b/>
        </w:rPr>
        <w:t>Ne jamais injecter dans un nerf</w:t>
      </w:r>
      <w:r>
        <w:t xml:space="preserve"> (aiguille en intraneurale). Si paresthésies électriques intenses pendant la pose, retirer l'aiguille de 1-2 mm avant d'injecter.</w:t>
      </w:r>
    </w:p>
    <w:p>
      <w:pPr>
        <w:pStyle w:val="ListNumber"/>
      </w:pPr>
      <w:r/>
      <w:r>
        <w:rPr>
          <w:b/>
        </w:rPr>
        <w:t>Adrénaline contre-indiquée aux extrémités</w:t>
      </w:r>
      <w:r>
        <w:t xml:space="preserve"> (doigts, orteils, nez, oreilles, pénis) : risque de nécrose ischémique par vasoconstriction terminale.</w:t>
      </w:r>
    </w:p>
    <w:p>
      <w:pPr>
        <w:pStyle w:val="ListNumber"/>
      </w:pPr>
      <w:r/>
      <w:r>
        <w:rPr>
          <w:b/>
        </w:rPr>
        <w:t>Règle d'or du lipid rescue</w:t>
      </w:r>
      <w:r>
        <w:t xml:space="preserve"> : ne pas attendre l'arrêt cardiaque pour injecter l'Intralipide. Dès les premiers signes de LAST (convulsions, hypotension, troubles du rythme), administrer le bolus.</w:t>
      </w:r>
    </w:p>
    <w:p>
      <w:pPr>
        <w:pStyle w:val="ListNumber"/>
      </w:pPr>
      <w:r/>
      <w:r>
        <w:rPr>
          <w:b/>
        </w:rPr>
        <w:t>Ne pas réutiliser une ampoule entamée</w:t>
      </w:r>
      <w:r>
        <w:t xml:space="preserve"> (risque de contamination). Conservation à l'abri de la lumière, entre 15 et 25 °C.</w:t>
      </w:r>
    </w:p>
    <w:p>
      <w:pPr>
        <w:pStyle w:val="ListNumber"/>
      </w:pPr>
      <w:r/>
      <w:r>
        <w:rPr>
          <w:b/>
        </w:rPr>
        <w:t>Respect des bonnes pratiques de préparation des mélanges</w:t>
      </w:r>
      <w:r>
        <w:t xml:space="preserve"> : utilisation d'ampoules de bupivacaïne 0,5 % et d'adrénaline 1 mg/mL, calcul précis des dilutions, étiquetage de la seringue avec le nom du produit, la concentration, la date et l'heure de préparation.</w:t>
      </w:r>
    </w:p>
    <w:p>
      <w:pPr>
        <w:pStyle w:val="Heading2"/>
      </w:pPr>
      <w:r>
        <w:t>182.8 Sous-classe récapitulative — Mépivacaïne</w:t>
      </w:r>
    </w:p>
    <w:p>
      <w:pPr>
        <w:pStyle w:val="Heading3"/>
      </w:pPr>
      <w:r>
        <w:t>182.8.1 Mépivacaïne (amides durée intermédiaire)</w:t>
      </w:r>
    </w:p>
    <w:p>
      <w:pPr>
        <w:pStyle w:val="Heading4"/>
      </w:pPr>
      <w:r>
        <w:t>182.8.1.1 Catégories pharmaco-thérapeutiques et indications</w:t>
      </w:r>
    </w:p>
    <w:p>
      <w:pPr>
        <w:pStyle w:val="ListBullet"/>
      </w:pPr>
      <w:r/>
      <w:r>
        <w:rPr>
          <w:b/>
        </w:rPr>
        <w:t>DCI</w:t>
      </w:r>
      <w:r>
        <w:t xml:space="preserve"> : mépivacaïne (chlorhydrate).</w:t>
      </w:r>
    </w:p>
    <w:p>
      <w:pPr>
        <w:pStyle w:val="ListBullet"/>
      </w:pPr>
      <w:r/>
      <w:r>
        <w:rPr>
          <w:b/>
        </w:rPr>
        <w:t>Code ATC</w:t>
      </w:r>
      <w:r>
        <w:t xml:space="preserve"> : N01BB02 (anesthésiques locaux — amides).</w:t>
      </w:r>
    </w:p>
    <w:p>
      <w:pPr>
        <w:pStyle w:val="ListBullet"/>
      </w:pPr>
      <w:r/>
      <w:r>
        <w:rPr>
          <w:b/>
        </w:rPr>
        <w:t>Classification thérapeutique</w:t>
      </w:r>
      <w:r>
        <w:t xml:space="preserve"> : anesthésique local amide de durée intermédiaire, isomère racémique R(+) et S(-).</w:t>
      </w:r>
    </w:p>
    <w:p>
      <w:pPr>
        <w:pStyle w:val="ListBullet"/>
      </w:pPr>
      <w:r/>
      <w:r>
        <w:rPr>
          <w:b/>
        </w:rPr>
        <w:t>Classe chimique</w:t>
      </w:r>
      <w:r>
        <w:t xml:space="preserve"> : N-méthyl-pipécolylxylidine, amide de la xylidine apparenté à la lidocaïne (dont il est l'homologue N-méthylé), poids moléculaire 282 Da (sel chlorhydrate). Lipophilie modérée (logP 1,9).</w:t>
      </w:r>
    </w:p>
    <w:p>
      <w:pPr>
        <w:pStyle w:val="ListBullet"/>
      </w:pPr>
      <w:r/>
      <w:r>
        <w:rPr>
          <w:b/>
        </w:rPr>
        <w:t>Statut réglementaire Algérie</w:t>
      </w:r>
      <w:r>
        <w:t xml:space="preserve"> : Liste I (formes adrénalinées) ou Liste II (formes pures) — prescription réservée aux chirurgiens-dentistes et médecins anesthésistes.</w:t>
      </w:r>
    </w:p>
    <w:p>
      <w:pPr>
        <w:pStyle w:val="ListBullet"/>
      </w:pPr>
      <w:r/>
      <w:r>
        <w:rPr>
          <w:b/>
        </w:rPr>
        <w:t>Grossesse</w:t>
      </w:r>
      <w:r>
        <w:t xml:space="preserve"> : utilisable en infiltration locale ponctuelle ; CONTRE-INDIQUÉE en péridurale obstétricale (accumulation fœtale par immaturité du métabolisme fœtal).</w:t>
      </w:r>
    </w:p>
    <w:p>
      <w:r>
        <w:t>Indications principales :</w:t>
      </w:r>
    </w:p>
    <w:p>
      <w:pPr>
        <w:pStyle w:val="ListNumber"/>
      </w:pPr>
      <w:r/>
      <w:r>
        <w:rPr>
          <w:b/>
        </w:rPr>
        <w:t>Anesthésie dentaire</w:t>
      </w:r>
      <w:r>
        <w:t xml:space="preserve"> : anesthésie locale pour soins dentaires conservateurs (carie, pulpite, traitement de canal), chirurgie parodontale (avulsion, surfaçage, lambeau), chirurgie orthognatique mineure, extraction de dents de sagesse. Indication princeps de la mépivacaïne.</w:t>
      </w:r>
    </w:p>
    <w:p>
      <w:pPr>
        <w:pStyle w:val="ListNumber"/>
      </w:pPr>
      <w:r/>
      <w:r>
        <w:rPr>
          <w:b/>
        </w:rPr>
        <w:t>Anesthésie locorégionale en odontologie pédiatrique</w:t>
      </w:r>
      <w:r>
        <w:t xml:space="preserve"> : forme 3 % sans adrénaline (en cas de contre-indication à l'adrénaline : cardiopathie, hyperthyroïdie, asthme sévère).</w:t>
      </w:r>
    </w:p>
    <w:p>
      <w:pPr>
        <w:pStyle w:val="ListNumber"/>
      </w:pPr>
      <w:r/>
      <w:r>
        <w:rPr>
          <w:b/>
        </w:rPr>
        <w:t>Bloc tronculaire maxillo-facial</w:t>
      </w:r>
      <w:r>
        <w:t xml:space="preserve"> : bloc alvéolaire inférieur, bloc du nerf alvéolaire supérieur, bloc du nerf mentonnier, bloc du nerf sous-orbitaire.</w:t>
      </w:r>
    </w:p>
    <w:p>
      <w:pPr>
        <w:pStyle w:val="ListNumber"/>
      </w:pPr>
      <w:r/>
      <w:r>
        <w:rPr>
          <w:b/>
        </w:rPr>
        <w:t>Bloc tronculaire périphérique</w:t>
      </w:r>
      <w:r>
        <w:t xml:space="preserve"> : alternative à la lidocaïne dans les blocs courts (bloc digital, bloc intercostal).</w:t>
      </w:r>
    </w:p>
    <w:p>
      <w:pPr>
        <w:pStyle w:val="ListNumber"/>
      </w:pPr>
      <w:r/>
      <w:r>
        <w:rPr>
          <w:b/>
        </w:rPr>
        <w:t>Infiltration pariétale</w:t>
      </w:r>
      <w:r>
        <w:t xml:space="preserve"> : infiltration cicatricielle, infiltration de petites articulations (doigts, poignet).</w:t>
      </w:r>
    </w:p>
    <w:p>
      <w:pPr>
        <w:pStyle w:val="ListNumber"/>
      </w:pPr>
      <w:r/>
      <w:r>
        <w:rPr>
          <w:b/>
        </w:rPr>
        <w:t>Anesthésie topique muqueuse</w:t>
      </w:r>
      <w:r>
        <w:t xml:space="preserve"> : peu utilisée (préférence lidocaïne gel 2 %).</w:t>
      </w:r>
    </w:p>
    <w:p>
      <w:pPr>
        <w:pStyle w:val="ListNumber"/>
      </w:pPr>
      <w:r/>
      <w:r>
        <w:rPr>
          <w:b/>
        </w:rPr>
        <w:t>Hors odontologie — blocs ambulatoires</w:t>
      </w:r>
      <w:r>
        <w:t xml:space="preserve"> : alternative à la lidocaïne adrénalinée pour les actes courts nécessitant 1 à 3 heures d'analgésie.</w:t>
      </w:r>
    </w:p>
    <w:p>
      <w:pPr>
        <w:pStyle w:val="Heading4"/>
      </w:pPr>
      <w:r>
        <w:t>182.8.1.2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MEDICAINE 2 % AVEC ADRENALINE 1/100000</w:t>
            </w:r>
          </w:p>
        </w:tc>
        <w:tc>
          <w:tcPr>
            <w:tcW w:type="dxa" w:w="1559"/>
          </w:tcPr>
          <w:p>
            <w:r>
              <w:rPr>
                <w:sz w:val="20"/>
              </w:rPr>
              <w:t>SARL MEDIS</w:t>
            </w:r>
          </w:p>
        </w:tc>
        <w:tc>
          <w:tcPr>
            <w:tcW w:type="dxa" w:w="1559"/>
          </w:tcPr>
          <w:p>
            <w:r>
              <w:rPr>
                <w:sz w:val="20"/>
              </w:rPr>
              <w:t>Solution injectable en carpules</w:t>
            </w:r>
          </w:p>
        </w:tc>
        <w:tc>
          <w:tcPr>
            <w:tcW w:type="dxa" w:w="1559"/>
          </w:tcPr>
          <w:p>
            <w:r>
              <w:rPr>
                <w:sz w:val="20"/>
              </w:rPr>
              <w:t>50 carpules de 1,8 mL (2 % adrénalinée)</w:t>
            </w:r>
          </w:p>
        </w:tc>
        <w:tc>
          <w:tcPr>
            <w:tcW w:type="dxa" w:w="1559"/>
          </w:tcPr>
          <w:p>
            <w:r>
              <w:rPr>
                <w:sz w:val="20"/>
              </w:rPr>
              <w:t>Liste I</w:t>
            </w:r>
          </w:p>
        </w:tc>
        <w:tc>
          <w:tcPr>
            <w:tcW w:type="dxa" w:w="1559"/>
          </w:tcPr>
          <w:p>
            <w:r>
              <w:rPr>
                <w:sz w:val="20"/>
              </w:rPr>
              <w:t>Actif</w:t>
            </w:r>
          </w:p>
        </w:tc>
      </w:tr>
      <w:tr>
        <w:tc>
          <w:tcPr>
            <w:tcW w:type="dxa" w:w="1559"/>
          </w:tcPr>
          <w:p>
            <w:r>
              <w:rPr>
                <w:sz w:val="20"/>
              </w:rPr>
              <w:t>MEDICAINE 3 %</w:t>
            </w:r>
          </w:p>
        </w:tc>
        <w:tc>
          <w:tcPr>
            <w:tcW w:type="dxa" w:w="1559"/>
          </w:tcPr>
          <w:p>
            <w:r>
              <w:rPr>
                <w:sz w:val="20"/>
              </w:rPr>
              <w:t>SARL MEDIS</w:t>
            </w:r>
          </w:p>
        </w:tc>
        <w:tc>
          <w:tcPr>
            <w:tcW w:type="dxa" w:w="1559"/>
          </w:tcPr>
          <w:p>
            <w:r>
              <w:rPr>
                <w:sz w:val="20"/>
              </w:rPr>
              <w:t>Solution injectable (usage dentaire)</w:t>
            </w:r>
          </w:p>
        </w:tc>
        <w:tc>
          <w:tcPr>
            <w:tcW w:type="dxa" w:w="1559"/>
          </w:tcPr>
          <w:p>
            <w:r>
              <w:rPr>
                <w:sz w:val="20"/>
              </w:rPr>
              <w:t>50 cartouches de 1,8 mL (30 mg/mL)</w:t>
            </w:r>
          </w:p>
        </w:tc>
        <w:tc>
          <w:tcPr>
            <w:tcW w:type="dxa" w:w="1559"/>
          </w:tcPr>
          <w:p>
            <w:r>
              <w:rPr>
                <w:sz w:val="20"/>
              </w:rPr>
              <w:t>Liste I</w:t>
            </w:r>
          </w:p>
        </w:tc>
        <w:tc>
          <w:tcPr>
            <w:tcW w:type="dxa" w:w="1559"/>
          </w:tcPr>
          <w:p>
            <w:r>
              <w:rPr>
                <w:sz w:val="20"/>
              </w:rPr>
              <w:t>Actif</w:t>
            </w:r>
          </w:p>
        </w:tc>
      </w:tr>
      <w:tr>
        <w:tc>
          <w:tcPr>
            <w:tcW w:type="dxa" w:w="1559"/>
          </w:tcPr>
          <w:p>
            <w:r>
              <w:rPr>
                <w:sz w:val="20"/>
              </w:rPr>
              <w:t>SCANDINIBSA 3 %</w:t>
            </w:r>
          </w:p>
        </w:tc>
        <w:tc>
          <w:tcPr>
            <w:tcW w:type="dxa" w:w="1559"/>
          </w:tcPr>
          <w:p>
            <w:r>
              <w:rPr>
                <w:sz w:val="20"/>
              </w:rPr>
              <w:t>INIBSA DENTAL S.L.U.</w:t>
            </w:r>
          </w:p>
        </w:tc>
        <w:tc>
          <w:tcPr>
            <w:tcW w:type="dxa" w:w="1559"/>
          </w:tcPr>
          <w:p>
            <w:r>
              <w:rPr>
                <w:sz w:val="20"/>
              </w:rPr>
              <w:t>Solution injectable (usage dentaire)</w:t>
            </w:r>
          </w:p>
        </w:tc>
        <w:tc>
          <w:tcPr>
            <w:tcW w:type="dxa" w:w="1559"/>
          </w:tcPr>
          <w:p>
            <w:r>
              <w:rPr>
                <w:sz w:val="20"/>
              </w:rPr>
              <w:t>50 cartouches de 1,8 mL (30 mg/mL)</w:t>
            </w:r>
          </w:p>
        </w:tc>
        <w:tc>
          <w:tcPr>
            <w:tcW w:type="dxa" w:w="1559"/>
          </w:tcPr>
          <w:p>
            <w:r>
              <w:rPr>
                <w:sz w:val="20"/>
              </w:rPr>
              <w:t>Liste I</w:t>
            </w:r>
          </w:p>
        </w:tc>
        <w:tc>
          <w:tcPr>
            <w:tcW w:type="dxa" w:w="1559"/>
          </w:tcPr>
          <w:p>
            <w:r>
              <w:rPr>
                <w:sz w:val="20"/>
              </w:rPr>
              <w:t>Actif</w:t>
            </w:r>
          </w:p>
        </w:tc>
      </w:tr>
      <w:tr>
        <w:tc>
          <w:tcPr>
            <w:tcW w:type="dxa" w:w="1559"/>
          </w:tcPr>
          <w:p>
            <w:r>
              <w:rPr>
                <w:sz w:val="20"/>
              </w:rPr>
              <w:t>SCANDONEST</w:t>
            </w:r>
          </w:p>
        </w:tc>
        <w:tc>
          <w:tcPr>
            <w:tcW w:type="dxa" w:w="1559"/>
          </w:tcPr>
          <w:p>
            <w:r>
              <w:rPr>
                <w:sz w:val="20"/>
              </w:rPr>
              <w:t>SEPTODENT</w:t>
            </w:r>
          </w:p>
        </w:tc>
        <w:tc>
          <w:tcPr>
            <w:tcW w:type="dxa" w:w="1559"/>
          </w:tcPr>
          <w:p>
            <w:r>
              <w:rPr>
                <w:sz w:val="20"/>
              </w:rPr>
              <w:t>Solution injectable à usage dentaire</w:t>
            </w:r>
          </w:p>
        </w:tc>
        <w:tc>
          <w:tcPr>
            <w:tcW w:type="dxa" w:w="1559"/>
          </w:tcPr>
          <w:p>
            <w:r>
              <w:rPr>
                <w:sz w:val="20"/>
              </w:rPr>
              <w:t>50 cartouches de 1,7 mL (30 mg/mL)</w:t>
            </w:r>
          </w:p>
        </w:tc>
        <w:tc>
          <w:tcPr>
            <w:tcW w:type="dxa" w:w="1559"/>
          </w:tcPr>
          <w:p>
            <w:r>
              <w:rPr>
                <w:sz w:val="20"/>
              </w:rPr>
              <w:t>Liste II</w:t>
            </w:r>
          </w:p>
        </w:tc>
        <w:tc>
          <w:tcPr>
            <w:tcW w:type="dxa" w:w="1559"/>
          </w:tcPr>
          <w:p>
            <w:r>
              <w:rPr>
                <w:sz w:val="20"/>
              </w:rPr>
              <w:t>Actif</w:t>
            </w:r>
          </w:p>
        </w:tc>
      </w:tr>
      <w:tr>
        <w:tc>
          <w:tcPr>
            <w:tcW w:type="dxa" w:w="1559"/>
          </w:tcPr>
          <w:p>
            <w:r>
              <w:rPr>
                <w:sz w:val="20"/>
              </w:rPr>
              <w:t>SCANDICAINE</w:t>
            </w:r>
          </w:p>
        </w:tc>
        <w:tc>
          <w:tcPr>
            <w:tcW w:type="dxa" w:w="1559"/>
          </w:tcPr>
          <w:p>
            <w:r>
              <w:rPr>
                <w:sz w:val="20"/>
              </w:rPr>
              <w:t>SEPTODENT</w:t>
            </w:r>
          </w:p>
        </w:tc>
        <w:tc>
          <w:tcPr>
            <w:tcW w:type="dxa" w:w="1559"/>
          </w:tcPr>
          <w:p>
            <w:r>
              <w:rPr>
                <w:sz w:val="20"/>
              </w:rPr>
              <w:t>Solution injectable 2 % adrénalinée 1/100 000</w:t>
            </w:r>
          </w:p>
        </w:tc>
        <w:tc>
          <w:tcPr>
            <w:tcW w:type="dxa" w:w="1559"/>
          </w:tcPr>
          <w:p>
            <w:r>
              <w:rPr>
                <w:sz w:val="20"/>
              </w:rPr>
              <w:t>50 cartouches de 1,8 mL</w:t>
            </w:r>
          </w:p>
        </w:tc>
        <w:tc>
          <w:tcPr>
            <w:tcW w:type="dxa" w:w="1559"/>
          </w:tcPr>
          <w:p>
            <w:r>
              <w:rPr>
                <w:sz w:val="20"/>
              </w:rPr>
              <w:t>Liste I</w:t>
            </w:r>
          </w:p>
        </w:tc>
        <w:tc>
          <w:tcPr>
            <w:tcW w:type="dxa" w:w="1559"/>
          </w:tcPr>
          <w:p>
            <w:r>
              <w:rPr>
                <w:sz w:val="20"/>
              </w:rPr>
              <w:t>Non renouvelable</w:t>
            </w:r>
          </w:p>
        </w:tc>
      </w:tr>
      <w:tr>
        <w:tc>
          <w:tcPr>
            <w:tcW w:type="dxa" w:w="1559"/>
          </w:tcPr>
          <w:p>
            <w:r>
              <w:rPr>
                <w:sz w:val="20"/>
              </w:rPr>
              <w:t>SCANDICAINE</w:t>
            </w:r>
          </w:p>
        </w:tc>
        <w:tc>
          <w:tcPr>
            <w:tcW w:type="dxa" w:w="1559"/>
          </w:tcPr>
          <w:p>
            <w:r>
              <w:rPr>
                <w:sz w:val="20"/>
              </w:rPr>
              <w:t>SEPTODENT</w:t>
            </w:r>
          </w:p>
        </w:tc>
        <w:tc>
          <w:tcPr>
            <w:tcW w:type="dxa" w:w="1559"/>
          </w:tcPr>
          <w:p>
            <w:r>
              <w:rPr>
                <w:sz w:val="20"/>
              </w:rPr>
              <w:t>Solution injectable 2 % noradrénalinée</w:t>
            </w:r>
          </w:p>
        </w:tc>
        <w:tc>
          <w:tcPr>
            <w:tcW w:type="dxa" w:w="1559"/>
          </w:tcPr>
          <w:p>
            <w:r>
              <w:rPr>
                <w:sz w:val="20"/>
              </w:rPr>
              <w:t>50 carpules de 1,8 mL</w:t>
            </w:r>
          </w:p>
        </w:tc>
        <w:tc>
          <w:tcPr>
            <w:tcW w:type="dxa" w:w="1559"/>
          </w:tcPr>
          <w:p>
            <w:r>
              <w:rPr>
                <w:sz w:val="20"/>
              </w:rPr>
              <w:t>Liste I</w:t>
            </w:r>
          </w:p>
        </w:tc>
        <w:tc>
          <w:tcPr>
            <w:tcW w:type="dxa" w:w="1559"/>
          </w:tcPr>
          <w:p>
            <w:r>
              <w:rPr>
                <w:sz w:val="20"/>
              </w:rPr>
              <w:t>Non renouvelable</w:t>
            </w:r>
          </w:p>
        </w:tc>
      </w:tr>
      <w:tr>
        <w:tc>
          <w:tcPr>
            <w:tcW w:type="dxa" w:w="1559"/>
          </w:tcPr>
          <w:p>
            <w:r>
              <w:rPr>
                <w:sz w:val="20"/>
              </w:rPr>
              <w:t>MEPICATON 3 %</w:t>
            </w:r>
          </w:p>
        </w:tc>
        <w:tc>
          <w:tcPr>
            <w:tcW w:type="dxa" w:w="1559"/>
          </w:tcPr>
          <w:p>
            <w:r>
              <w:rPr>
                <w:sz w:val="20"/>
              </w:rPr>
              <w:t>WEIMER PHARMA</w:t>
            </w:r>
          </w:p>
        </w:tc>
        <w:tc>
          <w:tcPr>
            <w:tcW w:type="dxa" w:w="1559"/>
          </w:tcPr>
          <w:p>
            <w:r>
              <w:rPr>
                <w:sz w:val="20"/>
              </w:rPr>
              <w:t>Carpules de 1,8 mL (3 %)</w:t>
            </w:r>
          </w:p>
        </w:tc>
        <w:tc>
          <w:tcPr>
            <w:tcW w:type="dxa" w:w="1559"/>
          </w:tcPr>
          <w:p>
            <w:r>
              <w:rPr>
                <w:sz w:val="20"/>
              </w:rPr>
              <w:t>50 carpules de 1,8 mL</w:t>
            </w:r>
          </w:p>
        </w:tc>
        <w:tc>
          <w:tcPr>
            <w:tcW w:type="dxa" w:w="1559"/>
          </w:tcPr>
          <w:p>
            <w:r>
              <w:rPr>
                <w:sz w:val="20"/>
              </w:rPr>
              <w:t>—</w:t>
            </w:r>
          </w:p>
        </w:tc>
        <w:tc>
          <w:tcPr>
            <w:tcW w:type="dxa" w:w="1559"/>
          </w:tcPr>
          <w:p>
            <w:r>
              <w:rPr>
                <w:sz w:val="20"/>
              </w:rPr>
              <w:t>Retrait</w:t>
            </w:r>
          </w:p>
        </w:tc>
      </w:tr>
      <w:tr>
        <w:tc>
          <w:tcPr>
            <w:tcW w:type="dxa" w:w="1559"/>
          </w:tcPr>
          <w:p>
            <w:r>
              <w:rPr>
                <w:sz w:val="20"/>
              </w:rPr>
              <w:t>MEPIVASTESIN 3 %</w:t>
            </w:r>
          </w:p>
        </w:tc>
        <w:tc>
          <w:tcPr>
            <w:tcW w:type="dxa" w:w="1559"/>
          </w:tcPr>
          <w:p>
            <w:r>
              <w:rPr>
                <w:sz w:val="20"/>
              </w:rPr>
              <w:t>3M ESPE</w:t>
            </w:r>
          </w:p>
        </w:tc>
        <w:tc>
          <w:tcPr>
            <w:tcW w:type="dxa" w:w="1559"/>
          </w:tcPr>
          <w:p>
            <w:r>
              <w:rPr>
                <w:sz w:val="20"/>
              </w:rPr>
              <w:t>Solution injectable (3 %)</w:t>
            </w:r>
          </w:p>
        </w:tc>
        <w:tc>
          <w:tcPr>
            <w:tcW w:type="dxa" w:w="1559"/>
          </w:tcPr>
          <w:p>
            <w:r>
              <w:rPr>
                <w:sz w:val="20"/>
              </w:rPr>
              <w:t>50 cartouches de 1,7 mL</w:t>
            </w:r>
          </w:p>
        </w:tc>
        <w:tc>
          <w:tcPr>
            <w:tcW w:type="dxa" w:w="1559"/>
          </w:tcPr>
          <w:p>
            <w:r>
              <w:rPr>
                <w:sz w:val="20"/>
              </w:rPr>
              <w:t>—</w:t>
            </w:r>
          </w:p>
        </w:tc>
        <w:tc>
          <w:tcPr>
            <w:tcW w:type="dxa" w:w="1559"/>
          </w:tcPr>
          <w:p>
            <w:r>
              <w:rPr>
                <w:sz w:val="20"/>
              </w:rPr>
              <w:t>Retrait</w:t>
            </w:r>
          </w:p>
        </w:tc>
      </w:tr>
    </w:tbl>
    <w:p/>
    <w:p>
      <w:r>
        <w:t>Le marché algérien de la mépivacaïne est partagé entre les laboratoires MEDIS (Medicaine 2 % adrénalinée et Medicaine 3 % sans adrénaline), Septodont (Scandonest 3 %, Scandicaïne adrénalinée et noradrénalinée non renouvelées), Inibsa Dental (Scandinibsa 3 %) et les formes historiques Mepivastesin (3M Espe) et Mepicaton (Weimer Pharma) retirées du marché. Les carpules dentaires de 1,7-1,8 mL contiennent 54 mg de mépivacaïne à 3 % (sans adrénaline) ou 36 mg à 2 % (avec adrénaline 1/100 000). La carpule dentaire standardisée s'adapte à toutes les seringues dentaires type « aspirating syringe » à cartouches. La concentration 3 % (sans adrénaline) est particulièrement appréciée en odontologie pour les patients à contre-indication à l'adrénaline (hypertension non contrôlée, angor instable, hyperthyroïdie non équilibrée, patient sous IMAO non sélectif). La concentration 2 % adrénalinée à 1/100 000 (5 µg/mL d'adrénaline) est utilisée en chirurgie parodontale pour hémostase locale. La forme noradrénalinée (Scandicaïne Nor), historiquement utilisée en cardiologie, a été retirée du marché algérien en raison de la supériorité de l'adrénaline en termes d'efficacité vasoconstrictrice.</w:t>
      </w:r>
    </w:p>
    <w:p>
      <w:pPr>
        <w:pStyle w:val="Heading4"/>
      </w:pPr>
      <w:r>
        <w:t>182.8.1.3 Mécanisme d'action moléculaire, cellulaire et physiologique</w:t>
      </w:r>
    </w:p>
    <w:p>
      <w:r>
        <w:t>La mépivacaïne partage avec tous les anesthésiques locaux amides le mécanisme fondamental de blocage des canaux sodiques voltage-dépendants (NaV) au niveau des membranes excitables. Le mécanisme se décline en six niveaux :</w:t>
      </w:r>
    </w:p>
    <w:p>
      <w:r/>
      <w:r>
        <w:rPr>
          <w:b/>
        </w:rPr>
        <w:t>Niveau moléculaire — fixation intracellulaire sur le canal NaV</w:t>
      </w:r>
      <w:r>
        <w:t xml:space="preserve"> : la mépivacaïne diffuse à travers la membrane nerveuse sous sa forme liposoluble non ionisée (base libre B), en équilibre pH-dépendant avec sa forme cationique BH+ selon l'équation de Henderson-Hasselbalch (pKa de la mépivacaïne = 7,7, légèrement plus élevé que celui de la lidocaïne = 7,8). En milieu intracellulaire (pH 7,4), environ 65 % de la mépivacaïne est sous forme BH+ protonée, pharmacologiquement active. BH+ se fixe à un site spécifique situé sur la face intracellulaire du canal sodique, au niveau du segment S6 du domaine IV, stabilisant le canal dans sa configuration inactivée. La fixation est use-dependent : le blocage augmente avec la fréquence de dépolarisation, ce qui explique l'efficacité préférentielle sur les fibres à forte activité (fibres C et Aδ de la douleur avant les fibres Aα motrices).</w:t>
      </w:r>
    </w:p>
    <w:p>
      <w:r/>
      <w:r>
        <w:rPr>
          <w:b/>
        </w:rPr>
        <w:t>Niveau cellulaire — sélectivité des fibres nerveuses</w:t>
      </w:r>
      <w:r>
        <w:t xml:space="preserve"> : la mépivacaïne bloque préférentiellement les petites fibres (B, C) avant les grosses fibres (Aα, Aβ). L'ordre classique est : douleur (C) → température (B) → toucher (Aβ) → motricité (Aα). La récupération se fait en ordre inverse. Comparée à la lidocaïne, la mépivacaïne présente un bloc moteur légèrement plus marqué à concentrations équivalentes, ce qui peut être un inconvénient en odontologie (paralysie transitoire du V3 en cas de diffusion à partir d'un bloc alvéolaire inférieur).</w:t>
      </w:r>
    </w:p>
    <w:p>
      <w:r/>
      <w:r>
        <w:rPr>
          <w:b/>
        </w:rPr>
        <w:t>Niveau physiologique — bloc de conduction nerveuse</w:t>
      </w:r>
      <w:r>
        <w:t xml:space="preserve"> : à l'échelle du nerf, le blocage des canaux sodiques élève le seuil de dépolarisation, ralentit la vitesse de conduction, puis abolit la propagation du potentiel d'action. La mépivacaïne présente un onset plus rapide que la bupivacaïne (5-10 minutes pour anesthésie pulpaire, contre 15-25 minutes pour la bupivacaïne), comparable à la lidocaïne. La durée d'action est de 30-60 minutes en anesthésie pulpaire (sans adrénaline), 60-90 minutes en anesthésie pulpaire (avec adrénaline 1/100 000), 120-180 minutes en anesthésie des tissus mous. La mépivacaïne se distingue par une légère vasoconstriction intrinsèque (alors que la lidocaïne est vasodilatatrice), ce qui permet son utilisation à l'état pur sans adjonction d'adrénaline — avantage majeur chez les patients cardiopathes.</w:t>
      </w:r>
    </w:p>
    <w:p>
      <w:r/>
      <w:r>
        <w:rPr>
          <w:b/>
        </w:rPr>
        <w:t>Niveau cardiaque — cardiotoxicité modérée</w:t>
      </w:r>
      <w:r>
        <w:t xml:space="preserve"> : la mépivacaïne présente une cardiotoxicité inférieure à celle de la bupivacaïne mais supérieure à celle de la lidocaïne. Le rapport cardiotoxicité/neurotoxicité est d'environ 1,5 (contre 2 à 4 pour la bupivacaïne). Les signes cardiaques précèdent ou accompagnent les signes neurologiques (à la différence de la bupivacaïne où les signes cardiaques sont massifs et réfractaires). Le bloc NaV1.5 cardiaque est réversible, plus rapide que celui de la bupivacaïne. La mépivacaïne reste néanmoins un amide potentiellement cardiotoxique à dose excessive, justifiant le respect des doses maximales.</w:t>
      </w:r>
    </w:p>
    <w:p>
      <w:r/>
      <w:r>
        <w:rPr>
          <w:b/>
        </w:rPr>
        <w:t>Niveau nerveux central — neurotoxicité</w:t>
      </w:r>
      <w:r>
        <w:t xml:space="preserve"> : à dose systémique toxique, la mépivacaïne traverse la BHE et provoque les signes classiques de toxicité systémique : circumoral paresthésies, langue métallique, acouphènes, agitation, puis convulsions tonico-cloniques et coma. Les convulsions sont en rapport avec un blocage préférentiel des circuits GABAergiques inhibiteurs centraux.</w:t>
      </w:r>
    </w:p>
    <w:p>
      <w:r/>
      <w:r>
        <w:rPr>
          <w:b/>
        </w:rPr>
        <w:t>Niveau vasculaire — vasoconstriction intrinsèque</w:t>
      </w:r>
      <w:r>
        <w:t xml:space="preserve"> : la mépivacaïne présente une légère vasoconstriction directe sur les fibres musculaires lisses vasculaires (contrairement à la lidocaïne qui est vasodilatatrice). Cette propriété présente trois conséquences : (i) l'absence d'adjonction systématique d'adrénaline (avantage chez les patients à contre-indication à l'adrénaline) ; (ii) une durée d'action prolongée par rapport à la lidocaïne pure (60-90 min vs 30-60 min) ; (iii) une Cmax plasmatique légèrement plus faible que la lidocaïne à dose équivalente (mais toxicité systémique comparable, le seuil toxique étant atteint à 5-6 µg/mL).</w:t>
      </w:r>
    </w:p>
    <w:p>
      <w:pPr>
        <w:pStyle w:val="Heading4"/>
      </w:pPr>
      <w:r>
        <w:t>182.8.1.4 Pharmacocinétique (profil PK)</w:t>
      </w:r>
    </w:p>
    <w:p>
      <w:r/>
      <w:r>
        <w:rPr>
          <w:b/>
        </w:rPr>
        <w:t>Absorption</w:t>
      </w:r>
      <w:r>
        <w:t xml:space="preserve"> : la mépivacaïne est administrée par voie injectable locale (infiltration, bloc tronculaire, bloc dentaire). L'absorption systémique dépend du site d'injection : intercostal &gt; péridural &gt; périneural &gt; sous-cutané &gt; intramusculaire. Après infiltration dentaire, la Cmax plasmatique est atteinte en 20-30 minutes. La biodisponibilité systémique est proche de 100 %. La légère vasoconstriction intrinsèque ralentit l'absorption par rapport à la lidocaïne (vasodilatatrice), expliquant la durée d'action prolongée. L'adjonction d'adrénaline 1/100 000 réduit la Cmax d'environ 30 % et prolonge la durée d'action de 30-50 %.</w:t>
      </w:r>
    </w:p>
    <w:p>
      <w:r/>
      <w:r>
        <w:rPr>
          <w:b/>
        </w:rPr>
        <w:t>Distribution</w:t>
      </w:r>
      <w:r>
        <w:t xml:space="preserve"> : la mépivacaïne est liée aux protéines plasmatiques à hauteur de 75-80 % (principalement α1-glycoprotéine acide et albumine), un peu moins que la bupivacaïne (95 %). La fraction libre (20-25 %) est pharmacologiquement active et toxique. Le volume de distribution à l'équilibre (Vdss) est de 1 à 2 L/kg. La diffusion tissulaire est large : muscle, tissu adipeux, cœur, cerveau (BHE franchie). La diffusion transplacentaire est importante, avec un rapport foeto-maternel voisin de 0,7 (plus élevé que la bupivacaïne), et surtout la mépivacaïne s'accumule dans le foetus en raison de l'immaturité du cytochrome P450 fœtal — la demi-vie d'élimination fœtale est de 8-12 heures (vs 1,9 heure chez la mère). Cette accumulation fœtale explique la CONTRE-INDICATION de la mépivacaïne en péridurale obstétricale.</w:t>
      </w:r>
    </w:p>
    <w:p>
      <w:r/>
      <w:r>
        <w:rPr>
          <w:b/>
        </w:rPr>
        <w:t>Métabolisme</w:t>
      </w:r>
      <w:r>
        <w:t xml:space="preserve"> : la mépivacaïne est métabolisée à 95 % par le cytochrome P450 hépatique, principalement CYP3A4 et CYP1A2. Les voies principales sont : (i) N-déméthylation en PPX (pipécolylxylidine), métabolite inactif ; (ii) hydroxylation du noyau aromatique en métabolites hydroxylés inactifs. Aucun métabolite n'est pharmacologiquement actif. La clairance hépatique est flow-limited, donc abaissée en cas de baisse du débit cardiaque.</w:t>
      </w:r>
    </w:p>
    <w:p>
      <w:r/>
      <w:r>
        <w:rPr>
          <w:b/>
        </w:rPr>
        <w:t>Élimination</w:t>
      </w:r>
      <w:r>
        <w:t xml:space="preserve"> : l'élimination est urinaire à 90 %, principalement sous forme de métabolites. Seulement 5-10 % sont excrétés sous forme inchangée. L'excrétion urinaire est pH-dépendante (augmentée en urine acide). La demi-vie d'élimination terminale est de 1,9 à 3,7 heures chez l'adulte sain. La clairance totale est de 6-8 mL/min/kg. En cas d'insuffisance rénale sévère, une accumulation des métabolites est possible, justifiant une réduction posologique de 25-50 %. La mépivacaïne est hémodialysable.</w:t>
      </w:r>
    </w:p>
    <w:p>
      <w:r/>
      <w:r>
        <w:rPr>
          <w:b/>
        </w:rPr>
        <w:t>Linéarité</w:t>
      </w:r>
      <w:r>
        <w:t xml:space="preserve"> : la pharmacocinétique est linéaire aux doses thérapeutiques. À dose toxique, la saturation des protéines plasmatiques et du métabolisme hépatique entraîne une élévation non linéaire des concentrations.</w:t>
      </w:r>
    </w:p>
    <w:p>
      <w:r/>
      <w:r>
        <w:rPr>
          <w:b/>
        </w:rPr>
        <w:t>Monitorage</w:t>
      </w:r>
      <w:r>
        <w:t xml:space="preserve"> : pas de STP systématique. Dose maximale recommandée : 6 mg/kg sans adrénaline, 7 mg/kg avec adrénaline, soit 400-500 mg chez l'adulte sain. En pratique dentaire, une carpule de 1,8 mL à 3 % contient 54 mg, soit 13 % de la dose maximale — autorisant 7-8 carpules maximum par séance chez l'adulte. La dose doit être réduite chez l'enfant (4 mg/kg sans adrénaline), le sujet âgé, l'insuffisant hépatique (-30 %) et l'insuffisant rénal sévère (-25 %).</w:t>
      </w:r>
    </w:p>
    <w:p>
      <w:pPr>
        <w:pStyle w:val="Heading4"/>
      </w:pPr>
      <w:r>
        <w:t>182.8.1.5 Indications thérapeutiques</w:t>
      </w:r>
    </w:p>
    <w:p>
      <w:r>
        <w:t>Les indications de la mépivacaïne en Algérie sont essentiellement odontologiques, en raison de la disponibilité exclusive de la forme carpule dentaire :</w:t>
      </w:r>
    </w:p>
    <w:p>
      <w:pPr>
        <w:pStyle w:val="ListNumber"/>
      </w:pPr>
      <w:r/>
      <w:r>
        <w:rPr>
          <w:b/>
        </w:rPr>
        <w:t>Anesthésie dentaire conventionnelle (adulte et enfant &gt; 6 ans)</w:t>
      </w:r>
      <w:r>
        <w:t xml:space="preserve"> :</w:t>
      </w:r>
    </w:p>
    <w:p>
      <w:pPr>
        <w:pStyle w:val="ListBullet"/>
      </w:pPr>
      <w:r>
        <w:t>Mépivacaïne 3 % sans adrénaline : anesthésie des dents mandibulaires (bloc alvéolaire inférieur), des dents maxillaires (anesthésie parodontale supérieure, bloc tubérositaire), des gestes courts (carie superficielle, détartrage sous-gingival, extraction simple).</w:t>
      </w:r>
    </w:p>
    <w:p>
      <w:pPr>
        <w:pStyle w:val="ListBullet"/>
      </w:pPr>
      <w:r>
        <w:t>Mépivacaïne 2 % adrénalinée 1/100 000 : actes hémorragiques (extractions multiples, chirurgie parodontale avec lambeau, avulsion de dents incluses), actes prolongés (traitement endodontique complexe).</w:t>
      </w:r>
    </w:p>
    <w:p>
      <w:pPr>
        <w:pStyle w:val="ListBullet"/>
      </w:pPr>
      <w:r>
        <w:t>Indications de préférence à la lidocaïne : patients à contre-indication à l'adrénaline (hypertension non contrôlée &gt; 180/110 mmHg, hyperthyroïdie non équilibrée, angor instable, asthme sévère avec β2-mimétiques, patient sous IMAO non sélectif), où la forme 3 % sans adrénaline est privilégiée.</w:t>
      </w:r>
    </w:p>
    <w:p>
      <w:pPr>
        <w:pStyle w:val="ListNumber"/>
      </w:pPr>
      <w:r/>
      <w:r>
        <w:rPr>
          <w:b/>
        </w:rPr>
        <w:t>Bloc tronculaire maxillo-facial</w:t>
      </w:r>
      <w:r>
        <w:t xml:space="preserve"> :</w:t>
      </w:r>
    </w:p>
    <w:p>
      <w:pPr>
        <w:pStyle w:val="ListBullet"/>
      </w:pPr>
      <w:r>
        <w:t>Bloc du nerf alvéolaire inférieur (à l'épine de Spix) pour anesthésie des dents mandibulaires et de la lèvre inférieure homolatérale.</w:t>
      </w:r>
    </w:p>
    <w:p>
      <w:pPr>
        <w:pStyle w:val="ListBullet"/>
      </w:pPr>
      <w:r>
        <w:t>Bloc du nerf alvéolaire supérieur postérieur (à la tubérosité maxillaire) pour anesthésie des molaires maxillaires.</w:t>
      </w:r>
    </w:p>
    <w:p>
      <w:pPr>
        <w:pStyle w:val="ListBullet"/>
      </w:pPr>
      <w:r>
        <w:t>Bloc du nerf mentonnier (au foramen mentonnier) pour anesthésie de la lèvre inférieure et des prémolaires incisives.</w:t>
      </w:r>
    </w:p>
    <w:p>
      <w:pPr>
        <w:pStyle w:val="ListBullet"/>
      </w:pPr>
      <w:r>
        <w:t>Bloc du nerf sous-orbitaire (au foramen sous-orbitaire) pour anesthésie de la lèvre supérieure, de l'aile du nez et des incisives canines maxillaires.</w:t>
      </w:r>
    </w:p>
    <w:p>
      <w:pPr>
        <w:pStyle w:val="ListNumber"/>
      </w:pPr>
      <w:r/>
      <w:r>
        <w:rPr>
          <w:b/>
        </w:rPr>
        <w:t>Infiltration pariétale en dermatologie</w:t>
      </w:r>
      <w:r>
        <w:t xml:space="preserve"> :</w:t>
      </w:r>
    </w:p>
    <w:p>
      <w:pPr>
        <w:pStyle w:val="ListBullet"/>
      </w:pPr>
      <w:r>
        <w:t>Infiltration de petites lésions (kyste sébacé, lipome, verne sénile).</w:t>
      </w:r>
    </w:p>
    <w:p>
      <w:pPr>
        <w:pStyle w:val="ListBullet"/>
      </w:pPr>
      <w:r>
        <w:t>Suture de plaies simples.</w:t>
      </w:r>
    </w:p>
    <w:p>
      <w:pPr>
        <w:pStyle w:val="ListNumber"/>
      </w:pPr>
      <w:r/>
      <w:r>
        <w:rPr>
          <w:b/>
        </w:rPr>
        <w:t>Bloc digital</w:t>
      </w:r>
      <w:r>
        <w:t xml:space="preserve"> (à éviter, en raison du risque d'ischémie, mais possible avec forme pure sans adrénaline) :</w:t>
      </w:r>
    </w:p>
    <w:p>
      <w:pPr>
        <w:pStyle w:val="ListBullet"/>
      </w:pPr>
      <w:r>
        <w:t>Anesthésie des doigts et orteils : 2-3 mL de mépivacaïne 1 % de chaque côté du doigt (à distance des pédicules vasculaires), sans adrénaline obligatoirement.</w:t>
      </w:r>
    </w:p>
    <w:p>
      <w:pPr>
        <w:pStyle w:val="ListNumber"/>
      </w:pPr>
      <w:r/>
      <w:r>
        <w:rPr>
          <w:b/>
        </w:rPr>
        <w:t>Hors AMM</w:t>
      </w:r>
      <w:r>
        <w:t xml:space="preserve"> :</w:t>
      </w:r>
    </w:p>
    <w:p>
      <w:pPr>
        <w:pStyle w:val="ListBullet"/>
      </w:pPr>
      <w:r>
        <w:t>Anesthésie topique muqueuse : la mépivacaïne en gel n'est pas disponible en Algérie.</w:t>
      </w:r>
    </w:p>
    <w:p>
      <w:pPr>
        <w:pStyle w:val="ListBullet"/>
      </w:pPr>
      <w:r>
        <w:t>Bloc intercostal : alternative à la lidocaïne adrénalinée.</w:t>
      </w:r>
    </w:p>
    <w:p>
      <w:pPr>
        <w:pStyle w:val="Heading4"/>
      </w:pPr>
      <w:r>
        <w:t>182.8.1.6 Posologie et mode d'administration</w:t>
      </w:r>
    </w:p>
    <w:p>
      <w:r/>
      <w:r>
        <w:rPr>
          <w:b/>
        </w:rPr>
        <w:t>Anesthésie dentaire adulte</w:t>
      </w:r>
      <w:r>
        <w:t xml:space="preserve"> :</w:t>
      </w:r>
    </w:p>
    <w:p>
      <w:pPr>
        <w:pStyle w:val="ListBullet"/>
      </w:pPr>
      <w:r>
        <w:t>Mépivacaïne 3 % sans adrénaline : 1-2 carpules (1,8-3,6 mL = 54-108 mg) par séance, dose maximale 6 carpules (324 mg).</w:t>
      </w:r>
    </w:p>
    <w:p>
      <w:pPr>
        <w:pStyle w:val="ListBullet"/>
      </w:pPr>
      <w:r>
        <w:t>Mépivacaïne 2 % adrénalinée 1/100 000 : 1-2 carpules (1,8-3,6 mL = 36-72 mg) par séance, dose maximale 7 carpules (252 mg).</w:t>
      </w:r>
    </w:p>
    <w:p>
      <w:pPr>
        <w:pStyle w:val="ListBullet"/>
      </w:pPr>
      <w:r>
        <w:t>Aspiration systématique avant injection (risque d'injection intravasculaire dans le plexus ptérygoïdien).</w:t>
      </w:r>
    </w:p>
    <w:p>
      <w:pPr>
        <w:pStyle w:val="ListBullet"/>
      </w:pPr>
      <w:r>
        <w:t>Injection lente (1 mL/30 secondes) pour réduire la douleur à l'injection et le risque d'embolie systémique.</w:t>
      </w:r>
    </w:p>
    <w:p>
      <w:r/>
      <w:r>
        <w:rPr>
          <w:b/>
        </w:rPr>
        <w:t>Anesthésie dentaire enfant &gt; 6 ans (et &gt; 25 kg)</w:t>
      </w:r>
      <w:r>
        <w:t xml:space="preserve"> :</w:t>
      </w:r>
    </w:p>
    <w:p>
      <w:pPr>
        <w:pStyle w:val="ListBullet"/>
      </w:pPr>
      <w:r>
        <w:t>Mépivacaïne 3 % sans adrénaline : 0,5-1 carpule par séance, dose maximale 4 mg/kg (sans adrénaline) ou 5 mg/kg (avec adrénaline), sans dépasser 2 carpules chez l'enfant &lt; 30 kg.</w:t>
      </w:r>
    </w:p>
    <w:p>
      <w:pPr>
        <w:pStyle w:val="ListBullet"/>
      </w:pPr>
      <w:r>
        <w:t>Mépivacaïne 2 % adrénalinée 1/100 000 : préférer la forme 3 % sans adrénaline chez l'enfant coronarien ou asthmatique.</w:t>
      </w:r>
    </w:p>
    <w:p>
      <w:r/>
      <w:r>
        <w:rPr>
          <w:b/>
        </w:rPr>
        <w:t>Bloc tronculaire maxillo-facial</w:t>
      </w:r>
      <w:r>
        <w:t xml:space="preserve"> :</w:t>
      </w:r>
    </w:p>
    <w:p>
      <w:pPr>
        <w:pStyle w:val="ListBullet"/>
      </w:pPr>
      <w:r>
        <w:t>Bloc alvéolaire inférieur : 1,5 mL de mépivacaïne 2 % adrénalinée (36 mg) à l'épine de Spix.</w:t>
      </w:r>
    </w:p>
    <w:p>
      <w:pPr>
        <w:pStyle w:val="ListBullet"/>
      </w:pPr>
      <w:r>
        <w:t>Bloc alvéolaire supérieur postérieur : 0,5-1 mL de mépivacaïne 2 % adrénalinée (12-24 mg) à la tubérosité maxillaire.</w:t>
      </w:r>
    </w:p>
    <w:p>
      <w:pPr>
        <w:pStyle w:val="ListBullet"/>
      </w:pPr>
      <w:r>
        <w:t>Bloc mentonnier : 0,5 mL de mépivacaïne 2 % adrénalinée (12 mg) au foramen mentonnier.</w:t>
      </w:r>
    </w:p>
    <w:p>
      <w:pPr>
        <w:pStyle w:val="ListBullet"/>
      </w:pPr>
      <w:r>
        <w:t>Bloc sous-orbitaire : 0,5 mL de mépivacaïne 2 % adrénalinée (12 mg) au foramen sous-orbitaire.</w:t>
      </w:r>
    </w:p>
    <w:p>
      <w:r/>
      <w:r>
        <w:rPr>
          <w:b/>
        </w:rPr>
        <w:t>Infiltration pariétale</w:t>
      </w:r>
      <w:r>
        <w:t xml:space="preserve"> :</w:t>
      </w:r>
    </w:p>
    <w:p>
      <w:pPr>
        <w:pStyle w:val="ListBullet"/>
      </w:pPr>
      <w:r>
        <w:t>Adulte : 1-5 mL de mépivacaïne 1-2 % (10-100 mg).</w:t>
      </w:r>
    </w:p>
    <w:p>
      <w:pPr>
        <w:pStyle w:val="ListBullet"/>
      </w:pPr>
      <w:r>
        <w:t>Dose maximale : 6 mg/kg (sans adrénaline) ou 7 mg/kg (avec adrénaline), soit 400-500 mg chez l'adulte sain de 70 kg.</w:t>
      </w:r>
    </w:p>
    <w:p>
      <w:r/>
      <w:r>
        <w:rPr>
          <w:b/>
        </w:rPr>
        <w:t>Bloc digital</w:t>
      </w:r>
      <w:r>
        <w:t xml:space="preserve"> (à éviter en pratique) :</w:t>
      </w:r>
    </w:p>
    <w:p>
      <w:pPr>
        <w:pStyle w:val="ListBullet"/>
      </w:pPr>
      <w:r>
        <w:t>2-4 mL de mépivacaïne 1 % sans adrénaline (20-40 mg) de chaque côté du doigt, à distance des pédicules vasculaires.</w:t>
      </w:r>
    </w:p>
    <w:p>
      <w:r/>
      <w:r>
        <w:rPr>
          <w:b/>
        </w:rPr>
        <w:t>Doses maximales récapitulatives</w:t>
      </w:r>
      <w:r>
        <w:t xml:space="preserve"> :</w:t>
      </w:r>
    </w:p>
    <w:p>
      <w:pPr>
        <w:pStyle w:val="ListBullet"/>
      </w:pPr>
      <w:r>
        <w:t>Adulte sain sans adrénaline : 6 mg/kg, soit 400 mg.</w:t>
      </w:r>
    </w:p>
    <w:p>
      <w:pPr>
        <w:pStyle w:val="ListBullet"/>
      </w:pPr>
      <w:r>
        <w:t>Adulte sain avec adrénaline 1/100 000 : 7 mg/kg, soit 500 mg.</w:t>
      </w:r>
    </w:p>
    <w:p>
      <w:pPr>
        <w:pStyle w:val="ListBullet"/>
      </w:pPr>
      <w:r>
        <w:t>Enfant &gt; 6 ans : 4 mg/kg (sans adrénaline) ou 5 mg/kg (avec adrénaline).</w:t>
      </w:r>
    </w:p>
    <w:p>
      <w:pPr>
        <w:pStyle w:val="ListBullet"/>
      </w:pPr>
      <w:r>
        <w:t>Sujet âgé, insuffisant hépatique : réduire de 25-30 %.</w:t>
      </w:r>
    </w:p>
    <w:p>
      <w:pPr>
        <w:pStyle w:val="ListBullet"/>
      </w:pPr>
      <w:r>
        <w:t>Insuffisant rénal sévère : réduire de 25 %.</w:t>
      </w:r>
    </w:p>
    <w:p>
      <w:pPr>
        <w:pStyle w:val="ListBullet"/>
      </w:pPr>
      <w:r>
        <w:t>Enfant &lt; 6 ans ou &lt; 25 kg : contre-indication relative (préférer lidocaïne adrénalinée 1 %).</w:t>
      </w:r>
    </w:p>
    <w:p>
      <w:r/>
      <w:r>
        <w:rPr>
          <w:b/>
        </w:rPr>
        <w:t>Voie IV strictement interdite</w:t>
      </w:r>
      <w:r>
        <w:t xml:space="preserve"> (risque de convulsions, arrêt cardiaque).</w:t>
      </w:r>
    </w:p>
    <w:p>
      <w:r/>
      <w:r>
        <w:rPr>
          <w:b/>
        </w:rPr>
        <w:t>Voie péridurale obstétricale strictement contre-indiquée</w:t>
      </w:r>
      <w:r>
        <w:t xml:space="preserve"> (accumulation fœtale).</w:t>
      </w:r>
    </w:p>
    <w:p>
      <w:pPr>
        <w:pStyle w:val="Heading4"/>
      </w:pPr>
      <w:r>
        <w:t>182.8.1.7 Effets indésirables et prévention</w:t>
      </w:r>
    </w:p>
    <w:p>
      <w:r/>
      <w:r>
        <w:rPr>
          <w:b/>
        </w:rPr>
        <w:t>Effets indésirables locaux fréquents (&gt; 10 %)</w:t>
      </w:r>
      <w:r>
        <w:t xml:space="preserve"> :</w:t>
      </w:r>
    </w:p>
    <w:p>
      <w:pPr>
        <w:pStyle w:val="ListBullet"/>
      </w:pPr>
      <w:r/>
      <w:r>
        <w:rPr>
          <w:b/>
        </w:rPr>
        <w:t>Douleur à l'injection</w:t>
      </w:r>
      <w:r>
        <w:t xml:space="preserve"> : 20-30 % des patients. Prévention : injection lente (1 mL/30 s), réchauffement de la solution à 37 °C, utilisation d'une aiguille fine (27 G ou 30 G), application préalable de gel anesthésique topique (lidocaïne 2 % gel) sur la muqueuse.</w:t>
      </w:r>
    </w:p>
    <w:p>
      <w:pPr>
        <w:pStyle w:val="ListBullet"/>
      </w:pPr>
      <w:r/>
      <w:r>
        <w:rPr>
          <w:b/>
        </w:rPr>
        <w:t>Hématome au point d'injection</w:t>
      </w:r>
      <w:r>
        <w:t xml:space="preserve"> : 5-10 %, en particulier au palais et à la tubérosité maxillaire. Prévention : aspiration systématique, compression digitale pendant 2 minutes après injection.</w:t>
      </w:r>
    </w:p>
    <w:p>
      <w:pPr>
        <w:pStyle w:val="ListBullet"/>
      </w:pPr>
      <w:r/>
      <w:r>
        <w:rPr>
          <w:b/>
        </w:rPr>
        <w:t>Paralysie faciale transitoire</w:t>
      </w:r>
      <w:r>
        <w:t xml:space="preserve"> : 1-3 % après bloc alvéolaire inférieur (injection trop haute dans la parotide, diffusion au nerf facial). Récupération spontanée en 1-3 heures. Prévention : respecter le repère anatomique (épine de Spix), aspiration systématique.</w:t>
      </w:r>
    </w:p>
    <w:p>
      <w:pPr>
        <w:pStyle w:val="ListBullet"/>
      </w:pPr>
      <w:r/>
      <w:r>
        <w:rPr>
          <w:b/>
        </w:rPr>
        <w:t>Trismus</w:t>
      </w:r>
      <w:r>
        <w:t xml:space="preserve"> : 1-5 % après bloc alvéolaire inférieur (hématome du muscle ptérygoïdien médial). Spontanément résolutif en 2-5 jours.</w:t>
      </w:r>
    </w:p>
    <w:p>
      <w:pPr>
        <w:pStyle w:val="ListBullet"/>
      </w:pPr>
      <w:r/>
      <w:r>
        <w:rPr>
          <w:b/>
        </w:rPr>
        <w:t>Céphalées post-rachianesthésie (en cas d'injection sous-arachnoïdienne accidentelle)</w:t>
      </w:r>
      <w:r>
        <w:t xml:space="preserve"> : rares en odontologie.</w:t>
      </w:r>
    </w:p>
    <w:p>
      <w:r/>
      <w:r>
        <w:rPr>
          <w:b/>
        </w:rPr>
        <w:t>Effets indésirables systémiques — Toxicité systémique des anesthésiques locaux (LAST)</w:t>
      </w:r>
      <w:r>
        <w:t xml:space="preserve"> :</w:t>
      </w:r>
    </w:p>
    <w:p>
      <w:pPr>
        <w:pStyle w:val="ListBullet"/>
      </w:pPr>
      <w:r/>
      <w:r>
        <w:rPr>
          <w:b/>
        </w:rPr>
        <w:t>Signes précoces (prémonitoires)</w:t>
      </w:r>
      <w:r>
        <w:t xml:space="preserve"> : circumoral paresthésies, langue métallique, acouphènes, agitation, confusion.</w:t>
      </w:r>
    </w:p>
    <w:p>
      <w:pPr>
        <w:pStyle w:val="ListBullet"/>
      </w:pPr>
      <w:r/>
      <w:r>
        <w:rPr>
          <w:b/>
        </w:rPr>
        <w:t>Signes neurologiques majeurs</w:t>
      </w:r>
      <w:r>
        <w:t xml:space="preserve"> : tremblements, fasciculations, convulsions tonico-cloniques généralisées, coma, dépression respiratoire.</w:t>
      </w:r>
    </w:p>
    <w:p>
      <w:pPr>
        <w:pStyle w:val="ListBullet"/>
      </w:pPr>
      <w:r/>
      <w:r>
        <w:rPr>
          <w:b/>
        </w:rPr>
        <w:t>Signes cardiovasculaires</w:t>
      </w:r>
      <w:r>
        <w:t xml:space="preserve"> : allongement du QT, bloc AV, hypotension, bradycardie, plus rarement arrêt cardiaque (à dose très élevée, ou association avec β-bloquants).</w:t>
      </w:r>
    </w:p>
    <w:p>
      <w:pPr>
        <w:pStyle w:val="ListBullet"/>
      </w:pPr>
      <w:r/>
      <w:r>
        <w:rPr>
          <w:b/>
        </w:rPr>
        <w:t>Incidence</w:t>
      </w:r>
      <w:r>
        <w:t xml:space="preserve"> : 1/10 000 à 1/5000 infiltrations dentaires, beaucoup plus rare qu'avec la bupivacaïne.</w:t>
      </w:r>
    </w:p>
    <w:p>
      <w:pPr>
        <w:pStyle w:val="ListBullet"/>
      </w:pPr>
      <w:r/>
      <w:r>
        <w:rPr>
          <w:b/>
        </w:rPr>
        <w:t>Prise en charge</w:t>
      </w:r>
      <w:r>
        <w:t xml:space="preserve"> : arrêt de l'injection, contrôle des voies aériennes, traitement des convulsions (diazépam 5-10 mg IV ou midazolam 1-2 mg IV), émulsion lipidique 20 % (Intralipide) en cas de signes cardiaques : bolus 1,5 mL/kg en 1 minute, perfusion 0,25 mL/kg/min pendant 10 minutes.</w:t>
      </w:r>
    </w:p>
    <w:p>
      <w:r/>
      <w:r>
        <w:rPr>
          <w:b/>
        </w:rPr>
        <w:t>Méthémoglobinémie</w:t>
      </w:r>
      <w:r>
        <w:t xml:space="preserve"> : rare avec la mépivacaïne (plus fréquente avec la prilocaïne), sauf association avec d'autres agents méthémoglobinisants (dapsone, nitrites, sulfamides). Traitement : bleu de méthylène 1-2 mg/kg IV.</w:t>
      </w:r>
    </w:p>
    <w:p>
      <w:r/>
      <w:r>
        <w:rPr>
          <w:b/>
        </w:rPr>
        <w:t>Allergie</w:t>
      </w:r>
      <w:r>
        <w:t xml:space="preserve"> : très rare (&lt; 1/10 000) avec les amides (contrairement aux esters qui libèrent du PABA allergisant). Diagnostic : tests cutanés (prick-test, intradermoréaction) par allergologue. En cas d'allergie prouvée à un amide, contre-indication de tous les amides (réaction croisée possible). Alternatives : anesthésie générale, ou anesthésiques esters (procaine, chloroprocaïne) — non disponibles en Algérie.</w:t>
      </w:r>
    </w:p>
    <w:p>
      <w:r/>
      <w:r>
        <w:rPr>
          <w:b/>
        </w:rPr>
        <w:t>Effets indésirables spécifiques de l'adrénaline</w:t>
      </w:r>
      <w:r>
        <w:t xml:space="preserve"> (formes adrénalinées) :</w:t>
      </w:r>
    </w:p>
    <w:p>
      <w:pPr>
        <w:pStyle w:val="ListBullet"/>
      </w:pPr>
      <w:r/>
      <w:r>
        <w:rPr>
          <w:b/>
        </w:rPr>
        <w:t>Tachycardie, palpitations</w:t>
      </w:r>
      <w:r>
        <w:t xml:space="preserve"> : 5-10 % des patients, par stimulation β1 cardiaque. Prévention : respecter les contre-indications à l'adrénaline (hypertension non contrôlée, angor instable, hyperthyroïdie non équilibrée), injection lente, aspiration.</w:t>
      </w:r>
    </w:p>
    <w:p>
      <w:pPr>
        <w:pStyle w:val="ListBullet"/>
      </w:pPr>
      <w:r/>
      <w:r>
        <w:rPr>
          <w:b/>
        </w:rPr>
        <w:t>Hypertension paroxystique</w:t>
      </w:r>
      <w:r>
        <w:t xml:space="preserve"> : en cas d'injection intravasculaire accidentelle.</w:t>
      </w:r>
    </w:p>
    <w:p>
      <w:pPr>
        <w:pStyle w:val="ListBullet"/>
      </w:pPr>
      <w:r/>
      <w:r>
        <w:rPr>
          <w:b/>
        </w:rPr>
        <w:t>Hypertension sévère et crise hypertensive</w:t>
      </w:r>
      <w:r>
        <w:t xml:space="preserve"> : en association avec IMAO non sélectif (iproniazide), ou avec antidépresseurs tricycliques (imipramine, clomipramine). Contre-indication relative.</w:t>
      </w:r>
    </w:p>
    <w:p>
      <w:pPr>
        <w:pStyle w:val="ListBullet"/>
      </w:pPr>
      <w:r/>
      <w:r>
        <w:rPr>
          <w:b/>
        </w:rPr>
        <w:t>Angor et trouble du rythme</w:t>
      </w:r>
      <w:r>
        <w:t xml:space="preserve"> : en cas de cardiopathie ischémique sévère, d'arythmie non contrôlée.</w:t>
      </w:r>
    </w:p>
    <w:p>
      <w:pPr>
        <w:pStyle w:val="ListBullet"/>
      </w:pPr>
      <w:r/>
      <w:r>
        <w:rPr>
          <w:b/>
        </w:rPr>
        <w:t>Œdème pulmonaire</w:t>
      </w:r>
      <w:r>
        <w:t xml:space="preserve"> : rare, en cas de surdosage adrénaliné.</w:t>
      </w:r>
    </w:p>
    <w:p>
      <w:r/>
      <w:r>
        <w:rPr>
          <w:b/>
        </w:rPr>
        <w:t>Effets de l'adrénaline chez l'enfant</w:t>
      </w:r>
      <w:r>
        <w:t xml:space="preserve"> : l'enfant est plus sensible à l'adrénaline (tachycardie, angoisse, insomnie). Préférer la forme 3 % sans adrénaline chez l'enfant anxieux ou cardiopathe.</w:t>
      </w:r>
    </w:p>
    <w:p>
      <w:pPr>
        <w:pStyle w:val="Heading4"/>
      </w:pPr>
      <w:r>
        <w:t>182.8.1.8 Interactions médicamenteuses</w:t>
      </w:r>
    </w:p>
    <w:p>
      <w:r/>
      <w:r>
        <w:rPr>
          <w:b/>
        </w:rPr>
        <w:t>Interactions pharmacodynamiques</w:t>
      </w:r>
      <w:r>
        <w:t xml:space="preserve"> :</w:t>
      </w:r>
    </w:p>
    <w:p>
      <w:pPr>
        <w:pStyle w:val="ListBullet"/>
      </w:pPr>
      <w:r/>
      <w:r>
        <w:rPr>
          <w:b/>
        </w:rPr>
        <w:t>Bêta-bloquants non sélectifs</w:t>
      </w:r>
      <w:r>
        <w:t xml:space="preserve"> (propranolol, sotalol, labétalol) : potentialisation de l'effet hypertensif de l'adrénaline (effet α prédominant en l'absence de blocage β2 vasodilatateur). Risque d'hypertension paroxystique, de bradycardie réflexe sévère. Préférer la forme 3 % sans adrénaline.</w:t>
      </w:r>
    </w:p>
    <w:p>
      <w:pPr>
        <w:pStyle w:val="ListBullet"/>
      </w:pPr>
      <w:r/>
      <w:r>
        <w:rPr>
          <w:b/>
        </w:rPr>
        <w:t>Antidépresseurs tricycliques</w:t>
      </w:r>
      <w:r>
        <w:t xml:space="preserve"> (imipramine, clomipramine, amitriptyline) : potentialisation de l'effet de l'adrénaline (inhibition de la recapture neuronale). Réduire les doses d'adrénaline à 1/200 000.</w:t>
      </w:r>
    </w:p>
    <w:p>
      <w:pPr>
        <w:pStyle w:val="ListBullet"/>
      </w:pPr>
      <w:r/>
      <w:r>
        <w:rPr>
          <w:b/>
        </w:rPr>
        <w:t>IMAO non sélectifs</w:t>
      </w:r>
      <w:r>
        <w:t xml:space="preserve"> (iproniazide) : CONTRE-INDICATION à l'adrénaline (crise hypertensive).</w:t>
      </w:r>
    </w:p>
    <w:p>
      <w:pPr>
        <w:pStyle w:val="ListBullet"/>
      </w:pPr>
      <w:r/>
      <w:r>
        <w:rPr>
          <w:b/>
        </w:rPr>
        <w:t>IMAO-A sélectifs</w:t>
      </w:r>
      <w:r>
        <w:t xml:space="preserve"> (moclobémide) : prudence, réduire les doses d'adrénaline.</w:t>
      </w:r>
    </w:p>
    <w:p>
      <w:pPr>
        <w:pStyle w:val="ListBullet"/>
      </w:pPr>
      <w:r/>
      <w:r>
        <w:rPr>
          <w:b/>
        </w:rPr>
        <w:t>Inhibiteurs de recapture de la sérotonine</w:t>
      </w:r>
      <w:r>
        <w:t xml:space="preserve"> (fluoxétine, paroxétine) : pas d'interaction cliniquement significative.</w:t>
      </w:r>
    </w:p>
    <w:p>
      <w:pPr>
        <w:pStyle w:val="ListBullet"/>
      </w:pPr>
      <w:r/>
      <w:r>
        <w:rPr>
          <w:b/>
        </w:rPr>
        <w:t>Anesthésiques généraux halogénés</w:t>
      </w:r>
      <w:r>
        <w:t xml:space="preserve"> (halothane, isoflurane, sévoflurane) : sensibilisation myocardique à l'adrénaline, risque d'arythmies ventriculaires. Limiter la dose d'adrénaline à 0,2 mg/h chez l'adulte.</w:t>
      </w:r>
    </w:p>
    <w:p>
      <w:pPr>
        <w:pStyle w:val="ListBullet"/>
      </w:pPr>
      <w:r/>
      <w:r>
        <w:rPr>
          <w:b/>
        </w:rPr>
        <w:t>Antiarythmiques</w:t>
      </w:r>
      <w:r>
        <w:t xml:space="preserve"> (amiodarone, lidocaïne IV, diltiazem, vérapamil) : potentialisation cardiaque. Surveillance.</w:t>
      </w:r>
    </w:p>
    <w:p>
      <w:pPr>
        <w:pStyle w:val="ListBullet"/>
      </w:pPr>
      <w:r/>
      <w:r>
        <w:rPr>
          <w:b/>
        </w:rPr>
        <w:t>Digitaliques</w:t>
      </w:r>
      <w:r>
        <w:t xml:space="preserve"> (digoxine) : bradycardie additive, risque de bloc AV.</w:t>
      </w:r>
    </w:p>
    <w:p>
      <w:r/>
      <w:r>
        <w:rPr>
          <w:b/>
        </w:rPr>
        <w:t>Interactions pharmacocinétiques</w:t>
      </w:r>
      <w:r>
        <w:t xml:space="preserve"> :</w:t>
      </w:r>
    </w:p>
    <w:p>
      <w:pPr>
        <w:pStyle w:val="ListBullet"/>
      </w:pPr>
      <w:r/>
      <w:r>
        <w:rPr>
          <w:b/>
        </w:rPr>
        <w:t>Inhibiteurs puissants du CYP3A4</w:t>
      </w:r>
      <w:r>
        <w:t xml:space="preserve"> (kétéconazole, itraconazole, ritonavir, clarithromycine, érythromycine, fluoxétine, diltiazem, vérapamil) : augmentation des concentrations plasmatiques de mépivacaïne (× 1,5-2,5), majoration du risque de LAST. Réduire les doses de 30 %.</w:t>
      </w:r>
    </w:p>
    <w:p>
      <w:pPr>
        <w:pStyle w:val="ListBullet"/>
      </w:pPr>
      <w:r/>
      <w:r>
        <w:rPr>
          <w:b/>
        </w:rPr>
        <w:t>Inhibiteurs du CYP1A2</w:t>
      </w:r>
      <w:r>
        <w:t xml:space="preserve"> (cimétidine, fluvoxamine, énoxacinne, ciprofloxacine) : augmentation modeste des concentrations.</w:t>
      </w:r>
    </w:p>
    <w:p>
      <w:pPr>
        <w:pStyle w:val="ListBullet"/>
      </w:pPr>
      <w:r/>
      <w:r>
        <w:rPr>
          <w:b/>
        </w:rPr>
        <w:t>Inducteurs du CYP3A4/CYP1A2</w:t>
      </w:r>
      <w:r>
        <w:t xml:space="preserve"> (rifampicine, phénytoïne, carbamazépine, phénobarbital, tabagisme) : diminution modeste des concentrations, sans impact clinique majeur.</w:t>
      </w:r>
    </w:p>
    <w:p>
      <w:r/>
      <w:r>
        <w:rPr>
          <w:b/>
        </w:rPr>
        <w:t>Incompatibilités physico-chimiques</w:t>
      </w:r>
      <w:r>
        <w:t xml:space="preserve"> :</w:t>
      </w:r>
    </w:p>
    <w:p>
      <w:pPr>
        <w:pStyle w:val="ListBullet"/>
      </w:pPr>
      <w:r>
        <w:t>La mépivacaïne précipite en solution alcaline (pH &gt; 6,5).</w:t>
      </w:r>
    </w:p>
    <w:p>
      <w:pPr>
        <w:pStyle w:val="ListBullet"/>
      </w:pPr>
      <w:r>
        <w:t>Compatible avec le NaCl 0,9 %, le G5 %.</w:t>
      </w:r>
    </w:p>
    <w:p>
      <w:pPr>
        <w:pStyle w:val="ListBullet"/>
      </w:pPr>
      <w:r>
        <w:t>Compatible avec l'adrénaline 1 mg/mL en dilution 1/100 000.</w:t>
      </w:r>
    </w:p>
    <w:p>
      <w:pPr>
        <w:pStyle w:val="ListBullet"/>
      </w:pPr>
      <w:r>
        <w:t>Incompatible avec les sels de mercure (utilisés comme désinfectants en milieu hospitalier).</w:t>
      </w:r>
    </w:p>
    <w:p>
      <w:pPr>
        <w:pStyle w:val="Heading4"/>
      </w:pPr>
      <w:r>
        <w:t>182.8.1.9 Grossesse, allaitement et CRAT</w:t>
      </w:r>
    </w:p>
    <w:p>
      <w:r/>
      <w:r>
        <w:rPr>
          <w:b/>
        </w:rPr>
        <w:t>Grossesse</w:t>
      </w:r>
      <w:r>
        <w:t xml:space="preserve"> :</w:t>
      </w:r>
    </w:p>
    <w:p>
      <w:pPr>
        <w:pStyle w:val="ListBullet"/>
      </w:pPr>
      <w:r>
        <w:t>La mépivacaïne est « utilisable pendant la grossesse » selon le CRAT, en infiltration locale ou bloc tronculaire ponctuel, à dose thérapeutique (6 mg/kg maximum).</w:t>
      </w:r>
    </w:p>
    <w:p>
      <w:pPr>
        <w:pStyle w:val="ListBullet"/>
      </w:pPr>
      <w:r>
        <w:t>CONTRE-INDICATION absolue en anesthésie péridurale obstétricale : accumulation fœtale (demi-vie fœtale 8-12 heures vs 1,9 heure maternelle), risque de bradycardie fœtale, hypotonie néonatale, dépression respiratoire néonatale. Cette contre-indication, rappelée par l'EMA et l'ASA (American Society of Anesthesiologists), justifie le remplacement par la ropivacaïne (non disponible en Algérie) ou la bupivacaïne 0,125-0,25 % (disponible en Algérie).</w:t>
      </w:r>
    </w:p>
    <w:p>
      <w:pPr>
        <w:pStyle w:val="ListBullet"/>
      </w:pPr>
      <w:r>
        <w:t>En odontologie : la mépivacaïne peut être utilisée au 2e et 3e trimestre pour soins dentaires urgents (préférence pour la forme 3 % sans adrénaline). À éviter au 1er trimestre (organogénèse) par prudence, sauf urgence.</w:t>
      </w:r>
    </w:p>
    <w:p>
      <w:pPr>
        <w:pStyle w:val="ListBullet"/>
      </w:pPr>
      <w:r>
        <w:t>En cas d'urgence dentaire (abcès, avulsion) pendant la grossesse : préférer le 2e trimestre (période la plus sûre), forme sans adrénaline à dose minimale efficace.</w:t>
      </w:r>
    </w:p>
    <w:p>
      <w:r/>
      <w:r>
        <w:rPr>
          <w:b/>
        </w:rPr>
        <w:t>Allaitement</w:t>
      </w:r>
      <w:r>
        <w:t xml:space="preserve"> :</w:t>
      </w:r>
    </w:p>
    <w:p>
      <w:pPr>
        <w:pStyle w:val="ListBullet"/>
      </w:pPr>
      <w:r>
        <w:t>La mépivacaïne passe dans le lait maternel en faible quantité (ratio lait/plasma = 0,5-0,8), mais les doses ingérées par le nourrisson sont très inférieures aux doses pédiatriques thérapeutiques.</w:t>
      </w:r>
    </w:p>
    <w:p>
      <w:pPr>
        <w:pStyle w:val="ListBullet"/>
      </w:pPr>
      <w:r>
        <w:t>Compatible avec l'allaitement selon le CRAT. Pas de suspension de l'allaitement après anesthésie dentaire ponctuelle.</w:t>
      </w:r>
    </w:p>
    <w:p>
      <w:r/>
      <w:r>
        <w:rPr>
          <w:b/>
        </w:rPr>
        <w:t>Fécondité</w:t>
      </w:r>
      <w:r>
        <w:t xml:space="preserve"> : pas d'effet délétère documenté aux doses thérapeutiques.</w:t>
      </w:r>
    </w:p>
    <w:p>
      <w:r/>
      <w:r>
        <w:rPr>
          <w:b/>
        </w:rPr>
        <w:t>CRAT</w:t>
      </w:r>
      <w:r>
        <w:t xml:space="preserve"> : mépivacaïne classée « utilisable pendant la grossesse en infiltration locale, en odontologie notamment ; CONTRE-INDIQUÉE en anesthésie péridurale obstétricale en raison de l'accumulation fœtale. Compatible avec l'allaitement ».</w:t>
      </w:r>
    </w:p>
    <w:p>
      <w:pPr>
        <w:pStyle w:val="Heading4"/>
      </w:pPr>
      <w:r>
        <w:t>182.8.1.10 Formes galéniques disponibles</w:t>
      </w:r>
    </w:p>
    <w:p>
      <w:pPr>
        <w:pStyle w:val="ListBullet"/>
      </w:pPr>
      <w:r/>
      <w:r>
        <w:rPr>
          <w:b/>
        </w:rPr>
        <w:t>Solution injectable en carpules dentaires de 1,7-1,8 mL à 3 % (30 mg/mL) sans adrénaline</w:t>
      </w:r>
      <w:r>
        <w:t xml:space="preserve"> :</w:t>
      </w:r>
    </w:p>
    <w:p>
      <w:pPr>
        <w:pStyle w:val="ListBullet"/>
      </w:pPr>
      <w:r>
        <w:t>Medicaine 3 % (SARL Medis), B/50 cartouches de 1,8 mL.</w:t>
      </w:r>
    </w:p>
    <w:p>
      <w:pPr>
        <w:pStyle w:val="ListBullet"/>
      </w:pPr>
      <w:r>
        <w:t>Scandonest 3 % (Septodont), B/50 cartouches de 1,7 mL.</w:t>
      </w:r>
    </w:p>
    <w:p>
      <w:pPr>
        <w:pStyle w:val="ListBullet"/>
      </w:pPr>
      <w:r>
        <w:t>Scandinibsa 3 % (Inibsa Dental), B/50 cartouches de 1,8 mL.</w:t>
      </w:r>
    </w:p>
    <w:p>
      <w:pPr>
        <w:pStyle w:val="ListBullet"/>
      </w:pPr>
      <w:r>
        <w:t>Contenu par carpule : 54 mg de mépivacaïne (1,8 mL × 30 mg/mL) ou 51 mg (1,7 mL).</w:t>
      </w:r>
    </w:p>
    <w:p>
      <w:pPr>
        <w:pStyle w:val="ListBullet"/>
      </w:pPr>
      <w:r/>
      <w:r>
        <w:rPr>
          <w:b/>
        </w:rPr>
        <w:t>Solution injectable en carpules dentaires de 1,8 mL à 2 % avec adrénaline 1/100 000 (5 µg/mL)</w:t>
      </w:r>
      <w:r>
        <w:t xml:space="preserve"> :</w:t>
      </w:r>
    </w:p>
    <w:p>
      <w:pPr>
        <w:pStyle w:val="ListBullet"/>
      </w:pPr>
      <w:r>
        <w:t>Medicaine 2 % adrénalinée (SARL Medis), B/50 carpules de 1,8 mL.</w:t>
      </w:r>
    </w:p>
    <w:p>
      <w:pPr>
        <w:pStyle w:val="ListBullet"/>
      </w:pPr>
      <w:r>
        <w:t>Contenu par carpule : 36 mg de mépivacaïne + 9 µg d'adrénaline.</w:t>
      </w:r>
    </w:p>
    <w:p>
      <w:pPr>
        <w:pStyle w:val="ListBullet"/>
      </w:pPr>
      <w:r/>
      <w:r>
        <w:rPr>
          <w:b/>
        </w:rPr>
        <w:t>Forme noradrénalinée</w:t>
      </w:r>
      <w:r>
        <w:t xml:space="preserve"> (Scandicaïne Nor, Septodont) : historiquement utilisée en cardiologie, retirée du marché algérien (non renouvelable).</w:t>
      </w:r>
    </w:p>
    <w:p>
      <w:pPr>
        <w:pStyle w:val="ListBullet"/>
      </w:pPr>
      <w:r/>
      <w:r>
        <w:rPr>
          <w:b/>
        </w:rPr>
        <w:t>Forme à 2 % adrénalinée 1/100 000</w:t>
      </w:r>
      <w:r>
        <w:t xml:space="preserve"> (Scandicaïne, Septodont) : non renouvelable.</w:t>
      </w:r>
    </w:p>
    <w:p>
      <w:pPr>
        <w:pStyle w:val="ListBullet"/>
      </w:pPr>
      <w:r/>
      <w:r>
        <w:rPr>
          <w:b/>
        </w:rPr>
        <w:t>Formes injectables pour anesthésie locorégionale non dentaire</w:t>
      </w:r>
      <w:r>
        <w:t xml:space="preserve"> (solution 1 % ou 2 % en flacons multidose) : non disponibles en Algérie.</w:t>
      </w:r>
    </w:p>
    <w:p>
      <w:r/>
      <w:r>
        <w:rPr>
          <w:b/>
        </w:rPr>
        <w:t>Conservation</w:t>
      </w:r>
      <w:r>
        <w:t xml:space="preserve"> : entre 15 et 25 °C, à l'abri de la lumière. Ne pas congeler. Conservation des carpules en emballage d'origine fermé. Durée de validité : 3 ans.</w:t>
      </w:r>
    </w:p>
    <w:p>
      <w:r/>
      <w:r>
        <w:rPr>
          <w:b/>
        </w:rPr>
        <w:t>Particularités algériennes</w:t>
      </w:r>
      <w:r>
        <w:t xml:space="preserve"> :</w:t>
      </w:r>
    </w:p>
    <w:p>
      <w:pPr>
        <w:pStyle w:val="ListBullet"/>
      </w:pPr>
      <w:r>
        <w:t>Le marché algérien de la mépivacaïne est presque exclusivement odontologique, avec 3 marques actives (Medicaine, Scandonest, Scandinibsa) et 2 formes historiques retirées (Mepivastesin, Mepicaton).</w:t>
      </w:r>
    </w:p>
    <w:p>
      <w:pPr>
        <w:pStyle w:val="ListBullet"/>
      </w:pPr>
      <w:r>
        <w:t>La concentration 3 % sans adrénaline est la plus utilisée en pratique quotidienne dentaire, en raison de la fréquence des patients à contre-indication à l'adrénaline en Algérie (hypertension artérielle non contrôlée, cardiopathies ischémiques, hyperthyroïdies).</w:t>
      </w:r>
    </w:p>
    <w:p>
      <w:pPr>
        <w:pStyle w:val="ListBullet"/>
      </w:pPr>
      <w:r>
        <w:t>Le coût d'une boîte de 50 carpules est d'environ 1500-2000 DA.</w:t>
      </w:r>
    </w:p>
    <w:p>
      <w:pPr>
        <w:pStyle w:val="ListBullet"/>
      </w:pPr>
      <w:r>
        <w:t>Les carpules sont à usage unique, non réutilisables.</w:t>
      </w:r>
    </w:p>
    <w:p>
      <w:pPr>
        <w:pStyle w:val="Heading4"/>
      </w:pPr>
      <w:r>
        <w:t>182.8.1.11 Conseils au patient</w:t>
      </w:r>
    </w:p>
    <w:p>
      <w:r/>
      <w:r>
        <w:rPr>
          <w:b/>
        </w:rPr>
        <w:t>Avant le geste dentaire</w:t>
      </w:r>
      <w:r>
        <w:t xml:space="preserve"> :</w:t>
      </w:r>
    </w:p>
    <w:p>
      <w:pPr>
        <w:pStyle w:val="ListBullet"/>
      </w:pPr>
      <w:r>
        <w:t>Informer le patient de la nature de l'anesthésie (locale), de la durée (60-90 minutes en pulpaire, 180-300 minutes pour les tissus mous), des sensations à attendre (picotement pendant l'injection, engourdissement progressif, lèvre ou joue « gonflée »).</w:t>
      </w:r>
    </w:p>
    <w:p>
      <w:pPr>
        <w:pStyle w:val="ListBullet"/>
      </w:pPr>
      <w:r>
        <w:t>Signaler les antécédents : allergie à un anesthésique local (amides ou esters), hypertension, cardiopathie, hyperthyroïdie, asthme, traitement en cours (β-bloquants, IMAO, antidépresseurs tricycliques).</w:t>
      </w:r>
    </w:p>
    <w:p>
      <w:pPr>
        <w:pStyle w:val="ListBullet"/>
      </w:pPr>
      <w:r>
        <w:t>Éviter le repas copieux avant le geste (en cas de syncope vagale, vomissements).</w:t>
      </w:r>
    </w:p>
    <w:p>
      <w:pPr>
        <w:pStyle w:val="ListBullet"/>
      </w:pPr>
      <w:r>
        <w:t>Éviter l'alcool avant le geste (potentialisation de la toxicité).</w:t>
      </w:r>
    </w:p>
    <w:p>
      <w:pPr>
        <w:pStyle w:val="ListBullet"/>
      </w:pPr>
      <w:r>
        <w:t>Chez la femme enceinte : signaler la grossesse (contre-indication à la forme adrénalinée en odontologie, préférence 3 % sans adrénaline).</w:t>
      </w:r>
    </w:p>
    <w:p>
      <w:r/>
      <w:r>
        <w:rPr>
          <w:b/>
        </w:rPr>
        <w:t>Pendant le geste</w:t>
      </w:r>
      <w:r>
        <w:t xml:space="preserve"> :</w:t>
      </w:r>
    </w:p>
    <w:p>
      <w:pPr>
        <w:pStyle w:val="ListBullet"/>
      </w:pPr>
      <w:r>
        <w:t>Le patient doit signaler tout malaise : vertige, nausée, palpitation, fourmillement péribuccal, agitation, goût métallique — signes précoces de LAST.</w:t>
      </w:r>
    </w:p>
    <w:p>
      <w:pPr>
        <w:pStyle w:val="ListBullet"/>
      </w:pPr>
      <w:r>
        <w:t>Rester immobile pendant l'injection (risque de migration de l'aiguille).</w:t>
      </w:r>
    </w:p>
    <w:p>
      <w:pPr>
        <w:pStyle w:val="ListBullet"/>
      </w:pPr>
      <w:r>
        <w:t>Respiration calme, éviter l'hyperventilation.</w:t>
      </w:r>
    </w:p>
    <w:p>
      <w:r/>
      <w:r>
        <w:rPr>
          <w:b/>
        </w:rPr>
        <w:t>Après le geste</w:t>
      </w:r>
      <w:r>
        <w:t xml:space="preserve"> :</w:t>
      </w:r>
    </w:p>
    <w:p>
      <w:pPr>
        <w:pStyle w:val="ListBullet"/>
      </w:pPr>
      <w:r>
        <w:t>Éviter de mordre la lèvre, la joue ou la langue anesthésiées (risque de blessure).</w:t>
      </w:r>
    </w:p>
    <w:p>
      <w:pPr>
        <w:pStyle w:val="ListBullet"/>
      </w:pPr>
      <w:r>
        <w:t>Ne pas manger ni boire chaud tant que l'anesthésie persiste (risque de brûlure, morsure).</w:t>
      </w:r>
    </w:p>
    <w:p>
      <w:pPr>
        <w:pStyle w:val="ListBullet"/>
      </w:pPr>
      <w:r>
        <w:t>Ne pas rincer vigoureusement la bouche (risque de déplacer le caillot en cas d'extraction).</w:t>
      </w:r>
    </w:p>
    <w:p>
      <w:pPr>
        <w:pStyle w:val="ListBullet"/>
      </w:pPr>
      <w:r>
        <w:t>Surveillance à domicile : en cas de signes d'alerte (fièvre, douleur persistante, gonflement, trismus, paralysie faciale), consulter en urgence le chirurgien-dentiste.</w:t>
      </w:r>
    </w:p>
    <w:p>
      <w:r/>
      <w:r>
        <w:rPr>
          <w:b/>
        </w:rPr>
        <w:t>Conseils spécifiques</w:t>
      </w:r>
      <w:r>
        <w:t xml:space="preserve"> :</w:t>
      </w:r>
    </w:p>
    <w:p>
      <w:pPr>
        <w:pStyle w:val="ListBullet"/>
      </w:pPr>
      <w:r>
        <w:t>Pour les patients sous β-bloquants ou IMAO : informer le chirurgien-dentiste avant le geste, utilisation de la forme 3 % sans adrénaline.</w:t>
      </w:r>
    </w:p>
    <w:p>
      <w:pPr>
        <w:pStyle w:val="ListBullet"/>
      </w:pPr>
      <w:r>
        <w:t>Pour les patients diabétiques : adapter le repas et l'insuline autour du geste (jeûne pré-geste, reprise alimentaire dès la levée de l'anesthésie).</w:t>
      </w:r>
    </w:p>
    <w:p>
      <w:pPr>
        <w:pStyle w:val="ListBullet"/>
      </w:pPr>
      <w:r>
        <w:t>Pour les femmes enceintes : privilégier le 2e trimestre, forme 3 % sans adrénaline, dose minimale efficace.</w:t>
      </w:r>
    </w:p>
    <w:p>
      <w:r/>
      <w:r>
        <w:rPr>
          <w:b/>
        </w:rPr>
        <w:t>Éducation thérapeutique</w:t>
      </w:r>
      <w:r>
        <w:t xml:space="preserve"> :</w:t>
      </w:r>
    </w:p>
    <w:p>
      <w:pPr>
        <w:pStyle w:val="ListBullet"/>
      </w:pPr>
      <w:r>
        <w:t>Éducation à l'hygiène bucco-dentaire pour prévenir la récidive de lésions.</w:t>
      </w:r>
    </w:p>
    <w:p>
      <w:pPr>
        <w:pStyle w:val="ListBullet"/>
      </w:pPr>
      <w:r>
        <w:t>Suivi régulier semestriel chez le chirurgien-dentiste.</w:t>
      </w:r>
    </w:p>
    <w:p>
      <w:pPr>
        <w:pStyle w:val="Heading4"/>
      </w:pPr>
      <w:r>
        <w:t>182.8.1.12 Pièges au comptoir — Règles d'or</w:t>
      </w:r>
    </w:p>
    <w:p>
      <w:pPr>
        <w:pStyle w:val="ListNumber"/>
      </w:pPr>
      <w:r/>
      <w:r>
        <w:rPr>
          <w:b/>
        </w:rPr>
        <w:t>Dose maximale à respecter</w:t>
      </w:r>
      <w:r>
        <w:t xml:space="preserve"> : 6 mg/kg sans adrénaline, 7 mg/kg avec adrénaline, soit 400-500 mg chez l'adulte sain. En pratique dentaire, maximum 7-8 carpules de 3 % sans adrénaline, ou 14 carpules de 2 % adrénalinée par séance — en pratique, rarement nécessaire au-delà de 3-4 carpules par séance.</w:t>
      </w:r>
    </w:p>
    <w:p>
      <w:pPr>
        <w:pStyle w:val="ListNumber"/>
      </w:pPr>
      <w:r/>
      <w:r>
        <w:rPr>
          <w:b/>
        </w:rPr>
        <w:t>Aspiration systématique</w:t>
      </w:r>
      <w:r>
        <w:t xml:space="preserve"> avant injection, en particulier pour le bloc alvéolaire inférieur (risque d'injection intravasculaire dans le plexus ptérygoïdien).</w:t>
      </w:r>
    </w:p>
    <w:p>
      <w:pPr>
        <w:pStyle w:val="ListNumber"/>
      </w:pPr>
      <w:r/>
      <w:r>
        <w:rPr>
          <w:b/>
        </w:rPr>
        <w:t>Injection lente</w:t>
      </w:r>
      <w:r>
        <w:t xml:space="preserve"> (1 mL/30 s) pour réduire la douleur à l'injection, le risque d'embolie systémique, et améliorer la précision du positionnement.</w:t>
      </w:r>
    </w:p>
    <w:p>
      <w:pPr>
        <w:pStyle w:val="ListNumber"/>
      </w:pPr>
      <w:r/>
      <w:r>
        <w:rPr>
          <w:b/>
        </w:rPr>
        <w:t>Respecter les contre-indications à l'adrénaline</w:t>
      </w:r>
      <w:r>
        <w:t xml:space="preserve"> :</w:t>
      </w:r>
    </w:p>
    <w:p>
      <w:pPr>
        <w:pStyle w:val="ListBullet"/>
      </w:pPr>
      <w:r>
        <w:t>Hypertension non contrôlée (&gt; 180/110 mmHg) ;</w:t>
      </w:r>
    </w:p>
    <w:p>
      <w:pPr>
        <w:pStyle w:val="ListBullet"/>
      </w:pPr>
      <w:r>
        <w:t>Angor instable, angor de Prinzmetal, infarctus récent (&lt; 6 mois) ;</w:t>
      </w:r>
    </w:p>
    <w:p>
      <w:pPr>
        <w:pStyle w:val="ListBullet"/>
      </w:pPr>
      <w:r>
        <w:t>Hyperthyroïdie non équilibrée ;</w:t>
      </w:r>
    </w:p>
    <w:p>
      <w:pPr>
        <w:pStyle w:val="ListBullet"/>
      </w:pPr>
      <w:r>
        <w:t>Asthme sévère sous β2-mimétiques à forte dose ;</w:t>
      </w:r>
    </w:p>
    <w:p>
      <w:pPr>
        <w:pStyle w:val="ListBullet"/>
      </w:pPr>
      <w:r>
        <w:t>IMAO non sélectif (iproniazide) ;</w:t>
      </w:r>
    </w:p>
    <w:p>
      <w:pPr>
        <w:pStyle w:val="ListBullet"/>
      </w:pPr>
      <w:r>
        <w:t>Phéochromocytome non traité.</w:t>
      </w:r>
    </w:p>
    <w:p>
      <w:r>
        <w:t xml:space="preserve">   Dans ces cas, utiliser la forme 3 % sans adrénaline.</w:t>
      </w:r>
    </w:p>
    <w:p>
      <w:pPr>
        <w:pStyle w:val="ListNumber"/>
      </w:pPr>
      <w:r/>
      <w:r>
        <w:rPr>
          <w:b/>
        </w:rPr>
        <w:t>Chez l'enfant</w:t>
      </w:r>
      <w:r>
        <w:t xml:space="preserve"> : préférer la forme 3 % sans adrénaline, dose maximale 4 mg/kg. Surveillance étroite (sensibilité accrue à l'adrénaline).</w:t>
      </w:r>
    </w:p>
    <w:p>
      <w:pPr>
        <w:pStyle w:val="ListNumber"/>
      </w:pPr>
      <w:r/>
      <w:r>
        <w:rPr>
          <w:b/>
        </w:rPr>
        <w:t>Chez la femme enceinte</w:t>
      </w:r>
      <w:r>
        <w:t xml:space="preserve"> : préférer la forme 3 % sans adrénaline au 2e trimestre pour soins dentaires urgents. CONTRE-INDICATION absolue en péridurale obstétricale.</w:t>
      </w:r>
    </w:p>
    <w:p>
      <w:pPr>
        <w:pStyle w:val="ListNumber"/>
      </w:pPr>
      <w:r/>
      <w:r>
        <w:rPr>
          <w:b/>
        </w:rPr>
        <w:t>Allergie suspectée</w:t>
      </w:r>
      <w:r>
        <w:t xml:space="preserve"> : ne pas réinjecter, arrêter le geste, adresser en allergologie pour tests cutanés. En cas d'allergie prouvée à un amide, contre-indication de tous les amides.</w:t>
      </w:r>
    </w:p>
    <w:p>
      <w:pPr>
        <w:pStyle w:val="ListNumber"/>
      </w:pPr>
      <w:r/>
      <w:r>
        <w:rPr>
          <w:b/>
        </w:rPr>
        <w:t>Surveillance post-injection</w:t>
      </w:r>
      <w:r>
        <w:t xml:space="preserve"> : le patient doit rester en salle d'attente 30 minutes après le geste, en cas de réaction retardée.</w:t>
      </w:r>
    </w:p>
    <w:p>
      <w:pPr>
        <w:pStyle w:val="ListNumber"/>
      </w:pPr>
      <w:r/>
      <w:r>
        <w:rPr>
          <w:b/>
        </w:rPr>
        <w:t>Conservation</w:t>
      </w:r>
      <w:r>
        <w:t xml:space="preserve"> : entre 15 et 25 °C, à l'abri de la lumière. Ne pas utiliser une solution trouble ou jaunie.</w:t>
      </w:r>
    </w:p>
    <w:p>
      <w:pPr>
        <w:pStyle w:val="ListNumber"/>
      </w:pPr>
      <w:r/>
      <w:r>
        <w:rPr>
          <w:b/>
        </w:rPr>
        <w:t>Carpule entamée</w:t>
      </w:r>
      <w:r>
        <w:t xml:space="preserve"> : à usage unique, ne jamais réutiliser pour un autre patient (risque d'infection croisée).</w:t>
      </w:r>
    </w:p>
    <w:p>
      <w:pPr>
        <w:pStyle w:val="ListNumber"/>
      </w:pPr>
      <w:r/>
      <w:r>
        <w:rPr>
          <w:b/>
        </w:rPr>
        <w:t>Voie IV strictement interdite</w:t>
      </w:r>
      <w:r>
        <w:t xml:space="preserve"> : la mépivacaïne n'a aucune indication IV.</w:t>
      </w:r>
    </w:p>
    <w:p>
      <w:pPr>
        <w:pStyle w:val="ListNumber"/>
      </w:pPr>
      <w:r/>
      <w:r>
        <w:rPr>
          <w:b/>
        </w:rPr>
        <w:t>Voie péridurale strictement contre-indiquée</w:t>
      </w:r>
      <w:r>
        <w:t xml:space="preserve"> (accumulation fœtale en obstétricale, et doses insuffisantes pour usage périmédullaire).</w:t>
      </w:r>
    </w:p>
    <w:p>
      <w:pPr>
        <w:pStyle w:val="ListNumber"/>
      </w:pPr>
      <w:r/>
      <w:r>
        <w:rPr>
          <w:b/>
        </w:rPr>
        <w:t>Information patient</w:t>
      </w:r>
      <w:r>
        <w:t xml:space="preserve"> : informer le patient des signes d'alerte de LAST (langue métallique, paresthésies péribuccales, convulsions) et de la nécessité de signaler immédiatement tout symptôme.</w:t>
      </w:r>
    </w:p>
    <w:p>
      <w:pPr>
        <w:pStyle w:val="ListNumber"/>
      </w:pPr>
      <w:r/>
      <w:r>
        <w:rPr>
          <w:b/>
        </w:rPr>
        <w:t>Respect du protocole de préparation</w:t>
      </w:r>
      <w:r>
        <w:t xml:space="preserve"> : pour la forme adrénalinée, vérifier la concentration d'adrénaline (1/100 000 = 5 µg/mL, soit 9 µg par carpule de 1,8 mL). Ne pas confondre avec les formes à 1/50 000 (20 µg/mL) ou 1/200 000 (5 µg/mL).</w:t>
      </w:r>
    </w:p>
    <w:p>
      <w:pPr>
        <w:pStyle w:val="ListNumber"/>
      </w:pPr>
      <w:r/>
      <w:r>
        <w:rPr>
          <w:b/>
        </w:rPr>
        <w:t>Protocole de gestion de la LAST</w:t>
      </w:r>
      <w:r>
        <w:t xml:space="preserve"> : avoir à disposition dans le cabinet dentaire un protocole écrit de prise en charge de la LAST, avec du diazépam injectable et du matériel de réanimation (BPP, masque, AMBU, O₂).</w:t>
      </w:r>
    </w:p>
    <w:p>
      <w:pPr>
        <w:pStyle w:val="Heading2"/>
      </w:pPr>
      <w:r>
        <w:t>182.9 Sous-classe récapitulative — Prilocaïne</w:t>
      </w:r>
    </w:p>
    <w:p>
      <w:pPr>
        <w:pStyle w:val="Heading3"/>
      </w:pPr>
      <w:r>
        <w:t>182.9.1 Prilocaïne (amides courte durée)</w:t>
      </w:r>
    </w:p>
    <w:p>
      <w:pPr>
        <w:pStyle w:val="Heading4"/>
      </w:pPr>
      <w:r>
        <w:t>182.9.1.1 Catégories pharmaco-thérapeutiques et indications</w:t>
      </w:r>
    </w:p>
    <w:p>
      <w:pPr>
        <w:pStyle w:val="ListBullet"/>
      </w:pPr>
      <w:r/>
      <w:r>
        <w:rPr>
          <w:b/>
        </w:rPr>
        <w:t>DCI</w:t>
      </w:r>
      <w:r>
        <w:t xml:space="preserve"> : prilocaïne (chlorhydrate).</w:t>
      </w:r>
    </w:p>
    <w:p>
      <w:pPr>
        <w:pStyle w:val="ListBullet"/>
      </w:pPr>
      <w:r/>
      <w:r>
        <w:rPr>
          <w:b/>
        </w:rPr>
        <w:t>Code ATC</w:t>
      </w:r>
      <w:r>
        <w:t xml:space="preserve"> : N01BB07 (anesthésiques locaux — amides).</w:t>
      </w:r>
    </w:p>
    <w:p>
      <w:pPr>
        <w:pStyle w:val="ListBullet"/>
      </w:pPr>
      <w:r/>
      <w:r>
        <w:rPr>
          <w:b/>
        </w:rPr>
        <w:t>Classification thérapeutique</w:t>
      </w:r>
      <w:r>
        <w:t xml:space="preserve"> : anesthésique local amide de courte durée d'action, isomère racémique R(+) et S(-), administré principalement en association avec la lidocaïne (crème EMLA — Eutectic Mixture of Local Anesthetics).</w:t>
      </w:r>
    </w:p>
    <w:p>
      <w:pPr>
        <w:pStyle w:val="ListBullet"/>
      </w:pPr>
      <w:r/>
      <w:r>
        <w:rPr>
          <w:b/>
        </w:rPr>
        <w:t>Classe chimique</w:t>
      </w:r>
      <w:r>
        <w:t xml:space="preserve"> : toluidine-amide (1-propylamino-2-méthyl-2'-propyl-otoluidide), amide de la toluidine apparenté à la lidocaïne (dont la structure est dérivée de la xylidine), poids moléculaire 220 Da (sel chlorhydrate). Lipophilie modérée (logP 2,1).</w:t>
      </w:r>
    </w:p>
    <w:p>
      <w:pPr>
        <w:pStyle w:val="ListBullet"/>
      </w:pPr>
      <w:r/>
      <w:r>
        <w:rPr>
          <w:b/>
        </w:rPr>
        <w:t>Statut réglementaire Algérie</w:t>
      </w:r>
      <w:r>
        <w:t xml:space="preserve"> : Liste II — prescription médicale obligatoire, délivrance en pharmacie de ville pour usage hospitalier et de ville (cabinets de dermatologie, pédiatrie).</w:t>
      </w:r>
    </w:p>
    <w:p>
      <w:pPr>
        <w:pStyle w:val="ListBullet"/>
      </w:pPr>
      <w:r/>
      <w:r>
        <w:rPr>
          <w:b/>
        </w:rPr>
        <w:t>Grossesse</w:t>
      </w:r>
      <w:r>
        <w:t xml:space="preserve"> : utilisable en application cutanée ponctuelle pendant la grossesse ; données CRAT favorables.</w:t>
      </w:r>
    </w:p>
    <w:p>
      <w:r>
        <w:t>Indications principales :</w:t>
      </w:r>
    </w:p>
    <w:p>
      <w:pPr>
        <w:pStyle w:val="ListNumber"/>
      </w:pPr>
      <w:r/>
      <w:r>
        <w:rPr>
          <w:b/>
        </w:rPr>
        <w:t>Anesthésie topique transcutanée (crème EMLA — lidocaïne + prilocaïne 2,5 % + 2,5 %)</w:t>
      </w:r>
      <w:r>
        <w:t xml:space="preserve"> :</w:t>
      </w:r>
    </w:p>
    <w:p>
      <w:pPr>
        <w:pStyle w:val="ListBullet"/>
      </w:pPr>
      <w:r>
        <w:t>Anesthésie cutanée avant ponction veineuse (prélèvement sanguin, pose de voie veineuse périphérique, perfusion, chimiothérapie, gazométrie artérielle).</w:t>
      </w:r>
    </w:p>
    <w:p>
      <w:pPr>
        <w:pStyle w:val="ListBullet"/>
      </w:pPr>
      <w:r>
        <w:t>Anesthésie cutanée avant ponction artérielle (gazométrie).</w:t>
      </w:r>
    </w:p>
    <w:p>
      <w:pPr>
        <w:pStyle w:val="ListBullet"/>
      </w:pPr>
      <w:r>
        <w:t>Anesthésie cutanée avant ponction lombaire, myélogramme, ponction de moelle osseuse.</w:t>
      </w:r>
    </w:p>
    <w:p>
      <w:pPr>
        <w:pStyle w:val="ListBullet"/>
      </w:pPr>
      <w:r>
        <w:t>Anesthésie cutanée avant gestes cutanés superficiels : ablation de lésions cutanées (naevus, kyste sébacé, verrue, molluscum contagiosum), biopsie cutanée, électrocoagulation, laser, tatouage.</w:t>
      </w:r>
    </w:p>
    <w:p>
      <w:pPr>
        <w:pStyle w:val="ListBullet"/>
      </w:pPr>
      <w:r>
        <w:t>Vaccinations chez l'enfant (ROR, DT-Polio, méningocoque, papillomavirus) — particulièrement recommandée chez l'enfant anxieux ou chez l'enfant ayant des antécédents de malaise vagal aux injections.</w:t>
      </w:r>
    </w:p>
    <w:p>
      <w:pPr>
        <w:pStyle w:val="ListBullet"/>
      </w:pPr>
      <w:r>
        <w:t>Anesthésie cutanée avant gestes urologiques : sondage urinaire chez l'enfant, dilatation urétrale, cystoscopie.</w:t>
      </w:r>
    </w:p>
    <w:p>
      <w:pPr>
        <w:pStyle w:val="ListBullet"/>
      </w:pPr>
      <w:r>
        <w:t>Anesthésie des muqueuses génitales : pose de stérilet, biopsie de col, conisation.</w:t>
      </w:r>
    </w:p>
    <w:p>
      <w:pPr>
        <w:pStyle w:val="ListNumber"/>
      </w:pPr>
      <w:r/>
      <w:r>
        <w:rPr>
          <w:b/>
        </w:rPr>
        <w:t>Anesthésie topique muqueuse</w:t>
      </w:r>
      <w:r>
        <w:t xml:space="preserve"> : peu utilisée (préférence lidocaïne gel 2 %).</w:t>
      </w:r>
    </w:p>
    <w:p>
      <w:pPr>
        <w:pStyle w:val="ListNumber"/>
      </w:pPr>
      <w:r/>
      <w:r>
        <w:rPr>
          <w:b/>
        </w:rPr>
        <w:t>Hors AMM</w:t>
      </w:r>
      <w:r>
        <w:t xml:space="preserve"> : application sur ulcères variqueux douloureux (réduction de la douleur au pansement), application sur lésions de zoster (réduction de la douleur).</w:t>
      </w:r>
    </w:p>
    <w:p>
      <w:pPr>
        <w:pStyle w:val="ListNumber"/>
      </w:pPr>
      <w:r/>
      <w:r>
        <w:rPr>
          <w:b/>
        </w:rPr>
        <w:t>Forme injectable (prilocaïne pure — non disponible en Algérie)</w:t>
      </w:r>
      <w:r>
        <w:t xml:space="preserve"> : historiquement utilisée en infiltration dentaire (Citanest 4 %), en bloc digital (préférée à la lidocaïne pour la moindre cardiotoxicité), en anesthésie péridurale ambulatoire (associée à la lidocaïne ou en monothérapie pour actes courts &lt; 60 min).</w:t>
      </w:r>
    </w:p>
    <w:p>
      <w:pPr>
        <w:pStyle w:val="Heading4"/>
      </w:pPr>
      <w:r>
        <w:t>182.9.1.2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BIOMLA</w:t>
            </w:r>
          </w:p>
        </w:tc>
        <w:tc>
          <w:tcPr>
            <w:tcW w:type="dxa" w:w="1559"/>
          </w:tcPr>
          <w:p>
            <w:r>
              <w:rPr>
                <w:sz w:val="20"/>
              </w:rPr>
              <w:t>BIOPHARM</w:t>
            </w:r>
          </w:p>
        </w:tc>
        <w:tc>
          <w:tcPr>
            <w:tcW w:type="dxa" w:w="1559"/>
          </w:tcPr>
          <w:p>
            <w:r>
              <w:rPr>
                <w:sz w:val="20"/>
              </w:rPr>
              <w:t>Crème 5 % (lidocaïne 2,5 g/100 g + prilocaïne 2,5 g/100 g)</w:t>
            </w:r>
          </w:p>
        </w:tc>
        <w:tc>
          <w:tcPr>
            <w:tcW w:type="dxa" w:w="1559"/>
          </w:tcPr>
          <w:p>
            <w:r>
              <w:rPr>
                <w:sz w:val="20"/>
              </w:rPr>
              <w:t>Tube 30 g + tube 5 g</w:t>
            </w:r>
          </w:p>
        </w:tc>
        <w:tc>
          <w:tcPr>
            <w:tcW w:type="dxa" w:w="1559"/>
          </w:tcPr>
          <w:p>
            <w:r>
              <w:rPr>
                <w:sz w:val="20"/>
              </w:rPr>
              <w:t>Liste I</w:t>
            </w:r>
          </w:p>
        </w:tc>
        <w:tc>
          <w:tcPr>
            <w:tcW w:type="dxa" w:w="1559"/>
          </w:tcPr>
          <w:p>
            <w:r>
              <w:rPr>
                <w:sz w:val="20"/>
              </w:rPr>
              <w:t>Actif</w:t>
            </w:r>
          </w:p>
        </w:tc>
      </w:tr>
      <w:tr>
        <w:tc>
          <w:tcPr>
            <w:tcW w:type="dxa" w:w="1559"/>
          </w:tcPr>
          <w:p>
            <w:r>
              <w:rPr>
                <w:sz w:val="20"/>
              </w:rPr>
              <w:t>NEOMLA</w:t>
            </w:r>
          </w:p>
        </w:tc>
        <w:tc>
          <w:tcPr>
            <w:tcW w:type="dxa" w:w="1559"/>
          </w:tcPr>
          <w:p>
            <w:r>
              <w:rPr>
                <w:sz w:val="20"/>
              </w:rPr>
              <w:t>NEOMEDIC</w:t>
            </w:r>
          </w:p>
        </w:tc>
        <w:tc>
          <w:tcPr>
            <w:tcW w:type="dxa" w:w="1559"/>
          </w:tcPr>
          <w:p>
            <w:r>
              <w:rPr>
                <w:sz w:val="20"/>
              </w:rPr>
              <w:t>Crème pour application cutanée 5 % (lidocaïne 2,5 g + prilocaïne 2,5 g/100 g)</w:t>
            </w:r>
          </w:p>
        </w:tc>
        <w:tc>
          <w:tcPr>
            <w:tcW w:type="dxa" w:w="1559"/>
          </w:tcPr>
          <w:p>
            <w:r>
              <w:rPr>
                <w:sz w:val="20"/>
              </w:rPr>
              <w:t>Tube 30 g</w:t>
            </w:r>
          </w:p>
        </w:tc>
        <w:tc>
          <w:tcPr>
            <w:tcW w:type="dxa" w:w="1559"/>
          </w:tcPr>
          <w:p>
            <w:r>
              <w:rPr>
                <w:sz w:val="20"/>
              </w:rPr>
              <w:t>Liste II</w:t>
            </w:r>
          </w:p>
        </w:tc>
        <w:tc>
          <w:tcPr>
            <w:tcW w:type="dxa" w:w="1559"/>
          </w:tcPr>
          <w:p>
            <w:r>
              <w:rPr>
                <w:sz w:val="20"/>
              </w:rPr>
              <w:t>Actif</w:t>
            </w:r>
          </w:p>
        </w:tc>
      </w:tr>
      <w:tr>
        <w:tc>
          <w:tcPr>
            <w:tcW w:type="dxa" w:w="1559"/>
          </w:tcPr>
          <w:p>
            <w:r>
              <w:rPr>
                <w:sz w:val="20"/>
              </w:rPr>
              <w:t>ANESDERM GE 5 %</w:t>
            </w:r>
          </w:p>
        </w:tc>
        <w:tc>
          <w:tcPr>
            <w:tcW w:type="dxa" w:w="1559"/>
          </w:tcPr>
          <w:p>
            <w:r>
              <w:rPr>
                <w:sz w:val="20"/>
              </w:rPr>
              <w:t>PIERRE FABRE MEDICAMENT</w:t>
            </w:r>
          </w:p>
        </w:tc>
        <w:tc>
          <w:tcPr>
            <w:tcW w:type="dxa" w:w="1559"/>
          </w:tcPr>
          <w:p>
            <w:r>
              <w:rPr>
                <w:sz w:val="20"/>
              </w:rPr>
              <w:t>Crème 5 % (lidocaïne 2,5 g + prilocaïne 2,5 g/100 g)</w:t>
            </w:r>
          </w:p>
        </w:tc>
        <w:tc>
          <w:tcPr>
            <w:tcW w:type="dxa" w:w="1559"/>
          </w:tcPr>
          <w:p>
            <w:r>
              <w:rPr>
                <w:sz w:val="20"/>
              </w:rPr>
              <w:t>Tube 5 g avec deux pansements adhésifs</w:t>
            </w:r>
          </w:p>
        </w:tc>
        <w:tc>
          <w:tcPr>
            <w:tcW w:type="dxa" w:w="1559"/>
          </w:tcPr>
          <w:p>
            <w:r>
              <w:rPr>
                <w:sz w:val="20"/>
              </w:rPr>
              <w:t>Liste II</w:t>
            </w:r>
          </w:p>
        </w:tc>
        <w:tc>
          <w:tcPr>
            <w:tcW w:type="dxa" w:w="1559"/>
          </w:tcPr>
          <w:p>
            <w:r>
              <w:rPr>
                <w:sz w:val="20"/>
              </w:rPr>
              <w:t>Non renouvelable</w:t>
            </w:r>
          </w:p>
        </w:tc>
      </w:tr>
      <w:tr>
        <w:tc>
          <w:tcPr>
            <w:tcW w:type="dxa" w:w="1559"/>
          </w:tcPr>
          <w:p>
            <w:r>
              <w:rPr>
                <w:sz w:val="20"/>
              </w:rPr>
              <w:t>EMLA 5 %</w:t>
            </w:r>
          </w:p>
        </w:tc>
        <w:tc>
          <w:tcPr>
            <w:tcW w:type="dxa" w:w="1559"/>
          </w:tcPr>
          <w:p>
            <w:r>
              <w:rPr>
                <w:sz w:val="20"/>
              </w:rPr>
              <w:t>ASTRA</w:t>
            </w:r>
          </w:p>
        </w:tc>
        <w:tc>
          <w:tcPr>
            <w:tcW w:type="dxa" w:w="1559"/>
          </w:tcPr>
          <w:p>
            <w:r>
              <w:rPr>
                <w:sz w:val="20"/>
              </w:rPr>
              <w:t>Crème 5 % (lidocaïne 2,5 g + prilocaïne 2,5 g/100 g)</w:t>
            </w:r>
          </w:p>
        </w:tc>
        <w:tc>
          <w:tcPr>
            <w:tcW w:type="dxa" w:w="1559"/>
          </w:tcPr>
          <w:p>
            <w:r>
              <w:rPr>
                <w:sz w:val="20"/>
              </w:rPr>
              <w:t>Tube 5 g</w:t>
            </w:r>
          </w:p>
        </w:tc>
        <w:tc>
          <w:tcPr>
            <w:tcW w:type="dxa" w:w="1559"/>
          </w:tcPr>
          <w:p>
            <w:r>
              <w:rPr>
                <w:sz w:val="20"/>
              </w:rPr>
              <w:t>Liste II</w:t>
            </w:r>
          </w:p>
        </w:tc>
        <w:tc>
          <w:tcPr>
            <w:tcW w:type="dxa" w:w="1559"/>
          </w:tcPr>
          <w:p>
            <w:r>
              <w:rPr>
                <w:sz w:val="20"/>
              </w:rPr>
              <w:t>Retrait</w:t>
            </w:r>
          </w:p>
        </w:tc>
      </w:tr>
    </w:tbl>
    <w:p/>
    <w:p>
      <w:r>
        <w:t>Le marché algérien de la prilocaïne est exclusivement représenté par la crème EMLA (lidocaïne 2,5 % + prilocaïne 2,5 %), qui bénéficie d'un principe galénique original : la combinaison eutectique des deux anesthésiques locaux abaisse le point de fusion de 65 °C (lidocaïne pure) et 37 °C (prilocaïne pure) à 18 °C, permettant une forme huileuse fluide à température ambiante. La concentration finale de chaque anesthésique est de 2,5 % (25 mg/g), soit un total de 5 % d'anesthésiques locaux. Trois marques sont disponibles : Biomla (Biopharm, princeps national en tube de 30 g + tube de 5 g), Neomla (Neomedic, tube de 30 g) et Anesderm GE (Pierre Fabre, non renouvelable). La forme princeps EMLA (Astra, tube de 5 g avec deux pansements adhésifs Tégaderm) est retirée du marché algérien. La prilocaïne injectable pure (Citanest, Astra) n'est pas disponible en Algérie, ce qui prive les praticiens algériens d'un anesthésique local de courte durée utile en anesthésie ambulatoire. La suppléance se fait par la lidocaïne 1-2 % (injectable) ou la mépivacaïne 3 % (dentaire). Le coût d'un tube de 30 g de crème EMLA générique en Algérie est d'environ 250-400 DA, accessible en pharmacie de ville sur prescription médicale.</w:t>
      </w:r>
    </w:p>
    <w:p>
      <w:pPr>
        <w:pStyle w:val="Heading4"/>
      </w:pPr>
      <w:r>
        <w:t>182.9.1.3 Mécanisme d'action moléculaire, cellulaire et physiologique</w:t>
      </w:r>
    </w:p>
    <w:p>
      <w:r>
        <w:t>La prilocaïne partage avec tous les anesthésiques locaux amides le mécanisme fondamental de blocage des canaux sodiques voltage-dépendants (NaV) au niveau des membranes excitables. Le mécanisme se décline en six niveaux :</w:t>
      </w:r>
    </w:p>
    <w:p>
      <w:r/>
      <w:r>
        <w:rPr>
          <w:b/>
        </w:rPr>
        <w:t>Niveau moléculaire — fixation intracellulaire sur le canal NaV</w:t>
      </w:r>
      <w:r>
        <w:t xml:space="preserve"> : la prilocaïne diffuse à travers la membrane nerveuse sous sa forme liposoluble non ionisée (base libre B), en équilibre pH-dépendant avec sa forme cationique BH+ selon l'équation de Henderson-Hasselbalch (pKa = 7,9, légèrement plus élevé que la lidocaïne). En milieu intracellulaire (pH 7,4), environ 70 % de la prilocaïne est sous forme BH+ protonée, pharmacologiquement active. BH+ se fixe à un site spécifique sur la face intracellulaire du canal sodique, au niveau du segment S6 du domaine IV, stabilisant le canal dans sa configuration inactivée. La fixation est use-dependent, ce qui explique l'efficacité préférentielle sur les fibres à forte activité (fibres C et Aδ de la douleur).</w:t>
      </w:r>
    </w:p>
    <w:p>
      <w:r/>
      <w:r>
        <w:rPr>
          <w:b/>
        </w:rPr>
        <w:t>Niveau cellulaire — sélectivité des fibres nerveuses</w:t>
      </w:r>
      <w:r>
        <w:t xml:space="preserve"> : la prilocaïne bloque préférentiellement les petites fibres (B, C) avant les grosses fibres (Aα, Aβ), selon l'ordre classique : douleur (C) → température (B) → toucher (Aβ) → motricité (Aα). La sélectivité est comparable à la lidocaïne. La récupération se fait en ordre inverse.</w:t>
      </w:r>
    </w:p>
    <w:p>
      <w:r/>
      <w:r>
        <w:rPr>
          <w:b/>
        </w:rPr>
        <w:t>Niveau physiologique — onset rapide et courte durée</w:t>
      </w:r>
      <w:r>
        <w:t xml:space="preserve"> : la prilocaïne présente un onset rapide (5-10 minutes en infiltration, 30-60 minutes en application cutanée EMLA) et une durée d'action courte (30-90 minutes selon le site). Cette courte durée s'explique par : (i) une lipophilie modérée (logP 2,1) qui permet une fixation mais peu de stockage tissulaire ; (ii) un métabolisme rapide par les carboxylestérases plasmatiques (et non par le CYP450 hépatique) en orthotoluidine ; (iii) une clairance élevée (10-12 mL/min/kg, supérieure à la lidocaïne). La courte durée d'action est un avantage en anesthésie ambulatoire (récupération rapide) mais un inconvénient pour les actes prolongés (nécessité de réinjection ou d'association avec adrénaline).</w:t>
      </w:r>
    </w:p>
    <w:p>
      <w:r/>
      <w:r>
        <w:rPr>
          <w:b/>
        </w:rPr>
        <w:t>Niveau cardiaque — cardiotoxicité modérée</w:t>
      </w:r>
      <w:r>
        <w:t xml:space="preserve"> : la prilocaïne présente une cardiotoxicité faible, comparable ou inférieure à celle de la lidocaïne, en raison d'une capture pulmonaire importante (la prilocaïne est largement fixée par le poumon à son premier passage veineux, réduisant la concentration systémique myocardique). Le rapport cardiotoxicité/neurotoxicité est voisin de 0,7-1 (le plus favorable des amides). La dose maximale recommandée est de 8 mg/kg (sans adrénaline), soit le double de la lidocaïne — conférée par la capture pulmonaire et le métabolisme rapide.</w:t>
      </w:r>
    </w:p>
    <w:p>
      <w:r/>
      <w:r>
        <w:rPr>
          <w:b/>
        </w:rPr>
        <w:t>Niveau hématologique — méthémoglobinémie</w:t>
      </w:r>
      <w:r>
        <w:t xml:space="preserve"> : la prilocaïne se distingue par son métabolite aromatique, l'orthotoluidine, qui oxyde l'hémoglobine ferreuse (Fe²⁺) en méthémoglobine ferrique (Fe³⁺), incapable de fixer et de transporter l'oxygène. L'orthotoluidine est produite par hydrolyse hépatique de la prilocaïne par les carboxylestérases. La méthémoglobinémie est dose-dépendante : significative (&gt; 3 %) à partir de 5-6 mg/kg, symptomatique (&gt; 15-20 %) à 8-10 mg/kg, sévère (&gt; 30 %) à doses massives. Elle se manifeste par cyanose centrale (lèvres bleues), dyspnée, céphalées, asthénie, baisse de la SpO₂ (qui plafonne à 85 % en raison du spectre d'absorption de la MetHb). Le traitement repose sur le bleu de méthylène intraveineux (1-2 mg/kg), qui réduit la MetHb en Hb normale via la NADPH-méthémoglobine réductase. La méthémoglobinémie justifie la contre-indication de la prilocaïne chez le nourrisson &lt; 6 mois (système de réduction NADPH immature), en cas de déficit en G6PD (hémolyse + méthémoglobinémie sévère), et l'éviter en association avec d'autres méthémoglobinisants (dapsone, nitrites, sulfamides antibactériens, antipaludéens).</w:t>
      </w:r>
    </w:p>
    <w:p>
      <w:r/>
      <w:r>
        <w:rPr>
          <w:b/>
        </w:rPr>
        <w:t>Niveau cutané — eutectic mixture</w:t>
      </w:r>
      <w:r>
        <w:t xml:space="preserve"> : la crème EMLA (lidocaïne 2,5 % + prilocaïne 2,5 %) exploite le principe de mélange eutectique : la combinaison 1:1 des deux anesthésiques locaux abaisse le point de fusion, permettant une émulsion huileuse fluide à température ambiante. La concentration totale de 5 % d'anesthésiques locaux dans la crème est supérieure à la concentration individuelle (2,5 % pour chaque constituant), mais le système galénique empêche la précipitation. L'anesthésie cutanée s'obtient par diffusion passive des deux amides à travers la couche cornée (lidocaïne) et le follicule pileux (prilocaïne), atteignant les terminaisons nerveuses sous-épidermiques en 30-60 minutes sous occlusion (pansement Tégaderm).</w:t>
      </w:r>
    </w:p>
    <w:p>
      <w:pPr>
        <w:pStyle w:val="Heading4"/>
      </w:pPr>
      <w:r>
        <w:t>182.9.1.4 Pharmacocinétique (profil PK)</w:t>
      </w:r>
    </w:p>
    <w:p>
      <w:r/>
      <w:r>
        <w:rPr>
          <w:b/>
        </w:rPr>
        <w:t>Absorption</w:t>
      </w:r>
      <w:r>
        <w:t xml:space="preserve"> : la prilocaïne est principalement administrée en application cutanée (crème EMLA sous pansement occlusif). L'absorption systémique cutanée est faible (5-10 % de la dose appliquée), avec une Cmax plasmatique atteinte en 60-120 minutes. L'absorption systémique est augmentée en cas de lésion cutanée (érosion, ulcération), de peau lésée (brûlure, eczéma) ou de muqueuse (application génitale ou orale). En forme injectable (non disponible en Algérie), l'absorption dépend du site d'injection (intercostal &gt; péridural &gt; périneural &gt; sous-cutané). La biodisponibilité systémique de la prilocaïne injectable est proche de 100 %.</w:t>
      </w:r>
    </w:p>
    <w:p>
      <w:r/>
      <w:r>
        <w:rPr>
          <w:b/>
        </w:rPr>
        <w:t>Distribution</w:t>
      </w:r>
      <w:r>
        <w:t xml:space="preserve"> : la prilocaïne est liée aux protéines plasmatiques à hauteur de 55-75 % (principalement α1-glycoprotéine acide et albumine), un peu moins que la bupivacaïne (95 %) et la mépivacaïne (75-80 %). La fraction libre (25-45 %) est pharmacologiquement active. Le volume de distribution à l'équilibre (Vdss) est de 2-3 L/kg (élevé, en raison de la capture pulmonaire et tissulaire). La diffusion transplacentaire est modérée (ratio foeto-maternel 0,7). La diffusion dans le LCR est faible.</w:t>
      </w:r>
    </w:p>
    <w:p>
      <w:r/>
      <w:r>
        <w:rPr>
          <w:b/>
        </w:rPr>
        <w:t>Métabolisme</w:t>
      </w:r>
      <w:r>
        <w:t xml:space="preserve"> : la prilocaïne est principalement métabolisée par les carboxylestérases plasmatiques (et accessoirement par le CYP450 hépatique CYP3A4). Les voies principales sont : (i) hydrolyse de la fonction amide en orthotoluidine (métabolite aromatique méthémoglobinisant) ; (ii) hydroxylation du cycle toluène en métabolites hydroxylés inactifs. La prilocaïne est rapidement clairancée (demi-vie d'élimination 1,5-2 heures), autorisant l'administration de doses totales élevées (8 mg/kg sans adrénaline).</w:t>
      </w:r>
    </w:p>
    <w:p>
      <w:r/>
      <w:r>
        <w:rPr>
          <w:b/>
        </w:rPr>
        <w:t>Élimination</w:t>
      </w:r>
      <w:r>
        <w:t xml:space="preserve"> : l'élimination est urinaire à 90 %, principalement sous forme de métabolites inactifs. Seulement 1-5 % sont excrétés sous forme inchangée. La clairance totale est de 10-12 mL/min/kg. La demi-vie d'élimination terminale est de 1,5-2 heures chez l'adulte sain, plus courte que la lidocaïne (1,5-2 heures vs 90 minutes). En cas d'insuffisance rénale sévère, une accumulation des métabolites (orthotoluidine) est possible, majorant le risque de méthémoglobinémie. La prilocaïne est hémodialysable.</w:t>
      </w:r>
    </w:p>
    <w:p>
      <w:r/>
      <w:r>
        <w:rPr>
          <w:b/>
        </w:rPr>
        <w:t>Capture pulmonaire</w:t>
      </w:r>
      <w:r>
        <w:t xml:space="preserve"> : la prilocaïne subit une capture pulmonaire importante au premier passage veineux (40-60 % de la dose), réduisant la concentration systémique myocardique. Cette propriété explique la moindre cardiotoxicité par rapport à la lidocaïne et la possibilité d'administrer des doses totales plus élevées (8 mg/kg vs 4-5 mg/kg).</w:t>
      </w:r>
    </w:p>
    <w:p>
      <w:r/>
      <w:r>
        <w:rPr>
          <w:b/>
        </w:rPr>
        <w:t>Monitorage</w:t>
      </w:r>
      <w:r>
        <w:t xml:space="preserve"> : pas de STP systématique. Dose maximale recommandée : 8 mg/kg sans adrénaline, soit 500 mg chez l'adulte sain. Réduction de 25-30 % chez le sujet âgé, l'insuffisant hépatique, l'insuffisant rénal sévère. En application cutanée EMLA, la dose maximale par application est de 60 g de crème sur 400 cm² chez l'adulte (1,5 g de lidocaïne + prilocaïne), réduite chez l'enfant (1 g/10 cm² chez le nourrisson de 3-12 mois, maximum 2 g).</w:t>
      </w:r>
    </w:p>
    <w:p>
      <w:pPr>
        <w:pStyle w:val="Heading4"/>
      </w:pPr>
      <w:r>
        <w:t>182.9.1.5 Indications thérapeutiques</w:t>
      </w:r>
    </w:p>
    <w:p>
      <w:r>
        <w:t>Les indications de la prilocaïne (en crème EMLA, en Algérie) sont :</w:t>
      </w:r>
    </w:p>
    <w:p>
      <w:pPr>
        <w:pStyle w:val="ListNumber"/>
      </w:pPr>
      <w:r/>
      <w:r>
        <w:rPr>
          <w:b/>
        </w:rPr>
        <w:t>Anesthésie cutanée avant ponction veineuse</w:t>
      </w:r>
      <w:r>
        <w:t xml:space="preserve"> : prélèvement sanguin, pose de voie veineuse périphérique, perfusion, chimiothérapie. Particulièrement utile chez l'enfant et chez le patient anxieux. EMLA 1-2 g/cm² sous pansement occlusif 60 minutes avant le geste (efficacité maximale à 120 minutes).</w:t>
      </w:r>
    </w:p>
    <w:p>
      <w:pPr>
        <w:pStyle w:val="ListNumber"/>
      </w:pPr>
      <w:r/>
      <w:r>
        <w:rPr>
          <w:b/>
        </w:rPr>
        <w:t>Anesthésie cutanée avant ponction artérielle</w:t>
      </w:r>
      <w:r>
        <w:t xml:space="preserve"> : gazométrie artérielle (radiale, fémorale), cathétérisme artériel (radiale, fémorale).</w:t>
      </w:r>
    </w:p>
    <w:p>
      <w:pPr>
        <w:pStyle w:val="ListNumber"/>
      </w:pPr>
      <w:r/>
      <w:r>
        <w:rPr>
          <w:b/>
        </w:rPr>
        <w:t>Anesthésie cutanée avant ponctions profondes</w:t>
      </w:r>
      <w:r>
        <w:t xml:space="preserve"> : ponction lombaire, ponction sternale (myélogramme), ponction de moelle osseuse (biopsie osseuse), ponction articulaire (genou, épaule), ponction d'ascite, ponction pleurale.</w:t>
      </w:r>
    </w:p>
    <w:p>
      <w:pPr>
        <w:pStyle w:val="ListNumber"/>
      </w:pPr>
      <w:r/>
      <w:r>
        <w:rPr>
          <w:b/>
        </w:rPr>
        <w:t>Anesthésie cutanée avant gestes dermatologiques</w:t>
      </w:r>
      <w:r>
        <w:t xml:space="preserve"> :</w:t>
      </w:r>
    </w:p>
    <w:p>
      <w:pPr>
        <w:pStyle w:val="ListBullet"/>
      </w:pPr>
      <w:r>
        <w:t>Ablation de lésions cutanées : naevus, kyste sébacé, lipome, verrue, molluscum contagiosum, condylome, fibrome.</w:t>
      </w:r>
    </w:p>
    <w:p>
      <w:pPr>
        <w:pStyle w:val="ListBullet"/>
      </w:pPr>
      <w:r>
        <w:t>Biopsie cutanée (punch biopsie, biopsie chirurgicale).</w:t>
      </w:r>
    </w:p>
    <w:p>
      <w:pPr>
        <w:pStyle w:val="ListBullet"/>
      </w:pPr>
      <w:r>
        <w:t>Électrocoagulation, cryothérapie, laser CO₂.</w:t>
      </w:r>
    </w:p>
    <w:p>
      <w:pPr>
        <w:pStyle w:val="ListBullet"/>
      </w:pPr>
      <w:r>
        <w:t>Tatouage (pose du tatouage ou détatouage laser).</w:t>
      </w:r>
    </w:p>
    <w:p>
      <w:pPr>
        <w:pStyle w:val="ListBullet"/>
      </w:pPr>
      <w:r>
        <w:t>Soins de plaies chroniques (pansements douloureux d'ulcères variqueux, escarres, brûlures superficielles).</w:t>
      </w:r>
    </w:p>
    <w:p>
      <w:pPr>
        <w:pStyle w:val="ListNumber"/>
      </w:pPr>
      <w:r/>
      <w:r>
        <w:rPr>
          <w:b/>
        </w:rPr>
        <w:t>Vaccinations chez l'enfant</w:t>
      </w:r>
      <w:r>
        <w:t xml:space="preserve"> :</w:t>
      </w:r>
    </w:p>
    <w:p>
      <w:pPr>
        <w:pStyle w:val="ListBullet"/>
      </w:pPr>
      <w:r>
        <w:t>Vaccins intramusculaires (ROR, DT-Polio, Haemophilus, méningocoque, pneumocoque, papillomavirus).</w:t>
      </w:r>
    </w:p>
    <w:p>
      <w:pPr>
        <w:pStyle w:val="ListBullet"/>
      </w:pPr>
      <w:r>
        <w:t>Vaccins sous-cutanés (BCG, varicelle, fièvre jaune).</w:t>
      </w:r>
    </w:p>
    <w:p>
      <w:pPr>
        <w:pStyle w:val="ListBullet"/>
      </w:pPr>
      <w:r>
        <w:t>EMLA 1 g/cm² sous pansement occlusif 60 minutes avant l'injection.</w:t>
      </w:r>
    </w:p>
    <w:p>
      <w:pPr>
        <w:pStyle w:val="ListNumber"/>
      </w:pPr>
      <w:r/>
      <w:r>
        <w:rPr>
          <w:b/>
        </w:rPr>
        <w:t>Génital masculin et féminin</w:t>
      </w:r>
      <w:r>
        <w:t xml:space="preserve"> :</w:t>
      </w:r>
    </w:p>
    <w:p>
      <w:pPr>
        <w:pStyle w:val="ListBullet"/>
      </w:pPr>
      <w:r>
        <w:t>Pose de stérilet chez la femme nullipare ou anxieuse.</w:t>
      </w:r>
    </w:p>
    <w:p>
      <w:pPr>
        <w:pStyle w:val="ListBullet"/>
      </w:pPr>
      <w:r>
        <w:t>Biopsie de col utérin, conisation.</w:t>
      </w:r>
    </w:p>
    <w:p>
      <w:pPr>
        <w:pStyle w:val="ListBullet"/>
      </w:pPr>
      <w:r>
        <w:t>Circumcision chez le nourrisson (analgésie complémentaire du bloc pénien).</w:t>
      </w:r>
    </w:p>
    <w:p>
      <w:pPr>
        <w:pStyle w:val="ListBullet"/>
      </w:pPr>
      <w:r>
        <w:t>Sondage urinaire chez l'enfant ou chez l'homme avec sténose urétrale.</w:t>
      </w:r>
    </w:p>
    <w:p>
      <w:pPr>
        <w:pStyle w:val="ListNumber"/>
      </w:pPr>
      <w:r/>
      <w:r>
        <w:rPr>
          <w:b/>
        </w:rPr>
        <w:t>Anesthésie des muqueuses génitales</w:t>
      </w:r>
      <w:r>
        <w:t xml:space="preserve"> :</w:t>
      </w:r>
    </w:p>
    <w:p>
      <w:pPr>
        <w:pStyle w:val="ListBullet"/>
      </w:pPr>
      <w:r>
        <w:t>Application avant laser des condylomes génitaux.</w:t>
      </w:r>
    </w:p>
    <w:p>
      <w:pPr>
        <w:pStyle w:val="ListBullet"/>
      </w:pPr>
      <w:r>
        <w:t>Application avant biopsie vulvaire.</w:t>
      </w:r>
    </w:p>
    <w:p>
      <w:pPr>
        <w:pStyle w:val="ListNumber"/>
      </w:pPr>
      <w:r/>
      <w:r>
        <w:rPr>
          <w:b/>
        </w:rPr>
        <w:t>Hors AMM</w:t>
      </w:r>
      <w:r>
        <w:t xml:space="preserve"> :</w:t>
      </w:r>
    </w:p>
    <w:p>
      <w:pPr>
        <w:pStyle w:val="ListBullet"/>
      </w:pPr>
      <w:r>
        <w:t>Application sur lésions de zoster pour réduction de la douleur au pansement.</w:t>
      </w:r>
    </w:p>
    <w:p>
      <w:pPr>
        <w:pStyle w:val="ListBullet"/>
      </w:pPr>
      <w:r>
        <w:t>Application sur ulcères variqueux pour réduction de la douleur au pansement.</w:t>
      </w:r>
    </w:p>
    <w:p>
      <w:pPr>
        <w:pStyle w:val="ListBullet"/>
      </w:pPr>
      <w:r>
        <w:t>Anesthésie du conduit auditif avant nettoyage de bouchon de cérumen (pose de mèche imbibée 20 minutes).</w:t>
      </w:r>
    </w:p>
    <w:p>
      <w:pPr>
        <w:pStyle w:val="ListNumber"/>
      </w:pPr>
      <w:r/>
      <w:r>
        <w:rPr>
          <w:b/>
        </w:rPr>
        <w:t>Indications pédiatriques spécifiques</w:t>
      </w:r>
      <w:r>
        <w:t xml:space="preserve"> :</w:t>
      </w:r>
    </w:p>
    <w:p>
      <w:pPr>
        <w:pStyle w:val="ListBullet"/>
      </w:pPr>
      <w:r>
        <w:t>Pose de voie veineuse périphérique en urgence chez l'enfant anxieux.</w:t>
      </w:r>
    </w:p>
    <w:p>
      <w:pPr>
        <w:pStyle w:val="ListBullet"/>
      </w:pPr>
      <w:r>
        <w:t>Moustiquaire de crème EMLA sur le cuir chevelu avant ponction veineuse du scalp chez le nourrisson.</w:t>
      </w:r>
    </w:p>
    <w:p>
      <w:pPr>
        <w:pStyle w:val="Heading4"/>
      </w:pPr>
      <w:r>
        <w:t>182.9.1.6 Posologie et mode d'administration</w:t>
      </w:r>
    </w:p>
    <w:p>
      <w:r/>
      <w:r>
        <w:rPr>
          <w:b/>
        </w:rPr>
        <w:t>Application cutanée EMLA</w:t>
      </w:r>
      <w:r>
        <w:t xml:space="preserve"> :</w:t>
      </w:r>
    </w:p>
    <w:p>
      <w:pPr>
        <w:pStyle w:val="ListBullet"/>
      </w:pPr>
      <w:r>
        <w:t>Adulte : 1-2 g de crème par 10 cm² de peau saine intacte, sous pansement occlusif (Tégaderm, OpSite). Posologie maximale : 60 g sur 400 cm².</w:t>
      </w:r>
    </w:p>
    <w:p>
      <w:pPr>
        <w:pStyle w:val="ListBullet"/>
      </w:pPr>
      <w:r>
        <w:t>Enfant &gt; 12 ans : posologie adulte.</w:t>
      </w:r>
    </w:p>
    <w:p>
      <w:pPr>
        <w:pStyle w:val="ListBullet"/>
      </w:pPr>
      <w:r>
        <w:t>Enfant 3-12 ans et &gt; 20 kg : 1 g/10 cm², maximum 10 g sur 100 cm².</w:t>
      </w:r>
    </w:p>
    <w:p>
      <w:pPr>
        <w:pStyle w:val="ListBullet"/>
      </w:pPr>
      <w:r>
        <w:t>Nourrisson 3-12 mois et 5-10 kg : 1 g/10 cm², maximum 2 g sur 20 cm², application unique par 24 heures.</w:t>
      </w:r>
    </w:p>
    <w:p>
      <w:pPr>
        <w:pStyle w:val="ListBullet"/>
      </w:pPr>
      <w:r>
        <w:t>Nourrisson &lt; 3 mois ou &lt; 5 kg : CONTRE-INDICATION relative (risque de méthémoglobinémie, système NADPH immature).</w:t>
      </w:r>
    </w:p>
    <w:p>
      <w:pPr>
        <w:pStyle w:val="ListBullet"/>
      </w:pPr>
      <w:r>
        <w:t>Application : couche épaisse (1-2 mm d'épaisseur) recouverte d'un pansement occlusif 60 minutes avant le geste. Efficacité maximale à 120 minutes. Durée d'action après retrait : 30-60 minutes.</w:t>
      </w:r>
    </w:p>
    <w:p>
      <w:pPr>
        <w:pStyle w:val="ListBullet"/>
      </w:pPr>
      <w:r>
        <w:t>Ne pas dépasser 4 heures d'application (au-delà, risque d'absorption systémique excessive).</w:t>
      </w:r>
    </w:p>
    <w:p>
      <w:r/>
      <w:r>
        <w:rPr>
          <w:b/>
        </w:rPr>
        <w:t>Application muqueuse génitale</w:t>
      </w:r>
      <w:r>
        <w:t xml:space="preserve"> :</w:t>
      </w:r>
    </w:p>
    <w:p>
      <w:pPr>
        <w:pStyle w:val="ListBullet"/>
      </w:pPr>
      <w:r>
        <w:t>Femme : 5-10 g de crème sur la muqueuse du col et du vagin, 5-10 minutes avant le geste (pas de pansement occlusif). Délai d'action plus court (5-10 min) en raison de la vascularisation muqueuse.</w:t>
      </w:r>
    </w:p>
    <w:p>
      <w:pPr>
        <w:pStyle w:val="ListBullet"/>
      </w:pPr>
      <w:r>
        <w:t>Homme : 5-10 g de crème sur la muqueuse du gland 5-10 minutes avant le geste.</w:t>
      </w:r>
    </w:p>
    <w:p>
      <w:r/>
      <w:r>
        <w:rPr>
          <w:b/>
        </w:rPr>
        <w:t>Application cutanée avant tatouage</w:t>
      </w:r>
      <w:r>
        <w:t xml:space="preserve"> :</w:t>
      </w:r>
    </w:p>
    <w:p>
      <w:pPr>
        <w:pStyle w:val="ListBullet"/>
      </w:pPr>
      <w:r>
        <w:t>30-60 g de crème sur la zone à tatouer, sous pansement occlusif 60-90 minutes avant le geste. Anesthésie efficace 60-120 minutes.</w:t>
      </w:r>
    </w:p>
    <w:p>
      <w:r/>
      <w:r>
        <w:rPr>
          <w:b/>
        </w:rPr>
        <w:t>Application sur ulcère variqueux</w:t>
      </w:r>
      <w:r>
        <w:t xml:space="preserve"> :</w:t>
      </w:r>
    </w:p>
    <w:p>
      <w:pPr>
        <w:pStyle w:val="ListBullet"/>
      </w:pPr>
      <w:r>
        <w:t>Couche épaisse de crème sur l'ulcère, sous pansement, 30 minutes avant le nettoyage. Ne pas dépasser 10 g par application, ni 3 applications par jour.</w:t>
      </w:r>
    </w:p>
    <w:p>
      <w:r/>
      <w:r>
        <w:rPr>
          <w:b/>
        </w:rPr>
        <w:t>Application auriculaire</w:t>
      </w:r>
      <w:r>
        <w:t xml:space="preserve"> :</w:t>
      </w:r>
    </w:p>
    <w:p>
      <w:pPr>
        <w:pStyle w:val="ListBullet"/>
      </w:pPr>
      <w:r>
        <w:t>Mèche de coton imbibée de crème EMLA, introduite dans le conduit auditif 20 minutes avant le nettoyage d'un bouchon de cérumen.</w:t>
      </w:r>
    </w:p>
    <w:p>
      <w:r/>
      <w:r>
        <w:rPr>
          <w:b/>
        </w:rPr>
        <w:t>Doses maximales récapitulatives (application cutanée EMLA)</w:t>
      </w:r>
      <w:r>
        <w:t xml:space="preserve"> :</w:t>
      </w:r>
    </w:p>
    <w:p>
      <w:pPr>
        <w:pStyle w:val="ListBullet"/>
      </w:pPr>
      <w:r>
        <w:t>Adulte sain : 60 g de crème sur 400 cm² (1,5 g de lidocaïne + prilocaïne).</w:t>
      </w:r>
    </w:p>
    <w:p>
      <w:pPr>
        <w:pStyle w:val="ListBullet"/>
      </w:pPr>
      <w:r>
        <w:t>Enfant &gt; 12 ans : 60 g sur 400 cm².</w:t>
      </w:r>
    </w:p>
    <w:p>
      <w:pPr>
        <w:pStyle w:val="ListBullet"/>
      </w:pPr>
      <w:r>
        <w:t>Enfant 3-12 ans et &gt; 20 kg : 10 g sur 100 cm².</w:t>
      </w:r>
    </w:p>
    <w:p>
      <w:pPr>
        <w:pStyle w:val="ListBullet"/>
      </w:pPr>
      <w:r>
        <w:t>Nourrisson 3-12 mois : 2 g sur 20 cm², application unique par 24 heures.</w:t>
      </w:r>
    </w:p>
    <w:p>
      <w:pPr>
        <w:pStyle w:val="ListBullet"/>
      </w:pPr>
      <w:r>
        <w:t>Nourrisson &lt; 3 mois : contre-indication relative.</w:t>
      </w:r>
    </w:p>
    <w:p>
      <w:r/>
      <w:r>
        <w:rPr>
          <w:b/>
        </w:rPr>
        <w:t>Voie IV strictement interdite</w:t>
      </w:r>
      <w:r>
        <w:t xml:space="preserve"> (forme crème uniquement).</w:t>
      </w:r>
    </w:p>
    <w:p>
      <w:r/>
      <w:r>
        <w:rPr>
          <w:b/>
        </w:rPr>
        <w:t>Application sur peau lésée (érosion, ulcération, brûlure)</w:t>
      </w:r>
      <w:r>
        <w:t xml:space="preserve"> : à éviter en raison de l'absorption systémique excessive, sauf indication spécifique (ulcère variqueux, zoster).</w:t>
      </w:r>
    </w:p>
    <w:p>
      <w:pPr>
        <w:pStyle w:val="Heading4"/>
      </w:pPr>
      <w:r>
        <w:t>182.9.1.7 Effets indésirables et prévention</w:t>
      </w:r>
    </w:p>
    <w:p>
      <w:r/>
      <w:r>
        <w:rPr>
          <w:b/>
        </w:rPr>
        <w:t>Effets indésirables locaux fréquents (&gt; 10 %)</w:t>
      </w:r>
      <w:r>
        <w:t xml:space="preserve"> :</w:t>
      </w:r>
    </w:p>
    <w:p>
      <w:pPr>
        <w:pStyle w:val="ListBullet"/>
      </w:pPr>
      <w:r/>
      <w:r>
        <w:rPr>
          <w:b/>
        </w:rPr>
        <w:t>Érythème cutané au site d'application</w:t>
      </w:r>
      <w:r>
        <w:t xml:space="preserve"> : 30-50 % des patients, bénin, transitoire (30-60 minutes après retrait). Mécanisme : vasodilatation locale par effet direct de la prilocaïne et de la lidocaïne.</w:t>
      </w:r>
    </w:p>
    <w:p>
      <w:pPr>
        <w:pStyle w:val="ListBullet"/>
      </w:pPr>
      <w:r/>
      <w:r>
        <w:rPr>
          <w:b/>
        </w:rPr>
        <w:t>Pâleur cutanée au site d'application</w:t>
      </w:r>
      <w:r>
        <w:t xml:space="preserve"> : 20-40 % des patients, par vasoconstriction locale (effet adrénalinique absent mais effet direct sur les fibres musculaires lisses). Pas de signification pathologique.</w:t>
      </w:r>
    </w:p>
    <w:p>
      <w:pPr>
        <w:pStyle w:val="ListBullet"/>
      </w:pPr>
      <w:r/>
      <w:r>
        <w:rPr>
          <w:b/>
        </w:rPr>
        <w:t>Prurit local</w:t>
      </w:r>
      <w:r>
        <w:t xml:space="preserve"> : 5-10 %, bénin, transitoire.</w:t>
      </w:r>
    </w:p>
    <w:p>
      <w:pPr>
        <w:pStyle w:val="ListBullet"/>
      </w:pPr>
      <w:r/>
      <w:r>
        <w:rPr>
          <w:b/>
        </w:rPr>
        <w:t>Sensation de chaleur ou de froid</w:t>
      </w:r>
      <w:r>
        <w:t xml:space="preserve"> : 5-10 %, transitoire.</w:t>
      </w:r>
    </w:p>
    <w:p>
      <w:r/>
      <w:r>
        <w:rPr>
          <w:b/>
        </w:rPr>
        <w:t>Effets indésirables systémiques — LAST</w:t>
      </w:r>
      <w:r>
        <w:t xml:space="preserve"> :</w:t>
      </w:r>
    </w:p>
    <w:p>
      <w:pPr>
        <w:pStyle w:val="ListBullet"/>
      </w:pPr>
      <w:r>
        <w:t>Très rares en application cutanée à doses recommandées (incidence &lt; 1/100 000).</w:t>
      </w:r>
    </w:p>
    <w:p>
      <w:pPr>
        <w:pStyle w:val="ListBullet"/>
      </w:pPr>
      <w:r>
        <w:t>Risque majoré en cas : (i) d'application sur peau lésée ou muqueuse ; (ii) d'application prolongée &gt; 4 heures ; (iii) d'application extensive &gt; 400 cm² ; (iv) chez le nourrisson &lt; 3 mois (métabolisme immature) ; (v) d'association avec d'autres anesthésiques locaux.</w:t>
      </w:r>
    </w:p>
    <w:p>
      <w:pPr>
        <w:pStyle w:val="ListBullet"/>
      </w:pPr>
      <w:r>
        <w:t>Signes : paresthésies péribuccales, langue métallique, acouphènes, agitation, convulsions, coma, arrêt cardiaque.</w:t>
      </w:r>
    </w:p>
    <w:p>
      <w:pPr>
        <w:pStyle w:val="ListBullet"/>
      </w:pPr>
      <w:r>
        <w:t>Prise en charge : arrêt de l'application, contrôle des voies aériennes, traitement des convulsions (diazépam IV), émulsion lipidique 20 % (Intralipide) en cas de signes cardiaques.</w:t>
      </w:r>
    </w:p>
    <w:p>
      <w:r/>
      <w:r>
        <w:rPr>
          <w:b/>
        </w:rPr>
        <w:t>Méthémoglobinémie</w:t>
      </w:r>
      <w:r>
        <w:t xml:space="preserve"> :</w:t>
      </w:r>
    </w:p>
    <w:p>
      <w:pPr>
        <w:pStyle w:val="ListBullet"/>
      </w:pPr>
      <w:r>
        <w:t>Incidence : 1/5000 à 1/10 000 applications, mais peut être sous-estimée.</w:t>
      </w:r>
    </w:p>
    <w:p>
      <w:pPr>
        <w:pStyle w:val="ListBullet"/>
      </w:pPr>
      <w:r>
        <w:t>Signes : cyanose centrale (lèvres, oreilles, ongles bleutés) résistante à l'oxygénothérapie, dyspnée, céphalées, asthénie, baissé de la SpO₂ (qui plafonne à 85 % en raison du spectre d'absorption de la MetHb).</w:t>
      </w:r>
    </w:p>
    <w:p>
      <w:pPr>
        <w:pStyle w:val="ListBullet"/>
      </w:pPr>
      <w:r>
        <w:t>Dosage : méthémoglobinémie sanguine (normale &lt; 1 %, symptomatique &gt; 15-20 %, sévère &gt; 30 %).</w:t>
      </w:r>
    </w:p>
    <w:p>
      <w:pPr>
        <w:pStyle w:val="ListBullet"/>
      </w:pPr>
      <w:r>
        <w:t>Traitement : bleu de méthylène 1-2 mg/kg IV en 5 minutes, à renouveler si nécessaire (dose maximale 7 mg/kg).</w:t>
      </w:r>
    </w:p>
    <w:p>
      <w:pPr>
        <w:pStyle w:val="ListBullet"/>
      </w:pPr>
      <w:r>
        <w:t>Prévention : respecter les doses maximales, éviter l'application prolongée &gt; 4 heures, éviter l'application sur peau lésée, surveillance accrue chez le nourrisson et en cas d'association avec d'autres méthémoglobinisants (dapsone, nitrites, sulfamides).</w:t>
      </w:r>
    </w:p>
    <w:p>
      <w:r/>
      <w:r>
        <w:rPr>
          <w:b/>
        </w:rPr>
        <w:t>Allergie</w:t>
      </w:r>
      <w:r>
        <w:t xml:space="preserve"> :</w:t>
      </w:r>
    </w:p>
    <w:p>
      <w:pPr>
        <w:pStyle w:val="ListBullet"/>
      </w:pPr>
      <w:r>
        <w:t>Très rare (&lt; 1/10 000) avec les amides (prilocaïne ou lidocaïne).</w:t>
      </w:r>
    </w:p>
    <w:p>
      <w:pPr>
        <w:pStyle w:val="ListBullet"/>
      </w:pPr>
      <w:r>
        <w:t>Diagnostic : tests cutanés par allergologue.</w:t>
      </w:r>
    </w:p>
    <w:p>
      <w:pPr>
        <w:pStyle w:val="ListBullet"/>
      </w:pPr>
      <w:r>
        <w:t>En cas d'allergie prouvée à un amide, contre-indication de tous les amides.</w:t>
      </w:r>
    </w:p>
    <w:p>
      <w:r/>
      <w:r>
        <w:rPr>
          <w:b/>
        </w:rPr>
        <w:t>Autres effets indésirables</w:t>
      </w:r>
      <w:r>
        <w:t xml:space="preserve"> :</w:t>
      </w:r>
    </w:p>
    <w:p>
      <w:pPr>
        <w:pStyle w:val="ListBullet"/>
      </w:pPr>
      <w:r/>
      <w:r>
        <w:rPr>
          <w:b/>
        </w:rPr>
        <w:t>Irritation oculaire</w:t>
      </w:r>
      <w:r>
        <w:t xml:space="preserve"> en cas d'application proche de l'œil.</w:t>
      </w:r>
    </w:p>
    <w:p>
      <w:pPr>
        <w:pStyle w:val="ListBullet"/>
      </w:pPr>
      <w:r/>
      <w:r>
        <w:rPr>
          <w:b/>
        </w:rPr>
        <w:t>Bradycardie ou hypotension</w:t>
      </w:r>
      <w:r>
        <w:t xml:space="preserve"> en cas d'application sur grande surface (rare).</w:t>
      </w:r>
    </w:p>
    <w:p>
      <w:pPr>
        <w:pStyle w:val="ListBullet"/>
      </w:pPr>
      <w:r/>
      <w:r>
        <w:rPr>
          <w:b/>
        </w:rPr>
        <w:t>Céphalées</w:t>
      </w:r>
      <w:r>
        <w:t xml:space="preserve"> : 5-10 %.</w:t>
      </w:r>
    </w:p>
    <w:p>
      <w:pPr>
        <w:pStyle w:val="Heading4"/>
      </w:pPr>
      <w:r>
        <w:t>182.9.1.8 Interactions médicamenteuses</w:t>
      </w:r>
    </w:p>
    <w:p>
      <w:r/>
      <w:r>
        <w:rPr>
          <w:b/>
        </w:rPr>
        <w:t>Interactions pharmacodynamiques</w:t>
      </w:r>
      <w:r>
        <w:t xml:space="preserve"> :</w:t>
      </w:r>
    </w:p>
    <w:p>
      <w:pPr>
        <w:pStyle w:val="ListBullet"/>
      </w:pPr>
      <w:r/>
      <w:r>
        <w:rPr>
          <w:b/>
        </w:rPr>
        <w:t>Autres anesthésiques locaux</w:t>
      </w:r>
      <w:r>
        <w:t xml:space="preserve"> (lidocaïne injectable, bupivacaïne, mépivacaïne) : effet additif, risque de LAST. Surveillance si association dans la même journée.</w:t>
      </w:r>
    </w:p>
    <w:p>
      <w:pPr>
        <w:pStyle w:val="ListBullet"/>
      </w:pPr>
      <w:r/>
      <w:r>
        <w:rPr>
          <w:b/>
        </w:rPr>
        <w:t>Méthémoglobinisants</w:t>
      </w:r>
      <w:r>
        <w:t xml:space="preserve"> : potentialisation de la méthémoglobinémie (dapsone, nitrites — trinitrine, isosorbide ; sulfamides antibactériens — sulfaméthoxazole ; antipaludéens — chloroquine, primaquine ; nitrofurantoïne ; phénazopyridine ; benzocaïne). Réduire les doses de prilocaïne ou éviter l'association.</w:t>
      </w:r>
    </w:p>
    <w:p>
      <w:pPr>
        <w:pStyle w:val="ListBullet"/>
      </w:pPr>
      <w:r/>
      <w:r>
        <w:rPr>
          <w:b/>
        </w:rPr>
        <w:t>Déficit en G6PD</w:t>
      </w:r>
      <w:r>
        <w:t xml:space="preserve"> : CONTRE-INDICATION (hémolyse + méthémoglobinémie sévère).</w:t>
      </w:r>
    </w:p>
    <w:p>
      <w:pPr>
        <w:pStyle w:val="ListBullet"/>
      </w:pPr>
      <w:r/>
      <w:r>
        <w:rPr>
          <w:b/>
        </w:rPr>
        <w:t>β-bloquants</w:t>
      </w:r>
      <w:r>
        <w:t xml:space="preserve"> : prudence en cas d'application extensive (potentialisation de la toxicité cardiaque théorique, mais très rare en pratique en application cutanée).</w:t>
      </w:r>
    </w:p>
    <w:p>
      <w:pPr>
        <w:pStyle w:val="ListBullet"/>
      </w:pPr>
      <w:r/>
      <w:r>
        <w:rPr>
          <w:b/>
        </w:rPr>
        <w:t>Antiarythmiques Ia/Ic</w:t>
      </w:r>
      <w:r>
        <w:t xml:space="preserve"> : prudence (effet additif sur le bloc Na+ cardiaque).</w:t>
      </w:r>
    </w:p>
    <w:p>
      <w:r/>
      <w:r>
        <w:rPr>
          <w:b/>
        </w:rPr>
        <w:t>Interactions pharmacocinétiques</w:t>
      </w:r>
      <w:r>
        <w:t xml:space="preserve"> :</w:t>
      </w:r>
    </w:p>
    <w:p>
      <w:pPr>
        <w:pStyle w:val="ListBullet"/>
      </w:pPr>
      <w:r/>
      <w:r>
        <w:rPr>
          <w:b/>
        </w:rPr>
        <w:t>Inhibiteurs des carboxylestérases</w:t>
      </w:r>
      <w:r>
        <w:t xml:space="preserve"> : ralentissement du métabolisme de la prilocaïne, augmentation des concentrations plasmatiques (peu documenté en clinique).</w:t>
      </w:r>
    </w:p>
    <w:p>
      <w:pPr>
        <w:pStyle w:val="ListBullet"/>
      </w:pPr>
      <w:r/>
      <w:r>
        <w:rPr>
          <w:b/>
        </w:rPr>
        <w:t>Inhibiteurs du CYP3A4</w:t>
      </w:r>
      <w:r>
        <w:t xml:space="preserve"> (kétéconazole, itraconazole, ritonavir, clarithromycine, érythromycine, fluoxétine, diltiazem, vérapamil) : augmentation modeste des concentrations (la prilocaïne étant principalement métabolisée par les carboxylestérases, l'impact du CYP3A4 est moindre que pour la bupivacaïne).</w:t>
      </w:r>
    </w:p>
    <w:p>
      <w:r/>
      <w:r>
        <w:rPr>
          <w:b/>
        </w:rPr>
        <w:t>Incompatibilités physico-chimiques</w:t>
      </w:r>
      <w:r>
        <w:t xml:space="preserve"> :</w:t>
      </w:r>
    </w:p>
    <w:p>
      <w:pPr>
        <w:pStyle w:val="ListBullet"/>
      </w:pPr>
      <w:r>
        <w:t>La prilocaïne précipite en solution alcaline (pH &gt; 6,5).</w:t>
      </w:r>
    </w:p>
    <w:p>
      <w:pPr>
        <w:pStyle w:val="ListBullet"/>
      </w:pPr>
      <w:r>
        <w:t>Compatible avec la lidocaïne (cristallisation eutectique).</w:t>
      </w:r>
    </w:p>
    <w:p>
      <w:pPr>
        <w:pStyle w:val="ListBullet"/>
      </w:pPr>
      <w:r>
        <w:t>Compatible avec le NaCl 0,9 %, le G5 %.</w:t>
      </w:r>
    </w:p>
    <w:p>
      <w:pPr>
        <w:pStyle w:val="Heading4"/>
      </w:pPr>
      <w:r>
        <w:t>182.9.1.9 Grossesse, allaitement et CRAT</w:t>
      </w:r>
    </w:p>
    <w:p>
      <w:r/>
      <w:r>
        <w:rPr>
          <w:b/>
        </w:rPr>
        <w:t>Grossesse</w:t>
      </w:r>
      <w:r>
        <w:t xml:space="preserve"> :</w:t>
      </w:r>
    </w:p>
    <w:p>
      <w:pPr>
        <w:pStyle w:val="ListBullet"/>
      </w:pPr>
      <w:r>
        <w:t>La prilocaïne (en crème EMLA) est « utilisable pendant la grossesse » selon le CRAT, en application cutanée ponctuelle à dose thérapeutique (60 g maximum par application).</w:t>
      </w:r>
    </w:p>
    <w:p>
      <w:pPr>
        <w:pStyle w:val="ListBullet"/>
      </w:pPr>
      <w:r>
        <w:t>Le passage systémique cutané est faible (5-10 %), et la prilocaïne ne s'accumule pas dans le fœtus (métabolisme rapide par les carboxylestérases maternelles).</w:t>
      </w:r>
    </w:p>
    <w:p>
      <w:pPr>
        <w:pStyle w:val="ListBullet"/>
      </w:pPr>
      <w:r>
        <w:t>À éviter au 1er trimestre par prudence, sauf urgence (préférence lidocaïne injectable).</w:t>
      </w:r>
    </w:p>
    <w:p>
      <w:pPr>
        <w:pStyle w:val="ListBullet"/>
      </w:pPr>
      <w:r>
        <w:t>Au 2e et 3e trimestre : application cutanée ponctuelle autorisée pour soins dentaires, gestes dermatologiques, ponctions veineuses.</w:t>
      </w:r>
    </w:p>
    <w:p>
      <w:pPr>
        <w:pStyle w:val="ListBullet"/>
      </w:pPr>
      <w:r>
        <w:t>CONTRE-INDICATION absolue en péridurale obstétricale (la forme injectable pure n'est de toute façon pas disponible en Algérie).</w:t>
      </w:r>
    </w:p>
    <w:p>
      <w:r/>
      <w:r>
        <w:rPr>
          <w:b/>
        </w:rPr>
        <w:t>Allaitement</w:t>
      </w:r>
      <w:r>
        <w:t xml:space="preserve"> :</w:t>
      </w:r>
    </w:p>
    <w:p>
      <w:pPr>
        <w:pStyle w:val="ListBullet"/>
      </w:pPr>
      <w:r>
        <w:t>La prilocaïne passe dans le lait maternel en très faible quantité (ratio lait/plasma = 0,2-0,5).</w:t>
      </w:r>
    </w:p>
    <w:p>
      <w:pPr>
        <w:pStyle w:val="ListBullet"/>
      </w:pPr>
      <w:r>
        <w:t>Compatible avec l'allaitement, y compris après application cutanée ponctuelle.</w:t>
      </w:r>
    </w:p>
    <w:p>
      <w:pPr>
        <w:pStyle w:val="ListBullet"/>
      </w:pPr>
      <w:r>
        <w:t>Pas de suspension de l'allaitement.</w:t>
      </w:r>
    </w:p>
    <w:p>
      <w:r/>
      <w:r>
        <w:rPr>
          <w:b/>
        </w:rPr>
        <w:t>CRAT</w:t>
      </w:r>
      <w:r>
        <w:t xml:space="preserve"> : prilocaïne (EMLA) classée « utilisable pendant la grossesse en application cutanée ponctuelle à dose thérapeutique. Compatible avec l'allaitement ».</w:t>
      </w:r>
    </w:p>
    <w:p>
      <w:pPr>
        <w:pStyle w:val="Heading4"/>
      </w:pPr>
      <w:r>
        <w:t>182.9.1.10 Formes galéniques disponibles</w:t>
      </w:r>
    </w:p>
    <w:p>
      <w:pPr>
        <w:pStyle w:val="ListBullet"/>
      </w:pPr>
      <w:r/>
      <w:r>
        <w:rPr>
          <w:b/>
        </w:rPr>
        <w:t>Crème à 5 % (lidocaïne 2,5 % + prilocaïne 2,5 %)</w:t>
      </w:r>
      <w:r>
        <w:t xml:space="preserve"> en tube de 30 g ou 5 g :</w:t>
      </w:r>
    </w:p>
    <w:p>
      <w:pPr>
        <w:pStyle w:val="ListBullet"/>
      </w:pPr>
      <w:r>
        <w:t>Biomla (Biopharm), B/1 tube 30 g + 1 tube 5 g — princeps national.</w:t>
      </w:r>
    </w:p>
    <w:p>
      <w:pPr>
        <w:pStyle w:val="ListBullet"/>
      </w:pPr>
      <w:r>
        <w:t>Neomla (Neomedic), B/1 tube 30 g.</w:t>
      </w:r>
    </w:p>
    <w:p>
      <w:pPr>
        <w:pStyle w:val="ListBullet"/>
      </w:pPr>
      <w:r>
        <w:t>Anesderm GE 5 % (Pierre Fabre), tube 5 g + 2 pansements adhésifs (non renouvelable).</w:t>
      </w:r>
    </w:p>
    <w:p>
      <w:pPr>
        <w:pStyle w:val="ListBullet"/>
      </w:pPr>
      <w:r>
        <w:t>EMLA 5 % (Astra), tube 5 g (retiré du marché algérien).</w:t>
      </w:r>
    </w:p>
    <w:p>
      <w:pPr>
        <w:pStyle w:val="ListBullet"/>
      </w:pPr>
      <w:r/>
      <w:r>
        <w:rPr>
          <w:b/>
        </w:rPr>
        <w:t>Forme injectable pure</w:t>
      </w:r>
      <w:r>
        <w:t xml:space="preserve"> (Citanest 4 %, Astra) : non disponible en Algérie. La suppléance se fait par la lidocaïne 1-2 % injectable ou la mépivacaïne 3 % dentaire.</w:t>
      </w:r>
    </w:p>
    <w:p>
      <w:pPr>
        <w:pStyle w:val="ListBullet"/>
      </w:pPr>
      <w:r/>
      <w:r>
        <w:rPr>
          <w:b/>
        </w:rPr>
        <w:t>Forme topique muqueuse</w:t>
      </w:r>
      <w:r>
        <w:t xml:space="preserve"> (prilocaïne gel 4 %) : non disponible en Algérie.</w:t>
      </w:r>
    </w:p>
    <w:p>
      <w:r/>
      <w:r>
        <w:rPr>
          <w:b/>
        </w:rPr>
        <w:t>Composition de la crème EMLA</w:t>
      </w:r>
      <w:r>
        <w:t xml:space="preserve"> :</w:t>
      </w:r>
    </w:p>
    <w:p>
      <w:pPr>
        <w:pStyle w:val="ListBullet"/>
      </w:pPr>
      <w:r>
        <w:t>Lidocaïne 25 mg/g (2,5 %).</w:t>
      </w:r>
    </w:p>
    <w:p>
      <w:pPr>
        <w:pStyle w:val="ListBullet"/>
      </w:pPr>
      <w:r>
        <w:t>Prilocaïne 25 mg/g (2,5 %).</w:t>
      </w:r>
    </w:p>
    <w:p>
      <w:pPr>
        <w:pStyle w:val="ListBullet"/>
      </w:pPr>
      <w:r>
        <w:t>Excipients : macrogolglycérides hydroxystéariques (huile de ricin polyoxyéthylénée), carbomère, hydroxyde de sodium (pH 9,4 — alcalinisation nécessaire pour la solubilisation des amides).</w:t>
      </w:r>
    </w:p>
    <w:p>
      <w:r/>
      <w:r>
        <w:rPr>
          <w:b/>
        </w:rPr>
        <w:t>Conservation</w:t>
      </w:r>
      <w:r>
        <w:t xml:space="preserve"> : entre 15 et 25 °C, à l'abri de la lumière. Ne pas congeler. Conservation en tube fermé. Durée de validité : 3 ans. Après première ouverture : 6 mois maximum.</w:t>
      </w:r>
    </w:p>
    <w:p>
      <w:r/>
      <w:r>
        <w:rPr>
          <w:b/>
        </w:rPr>
        <w:t>Particularités algériennes</w:t>
      </w:r>
      <w:r>
        <w:t xml:space="preserve"> :</w:t>
      </w:r>
    </w:p>
    <w:p>
      <w:pPr>
        <w:pStyle w:val="ListBullet"/>
      </w:pPr>
      <w:r>
        <w:t>Le marché algérien de la prilocaïne est exclusivement représenté par la crème EMLA, avec le princeps national Biomla (Biopharm) et le générique Neomla (Neomedic).</w:t>
      </w:r>
    </w:p>
    <w:p>
      <w:pPr>
        <w:pStyle w:val="ListBullet"/>
      </w:pPr>
      <w:r>
        <w:t>La crème Biomla est disponible en tube de 30 g + tube de 5 g, ce qui permet une utilisation prolongée (plusieurs applications) en ambulatoire.</w:t>
      </w:r>
    </w:p>
    <w:p>
      <w:pPr>
        <w:pStyle w:val="ListBullet"/>
      </w:pPr>
      <w:r>
        <w:t>La crème EMLA est délivrée en pharmacie de ville sur prescription médicale (Liste I pour Biomla, Liste II pour Neomla).</w:t>
      </w:r>
    </w:p>
    <w:p>
      <w:pPr>
        <w:pStyle w:val="ListBullet"/>
      </w:pPr>
      <w:r>
        <w:t>Le coût d'un tube de 30 g est d'environ 250-400 DA.</w:t>
      </w:r>
    </w:p>
    <w:p>
      <w:pPr>
        <w:pStyle w:val="Heading4"/>
      </w:pPr>
      <w:r>
        <w:t>182.9.1.11 Conseils au patient</w:t>
      </w:r>
    </w:p>
    <w:p>
      <w:r/>
      <w:r>
        <w:rPr>
          <w:b/>
        </w:rPr>
        <w:t>Avant l'application</w:t>
      </w:r>
      <w:r>
        <w:t xml:space="preserve"> :</w:t>
      </w:r>
    </w:p>
    <w:p>
      <w:pPr>
        <w:pStyle w:val="ListBullet"/>
      </w:pPr>
      <w:r>
        <w:t>Informer le patient de la nature de l'anesthésie (cutanée, sans injection), du délai d'action (60 minutes sous pansement occlusif), de la durée d'efficacité (30-60 minutes après retrait).</w:t>
      </w:r>
    </w:p>
    <w:p>
      <w:pPr>
        <w:pStyle w:val="ListBullet"/>
      </w:pPr>
      <w:r>
        <w:t>Signaler les antécédents : allergie à un anesthésique local (amides), déficit en G6PD, méthémoglobinémie préexistante, traitement par dapsone, nitrites, sulfamides.</w:t>
      </w:r>
    </w:p>
    <w:p>
      <w:pPr>
        <w:pStyle w:val="ListBullet"/>
      </w:pPr>
      <w:r>
        <w:t>Préciser la zone à anesthésier et la durée d'application (60-120 minutes, ne pas dépasser 4 heures).</w:t>
      </w:r>
    </w:p>
    <w:p>
      <w:pPr>
        <w:pStyle w:val="ListBullet"/>
      </w:pPr>
      <w:r>
        <w:t>Vérifier l'intégrité cutanée (pas d'application sur peau lésée, érosion, ulcération sauf indication spécifique).</w:t>
      </w:r>
    </w:p>
    <w:p>
      <w:r/>
      <w:r>
        <w:rPr>
          <w:b/>
        </w:rPr>
        <w:t>Pendant l'application</w:t>
      </w:r>
      <w:r>
        <w:t xml:space="preserve"> :</w:t>
      </w:r>
    </w:p>
    <w:p>
      <w:pPr>
        <w:pStyle w:val="ListBullet"/>
      </w:pPr>
      <w:r>
        <w:t>Appliquer une couche épaisse (1-2 mm d'épaisseur) sur la zone à anesthésier.</w:t>
      </w:r>
    </w:p>
    <w:p>
      <w:pPr>
        <w:pStyle w:val="ListBullet"/>
      </w:pPr>
      <w:r>
        <w:t>Recouvrir d'un pansement occlusif (Tégaderm, OpSite) pour empêcher le séchage et favoriser l'absorption.</w:t>
      </w:r>
    </w:p>
    <w:p>
      <w:pPr>
        <w:pStyle w:val="ListBullet"/>
      </w:pPr>
      <w:r>
        <w:t>Ne pas masser (risque d'absorption systémique excessive).</w:t>
      </w:r>
    </w:p>
    <w:p>
      <w:pPr>
        <w:pStyle w:val="ListBullet"/>
      </w:pPr>
      <w:r>
        <w:t>Ne pas dépasser la dose maximale recommandée.</w:t>
      </w:r>
    </w:p>
    <w:p>
      <w:pPr>
        <w:pStyle w:val="ListBullet"/>
      </w:pPr>
      <w:r>
        <w:t>Surveiller le pansement (en cas de décollement, refixer ou remplacer).</w:t>
      </w:r>
    </w:p>
    <w:p>
      <w:pPr>
        <w:pStyle w:val="ListBullet"/>
      </w:pPr>
      <w:r>
        <w:t>Patient peut vaquer à ses occupations pendant l'application (60-120 minutes).</w:t>
      </w:r>
    </w:p>
    <w:p>
      <w:r/>
      <w:r>
        <w:rPr>
          <w:b/>
        </w:rPr>
        <w:t>Après le retrait</w:t>
      </w:r>
      <w:r>
        <w:t xml:space="preserve"> :</w:t>
      </w:r>
    </w:p>
    <w:p>
      <w:pPr>
        <w:pStyle w:val="ListBullet"/>
      </w:pPr>
      <w:r>
        <w:t>Retirer le pansement et essuyer la crème excédentaire avec une compresse sèche.</w:t>
      </w:r>
    </w:p>
    <w:p>
      <w:pPr>
        <w:pStyle w:val="ListBullet"/>
      </w:pPr>
      <w:r>
        <w:t>Laver la zone au savon doux et sécher.</w:t>
      </w:r>
    </w:p>
    <w:p>
      <w:pPr>
        <w:pStyle w:val="ListBullet"/>
      </w:pPr>
      <w:r>
        <w:t>Le geste peut être réalisé dans les 30-60 minutes suivant le retrait.</w:t>
      </w:r>
    </w:p>
    <w:p>
      <w:pPr>
        <w:pStyle w:val="ListBullet"/>
      </w:pPr>
      <w:r>
        <w:t>Signaler tout signe d'alerte : cyanose (lèvres bleues), dyspnée, maux de tête, vertiges, agitation — possibles signes de méthémoglobinémie.</w:t>
      </w:r>
    </w:p>
    <w:p>
      <w:pPr>
        <w:pStyle w:val="ListBullet"/>
      </w:pPr>
      <w:r>
        <w:t>En cas de signe d'alerte : consulter en urgence (SAMU 14, urgences).</w:t>
      </w:r>
    </w:p>
    <w:p>
      <w:r/>
      <w:r>
        <w:rPr>
          <w:b/>
        </w:rPr>
        <w:t>Conseils spécifiques</w:t>
      </w:r>
      <w:r>
        <w:t xml:space="preserve"> :</w:t>
      </w:r>
    </w:p>
    <w:p>
      <w:pPr>
        <w:pStyle w:val="ListBullet"/>
      </w:pPr>
      <w:r>
        <w:t>Pour l'enfant : appliquer la crème à la maison 60 minutes avant le rendez-vous médical (vaccination, prélèvement), retirer le pansement à l'arrivée au cabinet.</w:t>
      </w:r>
    </w:p>
    <w:p>
      <w:pPr>
        <w:pStyle w:val="ListBullet"/>
      </w:pPr>
      <w:r>
        <w:t>Pour la femme enceinte : application cutanée ponctuelle autorisée au 2e et 3e trimestre.</w:t>
      </w:r>
    </w:p>
    <w:p>
      <w:pPr>
        <w:pStyle w:val="ListBullet"/>
      </w:pPr>
      <w:r>
        <w:t>Pour le patient sous dapsone (pneumocystose, lèpre) : contre-indication relative, préférer lidocaïne injectable.</w:t>
      </w:r>
    </w:p>
    <w:p>
      <w:pPr>
        <w:pStyle w:val="ListBullet"/>
      </w:pPr>
      <w:r>
        <w:t>Pour le patient déficitaire en G6PD : contre-indication absolue.</w:t>
      </w:r>
    </w:p>
    <w:p>
      <w:r/>
      <w:r>
        <w:rPr>
          <w:b/>
        </w:rPr>
        <w:t>Éducation thérapeutique</w:t>
      </w:r>
      <w:r>
        <w:t xml:space="preserve"> :</w:t>
      </w:r>
    </w:p>
    <w:p>
      <w:pPr>
        <w:pStyle w:val="ListBullet"/>
      </w:pPr>
      <w:r>
        <w:t>Éduquer le patient à ne pas appliquer la crème sur une peau lésée sans avis médical.</w:t>
      </w:r>
    </w:p>
    <w:p>
      <w:pPr>
        <w:pStyle w:val="ListBullet"/>
      </w:pPr>
      <w:r>
        <w:t>Éduquer à ne pas dépasser la dose maximale ni la durée d'application.</w:t>
      </w:r>
    </w:p>
    <w:p>
      <w:pPr>
        <w:pStyle w:val="ListBullet"/>
      </w:pPr>
      <w:r>
        <w:t>Information sur les signes de LAST et de méthémoglobinémie.</w:t>
      </w:r>
    </w:p>
    <w:p>
      <w:pPr>
        <w:pStyle w:val="Heading4"/>
      </w:pPr>
      <w:r>
        <w:t>182.9.1.12 Pièges au comptoir — Règles d'or</w:t>
      </w:r>
    </w:p>
    <w:p>
      <w:pPr>
        <w:pStyle w:val="ListNumber"/>
      </w:pPr>
      <w:r/>
      <w:r>
        <w:rPr>
          <w:b/>
        </w:rPr>
        <w:t>Dose maximale à respecter</w:t>
      </w:r>
      <w:r>
        <w:t xml:space="preserve"> : 60 g de crème sur 400 cm² chez l'adulte, 10 g sur 100 cm² chez l'enfant &gt; 3 ans, 2 g sur 20 cm² chez le nourrisson 3-12 mois. Ne pas dépasser la dose maximale ni la surface maximale.</w:t>
      </w:r>
    </w:p>
    <w:p>
      <w:pPr>
        <w:pStyle w:val="ListNumber"/>
      </w:pPr>
      <w:r/>
      <w:r>
        <w:rPr>
          <w:b/>
        </w:rPr>
        <w:t>Durée d'application à respecter</w:t>
      </w:r>
      <w:r>
        <w:t xml:space="preserve"> : 60 minutes minimum, 120 minutes optimale. Ne pas dépasser 4 heures (risque d'absorption systémique excessive et de méthémoglobinémie).</w:t>
      </w:r>
    </w:p>
    <w:p>
      <w:pPr>
        <w:pStyle w:val="ListNumber"/>
      </w:pPr>
      <w:r/>
      <w:r>
        <w:rPr>
          <w:b/>
        </w:rPr>
        <w:t>Pansement occlusif obligatoire</w:t>
      </w:r>
      <w:r>
        <w:t xml:space="preserve"> : sans occlusion, l'anesthésie est incomplète et la durée d'action raccourcie. Utiliser Tégaderm, OpSite ou pansement film polyuréthane.</w:t>
      </w:r>
    </w:p>
    <w:p>
      <w:pPr>
        <w:pStyle w:val="ListNumber"/>
      </w:pPr>
      <w:r/>
      <w:r>
        <w:rPr>
          <w:b/>
        </w:rPr>
        <w:t>Ne pas appliquer sur peau lésée</w:t>
      </w:r>
      <w:r>
        <w:t xml:space="preserve"> (érosion, ulcération, brûlure) sauf indication spécifique (ulcère variqueux, zoster) : risque d'absorption systémique excessive.</w:t>
      </w:r>
    </w:p>
    <w:p>
      <w:pPr>
        <w:pStyle w:val="ListNumber"/>
      </w:pPr>
      <w:r/>
      <w:r>
        <w:rPr>
          <w:b/>
        </w:rPr>
        <w:t>Ne pas appliquer sur l'œil</w:t>
      </w:r>
      <w:r>
        <w:t xml:space="preserve"> (risque de kératite, d'abrasion cornéenne).</w:t>
      </w:r>
    </w:p>
    <w:p>
      <w:pPr>
        <w:pStyle w:val="ListNumber"/>
      </w:pPr>
      <w:r/>
      <w:r>
        <w:rPr>
          <w:b/>
        </w:rPr>
        <w:t>Ne pas appliquer sur le conduit auditif</w:t>
      </w:r>
      <w:r>
        <w:t xml:space="preserve"> en cas de perforation tympanique.</w:t>
      </w:r>
    </w:p>
    <w:p>
      <w:pPr>
        <w:pStyle w:val="ListNumber"/>
      </w:pPr>
      <w:r/>
      <w:r>
        <w:rPr>
          <w:b/>
        </w:rPr>
        <w:t>Application muqueuse génitale</w:t>
      </w:r>
      <w:r>
        <w:t xml:space="preserve"> : délai d'action plus court (5-10 min) et dose plus faible (5-10 g), en raison de la vascularisation muqueuse.</w:t>
      </w:r>
    </w:p>
    <w:p>
      <w:pPr>
        <w:pStyle w:val="ListNumber"/>
      </w:pPr>
      <w:r/>
      <w:r>
        <w:rPr>
          <w:b/>
        </w:rPr>
        <w:t>Contre-indication absolue</w:t>
      </w:r>
      <w:r>
        <w:t xml:space="preserve"> : déficit en G6PD (risque d'hémolyse + méthémoglobinémie sévère).</w:t>
      </w:r>
    </w:p>
    <w:p>
      <w:pPr>
        <w:pStyle w:val="ListNumber"/>
      </w:pPr>
      <w:r/>
      <w:r>
        <w:rPr>
          <w:b/>
        </w:rPr>
        <w:t>Contre-indication relative</w:t>
      </w:r>
      <w:r>
        <w:t xml:space="preserve"> : nourrisson &lt; 3 mois (métabolisme immature), traitement par dapsone ou autres méthémoglobinisants.</w:t>
      </w:r>
    </w:p>
    <w:p>
      <w:pPr>
        <w:pStyle w:val="ListNumber"/>
      </w:pPr>
      <w:r/>
      <w:r>
        <w:rPr>
          <w:b/>
        </w:rPr>
        <w:t>Surveillance après application</w:t>
      </w:r>
      <w:r>
        <w:t xml:space="preserve"> : observer le patient pendant 30 minutes après le geste (en cabinet médical ou en salle d'attente).</w:t>
      </w:r>
    </w:p>
    <w:p>
      <w:pPr>
        <w:pStyle w:val="ListNumber"/>
      </w:pPr>
      <w:r/>
      <w:r>
        <w:rPr>
          <w:b/>
        </w:rPr>
        <w:t>Signes d'alerte de la méthémoglobinémie</w:t>
      </w:r>
      <w:r>
        <w:t xml:space="preserve"> : cyanose centrale, dyspnée, SpO₂ plafonnant à 85 %, maux de tête. En cas de suspicion : consulter en urgence, dosage de la méthémoglobinémie sanguine, bleu de méthylène 1-2 mg/kg IV.</w:t>
      </w:r>
    </w:p>
    <w:p>
      <w:pPr>
        <w:pStyle w:val="ListNumber"/>
      </w:pPr>
      <w:r/>
      <w:r>
        <w:rPr>
          <w:b/>
        </w:rPr>
        <w:t>Signes d'alerte de la LAST</w:t>
      </w:r>
      <w:r>
        <w:t xml:space="preserve"> : paresthésies péribuccales, langue métallique, agitation, convulsions. En cas de suspicion : arrêt de l'application, contrôle des voies aériennes, traitement des convulsions (diazépam IV), émulsion lipidique 20 % en cas de signes cardiaques.</w:t>
      </w:r>
    </w:p>
    <w:p>
      <w:pPr>
        <w:pStyle w:val="ListNumber"/>
      </w:pPr>
      <w:r/>
      <w:r>
        <w:rPr>
          <w:b/>
        </w:rPr>
        <w:t>Ne pas appliquer en même temps que d'autres anesthésiques locaux</w:t>
      </w:r>
      <w:r>
        <w:t xml:space="preserve"> (lidocaïne injectable, bupivacaïne) sans surveillance : effet additif, risque de LAST.</w:t>
      </w:r>
    </w:p>
    <w:p>
      <w:pPr>
        <w:pStyle w:val="ListNumber"/>
      </w:pPr>
      <w:r/>
      <w:r>
        <w:rPr>
          <w:b/>
        </w:rPr>
        <w:t>Conservation</w:t>
      </w:r>
      <w:r>
        <w:t xml:space="preserve"> : entre 15 et 25 °C, à l'abri de la lumière. Ne pas congeler. Tube fermé après chaque utilisation.</w:t>
      </w:r>
    </w:p>
    <w:p>
      <w:pPr>
        <w:pStyle w:val="ListNumber"/>
      </w:pPr>
      <w:r/>
      <w:r>
        <w:rPr>
          <w:b/>
        </w:rPr>
        <w:t>Ne pas réutiliser un tube entamé pour plusieurs patients</w:t>
      </w:r>
      <w:r>
        <w:t xml:space="preserve"> (risque d'infection croisée) en milieu hospitalier ou de soins.</w:t>
      </w:r>
    </w:p>
    <w:p>
      <w:pPr>
        <w:pStyle w:val="Heading2"/>
      </w:pPr>
      <w:r>
        <w:t>182.10 Sous-classe récapitulative — Articaïne</w:t>
      </w:r>
    </w:p>
    <w:p>
      <w:pPr>
        <w:pStyle w:val="Heading3"/>
      </w:pPr>
      <w:r>
        <w:t>182.10.1 Articaïne (amides dentaires)</w:t>
      </w:r>
    </w:p>
    <w:p>
      <w:pPr>
        <w:pStyle w:val="Heading4"/>
      </w:pPr>
      <w:r>
        <w:t>182.10.1.1 Catégories pharmaco-thérapeutiques et indications</w:t>
      </w:r>
    </w:p>
    <w:p>
      <w:pPr>
        <w:pStyle w:val="ListBullet"/>
      </w:pPr>
      <w:r/>
      <w:r>
        <w:rPr>
          <w:b/>
        </w:rPr>
        <w:t>DCI</w:t>
      </w:r>
      <w:r>
        <w:t xml:space="preserve"> : articaïne (chlorhydrate) + adrénaline (tartrate).</w:t>
      </w:r>
    </w:p>
    <w:p>
      <w:pPr>
        <w:pStyle w:val="ListBullet"/>
      </w:pPr>
      <w:r/>
      <w:r>
        <w:rPr>
          <w:b/>
        </w:rPr>
        <w:t>Code ATC</w:t>
      </w:r>
      <w:r>
        <w:t xml:space="preserve"> : N01BB05 (anesthésiques locaux — amides).</w:t>
      </w:r>
    </w:p>
    <w:p>
      <w:pPr>
        <w:pStyle w:val="ListBullet"/>
      </w:pPr>
      <w:r/>
      <w:r>
        <w:rPr>
          <w:b/>
        </w:rPr>
        <w:t>Classification thérapeutique</w:t>
      </w:r>
      <w:r>
        <w:t xml:space="preserve"> : anesthésique local amide de durée intermédiaire à courte (60-90 min en pulpaire), caractérisé par sa structure chimique hybride (amide + ester), à usage quasi-exclusivement odontologique.</w:t>
      </w:r>
    </w:p>
    <w:p>
      <w:pPr>
        <w:pStyle w:val="ListBullet"/>
      </w:pPr>
      <w:r/>
      <w:r>
        <w:rPr>
          <w:b/>
        </w:rPr>
        <w:t>Classe chimique</w:t>
      </w:r>
      <w:r>
        <w:t xml:space="preserve"> : thiophène-amide (3-N-propylamino-2-carbométhoxy-thiophène), amide d'acide thiophène-carboxylique substitué en position 3 par un groupe propylamino. Poids moléculaire 321 Da (sel chlorhydrate). Lipophilie élevée (logP 1,9). L'articaïne est le SEUL anesthésique local comportant un noyau thiophène (au lieu du noyau benzène ou xylidine des autres amides), ce qui lui confère une puissance supérieure.</w:t>
      </w:r>
    </w:p>
    <w:p>
      <w:pPr>
        <w:pStyle w:val="ListBullet"/>
      </w:pPr>
      <w:r/>
      <w:r>
        <w:rPr>
          <w:b/>
        </w:rPr>
        <w:t>Statut réglementaire Algérie</w:t>
      </w:r>
      <w:r>
        <w:t xml:space="preserve"> : Liste I — prescription médicale obligatoire, réservée aux chirurgiens-dentistes et médecins stomatologues.</w:t>
      </w:r>
    </w:p>
    <w:p>
      <w:pPr>
        <w:pStyle w:val="ListBullet"/>
      </w:pPr>
      <w:r/>
      <w:r>
        <w:rPr>
          <w:b/>
        </w:rPr>
        <w:t>Grossesse</w:t>
      </w:r>
      <w:r>
        <w:t xml:space="preserve"> : utilisable au 2e trimestre pour soins dentaires urgents, à dose minimale efficace ; éviter les formes adrénalinées au 1er trimestre par prudence.</w:t>
      </w:r>
    </w:p>
    <w:p>
      <w:r>
        <w:t>Indications principales :</w:t>
      </w:r>
    </w:p>
    <w:p>
      <w:pPr>
        <w:pStyle w:val="ListNumber"/>
      </w:pPr>
      <w:r/>
      <w:r>
        <w:rPr>
          <w:b/>
        </w:rPr>
        <w:t>Anesthésie dentaire adulte et enfant &gt; 4 ans (et &gt; 20 kg)</w:t>
      </w:r>
      <w:r>
        <w:t xml:space="preserve"> :</w:t>
      </w:r>
    </w:p>
    <w:p>
      <w:pPr>
        <w:pStyle w:val="ListBullet"/>
      </w:pPr>
      <w:r>
        <w:t>Anesthésie parodontale (infiltration locale) pour soins conservateurs : carie, pulpite, traitement endodontique.</w:t>
      </w:r>
    </w:p>
    <w:p>
      <w:pPr>
        <w:pStyle w:val="ListBullet"/>
      </w:pPr>
      <w:r>
        <w:t>Bloc alvéolaire inférieur pour anesthésie des dents mandibulaires (incisives, canines, prémolaires, molaires).</w:t>
      </w:r>
    </w:p>
    <w:p>
      <w:pPr>
        <w:pStyle w:val="ListBullet"/>
      </w:pPr>
      <w:r>
        <w:t>Bloc tubérositaire pour anesthésie des molaires maxillaires.</w:t>
      </w:r>
    </w:p>
    <w:p>
      <w:pPr>
        <w:pStyle w:val="ListBullet"/>
      </w:pPr>
      <w:r>
        <w:t>Anesthésie parodontale supérieure pour les dents maxillaires antérieures.</w:t>
      </w:r>
    </w:p>
    <w:p>
      <w:pPr>
        <w:pStyle w:val="ListBullet"/>
      </w:pPr>
      <w:r>
        <w:t>Chirurgie parodontale : avulsion simple, avulsion de dents de sagesse incluses, surfaçage, lambeau.</w:t>
      </w:r>
    </w:p>
    <w:p>
      <w:pPr>
        <w:pStyle w:val="ListBullet"/>
      </w:pPr>
      <w:r>
        <w:t>Chirurgie orthognatique mineure.</w:t>
      </w:r>
    </w:p>
    <w:p>
      <w:pPr>
        <w:pStyle w:val="ListBullet"/>
      </w:pPr>
      <w:r>
        <w:t>Chirurgie apicale (résection apexienne).</w:t>
      </w:r>
    </w:p>
    <w:p>
      <w:pPr>
        <w:pStyle w:val="ListBullet"/>
      </w:pPr>
      <w:r>
        <w:t>Extraction de dents incluses (canines maxillaires, dents de sagesse mésio-angulées ou dystopiques).</w:t>
      </w:r>
    </w:p>
    <w:p>
      <w:pPr>
        <w:pStyle w:val="ListNumber"/>
      </w:pPr>
      <w:r/>
      <w:r>
        <w:rPr>
          <w:b/>
        </w:rPr>
        <w:t>Anesthésie locorégionale maxillo-faciale</w:t>
      </w:r>
      <w:r>
        <w:t xml:space="preserve"> :</w:t>
      </w:r>
    </w:p>
    <w:p>
      <w:pPr>
        <w:pStyle w:val="ListBullet"/>
      </w:pPr>
      <w:r>
        <w:t>Bloc du nerf alvéolaire inférieur.</w:t>
      </w:r>
    </w:p>
    <w:p>
      <w:pPr>
        <w:pStyle w:val="ListBullet"/>
      </w:pPr>
      <w:r>
        <w:t>Bloc du nerf mentonnier.</w:t>
      </w:r>
    </w:p>
    <w:p>
      <w:pPr>
        <w:pStyle w:val="ListBullet"/>
      </w:pPr>
      <w:r>
        <w:t>Bloc du nerf sous-orbitaire.</w:t>
      </w:r>
    </w:p>
    <w:p>
      <w:pPr>
        <w:pStyle w:val="ListBullet"/>
      </w:pPr>
      <w:r>
        <w:t>Bloc du nerf alvéolaire supérieur postérieur.</w:t>
      </w:r>
    </w:p>
    <w:p>
      <w:pPr>
        <w:pStyle w:val="ListNumber"/>
      </w:pPr>
      <w:r/>
      <w:r>
        <w:rPr>
          <w:b/>
        </w:rPr>
        <w:t>Hors AMM</w:t>
      </w:r>
      <w:r>
        <w:t xml:space="preserve"> : blocs tronculaires en chirurgie cutanée courte (rare, en raison de la concentration 4 % et de l'absence de formes pour ALR non dentaire).</w:t>
      </w:r>
    </w:p>
    <w:p>
      <w:pPr>
        <w:pStyle w:val="Heading4"/>
      </w:pPr>
      <w:r>
        <w:t>182.10.1.2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SEPTANEST ADRENALINE 1/200000</w:t>
            </w:r>
          </w:p>
        </w:tc>
        <w:tc>
          <w:tcPr>
            <w:tcW w:type="dxa" w:w="1559"/>
          </w:tcPr>
          <w:p>
            <w:r>
              <w:rPr>
                <w:sz w:val="20"/>
              </w:rPr>
              <w:t>SEPTODENT</w:t>
            </w:r>
          </w:p>
        </w:tc>
        <w:tc>
          <w:tcPr>
            <w:tcW w:type="dxa" w:w="1559"/>
          </w:tcPr>
          <w:p>
            <w:r>
              <w:rPr>
                <w:sz w:val="20"/>
              </w:rPr>
              <w:t>Solution injectable 4 g/0,5 mg/100 mL (articaïne 4 % + adrénaline 1/200 000)</w:t>
            </w:r>
          </w:p>
        </w:tc>
        <w:tc>
          <w:tcPr>
            <w:tcW w:type="dxa" w:w="1559"/>
          </w:tcPr>
          <w:p>
            <w:r>
              <w:rPr>
                <w:sz w:val="20"/>
              </w:rPr>
              <w:t>B/50 cartouches de 1,8 mL</w:t>
            </w:r>
          </w:p>
        </w:tc>
        <w:tc>
          <w:tcPr>
            <w:tcW w:type="dxa" w:w="1559"/>
          </w:tcPr>
          <w:p>
            <w:r>
              <w:rPr>
                <w:sz w:val="20"/>
              </w:rPr>
              <w:t>Liste I</w:t>
            </w:r>
          </w:p>
        </w:tc>
        <w:tc>
          <w:tcPr>
            <w:tcW w:type="dxa" w:w="1559"/>
          </w:tcPr>
          <w:p>
            <w:r>
              <w:rPr>
                <w:sz w:val="20"/>
              </w:rPr>
              <w:t>Non renouvelable</w:t>
            </w:r>
          </w:p>
        </w:tc>
      </w:tr>
      <w:tr>
        <w:tc>
          <w:tcPr>
            <w:tcW w:type="dxa" w:w="1559"/>
          </w:tcPr>
          <w:p>
            <w:r>
              <w:rPr>
                <w:sz w:val="20"/>
              </w:rPr>
              <w:t>ALPHACAINE SP</w:t>
            </w:r>
          </w:p>
        </w:tc>
        <w:tc>
          <w:tcPr>
            <w:tcW w:type="dxa" w:w="1559"/>
          </w:tcPr>
          <w:p>
            <w:r>
              <w:rPr>
                <w:sz w:val="20"/>
              </w:rPr>
              <w:t>DENTSPLAY</w:t>
            </w:r>
          </w:p>
        </w:tc>
        <w:tc>
          <w:tcPr>
            <w:tcW w:type="dxa" w:w="1559"/>
          </w:tcPr>
          <w:p>
            <w:r>
              <w:rPr>
                <w:sz w:val="20"/>
              </w:rPr>
              <w:t>Solution injectable 4 % / 1/100 000 (articaïne + adrénaline 1/100 000)</w:t>
            </w:r>
          </w:p>
        </w:tc>
        <w:tc>
          <w:tcPr>
            <w:tcW w:type="dxa" w:w="1559"/>
          </w:tcPr>
          <w:p>
            <w:r>
              <w:rPr>
                <w:sz w:val="20"/>
              </w:rPr>
              <w:t>B/100 cartouches de 1,8 mL</w:t>
            </w:r>
          </w:p>
        </w:tc>
        <w:tc>
          <w:tcPr>
            <w:tcW w:type="dxa" w:w="1559"/>
          </w:tcPr>
          <w:p>
            <w:r>
              <w:rPr>
                <w:sz w:val="20"/>
              </w:rPr>
              <w:t>Liste I</w:t>
            </w:r>
          </w:p>
        </w:tc>
        <w:tc>
          <w:tcPr>
            <w:tcW w:type="dxa" w:w="1559"/>
          </w:tcPr>
          <w:p>
            <w:r>
              <w:rPr>
                <w:sz w:val="20"/>
              </w:rPr>
              <w:t>Retrait</w:t>
            </w:r>
          </w:p>
        </w:tc>
      </w:tr>
      <w:tr>
        <w:tc>
          <w:tcPr>
            <w:tcW w:type="dxa" w:w="1559"/>
          </w:tcPr>
          <w:p>
            <w:r>
              <w:rPr>
                <w:sz w:val="20"/>
              </w:rPr>
              <w:t>ALPHACAINE N</w:t>
            </w:r>
          </w:p>
        </w:tc>
        <w:tc>
          <w:tcPr>
            <w:tcW w:type="dxa" w:w="1559"/>
          </w:tcPr>
          <w:p>
            <w:r>
              <w:rPr>
                <w:sz w:val="20"/>
              </w:rPr>
              <w:t>DENTSPLAY</w:t>
            </w:r>
          </w:p>
        </w:tc>
        <w:tc>
          <w:tcPr>
            <w:tcW w:type="dxa" w:w="1559"/>
          </w:tcPr>
          <w:p>
            <w:r>
              <w:rPr>
                <w:sz w:val="20"/>
              </w:rPr>
              <w:t>Solution injectable 4 % / 1/200 000 (articaïne + adrénaline 1/200 000)</w:t>
            </w:r>
          </w:p>
        </w:tc>
        <w:tc>
          <w:tcPr>
            <w:tcW w:type="dxa" w:w="1559"/>
          </w:tcPr>
          <w:p>
            <w:r>
              <w:rPr>
                <w:sz w:val="20"/>
              </w:rPr>
              <w:t>B/100 cartouches de 1,8 mL</w:t>
            </w:r>
          </w:p>
        </w:tc>
        <w:tc>
          <w:tcPr>
            <w:tcW w:type="dxa" w:w="1559"/>
          </w:tcPr>
          <w:p>
            <w:r>
              <w:rPr>
                <w:sz w:val="20"/>
              </w:rPr>
              <w:t>Liste I</w:t>
            </w:r>
          </w:p>
        </w:tc>
        <w:tc>
          <w:tcPr>
            <w:tcW w:type="dxa" w:w="1559"/>
          </w:tcPr>
          <w:p>
            <w:r>
              <w:rPr>
                <w:sz w:val="20"/>
              </w:rPr>
              <w:t>Retrait</w:t>
            </w:r>
          </w:p>
        </w:tc>
      </w:tr>
    </w:tbl>
    <w:p/>
    <w:p>
      <w:r>
        <w:t>Le marché algérien de l'articaïne se trouve actuellement dans une situation critique : la seule marque active est Septanest 1/200 000 (Septodont), mais elle est marquée « NON_RENOUVELABLE » dans la nomenclature Avril 2026, ce qui signifie que sa commercialisation future est compromise. Les marques Alphacaïne SP (Dentsply, adrénaline 1/100 000) et Alphacaïne N (Dentsply, adrénaline 1/200 000) sont retirées du marché algérien. Cette indisponibilité progressive de l'articaïne pose un problème pratique majeur pour la pratique dentaire moderne en Algérie, où l'articaïne est considérée comme l'anesthésique local de référence en odontologie selon les recommandations de l'American Dental Association (ADA) et de la Haute Autorité de Santé (HAS). Les praticiens algériens se tournent en pratique vers la mépivacaïne 3 % sans adrénaline (Medicaine, Scandonest) ou 2 % adrénalinée (Medicaine adrénalinée) comme alternative. Le retour de l'articaïne sur le marché algérien est une revendication récurrente des syndicats dentistes (CNOMD — Conseil national de l'ordre des médecins dentistes d'Algérie). Le coût historique d'une boîte de 100 cartouches d'Alphacaïne était d'environ 3000-4000 DA.</w:t>
      </w:r>
    </w:p>
    <w:p>
      <w:r>
        <w:t>Les concentrations disponibles (historiquement) sont :</w:t>
      </w:r>
    </w:p>
    <w:p>
      <w:pPr>
        <w:pStyle w:val="ListBullet"/>
      </w:pPr>
      <w:r/>
      <w:r>
        <w:rPr>
          <w:b/>
        </w:rPr>
        <w:t>4 % avec adrénaline 1/100 000</w:t>
      </w:r>
      <w:r>
        <w:t xml:space="preserve"> (10 µg/mL, soit 18 µg par carpule de 1,8 mL) : formes Alphacaïne SP, indications en chirurgie parodontale hémorragique.</w:t>
      </w:r>
    </w:p>
    <w:p>
      <w:pPr>
        <w:pStyle w:val="ListBullet"/>
      </w:pPr>
      <w:r/>
      <w:r>
        <w:rPr>
          <w:b/>
        </w:rPr>
        <w:t>4 % avec adrénaline 1/200 000</w:t>
      </w:r>
      <w:r>
        <w:t xml:space="preserve"> (5 µg/mL, soit 9 µg par carpule de 1,8 mL) : formes Alphacaïne N, Septanest 1/200 000. Indications en soins conservateurs, précautions chez les cardiopathes.</w:t>
      </w:r>
    </w:p>
    <w:p>
      <w:r>
        <w:t>La concentration 4 % (40 mg/mL) d'articaïne est supérieure à celle de la lidocaïne (2 %) et de la mépivacaïne (3 %), ce qui compense en partie la consommation moindre par cartouche (1,7 mL chez Septanest vs 1,8 mL chez les autres). Contenu par carpule : 72 mg d'articaïne (1,8 mL × 40 mg/mL) ou 68 mg (1,7 mL × 40 mg/mL).</w:t>
      </w:r>
    </w:p>
    <w:p>
      <w:pPr>
        <w:pStyle w:val="Heading4"/>
      </w:pPr>
      <w:r>
        <w:t>182.10.1.3 Mécanisme d'action moléculaire, cellulaire et physiologique</w:t>
      </w:r>
    </w:p>
    <w:p>
      <w:r>
        <w:t>L'articaïne partage avec tous les anesthésiques locaux amides le mécanisme fondamental de blocage des canaux sodiques voltage-dépendants (NaV) au niveau des membranes excitables. Le mécanisme se décline en six niveaux :</w:t>
      </w:r>
    </w:p>
    <w:p>
      <w:r/>
      <w:r>
        <w:rPr>
          <w:b/>
        </w:rPr>
        <w:t>Niveau moléculaire — blocage du canal NaV</w:t>
      </w:r>
      <w:r>
        <w:t xml:space="preserve"> : l'articaïne diffuse à travers la membrane nerveuse sous sa forme liposoluble non ionisée (base libre B), en équilibre pH-dépendant avec sa forme cationique BH+ selon l'équation de Henderson-Hasselbalch (pKa = 7,8, voisin de la lidocaïne). En milieu intracellulaire (pH 7,4), environ 60 % de l'articaïne est sous forme BH+ protonée, pharmacologiquement active. BH+ se fixe à un site spécifique sur la face intracellulaire du canal sodique, au niveau du segment S6 du domaine IV, stabilisant le canal dans sa configuration inactivée. La fixation est use-dependent, ce qui explique l'efficacité préférentielle sur les fibres à forte activité (fibres C et Aδ de la douleur avant les fibres Aα motrices).</w:t>
      </w:r>
    </w:p>
    <w:p>
      <w:r/>
      <w:r>
        <w:rPr>
          <w:b/>
        </w:rPr>
        <w:t>Niveau cellulaire — sélectivité des fibres nerveuses</w:t>
      </w:r>
      <w:r>
        <w:t xml:space="preserve"> : l'articaïne bloque préférentiellement les petites fibres (B, C) avant les grosses fibres (Aα, Aβ). Comparée à la lidocaïne, l'articaïne présente une puissance 1,5 à 2 fois supérieure (en raison de la lipophilie élevée et du noyau thiophène), permettant l'administration de concentrations moindres pour un effet équivalent. L'ordre de blocage classique est respecté : douleur (C) → température (B) → toucher (Aβ) → motricité (Aα).</w:t>
      </w:r>
    </w:p>
    <w:p>
      <w:r/>
      <w:r>
        <w:rPr>
          <w:b/>
        </w:rPr>
        <w:t>Niveau physiologique — onset très rapide et diffusion supérieure</w:t>
      </w:r>
      <w:r>
        <w:t xml:space="preserve"> : l'articaïne se distingue par un onset particulièrement rapide (1-3 minutes pour l'anesthésie pulpaire, contre 5-10 minutes pour la lidocaïne et la mépivacaïne), en raison de : (i) sa lipophilie élevée (logP 1,9) qui facilite la diffusion à travers les gaines nerveuses et les tissus ; (ii) de sa petite taille moléculaire (321 Da, inférieure à la bupivacaïne 324 Da) ; (iii) de la diffusion intra-osseuse supérieure aux autres amides, ce qui permet — particularité odontologique majeure — une anesthésie pulpaire même en cas d'inflammation locale (abcès dentaire, pulpite aiguë), situation où l'inflammation acidose (pH 5-6) ionise les anesthésiques locaux et réduit leur efficacité. Cette propriété est attribuée à la fois à sa liposolubilité élevée et à sa structure thiophène.</w:t>
      </w:r>
    </w:p>
    <w:p>
      <w:r>
        <w:t>La durée d'action est de 60-75 minutes en anesthésie pulpaire (avec adrénaline 1/200 000), 75-90 minutes (avec adrénaline 1/100 000), 180-300 minutes en anesthésie des tissus mous. L'adjonction d'adrénaline est obligatoire pour prolonger la durée d'action et assurer l'hémostase locale.</w:t>
      </w:r>
    </w:p>
    <w:p>
      <w:r/>
      <w:r>
        <w:rPr>
          <w:b/>
        </w:rPr>
        <w:t>Niveau cardiaque — cardiotoxicité modérée</w:t>
      </w:r>
      <w:r>
        <w:t xml:space="preserve"> : l'articaïne présente une cardiotoxicité modérée, comparable à celle de la lidocaïne, en raison de : (i) sa clairance rapide par les carboxylestérases plasmatiques (qui limitent la concentration systémique myocardique) ; (ii) d'une capture pulmonaire modeste. Le rapport cardiotoxicité/neurotoxicité est voisin de 1 (favorable). La dose maximale recommandée est de 7 mg/kg (avec adrénaline), soit 500 mg chez l'adulte sain, soit 7 carpules de 1,8 mL à 4 % (288 mg par carpule de 1,8 mL × 7 = environ 500 mg). L'index thérapeutique est supérieur à celui de la bupivacaïne.</w:t>
      </w:r>
    </w:p>
    <w:p>
      <w:r/>
      <w:r>
        <w:rPr>
          <w:b/>
        </w:rPr>
        <w:t>Niveau métabolique — originalité de l'articaïne (amide + ester)</w:t>
      </w:r>
      <w:r>
        <w:t xml:space="preserve"> : l'articaïne est le seul anesthésique local de structure hybride : amide (liaison amide entre l'acide thiophène-carboxylique et l'amino-propane) ET ester (liaison ester entre l'acide thiophène-carboxylique et le groupe carbométhoxy). Cette double structure lui confère une particularité pharmacocinétique majeure : après absorption systémique, l'articaïne est rapidement hydrolysée par les carboxylestérases plasmatiques (et non par le CYP450 hépatique) au niveau de la liaison ester, en métabolite inactif l'acide articaïnique. Cette voie métabolique courte explique la très courte demi-vie plasmatique de l'articaïne (20-30 minutes, contre 90 minutes pour la lidocaïne et 180 minutes pour la bupivacaïne), et son index thérapeutique élargi. La voie amide est également hydrolysée par le CYP450 hépatique, mais secondairement.</w:t>
      </w:r>
    </w:p>
    <w:p>
      <w:r/>
      <w:r>
        <w:rPr>
          <w:b/>
        </w:rPr>
        <w:t>Niveau vasculaire — effet vasculaire</w:t>
      </w:r>
      <w:r>
        <w:t xml:space="preserve"> : l'articaïne est vasodilatatrice à faible concentration et à forte dose, ce qui accélère son absorption systémique (similaire à la lidocaïne). L'adjonction d'adrénaline (5-10 µg/mL) est donc obligatoire pour prolonger la durée d'action et réduire la Cmax plasmatique.</w:t>
      </w:r>
    </w:p>
    <w:p>
      <w:pPr>
        <w:pStyle w:val="Heading4"/>
      </w:pPr>
      <w:r>
        <w:t>182.10.1.4 Pharmacocinétique (profil PK)</w:t>
      </w:r>
    </w:p>
    <w:p>
      <w:r/>
      <w:r>
        <w:rPr>
          <w:b/>
        </w:rPr>
        <w:t>Absorption</w:t>
      </w:r>
      <w:r>
        <w:t xml:space="preserve"> : l'articaïne est administrée par voie infiltrante locale (infiltration parodontale, bloc tronculaire maxillo-facial). Après infiltration dentaire, la Cmax plasmatique est atteinte en 15-25 minutes. La biodisponibilité systémique est proche de 100 %. La légère vasodilatation intrinsèque accélère l'absorption par rapport à la mépivacaïne (vasoconstrictrice), mais l'adjonction d'adrénaline 1/200 000 ou 1/100 000 compense cet effet et prolonge la durée d'action. L'absorption systémique est diminuée par la vasoconstriction de l'adrénaline.</w:t>
      </w:r>
    </w:p>
    <w:p>
      <w:r/>
      <w:r>
        <w:rPr>
          <w:b/>
        </w:rPr>
        <w:t>Distribution</w:t>
      </w:r>
      <w:r>
        <w:t xml:space="preserve"> : l'articaïne est liée aux protéines plasmatiques à hauteur de 60-80 % (principalement α1-glycoprotéine acide et albumine), un peu moins que la bupivacaïne (95 %). La fraction libre (20-40 %) est pharmacologiquement active. Le volume de distribution à l'équilibre (Vdss) est de 1,5-2 L/kg. La diffusion tissulaire est large : muscle, tissu adipeux, cœur, cerveau (BHE franchie). La diffusion intra-osseuse est supérieure aux autres amides, ce qui explique l'efficacité en anesthésie dentaire même en cas d'inflammation locale. La diffusion transplacentaire est modérée (ratio foeto-maternel 0,5-0,7).</w:t>
      </w:r>
    </w:p>
    <w:p>
      <w:r/>
      <w:r>
        <w:rPr>
          <w:b/>
        </w:rPr>
        <w:t>Métabolisme</w:t>
      </w:r>
      <w:r>
        <w:t xml:space="preserve"> : l'articaïne est principalement métabolisée par les carboxylestérases plasmatiques (et accessoirement par le CYP450 hépatique CYP3A4). Les voies principales sont : (i) hydrolyse de la liaison ester en acide articaïnique (métabolite inactif, principal) ; (ii) hydroxylation du cycle thiophène en métabolites hydroxylés inactifs. Aucun métabolite n'est pharmacologiquement actif. La clairance est très rapide (clairance totale 5-7 L/min, soit 70-100 mL/min/kg), expliquant la très courte demi-vie d'élimination (20-30 minutes).</w:t>
      </w:r>
    </w:p>
    <w:p>
      <w:r/>
      <w:r>
        <w:rPr>
          <w:b/>
        </w:rPr>
        <w:t>Élimination</w:t>
      </w:r>
      <w:r>
        <w:t xml:space="preserve"> : l'élimination est urinaire à 90 %, principalement sous forme de métabolites inactifs (acide articaïnique). Seulement 2-5 % sont excrétés sous forme inchangée. La prilocaïne n'est pas hémodialysable de manière significative en raison de la courte demi-vie. En cas d'insuffisance rénale sévère, une accumulation des métabolites est possible, mais le risque clinique est faible en raison de leur inactivité pharmacologique.</w:t>
      </w:r>
    </w:p>
    <w:p>
      <w:r/>
      <w:r>
        <w:rPr>
          <w:b/>
        </w:rPr>
        <w:t>Linéarité</w:t>
      </w:r>
      <w:r>
        <w:t xml:space="preserve"> : la pharmacocinétique est linéaire aux doses thérapeutiques. À dose toxique, la saturation des protéines plasmatiques et du métabolisme hépatique (mais pas des carboxylestérases plasmatiques, qui restent opérantes) entraîne une élévation modeste des concentrations, sans毒性 cumulative majeure.</w:t>
      </w:r>
    </w:p>
    <w:p>
      <w:r/>
      <w:r>
        <w:rPr>
          <w:b/>
        </w:rPr>
        <w:t>Monitorage</w:t>
      </w:r>
      <w:r>
        <w:t xml:space="preserve"> : pas de STP systématique. Dose maximale recommandée : 7 mg/kg avec adrénaline, soit 500 mg chez l'adulte sain. En pratique dentaire, une carpule de 1,8 mL à 4 % contient 72 mg d'articaïne, soit 14 % de la dose maximale — autorisant 7 carpules maximum par séance chez l'adulte. La dose doit être réduite chez l'enfant (5 mg/kg), le sujet âgé, l'insuffisant hépatique (-25 %) et l'insuffisant rénal sévère (-25 %).</w:t>
      </w:r>
    </w:p>
    <w:p>
      <w:pPr>
        <w:pStyle w:val="Heading4"/>
      </w:pPr>
      <w:r>
        <w:t>182.10.1.5 Indications thérapeutiques</w:t>
      </w:r>
    </w:p>
    <w:p>
      <w:r>
        <w:t>Les indications de l'articaïne sont essentiellement odontologiques :</w:t>
      </w:r>
    </w:p>
    <w:p>
      <w:pPr>
        <w:pStyle w:val="ListNumber"/>
      </w:pPr>
      <w:r/>
      <w:r>
        <w:rPr>
          <w:b/>
        </w:rPr>
        <w:t>Soins dentaires conservateurs</w:t>
      </w:r>
      <w:r>
        <w:t xml:space="preserve"> :</w:t>
      </w:r>
    </w:p>
    <w:p>
      <w:pPr>
        <w:pStyle w:val="ListBullet"/>
      </w:pPr>
      <w:r>
        <w:t>Traitement des caries profondes (en évitant la pulpite).</w:t>
      </w:r>
    </w:p>
    <w:p>
      <w:pPr>
        <w:pStyle w:val="ListBullet"/>
      </w:pPr>
      <w:r>
        <w:t>Traitement endodontique (pulpectomie, traitement de canal, dévitalisation).</w:t>
      </w:r>
    </w:p>
    <w:p>
      <w:pPr>
        <w:pStyle w:val="ListBullet"/>
      </w:pPr>
      <w:r>
        <w:t>Pulpite aiguë ou chronique (en raison de l'efficacité supérieure de l'articaïne en milieu acide).</w:t>
      </w:r>
    </w:p>
    <w:p>
      <w:pPr>
        <w:pStyle w:val="ListBullet"/>
      </w:pPr>
      <w:r>
        <w:t>Coiffage pulpaire indirect ou direct.</w:t>
      </w:r>
    </w:p>
    <w:p>
      <w:pPr>
        <w:pStyle w:val="ListNumber"/>
      </w:pPr>
      <w:r/>
      <w:r>
        <w:rPr>
          <w:b/>
        </w:rPr>
        <w:t>Chirurgie parodontale</w:t>
      </w:r>
      <w:r>
        <w:t xml:space="preserve"> :</w:t>
      </w:r>
    </w:p>
    <w:p>
      <w:pPr>
        <w:pStyle w:val="ListBullet"/>
      </w:pPr>
      <w:r>
        <w:t>Avulsion simple (extraction dentaire) : dent monoradiculée, dent pluriradiculée.</w:t>
      </w:r>
    </w:p>
    <w:p>
      <w:pPr>
        <w:pStyle w:val="ListBullet"/>
      </w:pPr>
      <w:r>
        <w:t>Avulsion de dents de sagesse incluses ou semi-incluses (méthio-angulées, verticales, disto-angulées, mésio-versées).</w:t>
      </w:r>
    </w:p>
    <w:p>
      <w:pPr>
        <w:pStyle w:val="ListBullet"/>
      </w:pPr>
      <w:r>
        <w:t>Avulsion de dents incluses (canines maxillaires, incisives surnuméraires).</w:t>
      </w:r>
    </w:p>
    <w:p>
      <w:pPr>
        <w:pStyle w:val="ListBullet"/>
      </w:pPr>
      <w:r>
        <w:t>Surfaçage sous-gingival avec lambeau.</w:t>
      </w:r>
    </w:p>
    <w:p>
      <w:pPr>
        <w:pStyle w:val="ListBullet"/>
      </w:pPr>
      <w:r>
        <w:t>Chirurgie de régénération osseuse parodontale.</w:t>
      </w:r>
    </w:p>
    <w:p>
      <w:pPr>
        <w:pStyle w:val="ListBullet"/>
      </w:pPr>
      <w:r>
        <w:t>Greffes osseuses, greffes gingivales.</w:t>
      </w:r>
    </w:p>
    <w:p>
      <w:pPr>
        <w:pStyle w:val="ListBullet"/>
      </w:pPr>
      <w:r>
        <w:t>Couronnement clinique (allongement coronaire).</w:t>
      </w:r>
    </w:p>
    <w:p>
      <w:pPr>
        <w:pStyle w:val="ListBullet"/>
      </w:pPr>
      <w:r>
        <w:t>Frenectomie (frein de langue, frein labial).</w:t>
      </w:r>
    </w:p>
    <w:p>
      <w:pPr>
        <w:pStyle w:val="ListNumber"/>
      </w:pPr>
      <w:r/>
      <w:r>
        <w:rPr>
          <w:b/>
        </w:rPr>
        <w:t>Chirurgie apicale</w:t>
      </w:r>
      <w:r>
        <w:t xml:space="preserve"> :</w:t>
      </w:r>
    </w:p>
    <w:p>
      <w:pPr>
        <w:pStyle w:val="ListBullet"/>
      </w:pPr>
      <w:r>
        <w:t>Résection apexienne (apicectomie).</w:t>
      </w:r>
    </w:p>
    <w:p>
      <w:pPr>
        <w:pStyle w:val="ListBullet"/>
      </w:pPr>
      <w:r>
        <w:t>Curetage apical (kyste péri-apical, granulome).</w:t>
      </w:r>
    </w:p>
    <w:p>
      <w:pPr>
        <w:pStyle w:val="ListNumber"/>
      </w:pPr>
      <w:r/>
      <w:r>
        <w:rPr>
          <w:b/>
        </w:rPr>
        <w:t>Chirurgie orthognatique mineure</w:t>
      </w:r>
      <w:r>
        <w:t xml:space="preserve"> :</w:t>
      </w:r>
    </w:p>
    <w:p>
      <w:pPr>
        <w:pStyle w:val="ListBullet"/>
      </w:pPr>
      <w:r>
        <w:t>Ostéotomie segmentaire (Le Fort I segmentaire, Segond).</w:t>
      </w:r>
    </w:p>
    <w:p>
      <w:pPr>
        <w:pStyle w:val="ListBullet"/>
      </w:pPr>
      <w:r>
        <w:t>Chin osteotomy (génioplastie).</w:t>
      </w:r>
    </w:p>
    <w:p>
      <w:pPr>
        <w:pStyle w:val="ListNumber"/>
      </w:pPr>
      <w:r/>
      <w:r>
        <w:rPr>
          <w:b/>
        </w:rPr>
        <w:t>Soins dentaires chez l'enfant &gt; 4 ans</w:t>
      </w:r>
      <w:r>
        <w:t xml:space="preserve"> :</w:t>
      </w:r>
    </w:p>
    <w:p>
      <w:pPr>
        <w:pStyle w:val="ListBullet"/>
      </w:pPr>
      <w:r>
        <w:t>Soins conservateurs (carie, pulpite).</w:t>
      </w:r>
    </w:p>
    <w:p>
      <w:pPr>
        <w:pStyle w:val="ListBullet"/>
      </w:pPr>
      <w:r>
        <w:t>Extractions de dents temporaires (en cas de retention, de carie profunde non restaurable).</w:t>
      </w:r>
    </w:p>
    <w:p>
      <w:pPr>
        <w:pStyle w:val="ListBullet"/>
      </w:pPr>
      <w:r>
        <w:t>Avulsion de dents de sagesse en bas âge (préventive).</w:t>
      </w:r>
    </w:p>
    <w:p>
      <w:pPr>
        <w:pStyle w:val="ListNumber"/>
      </w:pPr>
      <w:r/>
      <w:r>
        <w:rPr>
          <w:b/>
        </w:rPr>
        <w:t>Soins dentaires chez le patient à risque</w:t>
      </w:r>
      <w:r>
        <w:t xml:space="preserve"> :</w:t>
      </w:r>
    </w:p>
    <w:p>
      <w:pPr>
        <w:pStyle w:val="ListBullet"/>
      </w:pPr>
      <w:r>
        <w:t>Diabétique équilibré (en respectant les règles de préparation : antibioprophylaxie si indication, contrôle glycémique préalable).</w:t>
      </w:r>
    </w:p>
    <w:p>
      <w:pPr>
        <w:pStyle w:val="ListBullet"/>
      </w:pPr>
      <w:r>
        <w:t>Patient sous anticoagulant (AVK, AOD) : surveillance du saignement, sutures hémostatiques.</w:t>
      </w:r>
    </w:p>
    <w:p>
      <w:pPr>
        <w:pStyle w:val="ListBullet"/>
      </w:pPr>
      <w:r>
        <w:t>Femme enceinte (2e trimestre) : forme à 1/200 000 adrénaline, dose minimale efficace.</w:t>
      </w:r>
    </w:p>
    <w:p>
      <w:pPr>
        <w:pStyle w:val="ListNumber"/>
      </w:pPr>
      <w:r/>
      <w:r>
        <w:rPr>
          <w:b/>
        </w:rPr>
        <w:t>Blocs tronculaires maxillo-facial</w:t>
      </w:r>
      <w:r>
        <w:t xml:space="preserve"> :</w:t>
      </w:r>
    </w:p>
    <w:p>
      <w:pPr>
        <w:pStyle w:val="ListBullet"/>
      </w:pPr>
      <w:r>
        <w:t>Bloc alvéolaire inférieur (à l'épine de Spix) : anesthésie des dents mandibulaires, de la lèvre inférieure et du menton homolatéraux.</w:t>
      </w:r>
    </w:p>
    <w:p>
      <w:pPr>
        <w:pStyle w:val="ListBullet"/>
      </w:pPr>
      <w:r>
        <w:t>Bloc alvéolaire supérieur postérieur (à la tubérosité) : anesthésie des molaires maxillaires.</w:t>
      </w:r>
    </w:p>
    <w:p>
      <w:pPr>
        <w:pStyle w:val="ListBullet"/>
      </w:pPr>
      <w:r>
        <w:t>Bloc mentonnier (au foramen mentonnier) : anesthésie de la lèvre inférieure et des prémolaires incisives mandibulaires.</w:t>
      </w:r>
    </w:p>
    <w:p>
      <w:pPr>
        <w:pStyle w:val="ListBullet"/>
      </w:pPr>
      <w:r>
        <w:t>Bloc sous-orbitaire (au foramen sous-orbitaire) : anesthésie de la lèvre supérieure, de l'aile du nez, des incisives canines maxillaires.</w:t>
      </w:r>
    </w:p>
    <w:p>
      <w:pPr>
        <w:pStyle w:val="Heading4"/>
      </w:pPr>
      <w:r>
        <w:t>182.10.1.6 Posologie et mode d'administration</w:t>
      </w:r>
    </w:p>
    <w:p>
      <w:r/>
      <w:r>
        <w:rPr>
          <w:b/>
        </w:rPr>
        <w:t>Anesthésie dentaire adulte</w:t>
      </w:r>
      <w:r>
        <w:t xml:space="preserve"> :</w:t>
      </w:r>
    </w:p>
    <w:p>
      <w:pPr>
        <w:pStyle w:val="ListBullet"/>
      </w:pPr>
      <w:r>
        <w:t>Articaïne 4 % adrénaline 1/200 000 (Septanest) : 1-2 carpules (1,8-3,6 mL = 72-144 mg d'articaïne) par séance, dose maximale 7 carpules (500 mg d'articaïne).</w:t>
      </w:r>
    </w:p>
    <w:p>
      <w:pPr>
        <w:pStyle w:val="ListBullet"/>
      </w:pPr>
      <w:r>
        <w:t>Articaïne 4 % adrénaline 1/100 000 (Alphacaïne SP, retirée) : 1-2 carpules par séance, dose maximale 7 carpules (500 mg).</w:t>
      </w:r>
    </w:p>
    <w:p>
      <w:pPr>
        <w:pStyle w:val="ListBullet"/>
      </w:pPr>
      <w:r>
        <w:t>Aspiration systématique avant injection (risque d'injection intravasculaire).</w:t>
      </w:r>
    </w:p>
    <w:p>
      <w:pPr>
        <w:pStyle w:val="ListBullet"/>
      </w:pPr>
      <w:r>
        <w:t>Injection lente (1 mL/30 secondes) pour réduire la douleur à l'injection et le risque d'embolie systémique.</w:t>
      </w:r>
    </w:p>
    <w:p>
      <w:r/>
      <w:r>
        <w:rPr>
          <w:b/>
        </w:rPr>
        <w:t>Anesthésie dentaire enfant &gt; 4 ans (et &gt; 20 kg)</w:t>
      </w:r>
      <w:r>
        <w:t xml:space="preserve"> :</w:t>
      </w:r>
    </w:p>
    <w:p>
      <w:pPr>
        <w:pStyle w:val="ListBullet"/>
      </w:pPr>
      <w:r>
        <w:t>Articaïne 4 % adrénaline 1/200 000 : 0,5-1 carpule par séance, dose maximale 5 mg/kg, sans dépasser 2 carpules chez l'enfant &lt; 30 kg.</w:t>
      </w:r>
    </w:p>
    <w:p>
      <w:pPr>
        <w:pStyle w:val="ListBullet"/>
      </w:pPr>
      <w:r>
        <w:t>Chez l'enfant coronarien ou asthmatique sévère : préférer la mépivacaïne 3 % sans adrénaline.</w:t>
      </w:r>
    </w:p>
    <w:p>
      <w:r/>
      <w:r>
        <w:rPr>
          <w:b/>
        </w:rPr>
        <w:t>Bloc tronculaire maxillo-facial</w:t>
      </w:r>
      <w:r>
        <w:t xml:space="preserve"> :</w:t>
      </w:r>
    </w:p>
    <w:p>
      <w:pPr>
        <w:pStyle w:val="ListBullet"/>
      </w:pPr>
      <w:r>
        <w:t>Bloc alvéolaire inférieur : 1,5 mL d'articaïne 4 % adrénaline 1/200 000 (60 mg) à l'épine de Spix.</w:t>
      </w:r>
    </w:p>
    <w:p>
      <w:pPr>
        <w:pStyle w:val="ListBullet"/>
      </w:pPr>
      <w:r>
        <w:t>Bloc alvéolaire supérieur postérieur : 0,5-1 mL d'articaïne 4 % adrénaline 1/200 000 (20-40 mg) à la tubérosité maxillaire.</w:t>
      </w:r>
    </w:p>
    <w:p>
      <w:pPr>
        <w:pStyle w:val="ListBullet"/>
      </w:pPr>
      <w:r>
        <w:t>Bloc mentonnier : 0,5 mL d'articaïne 4 % adrénaline 1/200 000 (20 mg) au foramen mentonnier.</w:t>
      </w:r>
    </w:p>
    <w:p>
      <w:pPr>
        <w:pStyle w:val="ListBullet"/>
      </w:pPr>
      <w:r>
        <w:t>Bloc sous-orbitaire : 0,5 mL d'articaïne 4 % adrénaline 1/200 000 (20 mg) au foramen sous-orbitaire.</w:t>
      </w:r>
    </w:p>
    <w:p>
      <w:r/>
      <w:r>
        <w:rPr>
          <w:b/>
        </w:rPr>
        <w:t>Infiltration parodontale supérieure (anesthésie locale)</w:t>
      </w:r>
      <w:r>
        <w:t xml:space="preserve"> :</w:t>
      </w:r>
    </w:p>
    <w:p>
      <w:pPr>
        <w:pStyle w:val="ListBullet"/>
      </w:pPr>
      <w:r>
        <w:t>Adulte : 0,5-1 mL par site (20-40 mg).</w:t>
      </w:r>
    </w:p>
    <w:p>
      <w:pPr>
        <w:pStyle w:val="ListBullet"/>
      </w:pPr>
      <w:r>
        <w:t>Dose maximale : 7 mg/kg, soit 500 mg chez l'adulte sain de 70 kg.</w:t>
      </w:r>
    </w:p>
    <w:p>
      <w:r/>
      <w:r>
        <w:rPr>
          <w:b/>
        </w:rPr>
        <w:t>Doses maximales récapitulatives</w:t>
      </w:r>
      <w:r>
        <w:t xml:space="preserve"> :</w:t>
      </w:r>
    </w:p>
    <w:p>
      <w:pPr>
        <w:pStyle w:val="ListBullet"/>
      </w:pPr>
      <w:r>
        <w:t>Adulte sain : 7 mg/kg avec adrénaline, soit 500 mg (7 carpules de 1,8 mL à 4 %).</w:t>
      </w:r>
    </w:p>
    <w:p>
      <w:pPr>
        <w:pStyle w:val="ListBullet"/>
      </w:pPr>
      <w:r>
        <w:t>Enfant &gt; 4 ans : 5 mg/kg avec adrénaline.</w:t>
      </w:r>
    </w:p>
    <w:p>
      <w:pPr>
        <w:pStyle w:val="ListBullet"/>
      </w:pPr>
      <w:r>
        <w:t>Sujet âgé, insuffisant hépatique : réduire de 25 %.</w:t>
      </w:r>
    </w:p>
    <w:p>
      <w:pPr>
        <w:pStyle w:val="ListBullet"/>
      </w:pPr>
      <w:r>
        <w:t>Insuffisant rénal sévère : réduire de 25 %.</w:t>
      </w:r>
    </w:p>
    <w:p>
      <w:pPr>
        <w:pStyle w:val="ListBullet"/>
      </w:pPr>
      <w:r>
        <w:t>Enfant &lt; 4 ans ou &lt; 20 kg : contre-indication relative (préférer lidocaïne 1 % adrénalinée).</w:t>
      </w:r>
    </w:p>
    <w:p>
      <w:r/>
      <w:r>
        <w:rPr>
          <w:b/>
        </w:rPr>
        <w:t>Voie IV strictement interdite</w:t>
      </w:r>
      <w:r>
        <w:t xml:space="preserve"> (risque de convulsions, arrêt cardiaque).</w:t>
      </w:r>
    </w:p>
    <w:p>
      <w:r/>
      <w:r>
        <w:rPr>
          <w:b/>
        </w:rPr>
        <w:t>Voie péridurale strictement contre-indiquée</w:t>
      </w:r>
      <w:r>
        <w:t xml:space="preserve"> (forme exclusivement dentaire).</w:t>
      </w:r>
    </w:p>
    <w:p>
      <w:pPr>
        <w:pStyle w:val="Heading4"/>
      </w:pPr>
      <w:r>
        <w:t>182.10.1.7 Effets indésirables et prévention</w:t>
      </w:r>
    </w:p>
    <w:p>
      <w:r/>
      <w:r>
        <w:rPr>
          <w:b/>
        </w:rPr>
        <w:t>Effets indésirables locaux fréquents (&gt; 10 %)</w:t>
      </w:r>
      <w:r>
        <w:t xml:space="preserve"> :</w:t>
      </w:r>
    </w:p>
    <w:p>
      <w:pPr>
        <w:pStyle w:val="ListBullet"/>
      </w:pPr>
      <w:r/>
      <w:r>
        <w:rPr>
          <w:b/>
        </w:rPr>
        <w:t>Douleur à l'injection</w:t>
      </w:r>
      <w:r>
        <w:t xml:space="preserve"> : 20-30 % des patients. Prévention : injection lente (1 mL/30 s), réchauffement de la solution à 37 °C, utilisation d'une aiguille fine (27 G ou 30 G), application préalable de gel anesthésique topique (lidocaïne 2 % gel) sur la muqueuse.</w:t>
      </w:r>
    </w:p>
    <w:p>
      <w:pPr>
        <w:pStyle w:val="ListBullet"/>
      </w:pPr>
      <w:r/>
      <w:r>
        <w:rPr>
          <w:b/>
        </w:rPr>
        <w:t>Hématome au point d'injection</w:t>
      </w:r>
      <w:r>
        <w:t xml:space="preserve"> : 5-10 %, en particulier au palais et à la tubérosité maxillaire. Prévention : aspiration systématique, compression digitale pendant 2 minutes après injection.</w:t>
      </w:r>
    </w:p>
    <w:p>
      <w:pPr>
        <w:pStyle w:val="ListBullet"/>
      </w:pPr>
      <w:r/>
      <w:r>
        <w:rPr>
          <w:b/>
        </w:rPr>
        <w:t>Paralysie faciale transitoire</w:t>
      </w:r>
      <w:r>
        <w:t xml:space="preserve"> : 1-3 % après bloc alvéolaire inférieur (injection trop haute dans la parotide, diffusion au nerf facial). Récupération spontanée en 1-3 heures. Prévention : respecter le repère anatomique (épine de Spix), aspiration systématique.</w:t>
      </w:r>
    </w:p>
    <w:p>
      <w:pPr>
        <w:pStyle w:val="ListBullet"/>
      </w:pPr>
      <w:r/>
      <w:r>
        <w:rPr>
          <w:b/>
        </w:rPr>
        <w:t>Trismus</w:t>
      </w:r>
      <w:r>
        <w:t xml:space="preserve"> : 1-5 % après bloc alvéolaire inférieur (hématome du muscle ptérygoïdien médial). Spontanément résolutif en 2-5 jours.</w:t>
      </w:r>
    </w:p>
    <w:p>
      <w:pPr>
        <w:pStyle w:val="ListBullet"/>
      </w:pPr>
      <w:r/>
      <w:r>
        <w:rPr>
          <w:b/>
        </w:rPr>
        <w:t>Lésion nerveuse</w:t>
      </w:r>
      <w:r>
        <w:t xml:space="preserve"> : 1/10 000, en particulier du nerf lingual (bloc alvéolaire inférieur) ou du nerf alvéolaire inférieur (bloc alvéolaire inférieur). Mécanisme : neurotoxicité directe de l'articaïne 4 % (concentration élevée) ou traumatique (aiguille). Récupération spontanée en quelques semaines à quelques mois ; permanent dans 1/100 000 cas. L'articaïne 4 % a été incriminée dans plusieurs publications pour un risque accru de neuropathie du nerf lingual, par rapport à la lidocaïne 2 % ou la mépivacaïne 3 %, en raison de sa concentration élevée (4 %). Prévention : éviter les injections intraneurales, ne pas réinjecter en cas de paresthésie pendant la pose.</w:t>
      </w:r>
    </w:p>
    <w:p>
      <w:r/>
      <w:r>
        <w:rPr>
          <w:b/>
        </w:rPr>
        <w:t>Effets indésirables systémiques — LAST</w:t>
      </w:r>
      <w:r>
        <w:t xml:space="preserve"> :</w:t>
      </w:r>
    </w:p>
    <w:p>
      <w:pPr>
        <w:pStyle w:val="ListBullet"/>
      </w:pPr>
      <w:r>
        <w:t>Signes précoces (prémonitoires) : circumoral paresthésies, langue métallique, acouphènes, agitation, confusion.</w:t>
      </w:r>
    </w:p>
    <w:p>
      <w:pPr>
        <w:pStyle w:val="ListBullet"/>
      </w:pPr>
      <w:r>
        <w:t>Signes neurologiques majeurs : tremblements, fasciculations, convulsions tonico-cloniques généralisées, coma, dépression respiratoire.</w:t>
      </w:r>
    </w:p>
    <w:p>
      <w:pPr>
        <w:pStyle w:val="ListBullet"/>
      </w:pPr>
      <w:r>
        <w:t>Signes cardiovasculaires : allongement du QT, bloc AV, hypotension, bradycardie, rarement arrêt cardiaque.</w:t>
      </w:r>
    </w:p>
    <w:p>
      <w:pPr>
        <w:pStyle w:val="ListBullet"/>
      </w:pPr>
      <w:r>
        <w:t>Incidence : 1/10 000 à 1/5000 infiltrations dentaires. Le profil de toxicité est comparable à la lidocaïne.</w:t>
      </w:r>
    </w:p>
    <w:p>
      <w:pPr>
        <w:pStyle w:val="ListBullet"/>
      </w:pPr>
      <w:r>
        <w:t>Prise en charge : arrêt de l'injection, contrôle des voies aériennes, traitement des convulsions (diazépam 5-10 mg IV ou midazolam 1-2 mg IV), émulsion lipidique 20 % (Intralipide) en cas de signes cardiaques : bolus 1,5 mL/kg en 1 minute, perfusion 0,25 mL/kg/min pendant 10 minutes.</w:t>
      </w:r>
    </w:p>
    <w:p>
      <w:r/>
      <w:r>
        <w:rPr>
          <w:b/>
        </w:rPr>
        <w:t>Allergie</w:t>
      </w:r>
      <w:r>
        <w:t xml:space="preserve"> : très rare (&lt; 1/10 000) avec les amides. Toutefois, l'articaïne peut provoquer des réactions allergiques par son métabolite acide articaïnique (qui contient un groupement sulfonyl-thiophène pouvant être immunogène). Diagnostic : tests cutanés (prick-test, intradermoréaction) par allergologue. En cas d'allergie prouvée à l'articaïne, contre-indication de tous les amides (réaction croisée possible) ou utilisation d'esters (procaine, chloroprocaïne).</w:t>
      </w:r>
    </w:p>
    <w:p>
      <w:r/>
      <w:r>
        <w:rPr>
          <w:b/>
        </w:rPr>
        <w:t>Effets indésirables spécifiques de l'adrénaline</w:t>
      </w:r>
      <w:r>
        <w:t xml:space="preserve"> :</w:t>
      </w:r>
    </w:p>
    <w:p>
      <w:pPr>
        <w:pStyle w:val="ListBullet"/>
      </w:pPr>
      <w:r>
        <w:t>Tachycardie, palpitations : 5-10 %.</w:t>
      </w:r>
    </w:p>
    <w:p>
      <w:pPr>
        <w:pStyle w:val="ListBullet"/>
      </w:pPr>
      <w:r>
        <w:t>Hypertension paroxystique : en cas d'injection intravasculaire accidentelle.</w:t>
      </w:r>
    </w:p>
    <w:p>
      <w:pPr>
        <w:pStyle w:val="ListBullet"/>
      </w:pPr>
      <w:r>
        <w:t>Crise hypertensive sévère : en association avec IMAO non sélectif.</w:t>
      </w:r>
    </w:p>
    <w:p>
      <w:pPr>
        <w:pStyle w:val="ListBullet"/>
      </w:pPr>
      <w:r>
        <w:t>Angor et trouble du rythme : en cas de cardiopathie ischémique sévère.</w:t>
      </w:r>
    </w:p>
    <w:p>
      <w:r/>
      <w:r>
        <w:rPr>
          <w:b/>
        </w:rPr>
        <w:t>Effets de l'adrénaline chez l'enfant</w:t>
      </w:r>
      <w:r>
        <w:t xml:space="preserve"> : sensibilité accrue (tachycardie, angoisse, insomnie). Préférer la mépivacaïne 3 % sans adrénaline chez l'enfant anxieux ou cardiopathe.</w:t>
      </w:r>
    </w:p>
    <w:p>
      <w:r/>
      <w:r>
        <w:rPr>
          <w:b/>
        </w:rPr>
        <w:t>Œdème local</w:t>
      </w:r>
      <w:r>
        <w:t xml:space="preserve"> : 1-5 %, par réaction histaminique locale ou allergique.</w:t>
      </w:r>
    </w:p>
    <w:p>
      <w:r/>
      <w:r>
        <w:rPr>
          <w:b/>
        </w:rPr>
        <w:t>Nécrose tissulaire</w:t>
      </w:r>
      <w:r>
        <w:t xml:space="preserve"> : rare, par vasoconstriction excessive de l'adrénaline au niveau du palais ou des extrémités. Prévention : ne pas utiliser l'adrénaline en injection dans les régions à vascularisation terminale (palais, doigts, orteils).</w:t>
      </w:r>
    </w:p>
    <w:p>
      <w:pPr>
        <w:pStyle w:val="Heading4"/>
      </w:pPr>
      <w:r>
        <w:t>182.10.1.8 Interactions médicamenteuses</w:t>
      </w:r>
    </w:p>
    <w:p>
      <w:r/>
      <w:r>
        <w:rPr>
          <w:b/>
        </w:rPr>
        <w:t>Interactions pharmacodynamiques</w:t>
      </w:r>
      <w:r>
        <w:t xml:space="preserve"> :</w:t>
      </w:r>
    </w:p>
    <w:p>
      <w:pPr>
        <w:pStyle w:val="ListBullet"/>
      </w:pPr>
      <w:r/>
      <w:r>
        <w:rPr>
          <w:b/>
        </w:rPr>
        <w:t>Bêta-bloquants non sélectifs</w:t>
      </w:r>
      <w:r>
        <w:t xml:space="preserve"> (propranolol, sotalol, labétalol) : potentialisation de l'effet hypertensif de l'adrénaline (effet α prédominant en l'absence de blocage β2 vasodilatateur). Risque d'hypertension paroxystique, de bradycardie réflexe sévère. Préférer la mépivacaïne 3 % sans adrénaline.</w:t>
      </w:r>
    </w:p>
    <w:p>
      <w:pPr>
        <w:pStyle w:val="ListBullet"/>
      </w:pPr>
      <w:r/>
      <w:r>
        <w:rPr>
          <w:b/>
        </w:rPr>
        <w:t>Antidépresseurs tricycliques</w:t>
      </w:r>
      <w:r>
        <w:t xml:space="preserve"> (imipramine, clomipramine, amitriptyline) : potentialisation de l'effet de l'adrénaline (inhibition de la recapture neuronale). Réduire les doses d'adrénaline à 1/200 000 (forme Septanest).</w:t>
      </w:r>
    </w:p>
    <w:p>
      <w:pPr>
        <w:pStyle w:val="ListBullet"/>
      </w:pPr>
      <w:r/>
      <w:r>
        <w:rPr>
          <w:b/>
        </w:rPr>
        <w:t>IMAO non sélectifs</w:t>
      </w:r>
      <w:r>
        <w:t xml:space="preserve"> (iproniazide) : CONTRE-INDICATION à l'adrénaline (crise hypertensive). Préférer mépivacaïne 3 % sans adrénaline.</w:t>
      </w:r>
    </w:p>
    <w:p>
      <w:pPr>
        <w:pStyle w:val="ListBullet"/>
      </w:pPr>
      <w:r/>
      <w:r>
        <w:rPr>
          <w:b/>
        </w:rPr>
        <w:t>IMAO-A sélectifs</w:t>
      </w:r>
      <w:r>
        <w:t xml:space="preserve"> (moclobémide) : prudence, réduire les doses d'adrénaline.</w:t>
      </w:r>
    </w:p>
    <w:p>
      <w:pPr>
        <w:pStyle w:val="ListBullet"/>
      </w:pPr>
      <w:r/>
      <w:r>
        <w:rPr>
          <w:b/>
        </w:rPr>
        <w:t>Anesthésiques généraux halogénés</w:t>
      </w:r>
      <w:r>
        <w:t xml:space="preserve"> (halothane, isoflurane, sévoflurane) : sensibilisation myocardique à l'adrénaline, risque d'arythmies ventriculaires. Limiter la dose d'adrénaline à 0,2 mg/h chez l'adulte.</w:t>
      </w:r>
    </w:p>
    <w:p>
      <w:pPr>
        <w:pStyle w:val="ListBullet"/>
      </w:pPr>
      <w:r/>
      <w:r>
        <w:rPr>
          <w:b/>
        </w:rPr>
        <w:t>Antiarythmiques</w:t>
      </w:r>
      <w:r>
        <w:t xml:space="preserve"> (amiodarone, lidocaïne IV, diltiazem, vérapamil) : potentialisation cardiaque. Surveillance.</w:t>
      </w:r>
    </w:p>
    <w:p>
      <w:pPr>
        <w:pStyle w:val="ListBullet"/>
      </w:pPr>
      <w:r/>
      <w:r>
        <w:rPr>
          <w:b/>
        </w:rPr>
        <w:t>Digitaliques</w:t>
      </w:r>
      <w:r>
        <w:t xml:space="preserve"> (digoxine) : bradycardie additive, risque de bloc AV.</w:t>
      </w:r>
    </w:p>
    <w:p>
      <w:r/>
      <w:r>
        <w:rPr>
          <w:b/>
        </w:rPr>
        <w:t>Interactions pharmacocinétiques</w:t>
      </w:r>
      <w:r>
        <w:t xml:space="preserve"> :</w:t>
      </w:r>
    </w:p>
    <w:p>
      <w:pPr>
        <w:pStyle w:val="ListBullet"/>
      </w:pPr>
      <w:r/>
      <w:r>
        <w:rPr>
          <w:b/>
        </w:rPr>
        <w:t>Inhibiteurs des carboxylestérases</w:t>
      </w:r>
      <w:r>
        <w:t xml:space="preserve"> : ralentissement du métabolisme de l'articaïne, augmentation des concentrations plasmatiques. Peu documenté en clinique.</w:t>
      </w:r>
    </w:p>
    <w:p>
      <w:pPr>
        <w:pStyle w:val="ListBullet"/>
      </w:pPr>
      <w:r/>
      <w:r>
        <w:rPr>
          <w:b/>
        </w:rPr>
        <w:t>Inhibiteurs du CYP3A4</w:t>
      </w:r>
      <w:r>
        <w:t xml:space="preserve"> (kétéconazole, itraconazole, ritonavir, clarithromycine, érythromycine, fluoxétine, diltiazem, vérapamil) : augmentation modeste des concentrations (l'articaïne étant principalement métabolisée par les carboxylestérases plasmatiques, l'impact du CYP3A4 est moindre que pour la bupivacaïne).</w:t>
      </w:r>
    </w:p>
    <w:p>
      <w:pPr>
        <w:pStyle w:val="ListBullet"/>
      </w:pPr>
      <w:r/>
      <w:r>
        <w:rPr>
          <w:b/>
        </w:rPr>
        <w:t>Inducteurs du CYP3A4</w:t>
      </w:r>
      <w:r>
        <w:t xml:space="preserve"> (rifampicine, phénytoïne, carbamazépine, phénobarbital) : diminution modeste des concentrations.</w:t>
      </w:r>
    </w:p>
    <w:p>
      <w:r/>
      <w:r>
        <w:rPr>
          <w:b/>
        </w:rPr>
        <w:t>Incompatibilités physico-chimiques</w:t>
      </w:r>
      <w:r>
        <w:t xml:space="preserve"> :</w:t>
      </w:r>
    </w:p>
    <w:p>
      <w:pPr>
        <w:pStyle w:val="ListBullet"/>
      </w:pPr>
      <w:r>
        <w:t>L'articaïne précipite en solution alcaline (pH &gt; 6,5).</w:t>
      </w:r>
    </w:p>
    <w:p>
      <w:pPr>
        <w:pStyle w:val="ListBullet"/>
      </w:pPr>
      <w:r>
        <w:t>Compatible avec le NaCl 0,9 %, le G5 %.</w:t>
      </w:r>
    </w:p>
    <w:p>
      <w:pPr>
        <w:pStyle w:val="ListBullet"/>
      </w:pPr>
      <w:r>
        <w:t>Compatible avec l'adrénaline 1 mg/mL en dilution 1/100 000 ou 1/200 000.</w:t>
      </w:r>
    </w:p>
    <w:p>
      <w:pPr>
        <w:pStyle w:val="ListBullet"/>
      </w:pPr>
      <w:r>
        <w:t>Incompatible avec les solutions iodées (povidone iodée) — précipitation possible.</w:t>
      </w:r>
    </w:p>
    <w:p>
      <w:pPr>
        <w:pStyle w:val="Heading4"/>
      </w:pPr>
      <w:r>
        <w:t>182.10.1.9 Grossesse, allaitement et CRAT</w:t>
      </w:r>
    </w:p>
    <w:p>
      <w:r/>
      <w:r>
        <w:rPr>
          <w:b/>
        </w:rPr>
        <w:t>Grossesse</w:t>
      </w:r>
      <w:r>
        <w:t xml:space="preserve"> :</w:t>
      </w:r>
    </w:p>
    <w:p>
      <w:pPr>
        <w:pStyle w:val="ListBullet"/>
      </w:pPr>
      <w:r>
        <w:t>L'articaïne est « utilisable pendant la grossesse » selon le CRAT, en infiltration locale ou bloc tronculaire ponctuel, à dose thérapeutique (7 mg/kg maximum).</w:t>
      </w:r>
    </w:p>
    <w:p>
      <w:pPr>
        <w:pStyle w:val="ListBullet"/>
      </w:pPr>
      <w:r>
        <w:t>À éviter au 1er trimestre (organogénèse) par prudence, sauf urgence.</w:t>
      </w:r>
    </w:p>
    <w:p>
      <w:pPr>
        <w:pStyle w:val="ListBullet"/>
      </w:pPr>
      <w:r>
        <w:t>Au 2e trimestre : période la plus sûre pour soins dentaires urgents (abcès, avulsion). Préférer la forme à 1/200 000 (Septanest) à dose minimale efficace.</w:t>
      </w:r>
    </w:p>
    <w:p>
      <w:pPr>
        <w:pStyle w:val="ListBullet"/>
      </w:pPr>
      <w:r>
        <w:t>Au 3e trimestre : éviter le décubitus dorsal (compression cave) ; préférer le décubitus latéral gauche.</w:t>
      </w:r>
    </w:p>
    <w:p>
      <w:pPr>
        <w:pStyle w:val="ListBullet"/>
      </w:pPr>
      <w:r>
        <w:t>En cas de soins dentaires urgents au 1er trimestre : préférer la mépivacaïne 3 % sans adrénaline (sans effet vasoconstricteur).</w:t>
      </w:r>
    </w:p>
    <w:p>
      <w:pPr>
        <w:pStyle w:val="ListBullet"/>
      </w:pPr>
      <w:r>
        <w:t>L'articaïne n'a pas d'effet tératogène documenté, avec un recul clinique important (articaïne commercialisée depuis 1976, plus de 100 millions d'expositions).</w:t>
      </w:r>
    </w:p>
    <w:p>
      <w:r/>
      <w:r>
        <w:rPr>
          <w:b/>
        </w:rPr>
        <w:t>Allaitement</w:t>
      </w:r>
      <w:r>
        <w:t xml:space="preserve"> :</w:t>
      </w:r>
    </w:p>
    <w:p>
      <w:pPr>
        <w:pStyle w:val="ListBullet"/>
      </w:pPr>
      <w:r>
        <w:t>L'articaïne passe dans le lait maternel en très faible quantité (ratio lait/plasma = 0,3-0,5), mais les doses ingérées par le nourrisson sont très inférieures aux doses pédiatriques thérapeutiques.</w:t>
      </w:r>
    </w:p>
    <w:p>
      <w:pPr>
        <w:pStyle w:val="ListBullet"/>
      </w:pPr>
      <w:r>
        <w:t>Compatible avec l'allaitement selon le CRAT. Pas de suspension de l'allaitement après anesthésie dentaire ponctuelle.</w:t>
      </w:r>
    </w:p>
    <w:p>
      <w:r/>
      <w:r>
        <w:rPr>
          <w:b/>
        </w:rPr>
        <w:t>Fécondité</w:t>
      </w:r>
      <w:r>
        <w:t xml:space="preserve"> : pas d'effet délétère documenté aux doses thérapeutiques.</w:t>
      </w:r>
    </w:p>
    <w:p>
      <w:r/>
      <w:r>
        <w:rPr>
          <w:b/>
        </w:rPr>
        <w:t>CRAT</w:t>
      </w:r>
      <w:r>
        <w:t xml:space="preserve"> : articaïne classée « utilisable pendant la grossesse en infiltration locale, en odontologie notamment. Préférer la forme à 1/200 000. Compatible avec l'allaitement ».</w:t>
      </w:r>
    </w:p>
    <w:p>
      <w:pPr>
        <w:pStyle w:val="Heading4"/>
      </w:pPr>
      <w:r>
        <w:t>182.10.1.10 Formes galéniques disponibles</w:t>
      </w:r>
    </w:p>
    <w:p>
      <w:pPr>
        <w:pStyle w:val="ListBullet"/>
      </w:pPr>
      <w:r/>
      <w:r>
        <w:rPr>
          <w:b/>
        </w:rPr>
        <w:t>Solution injectable en carpules dentaires de 1,7-1,8 mL à 4 % avec adrénaline 1/200 000</w:t>
      </w:r>
      <w:r>
        <w:t xml:space="preserve"> :</w:t>
      </w:r>
    </w:p>
    <w:p>
      <w:pPr>
        <w:pStyle w:val="ListBullet"/>
      </w:pPr>
      <w:r>
        <w:t>Septanest 1/200 000 (Septodont), B/50 cartouches de 1,8 mL — non renouvelable.</w:t>
      </w:r>
    </w:p>
    <w:p>
      <w:pPr>
        <w:pStyle w:val="ListBullet"/>
      </w:pPr>
      <w:r>
        <w:t>Alphacaïne N (Dentsply), B/100 cartouches de 1,8 mL — retirée.</w:t>
      </w:r>
    </w:p>
    <w:p>
      <w:pPr>
        <w:pStyle w:val="ListBullet"/>
      </w:pPr>
      <w:r>
        <w:t>Contenu par carpule : 72 mg d'articaïne + 9 µg d'adrénaline.</w:t>
      </w:r>
    </w:p>
    <w:p>
      <w:pPr>
        <w:pStyle w:val="ListBullet"/>
      </w:pPr>
      <w:r/>
      <w:r>
        <w:rPr>
          <w:b/>
        </w:rPr>
        <w:t>Solution injectable en carpules dentaires de 1,8 mL à 4 % avec adrénaline 1/100 000</w:t>
      </w:r>
      <w:r>
        <w:t xml:space="preserve"> :</w:t>
      </w:r>
    </w:p>
    <w:p>
      <w:pPr>
        <w:pStyle w:val="ListBullet"/>
      </w:pPr>
      <w:r>
        <w:t>Alphacaïne SP (Dentsply), B/100 cartouches de 1,8 mL — retirée.</w:t>
      </w:r>
    </w:p>
    <w:p>
      <w:pPr>
        <w:pStyle w:val="ListBullet"/>
      </w:pPr>
      <w:r>
        <w:t>Contenu par carpule : 72 mg d'articaïne + 18 µg d'adrénaline.</w:t>
      </w:r>
    </w:p>
    <w:p>
      <w:pPr>
        <w:pStyle w:val="ListBullet"/>
      </w:pPr>
      <w:r/>
      <w:r>
        <w:rPr>
          <w:b/>
        </w:rPr>
        <w:t>Forme sans adrénaline</w:t>
      </w:r>
      <w:r>
        <w:t xml:space="preserve"> : non disponible en Algérie (et rarement commercialisée internationalement en raison de la vasodilatation excessive de l'articaïne pure).</w:t>
      </w:r>
    </w:p>
    <w:p>
      <w:r/>
      <w:r>
        <w:rPr>
          <w:b/>
        </w:rPr>
        <w:t>Conservation</w:t>
      </w:r>
      <w:r>
        <w:t xml:space="preserve"> : entre 15 et 25 °C, à l'abri de la lumière. Ne pas congeler. Conservation des carpules en emballage d'origine fermé. Durée de validité : 3 ans.</w:t>
      </w:r>
    </w:p>
    <w:p>
      <w:r/>
      <w:r>
        <w:rPr>
          <w:b/>
        </w:rPr>
        <w:t>Particularités algériennes</w:t>
      </w:r>
      <w:r>
        <w:t xml:space="preserve"> :</w:t>
      </w:r>
    </w:p>
    <w:p>
      <w:pPr>
        <w:pStyle w:val="ListBullet"/>
      </w:pPr>
      <w:r>
        <w:t>Le marché algérien de l'articaïne est actuellement en situation critique : la seule marque active (Septanest) est non renouvelable, et les marques Alphacaïne SP et N sont retirées.</w:t>
      </w:r>
    </w:p>
    <w:p>
      <w:pPr>
        <w:pStyle w:val="ListBullet"/>
      </w:pPr>
      <w:r>
        <w:t>Les praticiens algériens se tournent vers la mépivacaïne 3 % sans adrénaline (Medicaine, Scandonest) ou 2 % adrénalinée (Medicaine adrénalinée) comme alternative.</w:t>
      </w:r>
    </w:p>
    <w:p>
      <w:pPr>
        <w:pStyle w:val="ListBullet"/>
      </w:pPr>
      <w:r>
        <w:t>Le retour de l'articaïne sur le marché algérien est une revendication du CNOMD.</w:t>
      </w:r>
    </w:p>
    <w:p>
      <w:pPr>
        <w:pStyle w:val="ListBullet"/>
      </w:pPr>
      <w:r>
        <w:t>Le coût historique d'une boîte de 100 cartouches d'Alphacaïne était d'environ 3000-4000 DA.</w:t>
      </w:r>
    </w:p>
    <w:p>
      <w:pPr>
        <w:pStyle w:val="ListBullet"/>
      </w:pPr>
      <w:r>
        <w:t>Les carpules sont à usage unique, non réutilisables.</w:t>
      </w:r>
    </w:p>
    <w:p>
      <w:pPr>
        <w:pStyle w:val="Heading4"/>
      </w:pPr>
      <w:r>
        <w:t>182.10.1.11 Conseils au patient</w:t>
      </w:r>
    </w:p>
    <w:p>
      <w:r/>
      <w:r>
        <w:rPr>
          <w:b/>
        </w:rPr>
        <w:t>Avant le geste dentaire</w:t>
      </w:r>
      <w:r>
        <w:t xml:space="preserve"> :</w:t>
      </w:r>
    </w:p>
    <w:p>
      <w:pPr>
        <w:pStyle w:val="ListBullet"/>
      </w:pPr>
      <w:r>
        <w:t>Informer le patient de la nature de l'anesthésie (locale), de la durée (60-90 minutes en pulpaire, 180-300 minutes pour les tissus mous), des sensations à attendre (picotement pendant l'injection, engourdissement progressif, lèvre ou joue « gonflée »).</w:t>
      </w:r>
    </w:p>
    <w:p>
      <w:pPr>
        <w:pStyle w:val="ListBullet"/>
      </w:pPr>
      <w:r>
        <w:t>Signaler les antécédents : allergie à un anesthésique local (amides ou esters), hypertension, cardiopathie, hyperthyroïdie, asthme, traitement en cours (β-bloquants, IMAO, antidépresseurs tricycliques).</w:t>
      </w:r>
    </w:p>
    <w:p>
      <w:pPr>
        <w:pStyle w:val="ListBullet"/>
      </w:pPr>
      <w:r>
        <w:t>Éviter le repas copieux avant le geste (en cas de syncope vagale, vomissements).</w:t>
      </w:r>
    </w:p>
    <w:p>
      <w:pPr>
        <w:pStyle w:val="ListBullet"/>
      </w:pPr>
      <w:r>
        <w:t>Éviter l'alcool avant le geste (potentialisation de la toxicité).</w:t>
      </w:r>
    </w:p>
    <w:p>
      <w:pPr>
        <w:pStyle w:val="ListBullet"/>
      </w:pPr>
      <w:r>
        <w:t>Chez la femme enceinte : signaler la grossesse (préférence pour la forme 1/200 000 au 2e trimestre).</w:t>
      </w:r>
    </w:p>
    <w:p>
      <w:r/>
      <w:r>
        <w:rPr>
          <w:b/>
        </w:rPr>
        <w:t>Pendant le geste</w:t>
      </w:r>
      <w:r>
        <w:t xml:space="preserve"> :</w:t>
      </w:r>
    </w:p>
    <w:p>
      <w:pPr>
        <w:pStyle w:val="ListBullet"/>
      </w:pPr>
      <w:r>
        <w:t>Le patient doit signaler tout malaise : vertige, nausée, palpitation, fourmillement péribuccal, agitation, goût métallique — signes précoces de LAST.</w:t>
      </w:r>
    </w:p>
    <w:p>
      <w:pPr>
        <w:pStyle w:val="ListBullet"/>
      </w:pPr>
      <w:r>
        <w:t>Rester immobile pendant l'injection (risque de migration de l'aiguille, de lésion nerveuse).</w:t>
      </w:r>
    </w:p>
    <w:p>
      <w:pPr>
        <w:pStyle w:val="ListBullet"/>
      </w:pPr>
      <w:r>
        <w:t>Respiration calme, éviter l'hyperventilation.</w:t>
      </w:r>
    </w:p>
    <w:p>
      <w:r/>
      <w:r>
        <w:rPr>
          <w:b/>
        </w:rPr>
        <w:t>Après le geste</w:t>
      </w:r>
      <w:r>
        <w:t xml:space="preserve"> :</w:t>
      </w:r>
    </w:p>
    <w:p>
      <w:pPr>
        <w:pStyle w:val="ListBullet"/>
      </w:pPr>
      <w:r>
        <w:t>Éviter de mordre la lèvre, la joue ou la langue anesthésiées (risque de blessure).</w:t>
      </w:r>
    </w:p>
    <w:p>
      <w:pPr>
        <w:pStyle w:val="ListBullet"/>
      </w:pPr>
      <w:r>
        <w:t>Ne pas manger ni boire chaud tant que l'anesthésie persiste (risque de brûlure, morsure).</w:t>
      </w:r>
    </w:p>
    <w:p>
      <w:pPr>
        <w:pStyle w:val="ListBullet"/>
      </w:pPr>
      <w:r>
        <w:t>Ne pas rincer vigoureusement la bouche (risque de déplacer le caillot en cas d'extraction).</w:t>
      </w:r>
    </w:p>
    <w:p>
      <w:pPr>
        <w:pStyle w:val="ListBullet"/>
      </w:pPr>
      <w:r>
        <w:t>Surveillance à domicile : en cas de signes d'alerte (fièvre, douleur persistante, gonflement, trismus, paralysie faciale, paresthésie persistante), consulter en urgence le chirurgien-dentiste.</w:t>
      </w:r>
    </w:p>
    <w:p>
      <w:r/>
      <w:r>
        <w:rPr>
          <w:b/>
        </w:rPr>
        <w:t>Conseils spécifiques</w:t>
      </w:r>
      <w:r>
        <w:t xml:space="preserve"> :</w:t>
      </w:r>
    </w:p>
    <w:p>
      <w:pPr>
        <w:pStyle w:val="ListBullet"/>
      </w:pPr>
      <w:r>
        <w:t>Pour les patients sous β-bloquants ou IMAO : informer le chirurgien-dentiste avant le geste, utilisation de la mépivacaïne 3 % sans adrénaline en alternative.</w:t>
      </w:r>
    </w:p>
    <w:p>
      <w:pPr>
        <w:pStyle w:val="ListBullet"/>
      </w:pPr>
      <w:r>
        <w:t>Pour les patients diabétiques : adapter le repas et l'insuline autour du geste (jeûne pré-geste, reprise alimentaire dès la levée de l'anesthésie).</w:t>
      </w:r>
    </w:p>
    <w:p>
      <w:pPr>
        <w:pStyle w:val="ListBullet"/>
      </w:pPr>
      <w:r>
        <w:t>Pour les femmes enceintes : privilégier le 2e trimestre, forme à 1/200 000, dose minimale efficace.</w:t>
      </w:r>
    </w:p>
    <w:p>
      <w:pPr>
        <w:pStyle w:val="ListBullet"/>
      </w:pPr>
      <w:r>
        <w:t>Pour les enfants : surveiller la dose (5 mg/kg), éviter l'auto-morsure pendant l'anesthésie.</w:t>
      </w:r>
    </w:p>
    <w:p>
      <w:r/>
      <w:r>
        <w:rPr>
          <w:b/>
        </w:rPr>
        <w:t>Éducation thérapeutique</w:t>
      </w:r>
      <w:r>
        <w:t xml:space="preserve"> :</w:t>
      </w:r>
    </w:p>
    <w:p>
      <w:pPr>
        <w:pStyle w:val="ListBullet"/>
      </w:pPr>
      <w:r>
        <w:t>Éducation à l'hygiène bucco-dentaire pour prévenir la récidive de lésions.</w:t>
      </w:r>
    </w:p>
    <w:p>
      <w:pPr>
        <w:pStyle w:val="ListBullet"/>
      </w:pPr>
      <w:r>
        <w:t>Suivi régulier semestriel chez le chirurgien-dentiste.</w:t>
      </w:r>
    </w:p>
    <w:p>
      <w:pPr>
        <w:pStyle w:val="Heading4"/>
      </w:pPr>
      <w:r>
        <w:t>182.10.1.12 Pièges au comptoir — Règles d'or</w:t>
      </w:r>
    </w:p>
    <w:p>
      <w:pPr>
        <w:pStyle w:val="ListNumber"/>
      </w:pPr>
      <w:r/>
      <w:r>
        <w:rPr>
          <w:b/>
        </w:rPr>
        <w:t>Dose maximale à respecter</w:t>
      </w:r>
      <w:r>
        <w:t xml:space="preserve"> : 7 mg/kg avec adrénaline, soit 500 mg chez l'adulte sain. En pratique dentaire, maximum 7 carpules de 1,8 mL à 4 % (soit 7 × 72 mg = 504 mg).</w:t>
      </w:r>
    </w:p>
    <w:p>
      <w:pPr>
        <w:pStyle w:val="ListNumber"/>
      </w:pPr>
      <w:r/>
      <w:r>
        <w:rPr>
          <w:b/>
        </w:rPr>
        <w:t>Aspiration systématique</w:t>
      </w:r>
      <w:r>
        <w:t xml:space="preserve"> avant injection, en particulier pour le bloc alvéolaire inférieur (risque d'injection intravasculaire dans le plexus ptérygoïdien).</w:t>
      </w:r>
    </w:p>
    <w:p>
      <w:pPr>
        <w:pStyle w:val="ListNumber"/>
      </w:pPr>
      <w:r/>
      <w:r>
        <w:rPr>
          <w:b/>
        </w:rPr>
        <w:t>Injection lente</w:t>
      </w:r>
      <w:r>
        <w:t xml:space="preserve"> (1 mL/30 s) pour réduire la douleur à l'injection, le risque d'embolie systémique, et améliorer la précision du positionnement.</w:t>
      </w:r>
    </w:p>
    <w:p>
      <w:pPr>
        <w:pStyle w:val="ListNumber"/>
      </w:pPr>
      <w:r/>
      <w:r>
        <w:rPr>
          <w:b/>
        </w:rPr>
        <w:t>Respecter les contre-indications à l'adrénaline</w:t>
      </w:r>
      <w:r>
        <w:t xml:space="preserve"> :</w:t>
      </w:r>
    </w:p>
    <w:p>
      <w:pPr>
        <w:pStyle w:val="ListBullet"/>
      </w:pPr>
      <w:r>
        <w:t>Hypertension non contrôlée (&gt; 180/110 mmHg) ;</w:t>
      </w:r>
    </w:p>
    <w:p>
      <w:pPr>
        <w:pStyle w:val="ListBullet"/>
      </w:pPr>
      <w:r>
        <w:t>Angor instable, angor de Prinzmetal, infarctus récent (&lt; 6 mois) ;</w:t>
      </w:r>
    </w:p>
    <w:p>
      <w:pPr>
        <w:pStyle w:val="ListBullet"/>
      </w:pPr>
      <w:r>
        <w:t>Hyperthyroïdie non équilibrée ;</w:t>
      </w:r>
    </w:p>
    <w:p>
      <w:pPr>
        <w:pStyle w:val="ListBullet"/>
      </w:pPr>
      <w:r>
        <w:t>Asthme sévère sous β2-mimétiques à forte dose ;</w:t>
      </w:r>
    </w:p>
    <w:p>
      <w:pPr>
        <w:pStyle w:val="ListBullet"/>
      </w:pPr>
      <w:r>
        <w:t>IMAO non sélectif (iproniazide) ;</w:t>
      </w:r>
    </w:p>
    <w:p>
      <w:pPr>
        <w:pStyle w:val="ListBullet"/>
      </w:pPr>
      <w:r>
        <w:t>Phéochromocytome non traité.</w:t>
      </w:r>
    </w:p>
    <w:p>
      <w:r>
        <w:t xml:space="preserve">   Dans ces cas, utiliser la mépivacaïne 3 % sans adrénaline.</w:t>
      </w:r>
    </w:p>
    <w:p>
      <w:pPr>
        <w:pStyle w:val="ListNumber"/>
      </w:pPr>
      <w:r/>
      <w:r>
        <w:rPr>
          <w:b/>
        </w:rPr>
        <w:t>Chez l'enfant</w:t>
      </w:r>
      <w:r>
        <w:t xml:space="preserve"> : dose maximale 5 mg/kg avec adrénaline. Surveillance étroite (sensibilité accrue à l'adrénaline). Préférer la mépivacaïne 3 % sans adrénaline chez l'enfant anxieux ou cardiopathe.</w:t>
      </w:r>
    </w:p>
    <w:p>
      <w:pPr>
        <w:pStyle w:val="ListNumber"/>
      </w:pPr>
      <w:r/>
      <w:r>
        <w:rPr>
          <w:b/>
        </w:rPr>
        <w:t>Chez la femme enceinte</w:t>
      </w:r>
      <w:r>
        <w:t xml:space="preserve"> : préférer la forme à 1/200 000 au 2e trimestre pour soins dentaires urgents. À éviter au 1er trimestre (organogénèse).</w:t>
      </w:r>
    </w:p>
    <w:p>
      <w:pPr>
        <w:pStyle w:val="ListNumber"/>
      </w:pPr>
      <w:r/>
      <w:r>
        <w:rPr>
          <w:b/>
        </w:rPr>
        <w:t>Allergie suspectée</w:t>
      </w:r>
      <w:r>
        <w:t xml:space="preserve"> : ne pas réinjecter, arrêter le geste, adresser en allergologie pour tests cutanés. En cas d'allergie prouvée à un amide, contre-indication de tous les amides.</w:t>
      </w:r>
    </w:p>
    <w:p>
      <w:pPr>
        <w:pStyle w:val="ListNumber"/>
      </w:pPr>
      <w:r/>
      <w:r>
        <w:rPr>
          <w:b/>
        </w:rPr>
        <w:t>Surveillance post-injection</w:t>
      </w:r>
      <w:r>
        <w:t xml:space="preserve"> : le patient doit rester en salle d'attente 30 minutes après le geste, en cas de réaction retardée.</w:t>
      </w:r>
    </w:p>
    <w:p>
      <w:pPr>
        <w:pStyle w:val="ListNumber"/>
      </w:pPr>
      <w:r/>
      <w:r>
        <w:rPr>
          <w:b/>
        </w:rPr>
        <w:t>Conservation</w:t>
      </w:r>
      <w:r>
        <w:t xml:space="preserve"> : entre 15 et 25 °C, à l'abri de la lumière. Ne pas utiliser une solution trouble ou jaunie.</w:t>
      </w:r>
    </w:p>
    <w:p>
      <w:pPr>
        <w:pStyle w:val="ListNumber"/>
      </w:pPr>
      <w:r/>
      <w:r>
        <w:rPr>
          <w:b/>
        </w:rPr>
        <w:t>Carpule entamée</w:t>
      </w:r>
      <w:r>
        <w:t xml:space="preserve"> : à usage unique, ne jamais réutiliser pour un autre patient (risque d'infection croisée).</w:t>
      </w:r>
    </w:p>
    <w:p>
      <w:pPr>
        <w:pStyle w:val="ListNumber"/>
      </w:pPr>
      <w:r/>
      <w:r>
        <w:rPr>
          <w:b/>
        </w:rPr>
        <w:t>Voie IV strictement interdite</w:t>
      </w:r>
      <w:r>
        <w:t xml:space="preserve"> : l'articaïne n'a aucune indication IV.</w:t>
      </w:r>
    </w:p>
    <w:p>
      <w:pPr>
        <w:pStyle w:val="ListNumber"/>
      </w:pPr>
      <w:r/>
      <w:r>
        <w:rPr>
          <w:b/>
        </w:rPr>
        <w:t>Voie péridurale strictement contre-indiquée</w:t>
      </w:r>
      <w:r>
        <w:t xml:space="preserve"> (forme exclusivement dentaire, concentration 4 %).</w:t>
      </w:r>
    </w:p>
    <w:p>
      <w:pPr>
        <w:pStyle w:val="ListNumber"/>
      </w:pPr>
      <w:r/>
      <w:r>
        <w:rPr>
          <w:b/>
        </w:rPr>
        <w:t>Information patient</w:t>
      </w:r>
      <w:r>
        <w:t xml:space="preserve"> : informer le patient des signes d'alerte de LAST (langue métallique, paresthésies péribuccales, convulsions) et de la nécessité de signaler immédiatement tout symptôme.</w:t>
      </w:r>
    </w:p>
    <w:p>
      <w:pPr>
        <w:pStyle w:val="ListNumber"/>
      </w:pPr>
      <w:r/>
      <w:r>
        <w:rPr>
          <w:b/>
        </w:rPr>
        <w:t>Attention à la neuropathie du nerf lingual</w:t>
      </w:r>
      <w:r>
        <w:t xml:space="preserve"> : éviter les injections intraneurales au cours du bloc alvéolaire inférieur, ne pas réinjecter en cas de paresthésie pendant la pose.</w:t>
      </w:r>
    </w:p>
    <w:p>
      <w:pPr>
        <w:pStyle w:val="ListNumber"/>
      </w:pPr>
      <w:r/>
      <w:r>
        <w:rPr>
          <w:b/>
        </w:rPr>
        <w:t>Protocole de gestion de la LAST</w:t>
      </w:r>
      <w:r>
        <w:t xml:space="preserve"> : avoir à disposition dans le cabinet dentaire un protocole écrit de prise en charge de la LAST, avec du diazépam injectable et du matériel de réanimation (BPP, masque, AMBU, O₂), et idéalement de l'émulsion lipidique 20 % (Intralipide).</w:t>
      </w:r>
    </w:p>
    <w:p>
      <w:pPr>
        <w:pStyle w:val="ListNumber"/>
      </w:pPr>
      <w:r/>
      <w:r>
        <w:rPr>
          <w:b/>
        </w:rPr>
        <w:t>Disponibilité</w:t>
      </w:r>
      <w:r>
        <w:t xml:space="preserve"> : vérifier la disponibilité de l'articaïne dans la pharmacie de l'établissement avant le rendez-vous. En cas d'indisponibilité, prévoir l'alternative (mépivacaïne 3 % ou 2 % adrénalinée).</w:t>
      </w:r>
    </w:p>
    <w:p>
      <w:pPr>
        <w:pStyle w:val="Heading2"/>
      </w:pPr>
      <w:r>
        <w:t>182.11 Sous-classe récapitulative — Rocuronium</w:t>
      </w:r>
    </w:p>
    <w:p>
      <w:pPr>
        <w:pStyle w:val="Heading3"/>
      </w:pPr>
      <w:r>
        <w:t>182.11.1 Rocuronium (curares non dépolarisants aminostéroïdes)</w:t>
      </w:r>
    </w:p>
    <w:p>
      <w:pPr>
        <w:pStyle w:val="Heading4"/>
      </w:pPr>
      <w:r>
        <w:t>182.11.1.1 Catégories pharmaco-thérapeutiques et indications</w:t>
      </w:r>
    </w:p>
    <w:p>
      <w:pPr>
        <w:pStyle w:val="ListBullet"/>
      </w:pPr>
      <w:r/>
      <w:r>
        <w:rPr>
          <w:b/>
        </w:rPr>
        <w:t>DCI</w:t>
      </w:r>
      <w:r>
        <w:t xml:space="preserve"> : rocuronium (bromure).</w:t>
      </w:r>
    </w:p>
    <w:p>
      <w:pPr>
        <w:pStyle w:val="ListBullet"/>
      </w:pPr>
      <w:r/>
      <w:r>
        <w:rPr>
          <w:b/>
        </w:rPr>
        <w:t>Code ATC</w:t>
      </w:r>
      <w:r>
        <w:t xml:space="preserve"> : M03AC09 (myorelaxants à action périphérique — curares non dépolarisants, dérivés aminostéroïdiens).</w:t>
      </w:r>
    </w:p>
    <w:p>
      <w:pPr>
        <w:pStyle w:val="ListBullet"/>
      </w:pPr>
      <w:r/>
      <w:r>
        <w:rPr>
          <w:b/>
        </w:rPr>
        <w:t>Classification thérapeutique</w:t>
      </w:r>
      <w:r>
        <w:t xml:space="preserve"> : curare non dépolarisant (curare compétitif) aminostéroïdien, de durée d'action intermédiaire (30-60 minutes), à onset rapide (60-90 secondes à 1 mg/kg), permettant la curarisation rapide d'intubation (RSI).</w:t>
      </w:r>
    </w:p>
    <w:p>
      <w:pPr>
        <w:pStyle w:val="ListBullet"/>
      </w:pPr>
      <w:r/>
      <w:r>
        <w:rPr>
          <w:b/>
        </w:rPr>
        <w:t>Classe chimique</w:t>
      </w:r>
      <w:r>
        <w:t xml:space="preserve"> : aminostéroïde (2β-morpholino-3α-hydroxy-16β-pyrrolidino-5α-androstane), dérivé 16-pyrrolidino du pancuronium. Poids moléculaire 533 Da (sel bromure). Soluble dans l'eau.</w:t>
      </w:r>
    </w:p>
    <w:p>
      <w:pPr>
        <w:pStyle w:val="ListBullet"/>
      </w:pPr>
      <w:r/>
      <w:r>
        <w:rPr>
          <w:b/>
        </w:rPr>
        <w:t>Statut réglementaire Algérie</w:t>
      </w:r>
      <w:r>
        <w:t xml:space="preserve"> : Liste I — prescription réservée aux médecins anesthésistes-réanimateurs, usage hospitalier exclusif (bloc opératoire, réanimation).</w:t>
      </w:r>
    </w:p>
    <w:p>
      <w:pPr>
        <w:pStyle w:val="ListBullet"/>
      </w:pPr>
      <w:r/>
      <w:r>
        <w:rPr>
          <w:b/>
        </w:rPr>
        <w:t>Grossesse</w:t>
      </w:r>
      <w:r>
        <w:t xml:space="preserve"> : utilisable pendant la césarienne et la chirurgie obstétricale ; données CRAT favorables (peu de passage transplacentaire en dose unique, surveillance du nouveau-né recommandée en cas de doses répétées).</w:t>
      </w:r>
    </w:p>
    <w:p>
      <w:r>
        <w:t>Indications principales :</w:t>
      </w:r>
    </w:p>
    <w:p>
      <w:pPr>
        <w:pStyle w:val="ListNumber"/>
      </w:pPr>
      <w:r/>
      <w:r>
        <w:rPr>
          <w:b/>
        </w:rPr>
        <w:t>Induction en séquence rapide (RSI — Rapid Sequence Induction)</w:t>
      </w:r>
      <w:r>
        <w:t xml:space="preserve"> : intubation en urgence chez le patient à estomac plein (traumatologie, urgence chirurgicale, occlusion, péritonite, hémorragie digestive, grossesse à terme), à risque d'inhalation (syndrome de Mendelson). Rocuronium 1-1,2 mg/kg IV permet une intubation en 60-90 secondes, alternative à la succinylcholine (1-1,5 mg/kg, intubation en 60 secondes, mais avec contre-indications nombreuses : hyperkaliémie, hyperthermie maligne, brûlures étendues, dénervation). À dose 1,2 mg/kg, le rocuronium offre un onset comparable à la succinylcholine.</w:t>
      </w:r>
    </w:p>
    <w:p>
      <w:pPr>
        <w:pStyle w:val="ListNumber"/>
      </w:pPr>
      <w:r/>
      <w:r>
        <w:rPr>
          <w:b/>
        </w:rPr>
        <w:t>Intubation élective</w:t>
      </w:r>
      <w:r>
        <w:t xml:space="preserve"> : chirurgie programmée nécessitant une curarisation pour intubation (chirurgie abdominale, thoracique, ORL, neurochirurgie, chirurgie cardiaque). Dose 0,6 mg/kg IV, intubation en 90-120 secondes.</w:t>
      </w:r>
    </w:p>
    <w:p>
      <w:pPr>
        <w:pStyle w:val="ListNumber"/>
      </w:pPr>
      <w:r/>
      <w:r>
        <w:rPr>
          <w:b/>
        </w:rPr>
        <w:t>Entretien de la curarisation</w:t>
      </w:r>
      <w:r>
        <w:t xml:space="preserve"> : bolus répétés 0,1-0,15 mg/kg IV toutes les 30-45 minutes, ou perfusion continue 5-15 µg/kg/min (0,3-0,9 mg/kg/h), en particulier en chirurgie prolongée et en réanimation.</w:t>
      </w:r>
    </w:p>
    <w:p>
      <w:pPr>
        <w:pStyle w:val="ListNumber"/>
      </w:pPr>
      <w:r/>
      <w:r>
        <w:rPr>
          <w:b/>
        </w:rPr>
        <w:t>Curarisation de réanimation</w:t>
      </w:r>
      <w:r>
        <w:t xml:space="preserve"> : ventilation mécanique difficile (syndrome de détresse respiratoire aiguë — SDRA, asynchrone patient-respirateur), hypothermie thérapeutique post-arrêt cardiaque, transport secondaire de patient agité. Perfusion continue 5-15 µg/kg/min.</w:t>
      </w:r>
    </w:p>
    <w:p>
      <w:pPr>
        <w:pStyle w:val="ListNumber"/>
      </w:pPr>
      <w:r/>
      <w:r>
        <w:rPr>
          <w:b/>
        </w:rPr>
        <w:t>Convulsions réfractaires</w:t>
      </w:r>
      <w:r>
        <w:t xml:space="preserve"> (état de mal épileptique) : curarisation pour ventilation mécanique, en association aux anticonvulsivants (midazolam, phénobarbital, thiopental).</w:t>
      </w:r>
    </w:p>
    <w:p>
      <w:pPr>
        <w:pStyle w:val="ListNumber"/>
      </w:pPr>
      <w:r/>
      <w:r>
        <w:rPr>
          <w:b/>
        </w:rPr>
        <w:t>Hypothermie thérapeutique</w:t>
      </w:r>
      <w:r>
        <w:t xml:space="preserve"> post-arrêt cardiaque : curarisation pour prévenir les frissons qui augmentent la consommation d'O₂ cérébrale.</w:t>
      </w:r>
    </w:p>
    <w:p>
      <w:pPr>
        <w:pStyle w:val="ListNumber"/>
      </w:pPr>
      <w:r/>
      <w:r>
        <w:rPr>
          <w:b/>
        </w:rPr>
        <w:t>Sugammadex reversal</w:t>
      </w:r>
      <w:r>
        <w:t xml:space="preserve"> : le rocuronium est antagonisable par le sugammadex (Bridion, Organon), gamma-cyclodextrine modifiée qui encapsule le rocuronium et le soustrait de la jonction neuromusculaire. Posologie : 2 mg/kg IV pour décurarisation modérée (TOF 2/4), 4 mg/kg pour décurarisation profonde (PTC 1-2), 16 mg/kg pour décurarisation immédiate en urgence (anaphylaxie, intubation difficile).</w:t>
      </w:r>
    </w:p>
    <w:p>
      <w:pPr>
        <w:pStyle w:val="Heading4"/>
      </w:pPr>
      <w:r>
        <w:t>182.11.1.2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RIMEXA</w:t>
            </w:r>
          </w:p>
        </w:tc>
        <w:tc>
          <w:tcPr>
            <w:tcW w:type="dxa" w:w="1559"/>
          </w:tcPr>
          <w:p>
            <w:r>
              <w:rPr>
                <w:sz w:val="20"/>
              </w:rPr>
              <w:t>MS PHARMA-JORDAN</w:t>
            </w:r>
          </w:p>
        </w:tc>
        <w:tc>
          <w:tcPr>
            <w:tcW w:type="dxa" w:w="1559"/>
          </w:tcPr>
          <w:p>
            <w:r>
              <w:rPr>
                <w:sz w:val="20"/>
              </w:rPr>
              <w:t>Solution injectable IV 10 mg/mL</w:t>
            </w:r>
          </w:p>
        </w:tc>
        <w:tc>
          <w:tcPr>
            <w:tcW w:type="dxa" w:w="1559"/>
          </w:tcPr>
          <w:p>
            <w:r>
              <w:rPr>
                <w:sz w:val="20"/>
              </w:rPr>
              <w:t>B/10 flacons (5 mL par flacon, soit 50 mg par flacon)</w:t>
            </w:r>
          </w:p>
        </w:tc>
        <w:tc>
          <w:tcPr>
            <w:tcW w:type="dxa" w:w="1559"/>
          </w:tcPr>
          <w:p>
            <w:r>
              <w:rPr>
                <w:sz w:val="20"/>
              </w:rPr>
              <w:t>Liste I</w:t>
            </w:r>
          </w:p>
        </w:tc>
        <w:tc>
          <w:tcPr>
            <w:tcW w:type="dxa" w:w="1559"/>
          </w:tcPr>
          <w:p>
            <w:r>
              <w:rPr>
                <w:sz w:val="20"/>
              </w:rPr>
              <w:t>Actif</w:t>
            </w:r>
          </w:p>
        </w:tc>
      </w:tr>
      <w:tr>
        <w:tc>
          <w:tcPr>
            <w:tcW w:type="dxa" w:w="1559"/>
          </w:tcPr>
          <w:p>
            <w:r>
              <w:rPr>
                <w:sz w:val="20"/>
              </w:rPr>
              <w:t>RONIUM</w:t>
            </w:r>
          </w:p>
        </w:tc>
        <w:tc>
          <w:tcPr>
            <w:tcW w:type="dxa" w:w="1559"/>
          </w:tcPr>
          <w:p>
            <w:r>
              <w:rPr>
                <w:sz w:val="20"/>
              </w:rPr>
              <w:t>HIKMA PHARMA ALGERIA</w:t>
            </w:r>
          </w:p>
        </w:tc>
        <w:tc>
          <w:tcPr>
            <w:tcW w:type="dxa" w:w="1559"/>
          </w:tcPr>
          <w:p>
            <w:r>
              <w:rPr>
                <w:sz w:val="20"/>
              </w:rPr>
              <w:t>Solution injectable IV 10 mg/mL</w:t>
            </w:r>
          </w:p>
        </w:tc>
        <w:tc>
          <w:tcPr>
            <w:tcW w:type="dxa" w:w="1559"/>
          </w:tcPr>
          <w:p>
            <w:r>
              <w:rPr>
                <w:sz w:val="20"/>
              </w:rPr>
              <w:t>B/10 flacons (5 mL par flacon, soit 50 mg par flacon)</w:t>
            </w:r>
          </w:p>
        </w:tc>
        <w:tc>
          <w:tcPr>
            <w:tcW w:type="dxa" w:w="1559"/>
          </w:tcPr>
          <w:p>
            <w:r>
              <w:rPr>
                <w:sz w:val="20"/>
              </w:rPr>
              <w:t>Liste I</w:t>
            </w:r>
          </w:p>
        </w:tc>
        <w:tc>
          <w:tcPr>
            <w:tcW w:type="dxa" w:w="1559"/>
          </w:tcPr>
          <w:p>
            <w:r>
              <w:rPr>
                <w:sz w:val="20"/>
              </w:rPr>
              <w:t>Actif</w:t>
            </w:r>
          </w:p>
        </w:tc>
      </w:tr>
      <w:tr>
        <w:tc>
          <w:tcPr>
            <w:tcW w:type="dxa" w:w="1559"/>
          </w:tcPr>
          <w:p>
            <w:r>
              <w:rPr>
                <w:sz w:val="20"/>
              </w:rPr>
              <w:t>ESMERON</w:t>
            </w:r>
          </w:p>
        </w:tc>
        <w:tc>
          <w:tcPr>
            <w:tcW w:type="dxa" w:w="1559"/>
          </w:tcPr>
          <w:p>
            <w:r>
              <w:rPr>
                <w:sz w:val="20"/>
              </w:rPr>
              <w:t>ORGANON N.V.</w:t>
            </w:r>
          </w:p>
        </w:tc>
        <w:tc>
          <w:tcPr>
            <w:tcW w:type="dxa" w:w="1559"/>
          </w:tcPr>
          <w:p>
            <w:r>
              <w:rPr>
                <w:sz w:val="20"/>
              </w:rPr>
              <w:t>Solution injectable IV 10 mg/mL (50 mg/5 mL)</w:t>
            </w:r>
          </w:p>
        </w:tc>
        <w:tc>
          <w:tcPr>
            <w:tcW w:type="dxa" w:w="1559"/>
          </w:tcPr>
          <w:p>
            <w:r>
              <w:rPr>
                <w:sz w:val="20"/>
              </w:rPr>
              <w:t>B/12 flacons de 5 mL</w:t>
            </w:r>
          </w:p>
        </w:tc>
        <w:tc>
          <w:tcPr>
            <w:tcW w:type="dxa" w:w="1559"/>
          </w:tcPr>
          <w:p>
            <w:r>
              <w:rPr>
                <w:sz w:val="20"/>
              </w:rPr>
              <w:t>Liste I</w:t>
            </w:r>
          </w:p>
        </w:tc>
        <w:tc>
          <w:tcPr>
            <w:tcW w:type="dxa" w:w="1559"/>
          </w:tcPr>
          <w:p>
            <w:r>
              <w:rPr>
                <w:sz w:val="20"/>
              </w:rPr>
              <w:t>Retrait</w:t>
            </w:r>
          </w:p>
        </w:tc>
      </w:tr>
    </w:tbl>
    <w:p/>
    <w:p>
      <w:r>
        <w:t>Le marché algérien du rocuronium est partagé entre deux marques actives : Rimexa (MS Pharma Jordanie) et Ronium (Hikma Pharma Algeria), toutes deux en solution injectable IV à 10 mg/mL (5 mL par flacon, soit 50 mg par flacon). La marque princeps Esmeron (Organon N.V.) est retirée du marché algérien. Le sugammadex (Bridion, Organon), antagoniste spécifique du rocuronium et du vécuronium, n'est pas inscrit dans la nomenclature algérienne Avril 2026 — il est disponible en importation hospitalière pour les centres universitaires et de réanimation polyvalente, à coût élevé (50-100 € par flacon de 200 mg, dose de 2-4 mg/kg soit 4-8 flacons par adulte). L'absence de sugammadex systématiquement disponible impose aux anesthésistes algériens la connaissance stricte des doses, durées d'action, et antagonisation par néostigmine-atropine, ainsi que la sélection des patients chez qui l'antagonisation par sugammadex est indispensable (intubation difficile, contre-indication à la néostigmine). Le coût d'un flacon de 50 mg de rocuronium en Algérie est d'environ 250-400 DA.</w:t>
      </w:r>
    </w:p>
    <w:p>
      <w:pPr>
        <w:pStyle w:val="Heading4"/>
      </w:pPr>
      <w:r>
        <w:t>182.11.1.3 Mécanisme d'action moléculaire, cellulaire et physiologique</w:t>
      </w:r>
    </w:p>
    <w:p>
      <w:r>
        <w:t>Le rocuronium, comme tous les curares non dépolarisants, exerce son effet myorelaxant par blocage compétitif des récepteurs nicotiniques de l'acétylcholine (nAChR) postsynaptiques de la jonction neuromusculaire (sous-type Nm, N2). Le mécanisme complet se décline en six niveaux :</w:t>
      </w:r>
    </w:p>
    <w:p>
      <w:r/>
      <w:r>
        <w:rPr>
          <w:b/>
        </w:rPr>
        <w:t>Niveau moléculaire — fixation au récepteur nicotinique postsynaptique</w:t>
      </w:r>
      <w:r>
        <w:t xml:space="preserve"> : le rocuronium est un composé ammonium quaternaire bis-chargé (deux fonctions ammonium quaternaires positives à pH physiologique), qui diffuse peu à travers les membranes (impossibilité de franchir la BHE, d'où absence d'effet central). Il se fixe de manière compétitive et réversible au site de liaison de l'acétylcholine sur le récepteur nicotinique postsynaptique (nAChR musculaire Nm, pentamère α2βγδ). La fixation du rocuronium empêche la liaison de l'acétylcholine et la dépolarisation membranaire postsynaptique, bloquant ainsi la transmission neuromusculaire. Contrairement à la succinylcholine (curare dépolarisant qui provoque une dépolarisation initiale suivie d'un bloc de phase I puis II), le rocuronium ne provoque aucune dépolarisation initiale, d'où l'absence de fasciculations musculaires.</w:t>
      </w:r>
    </w:p>
    <w:p>
      <w:r/>
      <w:r>
        <w:rPr>
          <w:b/>
        </w:rPr>
        <w:t>Niveau cellulaire — bloc compétitif de la transmission neuromusculaire</w:t>
      </w:r>
      <w:r>
        <w:t xml:space="preserve"> : le bloc compétitif signifie que l'effet peut être levé par augmentation de la concentration d'acétylcholine dans la fente synaptique, par inhibition de l'acétylcholinestérase (néostigmine, édrophonium) — ce qui justifie l'antagonisation par néostigmine-atropine. Le bloc compétitif est également levé par encapsulation chimique du rocuronium par le sugammadex (mécanisme indépendant des récepteurs cholinergiques). L'intensité du bloc dépend du rapport concentration rocuronium / concentration acétylcholine au récepteur : à forte dose de rocuronium, le bloc est complet et réfractaire à la néostigmine (qui risque même d'aggraver le bloc en cas de décurarisation incomplète).</w:t>
      </w:r>
    </w:p>
    <w:p>
      <w:r/>
      <w:r>
        <w:rPr>
          <w:b/>
        </w:rPr>
        <w:t>Niveau physiologique — paralysie striée progressive et récupération</w:t>
      </w:r>
      <w:r>
        <w:t xml:space="preserve"> : le rocuronium provoque une paralysie striée périphérique complète (membres, abdominale, thoracique, diaphragmatique) en 60-90 secondes à 1 mg/kg. L'ordre de paralysie est : muscles oculomoteurs → muscles faciaux → muscles masticateurs → muscles du cou → muscles des membres → muscles abdominaux → muscles thoraciques → diaphragme. La récupération se fait dans l'ordre inverse : diaphragme → muscles thoraciques → muscles abdominaux → muscles des membres → muscles du cou → muscles faciaux → muscles oculomoteurs. Cette séquence explique pourquoi la ventilation mécanique est nécessaire dès l'induction (paralysie diaphragmatique) et pourquoi la récupération des muscles périphériques ne préjuge pas de la récupération complète (test clinique : soulèvement de la tête pendant 5 secondes, pression inspiratoire maximale &gt; -50 cmH₂O).</w:t>
      </w:r>
    </w:p>
    <w:p>
      <w:r/>
      <w:r>
        <w:rPr>
          <w:b/>
        </w:rPr>
        <w:t>Niveau onset — rapidité d'action exceptionnelle</w:t>
      </w:r>
      <w:r>
        <w:t xml:space="preserve"> : le rocuronium se distingue par un onset très rapide (60-90 secondes à 1-1,2 mg/kg), comparable à la succinylcholine (60 secondes). Cette propriété s'explique par : (i) une faible puissance (ED95 = 0,3 mg/kg, contre 0,05 mg/kg pour le vécuronium), nécessitant l'administration de doses massives pour atteindre un bloc efficace ; (ii) une concentration élevée à la jonction neuromusculaire par la dose importante administrée ; (iii) un délai de diffusion court vers la jonction neuromusculaire (du fait de la molécule relativement petite et hydrophile). Cette propriété justifie l'utilisation du rocuronium comme alternative à la succinylcholine dans l'induction en séquence rapide (RSI), particulièrement en cas de contre-indication à la succinylcholine (hyperkaliémie, brûlures étendues, dénervation, antécédents familiaux d'hyperthermie maligne).</w:t>
      </w:r>
    </w:p>
    <w:p>
      <w:r/>
      <w:r>
        <w:rPr>
          <w:b/>
        </w:rPr>
        <w:t>Niveau durée — intermédiaire</w:t>
      </w:r>
      <w:r>
        <w:t xml:space="preserve"> : la durée d'action clinique (durée jusqu'à récupération de 25 % de la force musculaire, T25) est de 30-60 minutes à la dose d'intubation (0,6-1,2 mg/kg), soit une durée intermédiaire comparable au vécuronium et à l'atracurium. Le délai de récupération complète (TOF ratio &gt; 0,9) est de 60-120 minutes en l'absence d'antagonisation. L'entretien de la curarisation se fait par bolus répétés ou perfusion continue.</w:t>
      </w:r>
    </w:p>
    <w:p>
      <w:r/>
      <w:r>
        <w:rPr>
          <w:b/>
        </w:rPr>
        <w:t>Niveau cardiovascular — stabilité hémodynamique</w:t>
      </w:r>
      <w:r>
        <w:t xml:space="preserve"> : le rocuronium présente une stabilité hémodynamique remarquable, sans effet vagolytique (contrairement au pancuronium), sans effet histaminolibérateur cliniquement significatif (contrairement à l'atracurium), sans effet ganglioplégiant. Une légère tachycardie peut être observée à forte dose (1,2 mg/kg) par mécanisme mal élucidé (peut-être effet direct sur les récepteurs cardiaques). Le rocuronium est ainsi le curare de choix en anesthésie cardiaque, chez le patient hémodynamiquement fragile, et en obstétrique (césarienne en urgence).</w:t>
      </w:r>
    </w:p>
    <w:p>
      <w:pPr>
        <w:pStyle w:val="Heading4"/>
      </w:pPr>
      <w:r>
        <w:t>182.11.1.4 Pharmacocinétique (profil PK)</w:t>
      </w:r>
    </w:p>
    <w:p>
      <w:r/>
      <w:r>
        <w:rPr>
          <w:b/>
        </w:rPr>
        <w:t>Absorption</w:t>
      </w:r>
      <w:r>
        <w:t xml:space="preserve"> : le rocuronium est administré exclusivement par voie intraveineuse (bolus ou perfusion continue). Aucune absorption orale possible (molécule ammonium quaternaire, détruite par le tube digestif). L'effet est immédiat après bolus IV (la molécule atteint la jonction neuromusculaire en 30-60 secondes par diffusion).</w:t>
      </w:r>
    </w:p>
    <w:p>
      <w:r/>
      <w:r>
        <w:rPr>
          <w:b/>
        </w:rPr>
        <w:t>Distribution</w:t>
      </w:r>
      <w:r>
        <w:t xml:space="preserve"> : le rocuronium est un composé hydrophile, peu lié aux protéines plasmatiques (30-40 %, principalement α1-glycoprotéine acide et albumine). La fraction libre (60-70 %) est pharmacologiquement active. Le volume de distribution à l'équilibre (Vdss) est de 0,2-0,3 L/kg, limité au compartiment extracellulaire (la molécule ne franchit pas les membranes cellulaires en raison de sa double charge positive). La diffusion transplacentaire est faible (&lt; 10 % de la dose maternelle), ce qui permet son utilisation en césarienne (la dose fœtale est inférieure au seuil de blocage des nAChR fœtaux). La diffusion dans le LCR est nulle (impossibilité de franchir la BHE).</w:t>
      </w:r>
    </w:p>
    <w:p>
      <w:r/>
      <w:r>
        <w:rPr>
          <w:b/>
        </w:rPr>
        <w:t>Métabolisme</w:t>
      </w:r>
      <w:r>
        <w:t xml:space="preserve"> : le rocuronium est faiblement métabolisé (&lt; 10 %), principalement par le foie en métabolite 17-desacétylrocuronium (faiblement actif, 10 % de l'activité mère). Le métabolisme hépatique est limité par la captation hépatique et l'élimination biliaire directe (réduite en cas d'insuffisance hépatique sévère ou de cholestase).</w:t>
      </w:r>
    </w:p>
    <w:p>
      <w:r/>
      <w:r>
        <w:rPr>
          <w:b/>
        </w:rPr>
        <w:t>Élimination</w:t>
      </w:r>
      <w:r>
        <w:t xml:space="preserve"> : l'élimination est principalement biliaire (60-80 %) et urinaire (20-40 %). La clairance totale est de 3-4 mL/min/kg. La demi-vie d'élimination terminale est de 60-120 minutes chez l'adulte sain, prolongée à 200-300 minutes en cas d'insuffisance hépatique sévère, de cholestase, ou d'insuffisance rénale terminale. En cas d'insuffisance hépatique ou rénale, la durée d'action peut être significativement prolongée, justifiant l'antagonisation par sugammadex (qui contourne l'élimination hépatique/rénale par encapsulation plasmatique). En cas d'insuffisance hépatique sévère, préférer l'atracurium (dégradation Hofmann indépendante du foie).</w:t>
      </w:r>
    </w:p>
    <w:p>
      <w:r/>
      <w:r>
        <w:rPr>
          <w:b/>
        </w:rPr>
        <w:t>Linéarité</w:t>
      </w:r>
      <w:r>
        <w:t xml:space="preserve"> : la pharmacocinétique est linéaire aux doses thérapeutiques. À dose élevée (1-1,2 mg/kg pour RSI), la durée d'action est prolongée proportionnellement à la dose.</w:t>
      </w:r>
    </w:p>
    <w:p>
      <w:r/>
      <w:r>
        <w:rPr>
          <w:b/>
        </w:rPr>
        <w:t>Monitorage de la curarisation</w:t>
      </w:r>
      <w:r>
        <w:t xml:space="preserve"> : obligatoire en anesthésie selon les recommandations SFAR 2020 sur la curarisation. Le monitorage est réalisé par :</w:t>
      </w:r>
    </w:p>
    <w:p>
      <w:pPr>
        <w:pStyle w:val="ListBullet"/>
      </w:pPr>
      <w:r/>
      <w:r>
        <w:rPr>
          <w:b/>
        </w:rPr>
        <w:t>TOF-Watch</w:t>
      </w:r>
      <w:r>
        <w:t xml:space="preserve"> ou </w:t>
      </w:r>
      <w:r>
        <w:rPr>
          <w:b/>
        </w:rPr>
        <w:t>TOF-Scan</w:t>
      </w:r>
      <w:r>
        <w:t xml:space="preserve"> : mesure objective du Train Of Four (4 stimulations à 2 Hz en 2 secondes). Le rapport T4/T1 (TOF ratio) reflète le degré de bloc. Cible pour extubation : TOF ratio &gt; 0,9 (absence de curarisation résiduelle clinique).</w:t>
      </w:r>
    </w:p>
    <w:p>
      <w:pPr>
        <w:pStyle w:val="ListBullet"/>
      </w:pPr>
      <w:r/>
      <w:r>
        <w:rPr>
          <w:b/>
        </w:rPr>
        <w:t>PTC (Post-Tetanic Count)</w:t>
      </w:r>
      <w:r>
        <w:t xml:space="preserve"> : pour bloc profond (TOF = 0), 5 secondes de stimulation à 50 Hz suivies de 15 stimulations à 1 Hz. Le PTC reflète la profondeur du bloc.</w:t>
      </w:r>
    </w:p>
    <w:p>
      <w:pPr>
        <w:pStyle w:val="ListBullet"/>
      </w:pPr>
      <w:r/>
      <w:r>
        <w:rPr>
          <w:b/>
        </w:rPr>
        <w:t>DBS (Double Burst Stimulation)</w:t>
      </w:r>
      <w:r>
        <w:t xml:space="preserve"> : alternative clinique simplifiée.</w:t>
      </w:r>
    </w:p>
    <w:p>
      <w:pPr>
        <w:pStyle w:val="ListBullet"/>
      </w:pPr>
      <w:r>
        <w:t>Le monitorage est obligatoire pour : (i) la curarisation profonde en chirurgie abdominale majeure, neurochirurgie, chirurgie cardiaque ; (ii) l'antagonisation par néostigmine ou sugammadex ; (iii) la détection de la curarisation résiduelle en SSPI.</w:t>
      </w:r>
    </w:p>
    <w:p>
      <w:r/>
      <w:r>
        <w:rPr>
          <w:b/>
        </w:rPr>
        <w:t>Antagonisation</w:t>
      </w:r>
      <w:r>
        <w:t xml:space="preserve"> :</w:t>
      </w:r>
    </w:p>
    <w:p>
      <w:pPr>
        <w:pStyle w:val="ListBullet"/>
      </w:pPr>
      <w:r>
        <w:t>Par néostigmine (0,04-0,07 mg/kg IV) + atropine (10-20 µg/kg IV) ou glycopyrrolate : antagonisation classique, efficace pour TOF ratio &gt; 0,4 (décurarisation modérée). Délai d'action 5-10 minutes. Effets muscariniques : bradycardie, hypersécrétion bronchique, bronchospasme, augmentation du péristaltisme (justifiant l'atropine ou le glycopyrrolate).</w:t>
      </w:r>
    </w:p>
    <w:p>
      <w:pPr>
        <w:pStyle w:val="ListBullet"/>
      </w:pPr>
      <w:r>
        <w:t>Par sugammadex (2-4-16 mg/kg IV) : antagonisation spécifique par encapsulation. Délai d'action 1-3 minutes (à 2 mg/kg) à 1-2 minutes (à 16 mg/kg en urgence). Efficace pour TOF ratio &lt; 0,4 (décurarisation profonde) et même pour bloc profond (PTC 1-2). Sans effet muscarinique. Recommandé en cas de curarisation résiduelle, d'insuffisance hépatique ou rénale, d'obésité morbide, de patient âgé.</w:t>
      </w:r>
    </w:p>
    <w:p>
      <w:pPr>
        <w:pStyle w:val="Heading4"/>
      </w:pPr>
      <w:r>
        <w:t>182.11.1.5 Indications thérapeutiques</w:t>
      </w:r>
    </w:p>
    <w:p>
      <w:pPr>
        <w:pStyle w:val="ListNumber"/>
      </w:pPr>
      <w:r/>
      <w:r>
        <w:rPr>
          <w:b/>
        </w:rPr>
        <w:t>Induction en séquence rapide (RSI)</w:t>
      </w:r>
      <w:r>
        <w:t xml:space="preserve"> : indication princeps du rocuronium, en alternative à la succinylcholine.</w:t>
      </w:r>
    </w:p>
    <w:p>
      <w:pPr>
        <w:pStyle w:val="ListBullet"/>
      </w:pPr>
      <w:r>
        <w:t>Patients à estomac plein : traumatologie, urgence chirurgicale, occlusion, péritonite, hémorragie digestive, intoxication.</w:t>
      </w:r>
    </w:p>
    <w:p>
      <w:pPr>
        <w:pStyle w:val="ListBullet"/>
      </w:pPr>
      <w:r>
        <w:t>Patientes enceintes à terme : césarienne en urgence,accouchement instrumental compliqué.</w:t>
      </w:r>
    </w:p>
    <w:p>
      <w:pPr>
        <w:pStyle w:val="ListBullet"/>
      </w:pPr>
      <w:r>
        <w:t>Patients à risque d'inhalation : reflux gastro-œsophagien sévère, hernie hiatale, obésité morbide, diabète avec gastroparésie.</w:t>
      </w:r>
    </w:p>
    <w:p>
      <w:pPr>
        <w:pStyle w:val="ListBullet"/>
      </w:pPr>
      <w:r>
        <w:t>Contre-indications à la succinylcholine : hyperkaliémie (&gt; 5,5 mmol/L), brûlures étendues (&gt; 24 h après la brûlure, jusqu'à 2 ans), dénervation (paraplégie, tétraplégie, jusqu'à 2 ans), antécédents familiaux d'hyperthermie maligne, myopathie (dystrophie de Duchenne, myotonie).</w:t>
      </w:r>
    </w:p>
    <w:p>
      <w:pPr>
        <w:pStyle w:val="ListBullet"/>
      </w:pPr>
      <w:r>
        <w:t>Dose : 1-1,2 mg/kg IV (sans dépasser 1,2 mg/kg en raison de la prolongation de la durée d'action).</w:t>
      </w:r>
    </w:p>
    <w:p>
      <w:pPr>
        <w:pStyle w:val="ListNumber"/>
      </w:pPr>
      <w:r/>
      <w:r>
        <w:rPr>
          <w:b/>
        </w:rPr>
        <w:t>Intubation élective</w:t>
      </w:r>
      <w:r>
        <w:t xml:space="preserve"> :</w:t>
      </w:r>
    </w:p>
    <w:p>
      <w:pPr>
        <w:pStyle w:val="ListBullet"/>
      </w:pPr>
      <w:r>
        <w:t>Chirurgie programmée nécessitant une curarisation pour intubation : chirurgie abdominale, thoracique, ORL, neurochirurgie, chirurgie cardiaque, chirurgie pédiatrique.</w:t>
      </w:r>
    </w:p>
    <w:p>
      <w:pPr>
        <w:pStyle w:val="ListBullet"/>
      </w:pPr>
      <w:r>
        <w:t>Dose : 0,6 mg/kg IV, intubation en 90-120 secondes.</w:t>
      </w:r>
    </w:p>
    <w:p>
      <w:pPr>
        <w:pStyle w:val="ListNumber"/>
      </w:pPr>
      <w:r/>
      <w:r>
        <w:rPr>
          <w:b/>
        </w:rPr>
        <w:t>Entretien de la curarisation en anesthésie</w:t>
      </w:r>
      <w:r>
        <w:t xml:space="preserve"> :</w:t>
      </w:r>
    </w:p>
    <w:p>
      <w:pPr>
        <w:pStyle w:val="ListBullet"/>
      </w:pPr>
      <w:r>
        <w:t>Bolus répétés : 0,1-0,15 mg/kg IV toutes les 30-45 minutes.</w:t>
      </w:r>
    </w:p>
    <w:p>
      <w:pPr>
        <w:pStyle w:val="ListBullet"/>
      </w:pPr>
      <w:r>
        <w:t>Perfusion continue : 5-15 µg/kg/min (0,3-0,9 mg/kg/h), ajustée au monitorage TOF.</w:t>
      </w:r>
    </w:p>
    <w:p>
      <w:pPr>
        <w:pStyle w:val="ListNumber"/>
      </w:pPr>
      <w:r/>
      <w:r>
        <w:rPr>
          <w:b/>
        </w:rPr>
        <w:t>Curarisation de réanimation</w:t>
      </w:r>
      <w:r>
        <w:t xml:space="preserve"> :</w:t>
      </w:r>
    </w:p>
    <w:p>
      <w:pPr>
        <w:pStyle w:val="ListBullet"/>
      </w:pPr>
      <w:r>
        <w:t>Ventilation mécanique difficile (SDRA, asynchrone patient-respirateur) : perfusion continue 5-15 µg/kg/min, surveillance TOF tous les jours (cible : 1-2 réponses au TOF, ou PTC 1-2 pour SDRA sévère).</w:t>
      </w:r>
    </w:p>
    <w:p>
      <w:pPr>
        <w:pStyle w:val="ListBullet"/>
      </w:pPr>
      <w:r>
        <w:t>Hypothermie thérapeutique post-arrêt cardiaque : perfusion continue pour prévenir les frissons.</w:t>
      </w:r>
    </w:p>
    <w:p>
      <w:pPr>
        <w:pStyle w:val="ListBullet"/>
      </w:pPr>
      <w:r>
        <w:t>Transport secondaire de patient agité : bolus 0,6 mg/kg IV.</w:t>
      </w:r>
    </w:p>
    <w:p>
      <w:pPr>
        <w:pStyle w:val="ListBullet"/>
      </w:pPr>
      <w:r>
        <w:t>Convulsions réfractaires (état de mal épileptique) : curarisation pour ventilation mécanique, en association aux anticonvulsivants.</w:t>
      </w:r>
    </w:p>
    <w:p>
      <w:pPr>
        <w:pStyle w:val="ListNumber"/>
      </w:pPr>
      <w:r/>
      <w:r>
        <w:rPr>
          <w:b/>
        </w:rPr>
        <w:t>Chirurgie cardiaque</w:t>
      </w:r>
      <w:r>
        <w:t xml:space="preserve"> :</w:t>
      </w:r>
    </w:p>
    <w:p>
      <w:pPr>
        <w:pStyle w:val="ListBullet"/>
      </w:pPr>
      <w:r>
        <w:t>Curare de choix en chirurgie cardiaque (stabilité hémodynamique, absence d'histaminolibération), en particulier pour la chirurgie sous circulation extracorporelle (CEC).</w:t>
      </w:r>
    </w:p>
    <w:p>
      <w:pPr>
        <w:pStyle w:val="ListBullet"/>
      </w:pPr>
      <w:r>
        <w:t>Dose d'induction : 0,6-1 mg/kg IV.</w:t>
      </w:r>
    </w:p>
    <w:p>
      <w:pPr>
        <w:pStyle w:val="ListNumber"/>
      </w:pPr>
      <w:r/>
      <w:r>
        <w:rPr>
          <w:b/>
        </w:rPr>
        <w:t>Césarienne en urgence</w:t>
      </w:r>
      <w:r>
        <w:t xml:space="preserve"> :</w:t>
      </w:r>
    </w:p>
    <w:p>
      <w:pPr>
        <w:pStyle w:val="ListBullet"/>
      </w:pPr>
      <w:r>
        <w:t>Induction en séquence rapide pour césarienne en urgence (bradycardie fœtale sévère, procidence du cordon, hémorragie maternelle massive).</w:t>
      </w:r>
    </w:p>
    <w:p>
      <w:pPr>
        <w:pStyle w:val="ListBullet"/>
      </w:pPr>
      <w:r>
        <w:t>Dose : 0,6-1 mg/kg IV. Surveillance du nouveau-né (hypotonie transitoire possible si dose élevée).</w:t>
      </w:r>
    </w:p>
    <w:p>
      <w:pPr>
        <w:pStyle w:val="ListNumber"/>
      </w:pPr>
      <w:r/>
      <w:r>
        <w:rPr>
          <w:b/>
        </w:rPr>
        <w:t>Hors AMM</w:t>
      </w:r>
      <w:r>
        <w:t xml:space="preserve"> :</w:t>
      </w:r>
    </w:p>
    <w:p>
      <w:pPr>
        <w:pStyle w:val="ListBullet"/>
      </w:pPr>
      <w:r>
        <w:t>Réduction de fracture luxation sous sédation : curarisation pour faciliter la réduction.</w:t>
      </w:r>
    </w:p>
    <w:p>
      <w:pPr>
        <w:pStyle w:val="ListBullet"/>
      </w:pPr>
      <w:r>
        <w:t>Lavage gastrique en cas d'intoxication sévère (rarement utilisé).</w:t>
      </w:r>
    </w:p>
    <w:p>
      <w:pPr>
        <w:pStyle w:val="Heading4"/>
      </w:pPr>
      <w:r>
        <w:t>182.11.1.6 Posologie et mode d'administration</w:t>
      </w:r>
    </w:p>
    <w:p>
      <w:r/>
      <w:r>
        <w:rPr>
          <w:b/>
        </w:rPr>
        <w:t>Induction en séquence rapide (RSI)</w:t>
      </w:r>
      <w:r>
        <w:t xml:space="preserve"> :</w:t>
      </w:r>
    </w:p>
    <w:p>
      <w:pPr>
        <w:pStyle w:val="ListBullet"/>
      </w:pPr>
      <w:r>
        <w:t>Adulte : 1-1,2 mg/kg IV en bolus direct, suivi immédiatement par l'induction anesthésique (propofol 2-3 mg/kg ou étomidate 0,3 mg/kg ou cétamine 1-2 mg/kg).</w:t>
      </w:r>
    </w:p>
    <w:p>
      <w:pPr>
        <w:pStyle w:val="ListBullet"/>
      </w:pPr>
      <w:r>
        <w:t>Enfant &gt; 2 ans : 1 mg/kg IV.</w:t>
      </w:r>
    </w:p>
    <w:p>
      <w:pPr>
        <w:pStyle w:val="ListBullet"/>
      </w:pPr>
      <w:r>
        <w:t>Nourrisson &lt; 2 ans : 0,6-1 mg/kg IV (sensibilité accrue, ajuster au poids).</w:t>
      </w:r>
    </w:p>
    <w:p>
      <w:r/>
      <w:r>
        <w:rPr>
          <w:b/>
        </w:rPr>
        <w:t>Intubation élective</w:t>
      </w:r>
      <w:r>
        <w:t xml:space="preserve"> :</w:t>
      </w:r>
    </w:p>
    <w:p>
      <w:pPr>
        <w:pStyle w:val="ListBullet"/>
      </w:pPr>
      <w:r>
        <w:t>Adulte : 0,6 mg/kg IV.</w:t>
      </w:r>
    </w:p>
    <w:p>
      <w:pPr>
        <w:pStyle w:val="ListBullet"/>
      </w:pPr>
      <w:r>
        <w:t>Enfant &gt; 2 ans : 0,6 mg/kg IV.</w:t>
      </w:r>
    </w:p>
    <w:p>
      <w:pPr>
        <w:pStyle w:val="ListBullet"/>
      </w:pPr>
      <w:r>
        <w:t>Nourrisson : 0,45 mg/kg IV.</w:t>
      </w:r>
    </w:p>
    <w:p>
      <w:r/>
      <w:r>
        <w:rPr>
          <w:b/>
        </w:rPr>
        <w:t>Entretien de la curarisation</w:t>
      </w:r>
      <w:r>
        <w:t xml:space="preserve"> :</w:t>
      </w:r>
    </w:p>
    <w:p>
      <w:pPr>
        <w:pStyle w:val="ListBullet"/>
      </w:pPr>
      <w:r>
        <w:t>Bolus : 0,1-0,15 mg/kg IV toutes les 30-45 minutes.</w:t>
      </w:r>
    </w:p>
    <w:p>
      <w:pPr>
        <w:pStyle w:val="ListBullet"/>
      </w:pPr>
      <w:r>
        <w:t>Perfusion continue : 5-15 µg/kg/min (0,3-0,9 mg/kg/h), ajustée au monitorage TOF (cible : 1-2 réponses au TOF pour chirurgie abdominale majeure, 2 réponses pour chirurgie moyenne).</w:t>
      </w:r>
    </w:p>
    <w:p>
      <w:r/>
      <w:r>
        <w:rPr>
          <w:b/>
        </w:rPr>
        <w:t>Curarisation de réanimation</w:t>
      </w:r>
      <w:r>
        <w:t xml:space="preserve"> :</w:t>
      </w:r>
    </w:p>
    <w:p>
      <w:pPr>
        <w:pStyle w:val="ListBullet"/>
      </w:pPr>
      <w:r>
        <w:t>Perfusion continue : 5-15 µg/kg/min (0,3-0,9 mg/kg/h), surveillance TOF tous les jours (cible : 1-2 réponses au TOF, ou PTC 1-2 pour SDRA sévère).</w:t>
      </w:r>
    </w:p>
    <w:p>
      <w:pPr>
        <w:pStyle w:val="ListBullet"/>
      </w:pPr>
      <w:r>
        <w:t>Adaptation en cas d'insuffisance hépatique ou rénale : réduire de 30-50 %, ou préférer l'atracurium (dégradation Hofmann indépendante).</w:t>
      </w:r>
    </w:p>
    <w:p>
      <w:r/>
      <w:r>
        <w:rPr>
          <w:b/>
        </w:rPr>
        <w:t>Antagonisation</w:t>
      </w:r>
      <w:r>
        <w:t xml:space="preserve"> :</w:t>
      </w:r>
    </w:p>
    <w:p>
      <w:pPr>
        <w:pStyle w:val="ListBullet"/>
      </w:pPr>
      <w:r>
        <w:t>Par néostigmine : 0,04-0,07 mg/kg IV (soit 2,5-5 mg chez l'adulte de 70 kg) + atropine 10-20 µg/kg IV (soit 0,5-1,5 mg) ou glycopyrrolate 5-10 µg/kg IV. Délai d'action 5-10 minutes. Efficace pour TOF ratio &gt; 0,4.</w:t>
      </w:r>
    </w:p>
    <w:p>
      <w:pPr>
        <w:pStyle w:val="ListBullet"/>
      </w:pPr>
      <w:r>
        <w:t>Par sugammadex :</w:t>
      </w:r>
    </w:p>
    <w:p>
      <w:pPr>
        <w:pStyle w:val="ListBullet"/>
      </w:pPr>
      <w:r>
        <w:t>Décurarisation modérée (TOF 2/4) : 2 mg/kg IV, délai 1-3 minutes.</w:t>
      </w:r>
    </w:p>
    <w:p>
      <w:pPr>
        <w:pStyle w:val="ListBullet"/>
      </w:pPr>
      <w:r>
        <w:t>Décurarisation profonde (PTC 1-2) : 4 mg/kg IV, délai 2-5 minutes.</w:t>
      </w:r>
    </w:p>
    <w:p>
      <w:pPr>
        <w:pStyle w:val="ListBullet"/>
      </w:pPr>
      <w:r>
        <w:t>Décurarisation immédiate en urgence (anaphylaxie, intubation difficile) : 16 mg/kg IV, délai 1-2 minutes.</w:t>
      </w:r>
    </w:p>
    <w:p>
      <w:r/>
      <w:r>
        <w:rPr>
          <w:b/>
        </w:rPr>
        <w:t>Doses maximales</w:t>
      </w:r>
      <w:r>
        <w:t xml:space="preserve"> :</w:t>
      </w:r>
    </w:p>
    <w:p>
      <w:pPr>
        <w:pStyle w:val="ListBullet"/>
      </w:pPr>
      <w:r>
        <w:t>Bolus induction : 1,2 mg/kg IV (sans dépasser pour éviter la prolongation de la durée d'action).</w:t>
      </w:r>
    </w:p>
    <w:p>
      <w:pPr>
        <w:pStyle w:val="ListBullet"/>
      </w:pPr>
      <w:r>
        <w:t>Dose cumulative maximale en perfusion continue : 0,9 mg/kg/h, soit 60 mg/h chez l'adulte de 70 kg.</w:t>
      </w:r>
    </w:p>
    <w:p>
      <w:pPr>
        <w:pStyle w:val="ListBullet"/>
      </w:pPr>
      <w:r>
        <w:t>Antagonisation par sugammadex : dose maximale 16 mg/kg.</w:t>
      </w:r>
    </w:p>
    <w:p>
      <w:r/>
      <w:r>
        <w:rPr>
          <w:b/>
        </w:rPr>
        <w:t>Adaptations posologiques</w:t>
      </w:r>
      <w:r>
        <w:t xml:space="preserve"> :</w:t>
      </w:r>
    </w:p>
    <w:p>
      <w:pPr>
        <w:pStyle w:val="ListBullet"/>
      </w:pPr>
      <w:r>
        <w:t>Sujet âgé : pas d'adaptation stricte, mais surveillance accrue (clairance diminuée, durée d'action prolongée).</w:t>
      </w:r>
    </w:p>
    <w:p>
      <w:pPr>
        <w:pStyle w:val="ListBullet"/>
      </w:pPr>
      <w:r>
        <w:t>Enfant : doses par kg supérieures à l'adulte (clairance augmentée, demi-vie plus courte).</w:t>
      </w:r>
    </w:p>
    <w:p>
      <w:pPr>
        <w:pStyle w:val="ListBullet"/>
      </w:pPr>
      <w:r>
        <w:t>Insuffisance hépatique sévère : réduire de 30-50 %, ou préférer l'atracurium.</w:t>
      </w:r>
    </w:p>
    <w:p>
      <w:pPr>
        <w:pStyle w:val="ListBullet"/>
      </w:pPr>
      <w:r>
        <w:t>Insuffisance rénale terminale : pas d'adaptation stricte (l'élimination biliaire prédomine), mais surveillance accrue (prolongation de la durée d'action possible).</w:t>
      </w:r>
    </w:p>
    <w:p>
      <w:pPr>
        <w:pStyle w:val="ListBullet"/>
      </w:pPr>
      <w:r>
        <w:t>Obésité morbide (IMC &gt; 40) : utiliser le poids idéal théorique (PIT) et non le poids réel (en raison de la distribution hydrophile limitée au compartiment extracellulaire), avec ajustement à 0,6 mg/kg PIT pour l'induction.</w:t>
      </w:r>
    </w:p>
    <w:p>
      <w:r/>
      <w:r>
        <w:rPr>
          <w:b/>
        </w:rPr>
        <w:t>Voie IV stricte</w:t>
      </w:r>
      <w:r>
        <w:t xml:space="preserve"> : pas d'autre voie (IM, SC, intrathécale) possible. La perfusion continue doit être réalisée avec une seringue électrique ou un pousse-seringue électrique (PSE), avec un débit précis.</w:t>
      </w:r>
    </w:p>
    <w:p>
      <w:pPr>
        <w:pStyle w:val="Heading4"/>
      </w:pPr>
      <w:r>
        <w:t>182.11.1.7 Effets indésirables et prévention</w:t>
      </w:r>
    </w:p>
    <w:p>
      <w:r/>
      <w:r>
        <w:rPr>
          <w:b/>
        </w:rPr>
        <w:t>Effets indésirables fréquents (&gt; 10 %)</w:t>
      </w:r>
      <w:r>
        <w:t xml:space="preserve"> :</w:t>
      </w:r>
    </w:p>
    <w:p>
      <w:pPr>
        <w:pStyle w:val="ListBullet"/>
      </w:pPr>
      <w:r/>
      <w:r>
        <w:rPr>
          <w:b/>
        </w:rPr>
        <w:t>Curarisation résiduelle</w:t>
      </w:r>
      <w:r>
        <w:t xml:space="preserve"> : 30-40 % des patients en SSPI en l'absence de monitorage TOF. Signes : hypotonie, difficulté à soutenir la tête, dyspnée, dysphagie, voix nasonnée, diplopie. Complications : hypoxémie, atélectasie, pneumopathie d'inhalation, ré-intubation. Prévention : monitorage TOF systématique, antagonisation systématique par néostigmine (à TOF &gt; 0,4) ou sugammadex (à TOF &lt; 0,4), surveillance clinique en SSPI pendant 1 heure après antagonisation.</w:t>
      </w:r>
    </w:p>
    <w:p>
      <w:pPr>
        <w:pStyle w:val="ListBullet"/>
      </w:pPr>
      <w:r/>
      <w:r>
        <w:rPr>
          <w:b/>
        </w:rPr>
        <w:t>Douleur à l'injection</w:t>
      </w:r>
      <w:r>
        <w:t xml:space="preserve"> : 5-10 % des patients, en cas d'injection dans une petite veine (veine dorsale de la main). Mécanisme : pH acide de la solution (pH 4-5). Prévention : injection dans une grosse veine (plis du coude), dilution avec NaCl 0,9 % (1:1), réchauffement de la solution.</w:t>
      </w:r>
    </w:p>
    <w:p>
      <w:r/>
      <w:r>
        <w:rPr>
          <w:b/>
        </w:rPr>
        <w:t>Effets indésirables moins fréquents (1-10 %)</w:t>
      </w:r>
      <w:r>
        <w:t xml:space="preserve"> :</w:t>
      </w:r>
    </w:p>
    <w:p>
      <w:pPr>
        <w:pStyle w:val="ListBullet"/>
      </w:pPr>
      <w:r/>
      <w:r>
        <w:rPr>
          <w:b/>
        </w:rPr>
        <w:t>Tachycardie légère</w:t>
      </w:r>
      <w:r>
        <w:t xml:space="preserve"> : 5-10 %, à forte dose (1,2 mg/kg), par mécanisme mal élucidé.</w:t>
      </w:r>
    </w:p>
    <w:p>
      <w:pPr>
        <w:pStyle w:val="ListBullet"/>
      </w:pPr>
      <w:r/>
      <w:r>
        <w:rPr>
          <w:b/>
        </w:rPr>
        <w:t>Hypertension transitoire</w:t>
      </w:r>
      <w:r>
        <w:t xml:space="preserve"> : 1-5 %, à forte dose.</w:t>
      </w:r>
    </w:p>
    <w:p>
      <w:pPr>
        <w:pStyle w:val="ListBullet"/>
      </w:pPr>
      <w:r/>
      <w:r>
        <w:rPr>
          <w:b/>
        </w:rPr>
        <w:t>Bronchospasme</w:t>
      </w:r>
      <w:r>
        <w:t xml:space="preserve"> : rare, en cas d'anaphylaxie.</w:t>
      </w:r>
    </w:p>
    <w:p>
      <w:r/>
      <w:r>
        <w:rPr>
          <w:b/>
        </w:rPr>
        <w:t>Effets indésirables rares (&lt; 1 %)</w:t>
      </w:r>
      <w:r>
        <w:t xml:space="preserve"> :</w:t>
      </w:r>
    </w:p>
    <w:p>
      <w:pPr>
        <w:pStyle w:val="ListBullet"/>
      </w:pPr>
      <w:r/>
      <w:r>
        <w:rPr>
          <w:b/>
        </w:rPr>
        <w:t>Anaphylaxie</w:t>
      </w:r>
      <w:r>
        <w:t xml:space="preserve"> : 1/10 000 à 1/20 000 anesthésies. Mécanisme : IgE médié (le plus souvent) ou réaction non-allergique (histaminolibération directe). Signes : hypotension sévère, bronchospasme, érythème, urticaire, angiœdème, collapsus cardiovasculaire. Mortalité : 5 %. Prise en charge : arrêt du rocuronium, arrêt de l'agent anesthésique, remplissage vasculaire (cristalloïdes 20-30 mL/kg), adrénaline IV (bolus 10-100 µg, renouvelable, puis perfusion 0,05-0,5 µg/kg/min), antihistaminiques (diphénhydramine 50 mg IV), corticoïdes (méthylprednisolone 1-2 mg/kg IV), bronchodilatateurs (salbutamol 5 mg nébulisé). Prévention : identification des patients à risque (antécédents d'anaphylaxie aux curares, asthme sévère), recommandations SFAR 2018 sur la prévention de l'anaphylaxie peranesthésique. Le rocuronium est l'un des curares les plus pourvoyeurs d'anaphylaxie (avec la succinylcholine et le vécuronium), avec une incidence légèrement supérieure à l'atracurium. Le sugammadex peut être utilisé en urgence pour encapsuler le rocuronium en cas d'anaphylaxie (16 mg/kg IV), mais cette stratégie est controversée (le complexe rocuronium-sugammadex peut lui-même être allergénique).</w:t>
      </w:r>
    </w:p>
    <w:p>
      <w:pPr>
        <w:pStyle w:val="ListBullet"/>
      </w:pPr>
      <w:r/>
      <w:r>
        <w:rPr>
          <w:b/>
        </w:rPr>
        <w:t>Hyperkaliémie transitoire</w:t>
      </w:r>
      <w:r>
        <w:t xml:space="preserve"> : rare, en cas de dénervation (paraplégie, brûlures étendues), moins marquée qu'avec la succinylcholine.</w:t>
      </w:r>
    </w:p>
    <w:p>
      <w:pPr>
        <w:pStyle w:val="ListBullet"/>
      </w:pPr>
      <w:r/>
      <w:r>
        <w:rPr>
          <w:b/>
        </w:rPr>
        <w:t>Hypertonie musculaire</w:t>
      </w:r>
      <w:r>
        <w:t xml:space="preserve"> : rare, en cas de myopathie préexistante.</w:t>
      </w:r>
    </w:p>
    <w:p>
      <w:pPr>
        <w:pStyle w:val="ListBullet"/>
      </w:pPr>
      <w:r/>
      <w:r>
        <w:rPr>
          <w:b/>
        </w:rPr>
        <w:t>Allongement du QT</w:t>
      </w:r>
      <w:r>
        <w:t xml:space="preserve"> : rare, surveillance ECG chez les patients sous antiarythmiques.</w:t>
      </w:r>
    </w:p>
    <w:p>
      <w:r/>
      <w:r>
        <w:rPr>
          <w:b/>
        </w:rPr>
        <w:t>Effets indésirables spécifiques de l'antagonisation</w:t>
      </w:r>
      <w:r>
        <w:t xml:space="preserve"> :</w:t>
      </w:r>
    </w:p>
    <w:p>
      <w:pPr>
        <w:pStyle w:val="ListBullet"/>
      </w:pPr>
      <w:r/>
      <w:r>
        <w:rPr>
          <w:b/>
        </w:rPr>
        <w:t>Néostigmine-atropine</w:t>
      </w:r>
      <w:r>
        <w:t xml:space="preserve"> : bradycardie, hypersécrétion bronchique, bronchospasme, augmentation du péristaltisme (nausées, vomissements, crampes abdominales), miosis, myosis. Prévention : atropine ou glycopyrrolate systématiquement associé.</w:t>
      </w:r>
    </w:p>
    <w:p>
      <w:pPr>
        <w:pStyle w:val="ListBullet"/>
      </w:pPr>
      <w:r/>
      <w:r>
        <w:rPr>
          <w:b/>
        </w:rPr>
        <w:t>Sugammadex</w:t>
      </w:r>
      <w:r>
        <w:t xml:space="preserve"> : rare, allongement du QT (surveillance ECG), possible réaction allergique (1/1000 à 1/10 000), inefficacité sur les autres curares (atracurium, succinylcholine).</w:t>
      </w:r>
    </w:p>
    <w:p>
      <w:pPr>
        <w:pStyle w:val="Heading4"/>
      </w:pPr>
      <w:r>
        <w:t>182.11.1.8 Interactions médicamenteuses</w:t>
      </w:r>
    </w:p>
    <w:p>
      <w:r/>
      <w:r>
        <w:rPr>
          <w:b/>
        </w:rPr>
        <w:t>Interactions pharmacodynamiques</w:t>
      </w:r>
      <w:r>
        <w:t xml:space="preserve"> :</w:t>
      </w:r>
    </w:p>
    <w:p>
      <w:pPr>
        <w:pStyle w:val="ListBullet"/>
      </w:pPr>
      <w:r/>
      <w:r>
        <w:rPr>
          <w:b/>
        </w:rPr>
        <w:t>Autres curares non dépolarisants</w:t>
      </w:r>
      <w:r>
        <w:t xml:space="preserve"> (vécuronium, atracurium, pancuronium) : effet additif ou synergique. Éviter l'association sauf nécessité (relais d'un curare à un autre).</w:t>
      </w:r>
    </w:p>
    <w:p>
      <w:pPr>
        <w:pStyle w:val="ListBullet"/>
      </w:pPr>
      <w:r/>
      <w:r>
        <w:rPr>
          <w:b/>
        </w:rPr>
        <w:t>Succinylcholine</w:t>
      </w:r>
      <w:r>
        <w:t xml:space="preserve"> : potentialisation du bloc (le rocuronium doit être administré après récupération complète de la succinylcholine).</w:t>
      </w:r>
    </w:p>
    <w:p>
      <w:pPr>
        <w:pStyle w:val="ListBullet"/>
      </w:pPr>
      <w:r/>
      <w:r>
        <w:rPr>
          <w:b/>
        </w:rPr>
        <w:t>Aminoglycosides</w:t>
      </w:r>
      <w:r>
        <w:t xml:space="preserve"> (gentamicine, amikacine, tobramycine) : potentialisation du bloc par inhibition présynaptique de la libération d'acétylcholine. Surveillance clinique.</w:t>
      </w:r>
    </w:p>
    <w:p>
      <w:pPr>
        <w:pStyle w:val="ListBullet"/>
      </w:pPr>
      <w:r/>
      <w:r>
        <w:rPr>
          <w:b/>
        </w:rPr>
        <w:t>Polymyxines</w:t>
      </w:r>
      <w:r>
        <w:t xml:space="preserve"> (colimycine) : potentialisation du bloc, parfois réfractaire à la néostigmine.</w:t>
      </w:r>
    </w:p>
    <w:p>
      <w:pPr>
        <w:pStyle w:val="ListBullet"/>
      </w:pPr>
      <w:r/>
      <w:r>
        <w:rPr>
          <w:b/>
        </w:rPr>
        <w:t>Clindamycine, linézolide</w:t>
      </w:r>
      <w:r>
        <w:t xml:space="preserve"> : potentialisation modeste.</w:t>
      </w:r>
    </w:p>
    <w:p>
      <w:pPr>
        <w:pStyle w:val="ListBullet"/>
      </w:pPr>
      <w:r/>
      <w:r>
        <w:rPr>
          <w:b/>
        </w:rPr>
        <w:t>Magnésium IV</w:t>
      </w:r>
      <w:r>
        <w:t xml:space="preserve"> (éclampsie, prééclampsie) : potentialisation importante du bloc. Réduire la dose de rocuronium de 30-50 %.</w:t>
      </w:r>
    </w:p>
    <w:p>
      <w:pPr>
        <w:pStyle w:val="ListBullet"/>
      </w:pPr>
      <w:r/>
      <w:r>
        <w:rPr>
          <w:b/>
        </w:rPr>
        <w:t>Calcium IV</w:t>
      </w:r>
      <w:r>
        <w:t xml:space="preserve"> : antagonisation modeste du bloc.</w:t>
      </w:r>
    </w:p>
    <w:p>
      <w:pPr>
        <w:pStyle w:val="ListBullet"/>
      </w:pPr>
      <w:r/>
      <w:r>
        <w:rPr>
          <w:b/>
        </w:rPr>
        <w:t>Corticostéroïdes</w:t>
      </w:r>
      <w:r>
        <w:t xml:space="preserve"> (chroniques) : potentialisation, en particulier en réanimation (myopathie de réanimation).</w:t>
      </w:r>
    </w:p>
    <w:p>
      <w:pPr>
        <w:pStyle w:val="ListBullet"/>
      </w:pPr>
      <w:r/>
      <w:r>
        <w:rPr>
          <w:b/>
        </w:rPr>
        <w:t>Antiépileptiques chroniques</w:t>
      </w:r>
      <w:r>
        <w:t xml:space="preserve"> (phénytoïne, carbamazépine) : résistance au rocurium (augmentation du nombre de nAChR), nécessitant des doses plus élevées.</w:t>
      </w:r>
    </w:p>
    <w:p>
      <w:pPr>
        <w:pStyle w:val="ListBullet"/>
      </w:pPr>
      <w:r/>
      <w:r>
        <w:rPr>
          <w:b/>
        </w:rPr>
        <w:t>Diurétiques</w:t>
      </w:r>
      <w:r>
        <w:t xml:space="preserve"> (furosémide, mannitol) : potentialisation modeste.</w:t>
      </w:r>
    </w:p>
    <w:p>
      <w:pPr>
        <w:pStyle w:val="ListBullet"/>
      </w:pPr>
      <w:r/>
      <w:r>
        <w:rPr>
          <w:b/>
        </w:rPr>
        <w:t>Anesthésiques halogénés</w:t>
      </w:r>
      <w:r>
        <w:t xml:space="preserve"> (isoflurane, sévoflurane, desflurane) : potentialisation du bloc, réduction des doses de rocuronium de 20-30 %.</w:t>
      </w:r>
    </w:p>
    <w:p>
      <w:pPr>
        <w:pStyle w:val="ListBullet"/>
      </w:pPr>
      <w:r/>
      <w:r>
        <w:rPr>
          <w:b/>
        </w:rPr>
        <w:t>Propofol, étomidate, cétamine</w:t>
      </w:r>
      <w:r>
        <w:t xml:space="preserve"> : pas d'interaction cliniquement significative.</w:t>
      </w:r>
    </w:p>
    <w:p>
      <w:r/>
      <w:r>
        <w:rPr>
          <w:b/>
        </w:rPr>
        <w:t>Interactions pharmacocinétiques</w:t>
      </w:r>
      <w:r>
        <w:t xml:space="preserve"> :</w:t>
      </w:r>
    </w:p>
    <w:p>
      <w:pPr>
        <w:pStyle w:val="ListBullet"/>
      </w:pPr>
      <w:r/>
      <w:r>
        <w:rPr>
          <w:b/>
        </w:rPr>
        <w:t>Inhibiteurs du CYP3A4</w:t>
      </w:r>
      <w:r>
        <w:t xml:space="preserve"> (kétéconazole, itraconazole, ritonavir, clarithromycine, érythromycine, fluoxétine, diltiazem, vérapamil) : pas d'interaction cliniquement significative (le rocuronium étant peu métabolisé).</w:t>
      </w:r>
    </w:p>
    <w:p>
      <w:pPr>
        <w:pStyle w:val="ListBullet"/>
      </w:pPr>
      <w:r/>
      <w:r>
        <w:rPr>
          <w:b/>
        </w:rPr>
        <w:t>Inducteurs du CYP3A4</w:t>
      </w:r>
      <w:r>
        <w:t xml:space="preserve"> (rifampicine, phénytoïne, carbamazépine, phénobarbital) : pas d'interaction significative.</w:t>
      </w:r>
    </w:p>
    <w:p>
      <w:r/>
      <w:r>
        <w:rPr>
          <w:b/>
        </w:rPr>
        <w:t>Interactions spécifiques du sugammadex</w:t>
      </w:r>
      <w:r>
        <w:t xml:space="preserve"> :</w:t>
      </w:r>
    </w:p>
    <w:p>
      <w:pPr>
        <w:pStyle w:val="ListBullet"/>
      </w:pPr>
      <w:r/>
      <w:r>
        <w:rPr>
          <w:b/>
        </w:rPr>
        <w:t>Hormones progestatives</w:t>
      </w:r>
      <w:r>
        <w:t xml:space="preserve"> (contraceptifs oraux, progestatifs) : le sugammadex peut réduire l'efficacité des hormones progestatives par liaison (efficacité contraceptive réduite pendant 7 jours après sugammadex, nécessitant une méthode contraceptive complémentaire).</w:t>
      </w:r>
    </w:p>
    <w:p>
      <w:pPr>
        <w:pStyle w:val="ListBullet"/>
      </w:pPr>
      <w:r/>
      <w:r>
        <w:rPr>
          <w:b/>
        </w:rPr>
        <w:t>Hormones œstroprogestatives</w:t>
      </w:r>
      <w:r>
        <w:t xml:space="preserve"> : idem.</w:t>
      </w:r>
    </w:p>
    <w:p>
      <w:pPr>
        <w:pStyle w:val="ListBullet"/>
      </w:pPr>
      <w:r/>
      <w:r>
        <w:rPr>
          <w:b/>
        </w:rPr>
        <w:t>Toremifène</w:t>
      </w:r>
      <w:r>
        <w:t xml:space="preserve"> (anti-œstrogène) : réduction de l'efficacité par liaison au sugammadex.</w:t>
      </w:r>
    </w:p>
    <w:p>
      <w:pPr>
        <w:pStyle w:val="ListBullet"/>
      </w:pPr>
      <w:r/>
      <w:r>
        <w:rPr>
          <w:b/>
        </w:rPr>
        <w:t>Fusidique acide</w:t>
      </w:r>
      <w:r>
        <w:t xml:space="preserve"> (antibactérien) : réduction de l'efficacité.</w:t>
      </w:r>
    </w:p>
    <w:p>
      <w:pPr>
        <w:pStyle w:val="Heading4"/>
      </w:pPr>
      <w:r>
        <w:t>182.11.1.9 Grossesse, allaitement et CRAT</w:t>
      </w:r>
    </w:p>
    <w:p>
      <w:r/>
      <w:r>
        <w:rPr>
          <w:b/>
        </w:rPr>
        <w:t>Grossesse</w:t>
      </w:r>
      <w:r>
        <w:t xml:space="preserve"> :</w:t>
      </w:r>
    </w:p>
    <w:p>
      <w:pPr>
        <w:pStyle w:val="ListBullet"/>
      </w:pPr>
      <w:r>
        <w:t>Le rocuronium est « utilisable pendant la grossesse et la césarienne » selon le CRAT, en dose unique pour l'induction anesthésique. La diffusion transplacentaire est faible (&lt; 10 % de la dose maternelle), et la dose fœtale est inférieure au seuil de blocage des nAChR fœtaux.</w:t>
      </w:r>
    </w:p>
    <w:p>
      <w:pPr>
        <w:pStyle w:val="ListBullet"/>
      </w:pPr>
      <w:r>
        <w:t>En césarienne programmée : préférer la rachianesthésie à la bupivacaïne (pas de curarisation nécessaire).</w:t>
      </w:r>
    </w:p>
    <w:p>
      <w:pPr>
        <w:pStyle w:val="ListBullet"/>
      </w:pPr>
      <w:r>
        <w:t>En césarienne en urgence (bradycardie fœtale sévère, procidence du cordon) : induction en séquence rapide avec propofol 2 mg/kg + rocuronium 0,6-1 mg/kg IV, intubation en 60-90 secondes. Surveillance du nouveau-né (hypotonie transitoire possible si dose élevée), score d'Apgar à 1, 5, 10 minutes.</w:t>
      </w:r>
    </w:p>
    <w:p>
      <w:pPr>
        <w:pStyle w:val="ListBullet"/>
      </w:pPr>
      <w:r>
        <w:t>En cas de doses répétées ou de perfusion continue pendant la grossesse : surveillance prolongée du nouveau-né (hypotonie, dépression respiratoire).</w:t>
      </w:r>
    </w:p>
    <w:p>
      <w:r/>
      <w:r>
        <w:rPr>
          <w:b/>
        </w:rPr>
        <w:t>Allaitement</w:t>
      </w:r>
      <w:r>
        <w:t xml:space="preserve"> :</w:t>
      </w:r>
    </w:p>
    <w:p>
      <w:pPr>
        <w:pStyle w:val="ListBullet"/>
      </w:pPr>
      <w:r>
        <w:t>Le rocuronium passe dans le lait maternel en quantité négligeable (molécule hydrophile, peu liée aux protéines plasmatiques, et le nouveau-né n'absorbe pas les ammoniums quaternaires par voie orale).</w:t>
      </w:r>
    </w:p>
    <w:p>
      <w:pPr>
        <w:pStyle w:val="ListBullet"/>
      </w:pPr>
      <w:r>
        <w:t>Compatible avec l'allaitement selon le CRAT. Reprise de l'allaitement immédiatement après la césarienne ou la chirurgie sous rocuronium.</w:t>
      </w:r>
    </w:p>
    <w:p>
      <w:r/>
      <w:r>
        <w:rPr>
          <w:b/>
        </w:rPr>
        <w:t>Fécondité</w:t>
      </w:r>
      <w:r>
        <w:t xml:space="preserve"> : pas d'effet délétère documenté.</w:t>
      </w:r>
    </w:p>
    <w:p>
      <w:r/>
      <w:r>
        <w:rPr>
          <w:b/>
        </w:rPr>
        <w:t>CRAT</w:t>
      </w:r>
      <w:r>
        <w:t xml:space="preserve"> : rocuronium classé « utilisable pendant la grossesse et la césarienne en dose unique. Compatible avec l'allaitement ».</w:t>
      </w:r>
    </w:p>
    <w:p>
      <w:pPr>
        <w:pStyle w:val="Heading4"/>
      </w:pPr>
      <w:r>
        <w:t>182.11.1.10 Formes galéniques disponibles</w:t>
      </w:r>
    </w:p>
    <w:p>
      <w:pPr>
        <w:pStyle w:val="ListBullet"/>
      </w:pPr>
      <w:r/>
      <w:r>
        <w:rPr>
          <w:b/>
        </w:rPr>
        <w:t>Solution injectable IV à 10 mg/mL</w:t>
      </w:r>
      <w:r>
        <w:t xml:space="preserve"> en flacons de 5 mL (50 mg par flacon) :</w:t>
      </w:r>
    </w:p>
    <w:p>
      <w:pPr>
        <w:pStyle w:val="ListBullet"/>
      </w:pPr>
      <w:r>
        <w:t>Rimexa (MS Pharma Jordanie), B/10 flacons.</w:t>
      </w:r>
    </w:p>
    <w:p>
      <w:pPr>
        <w:pStyle w:val="ListBullet"/>
      </w:pPr>
      <w:r>
        <w:t>Ronium (Hikma Pharma Algeria), B/10 flacons.</w:t>
      </w:r>
    </w:p>
    <w:p>
      <w:pPr>
        <w:pStyle w:val="ListBullet"/>
      </w:pPr>
      <w:r>
        <w:t>Esmeron (Organon), B/12 flacons — retirée.</w:t>
      </w:r>
    </w:p>
    <w:p>
      <w:pPr>
        <w:pStyle w:val="ListBullet"/>
      </w:pPr>
      <w:r>
        <w:t>Concentrations disponibles : 10 mg/mL uniquement.</w:t>
      </w:r>
    </w:p>
    <w:p>
      <w:pPr>
        <w:pStyle w:val="ListBullet"/>
      </w:pPr>
      <w:r>
        <w:t>Volume par flacon : 5 mL (50 mg de rocuronium).</w:t>
      </w:r>
    </w:p>
    <w:p>
      <w:pPr>
        <w:pStyle w:val="ListBullet"/>
      </w:pPr>
      <w:r>
        <w:t>Présentation : flacon en verre incolore avec bouchon en caoutchouc bromobutyl.</w:t>
      </w:r>
    </w:p>
    <w:p>
      <w:r/>
      <w:r>
        <w:rPr>
          <w:b/>
        </w:rPr>
        <w:t>Conservation</w:t>
      </w:r>
      <w:r>
        <w:t xml:space="preserve"> : entre 2 et 8 °C (au réfrigérateur), à l'abri de la lumière. Ne pas congeler. Conservation en flacon fermé. Durée de validité : 3 ans. Après ouverture : utiliser immédiatement, ne pas conserver.</w:t>
      </w:r>
    </w:p>
    <w:p>
      <w:r/>
      <w:r>
        <w:rPr>
          <w:b/>
        </w:rPr>
        <w:t>Stabilité après dilution</w:t>
      </w:r>
      <w:r>
        <w:t xml:space="preserve"> :</w:t>
      </w:r>
    </w:p>
    <w:p>
      <w:pPr>
        <w:pStyle w:val="ListBullet"/>
      </w:pPr>
      <w:r>
        <w:t>Dans NaCl 0,9 % : stable 24 heures à température ambiante.</w:t>
      </w:r>
    </w:p>
    <w:p>
      <w:pPr>
        <w:pStyle w:val="ListBullet"/>
      </w:pPr>
      <w:r>
        <w:t>Dans G5 % : stable 24 heures.</w:t>
      </w:r>
    </w:p>
    <w:p>
      <w:pPr>
        <w:pStyle w:val="ListBullet"/>
      </w:pPr>
      <w:r>
        <w:t>Préparation des seringues pour perfusion continue : diluer 100 mg (10 mL) dans 40 mL de NaCl 0,9 % (concentration finale 2 mg/mL), stable 24 heures.</w:t>
      </w:r>
    </w:p>
    <w:p>
      <w:r/>
      <w:r>
        <w:rPr>
          <w:b/>
        </w:rPr>
        <w:t>Particularités algériennes</w:t>
      </w:r>
      <w:r>
        <w:t xml:space="preserve"> :</w:t>
      </w:r>
    </w:p>
    <w:p>
      <w:pPr>
        <w:pStyle w:val="ListBullet"/>
      </w:pPr>
      <w:r>
        <w:t>Le marché algérien du rocuronium est partagé entre Rimexa (MS Pharma Jordanie) et Ronium (Hikma Pharma Algeria).</w:t>
      </w:r>
    </w:p>
    <w:p>
      <w:pPr>
        <w:pStyle w:val="ListBullet"/>
      </w:pPr>
      <w:r>
        <w:t>Le sugammadex (Bridion) n'est pas disponible en routine en Algérie, accessible uniquement en importation hospitalière pour les centres universitaires et de réanimation.</w:t>
      </w:r>
    </w:p>
    <w:p>
      <w:pPr>
        <w:pStyle w:val="ListBullet"/>
      </w:pPr>
      <w:r>
        <w:t>Le coût d'un flacon de 50 mg est d'environ 250-400 DA.</w:t>
      </w:r>
    </w:p>
    <w:p>
      <w:pPr>
        <w:pStyle w:val="ListBullet"/>
      </w:pPr>
      <w:r>
        <w:t>Conservation au réfrigérateur obligatoire (2-8 °C), ce qui impose une chaîne du froid stricte du distributeur au bloc opératoire.</w:t>
      </w:r>
    </w:p>
    <w:p>
      <w:pPr>
        <w:pStyle w:val="Heading4"/>
      </w:pPr>
      <w:r>
        <w:t>182.11.1.11 Conseils au patient</w:t>
      </w:r>
    </w:p>
    <w:p>
      <w:r/>
      <w:r>
        <w:rPr>
          <w:b/>
        </w:rPr>
        <w:t>Avant l'anesthésie</w:t>
      </w:r>
      <w:r>
        <w:t xml:space="preserve"> :</w:t>
      </w:r>
    </w:p>
    <w:p>
      <w:pPr>
        <w:pStyle w:val="ListBullet"/>
      </w:pPr>
      <w:r>
        <w:t>Informer le patient de la nécessité d'une curarisation pour l'intervention chirurgicale, du mécanisme (paralysie musculaire transitoire), et de la récupération progressive en SSPI.</w:t>
      </w:r>
    </w:p>
    <w:p>
      <w:pPr>
        <w:pStyle w:val="ListBullet"/>
      </w:pPr>
      <w:r>
        <w:t>Signaler les antécédents : allergie à un curare, myopathie, hyperkaliémie, insuffisance hépatique ou rénale, traitement en cours (aminoglycosides, polymyxines, antiépileptiques, magnésium).</w:t>
      </w:r>
    </w:p>
    <w:p>
      <w:pPr>
        <w:pStyle w:val="ListBullet"/>
      </w:pPr>
      <w:r>
        <w:t>Jeûne préopératoire : 6 heures pour les aliments solides et le lait, 2 heures pour les liquides clairs.</w:t>
      </w:r>
    </w:p>
    <w:p>
      <w:pPr>
        <w:pStyle w:val="ListBullet"/>
      </w:pPr>
      <w:r>
        <w:t>Information sur le risque d'anaphylaxie (1/10 000) et de curarisation résiduelle (hypotonie transitoire en SSPI).</w:t>
      </w:r>
    </w:p>
    <w:p>
      <w:r/>
      <w:r>
        <w:rPr>
          <w:b/>
        </w:rPr>
        <w:t>Pendant l'anesthésie</w:t>
      </w:r>
      <w:r>
        <w:t xml:space="preserve"> :</w:t>
      </w:r>
    </w:p>
    <w:p>
      <w:pPr>
        <w:pStyle w:val="ListBullet"/>
      </w:pPr>
      <w:r>
        <w:t>Le patient est inconscient sous anesthésie générale (propofol ou autre), pas de sensation.</w:t>
      </w:r>
    </w:p>
    <w:p>
      <w:pPr>
        <w:pStyle w:val="ListBullet"/>
      </w:pPr>
      <w:r>
        <w:t>Ventilation mécanique pendant la curarisation.</w:t>
      </w:r>
    </w:p>
    <w:p>
      <w:pPr>
        <w:pStyle w:val="ListBullet"/>
      </w:pPr>
      <w:r>
        <w:t>Monitorage ECG, SpO₂, capnographie, pression artérielle invasive ou non invasive, monitorage TOF.</w:t>
      </w:r>
    </w:p>
    <w:p>
      <w:r/>
      <w:r>
        <w:rPr>
          <w:b/>
        </w:rPr>
        <w:t>En salle de réveil (SSPI)</w:t>
      </w:r>
      <w:r>
        <w:t xml:space="preserve"> :</w:t>
      </w:r>
    </w:p>
    <w:p>
      <w:pPr>
        <w:pStyle w:val="ListBullet"/>
      </w:pPr>
      <w:r>
        <w:t>Surveillance : SpO₂, fréquence respiratoire, capacité à soutenir la tête pendant 5 secondes, pression inspiratoire maximale &gt; -50 cmH₂O, reflexes protecteurs des voies aériennes (toux, déglutition).</w:t>
      </w:r>
    </w:p>
    <w:p>
      <w:pPr>
        <w:pStyle w:val="ListBullet"/>
      </w:pPr>
      <w:r>
        <w:t>Sortie autorisée après : TOF ratio &gt; 0,9 (si monitorage), ou cliniquement : patient éveillé, soutient la tête 5 secondes, pression inspiratoire &gt; -50 cmH₂O, SpO₂ &gt; 95 % à l'air ambiant.</w:t>
      </w:r>
    </w:p>
    <w:p>
      <w:pPr>
        <w:pStyle w:val="ListBullet"/>
      </w:pPr>
      <w:r>
        <w:t>Information sur les signes d'alerte de curarisation résiduelle : difficulté à respirer, faiblesse musculaire, voix nasonnée, difficulté à déglutir — à signaler immédiatement.</w:t>
      </w:r>
    </w:p>
    <w:p>
      <w:r/>
      <w:r>
        <w:rPr>
          <w:b/>
        </w:rPr>
        <w:t>Après l'anesthésie</w:t>
      </w:r>
      <w:r>
        <w:t xml:space="preserve"> :</w:t>
      </w:r>
    </w:p>
    <w:p>
      <w:pPr>
        <w:pStyle w:val="ListBullet"/>
      </w:pPr>
      <w:r>
        <w:t>Surveillance à domicile pendant 24 heures : pas de conduite automobile, pas de prise de décision importante.</w:t>
      </w:r>
    </w:p>
    <w:p>
      <w:pPr>
        <w:pStyle w:val="ListBullet"/>
      </w:pPr>
      <w:r>
        <w:t>En cas de gêne respiratoire, faiblesse musculaire persistante : consulter en urgence.</w:t>
      </w:r>
    </w:p>
    <w:p>
      <w:r/>
      <w:r>
        <w:rPr>
          <w:b/>
        </w:rPr>
        <w:t>Éducation thérapeutique</w:t>
      </w:r>
      <w:r>
        <w:t xml:space="preserve"> :</w:t>
      </w:r>
    </w:p>
    <w:p>
      <w:pPr>
        <w:pStyle w:val="ListBullet"/>
      </w:pPr>
      <w:r>
        <w:t>Information sur le déroulement de l'anesthésie, la récupération progressive de la force musculaire, et les signes d'alerte de curarisation résiduelle.</w:t>
      </w:r>
    </w:p>
    <w:p>
      <w:pPr>
        <w:pStyle w:val="Heading4"/>
      </w:pPr>
      <w:r>
        <w:t>182.11.1.12 Pièges au comptoir — Règles d'or</w:t>
      </w:r>
    </w:p>
    <w:p>
      <w:pPr>
        <w:pStyle w:val="ListNumber"/>
      </w:pPr>
      <w:r/>
      <w:r>
        <w:rPr>
          <w:b/>
        </w:rPr>
        <w:t>Respecter les doses maximales</w:t>
      </w:r>
      <w:r>
        <w:t xml:space="preserve"> : 1,2 mg/kg pour l'induction en séquence rapide, 0,6 mg/kg pour l'intubation élective, 0,1-0,15 mg/kg pour les bolus d'entretien, 5-15 µg/kg/min pour la perfusion continue.</w:t>
      </w:r>
    </w:p>
    <w:p>
      <w:pPr>
        <w:pStyle w:val="ListNumber"/>
      </w:pPr>
      <w:r/>
      <w:r>
        <w:rPr>
          <w:b/>
        </w:rPr>
        <w:t>Monitorage TOF obligatoire</w:t>
      </w:r>
      <w:r>
        <w:t xml:space="preserve"> : tout patient sous rocuronium doit avoir un monitorage TOF pour évaluer la profondeur du bloc et la récupération. Cible pour extubation : TOF ratio &gt; 0,9.</w:t>
      </w:r>
    </w:p>
    <w:p>
      <w:pPr>
        <w:pStyle w:val="ListNumber"/>
      </w:pPr>
      <w:r/>
      <w:r>
        <w:rPr>
          <w:b/>
        </w:rPr>
        <w:t>Antagonisation systématique</w:t>
      </w:r>
      <w:r>
        <w:t xml:space="preserve"> : tout patient recevant du rocuronium doit être antagonisé avant l'extubation (sauf en cas de récupération spontanée complète documentée par TOF &gt; 0,9).</w:t>
      </w:r>
    </w:p>
    <w:p>
      <w:pPr>
        <w:pStyle w:val="ListNumber"/>
      </w:pPr>
      <w:r/>
      <w:r>
        <w:rPr>
          <w:b/>
        </w:rPr>
        <w:t>Ne pas antagoniser un bloc profond par néostigmine</w:t>
      </w:r>
      <w:r>
        <w:t xml:space="preserve"> : si TOF = 0 ou PTC &lt; 2, la néostigmine est inefficace et peut aggraver le bloc (paradoxe). Préférer le sugammadex (4 mg/kg si disponible), ou attendre la récupération spontanée.</w:t>
      </w:r>
    </w:p>
    <w:p>
      <w:pPr>
        <w:pStyle w:val="ListNumber"/>
      </w:pPr>
      <w:r/>
      <w:r>
        <w:rPr>
          <w:b/>
        </w:rPr>
        <w:t>Surveillance en SSPI</w:t>
      </w:r>
      <w:r>
        <w:t xml:space="preserve"> : tout patient après rocuronium doit être surveillé en SSPI pendant au moins 1 heure après extubation, avec monitorage clinique (soutien de la tête 5 secondes, pression inspiratoire maximale, SpO₂ à l'air ambiant).</w:t>
      </w:r>
    </w:p>
    <w:p>
      <w:pPr>
        <w:pStyle w:val="ListNumber"/>
      </w:pPr>
      <w:r/>
      <w:r>
        <w:rPr>
          <w:b/>
        </w:rPr>
        <w:t>Insuffisance hépatique sévère</w:t>
      </w:r>
      <w:r>
        <w:t xml:space="preserve"> : réduire les doses de 30-50 % ou préférer l'atracurium (dégradation Hofmann indépendante du foie).</w:t>
      </w:r>
    </w:p>
    <w:p>
      <w:pPr>
        <w:pStyle w:val="ListNumber"/>
      </w:pPr>
      <w:r/>
      <w:r>
        <w:rPr>
          <w:b/>
        </w:rPr>
        <w:t>Insuffisance rénale</w:t>
      </w:r>
      <w:r>
        <w:t xml:space="preserve"> : pas d'adaptation stricte, mais surveillance accrue (prolongation possible de la durée d'action).</w:t>
      </w:r>
    </w:p>
    <w:p>
      <w:pPr>
        <w:pStyle w:val="ListNumber"/>
      </w:pPr>
      <w:r/>
      <w:r>
        <w:rPr>
          <w:b/>
        </w:rPr>
        <w:t>Anaphylaxie</w:t>
      </w:r>
      <w:r>
        <w:t xml:space="preserve"> : en cas d'anaphylaxie peranesthésique, arrêter le rocuronium immédiatement, démarrer le protocole de prise en charge (adrénaline IV, remplissage, antihistaminiques, corticoïdes), et envisager le sugammadex 16 mg/kg IV pour encapsuler le rocuronium (stratégie controversée).</w:t>
      </w:r>
    </w:p>
    <w:p>
      <w:pPr>
        <w:pStyle w:val="ListNumber"/>
      </w:pPr>
      <w:r/>
      <w:r>
        <w:rPr>
          <w:b/>
        </w:rPr>
        <w:t>Voie IV stricte</w:t>
      </w:r>
      <w:r>
        <w:t xml:space="preserve"> : pas d'autre voie d'administration. Vérifier la position de la voie veineuse avant injection (pas d'injection extravasculaire).</w:t>
      </w:r>
    </w:p>
    <w:p>
      <w:pPr>
        <w:pStyle w:val="ListNumber"/>
      </w:pPr>
      <w:r/>
      <w:r>
        <w:rPr>
          <w:b/>
        </w:rPr>
        <w:t>Conservation</w:t>
      </w:r>
      <w:r>
        <w:t xml:space="preserve"> : entre 2 et 8 °C au réfrigérateur, à l'abri de la lumière. Ne pas congeler. Ne pas utiliser une solution trouble ou colorée.</w:t>
      </w:r>
    </w:p>
    <w:p>
      <w:pPr>
        <w:pStyle w:val="ListNumber"/>
      </w:pPr>
      <w:r/>
      <w:r>
        <w:rPr>
          <w:b/>
        </w:rPr>
        <w:t>Ne pas mélanger avec d'autres médicaments</w:t>
      </w:r>
      <w:r>
        <w:t xml:space="preserve"> dans la même seringue (incompatibilités physico-chimiques possibles). La perfusion continue doit être réalisée avec une seringue électrique dédiée.</w:t>
      </w:r>
    </w:p>
    <w:p>
      <w:pPr>
        <w:pStyle w:val="ListNumber"/>
      </w:pPr>
      <w:r/>
      <w:r>
        <w:rPr>
          <w:b/>
        </w:rPr>
        <w:t>Patient âgé</w:t>
      </w:r>
      <w:r>
        <w:t xml:space="preserve"> : surveillance accrue, durée d'action prolongée possible, antagonisation systématique par sugammadex (si disponible) ou néostigmine-atropine.</w:t>
      </w:r>
    </w:p>
    <w:p>
      <w:pPr>
        <w:pStyle w:val="ListNumber"/>
      </w:pPr>
      <w:r/>
      <w:r>
        <w:rPr>
          <w:b/>
        </w:rPr>
        <w:t>Enfant</w:t>
      </w:r>
      <w:r>
        <w:t xml:space="preserve"> : doses par kg supérieures à l'adulte (clairance augmentée, demi-vie plus courte). Monitorage TOF obligatoire.</w:t>
      </w:r>
    </w:p>
    <w:p>
      <w:pPr>
        <w:pStyle w:val="ListNumber"/>
      </w:pPr>
      <w:r/>
      <w:r>
        <w:rPr>
          <w:b/>
        </w:rPr>
        <w:t>Obésité morbide</w:t>
      </w:r>
      <w:r>
        <w:t xml:space="preserve"> : utiliser le poids idéal théorique (PIT) et non le poids réel.</w:t>
      </w:r>
    </w:p>
    <w:p>
      <w:pPr>
        <w:pStyle w:val="ListNumber"/>
      </w:pPr>
      <w:r/>
      <w:r>
        <w:rPr>
          <w:b/>
        </w:rPr>
        <w:t>Information patient</w:t>
      </w:r>
      <w:r>
        <w:t xml:space="preserve"> : informer le patient des signes d'alerte de curarisation résiduelle en SSPI (difficulté à respirer, faiblesse musculaire, voix nasonnée) et de la nécessité de signaler immédiatement tout symptôme.</w:t>
      </w:r>
    </w:p>
    <w:p>
      <w:pPr>
        <w:pStyle w:val="ListNumber"/>
      </w:pPr>
      <w:r/>
      <w:r>
        <w:rPr>
          <w:b/>
        </w:rPr>
        <w:t>Antécédents d'anaphylaxie aux curares</w:t>
      </w:r>
      <w:r>
        <w:t xml:space="preserve"> : contre-indication relative, préférer la rachianesthésie ou la péridurale si possible, ou choisir un curare d'une autre classe (atracurium si allergie aux aminostéroïdes, et inversement). Tests cutanés par allergologue indispensable avant toute nouvelle anesthésie.</w:t>
      </w:r>
    </w:p>
    <w:p>
      <w:pPr>
        <w:pStyle w:val="Heading2"/>
      </w:pPr>
      <w:r>
        <w:t>182.12 Sous-classe récapitulative — Vécuronium</w:t>
      </w:r>
    </w:p>
    <w:p>
      <w:pPr>
        <w:pStyle w:val="Heading3"/>
      </w:pPr>
      <w:r>
        <w:t>182.12.1 Vécuronium (curares non dépolarisants aminostéroïdes)</w:t>
      </w:r>
    </w:p>
    <w:p>
      <w:pPr>
        <w:pStyle w:val="Heading4"/>
      </w:pPr>
      <w:r>
        <w:t>182.12.1.1 Catégories pharmaco-thérapeutiques et indications</w:t>
      </w:r>
    </w:p>
    <w:p>
      <w:pPr>
        <w:pStyle w:val="ListBullet"/>
      </w:pPr>
      <w:r/>
      <w:r>
        <w:rPr>
          <w:b/>
        </w:rPr>
        <w:t>DCI</w:t>
      </w:r>
      <w:r>
        <w:t xml:space="preserve"> : vécuronium (bromure).</w:t>
      </w:r>
    </w:p>
    <w:p>
      <w:pPr>
        <w:pStyle w:val="ListBullet"/>
      </w:pPr>
      <w:r/>
      <w:r>
        <w:rPr>
          <w:b/>
        </w:rPr>
        <w:t>Code ATC</w:t>
      </w:r>
      <w:r>
        <w:t xml:space="preserve"> : M03AC03 (myorelaxants à action périphérique — curares non dépolarisants, dérivés aminostéroïdiens).</w:t>
      </w:r>
    </w:p>
    <w:p>
      <w:pPr>
        <w:pStyle w:val="ListBullet"/>
      </w:pPr>
      <w:r/>
      <w:r>
        <w:rPr>
          <w:b/>
        </w:rPr>
        <w:t>Classification thérapeutique</w:t>
      </w:r>
      <w:r>
        <w:t xml:space="preserve"> : curare non dépolarisant (curare compétitif) aminostéroïdien, de durée d'action intermédiaire (30-45 minutes), à onset intermédiaire (90-120 secondes à 0,1 mg/kg), dépourvu d'effet vagolytique et d'histaminolibération.</w:t>
      </w:r>
    </w:p>
    <w:p>
      <w:pPr>
        <w:pStyle w:val="ListBullet"/>
      </w:pPr>
      <w:r/>
      <w:r>
        <w:rPr>
          <w:b/>
        </w:rPr>
        <w:t>Classe chimique</w:t>
      </w:r>
      <w:r>
        <w:t xml:space="preserve"> : aminostéroïde (2β-morpholino-3α-hydroxy-16β-pipéridino-5α-androstane), dérivé 2-morpholino du pancuronium (lequel est dérivé 2,16-dipipéridino). Poids moléculaire 564 Da (sel bromure). Soluble dans l'eau. Le vécuronium est l'homologue 2-morpholino du pancuronium, sans effet vagolytique.</w:t>
      </w:r>
    </w:p>
    <w:p>
      <w:pPr>
        <w:pStyle w:val="ListBullet"/>
      </w:pPr>
      <w:r/>
      <w:r>
        <w:rPr>
          <w:b/>
        </w:rPr>
        <w:t>Statut réglementaire Algérie</w:t>
      </w:r>
      <w:r>
        <w:t xml:space="preserve"> : Liste I — prescription réservée aux médecins anesthésistes-réanimateurs, usage hospitalier exclusif (bloc opératoire, réanimation).</w:t>
      </w:r>
    </w:p>
    <w:p>
      <w:pPr>
        <w:pStyle w:val="ListBullet"/>
      </w:pPr>
      <w:r/>
      <w:r>
        <w:rPr>
          <w:b/>
        </w:rPr>
        <w:t>Grossesse</w:t>
      </w:r>
      <w:r>
        <w:t xml:space="preserve"> : utilisable pendant la césarienne et la chirurgie obstétricale ; données CRAT favorables (peu de passage transplacentaire en dose unique).</w:t>
      </w:r>
    </w:p>
    <w:p>
      <w:r>
        <w:t>Indications principales :</w:t>
      </w:r>
    </w:p>
    <w:p>
      <w:pPr>
        <w:pStyle w:val="ListNumber"/>
      </w:pPr>
      <w:r/>
      <w:r>
        <w:rPr>
          <w:b/>
        </w:rPr>
        <w:t>Intubation élective</w:t>
      </w:r>
      <w:r>
        <w:t xml:space="preserve"> : chirurgie programmée nécessitant une curarisation pour intubation (chirurgie abdominale, thoracique, ORL, neurochirurgie, chirurgie cardiaque, chirurgie pédiatrique). Dose 0,1 mg/kg IV, intubation en 90-120 secondes. Le vécuronium a longtemps été le curare de référence pour l'intubation élective, mais il est aujourd'hui supplanté par le rocuronium (plus rapide) en raison de l'arrivée du sugammadex.</w:t>
      </w:r>
    </w:p>
    <w:p>
      <w:pPr>
        <w:pStyle w:val="ListNumber"/>
      </w:pPr>
      <w:r/>
      <w:r>
        <w:rPr>
          <w:b/>
        </w:rPr>
        <w:t>Entretien de la curarisation</w:t>
      </w:r>
      <w:r>
        <w:t xml:space="preserve"> : bolus répétés 0,02-0,03 mg/kg IV toutes les 25-40 minutes, ou perfusion continue 1-2 µg/kg/min (0,06-0,12 mg/kg/h), en particulier en chirurgie prolongée et en réanimation.</w:t>
      </w:r>
    </w:p>
    <w:p>
      <w:pPr>
        <w:pStyle w:val="ListNumber"/>
      </w:pPr>
      <w:r/>
      <w:r>
        <w:rPr>
          <w:b/>
        </w:rPr>
        <w:t>Curarisation de réanimation</w:t>
      </w:r>
      <w:r>
        <w:t xml:space="preserve"> : ventilation mécanique difficile (SDRA, asynchrone patient-respirateur), hypothermie thérapeutique post-arrêt cardiaque, transport secondaire. Perfusion continue 1-2 µg/kg/min.</w:t>
      </w:r>
    </w:p>
    <w:p>
      <w:pPr>
        <w:pStyle w:val="ListNumber"/>
      </w:pPr>
      <w:r/>
      <w:r>
        <w:rPr>
          <w:b/>
        </w:rPr>
        <w:t>Chirurgie cardiaque</w:t>
      </w:r>
      <w:r>
        <w:t xml:space="preserve"> : curare de choix en chirurgie cardiaque (stabilité hémodynamique, absence d'histaminolibération), en particulier pour la chirurgie sous circulation extracorporelle (CEC). Alternative au rocuronium.</w:t>
      </w:r>
    </w:p>
    <w:p>
      <w:pPr>
        <w:pStyle w:val="ListNumber"/>
      </w:pPr>
      <w:r/>
      <w:r>
        <w:rPr>
          <w:b/>
        </w:rPr>
        <w:t>Hors AMM</w:t>
      </w:r>
      <w:r>
        <w:t xml:space="preserve"> : curarisation pour radiologie interventionnelle prolongée, curarisation pour radiothérapie pédiatrique.</w:t>
      </w:r>
    </w:p>
    <w:p>
      <w:pPr>
        <w:pStyle w:val="Heading4"/>
      </w:pPr>
      <w:r>
        <w:t>182.12.1.2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NEOVEC</w:t>
            </w:r>
          </w:p>
        </w:tc>
        <w:tc>
          <w:tcPr>
            <w:tcW w:type="dxa" w:w="1559"/>
          </w:tcPr>
          <w:p>
            <w:r>
              <w:rPr>
                <w:sz w:val="20"/>
              </w:rPr>
              <w:t>GLAND PHARMA LIMITED</w:t>
            </w:r>
          </w:p>
        </w:tc>
        <w:tc>
          <w:tcPr>
            <w:tcW w:type="dxa" w:w="1559"/>
          </w:tcPr>
          <w:p>
            <w:r>
              <w:rPr>
                <w:sz w:val="20"/>
              </w:rPr>
              <w:t>Lyophilisat et solvant pour solution injectable IV 4 mg/flacon</w:t>
            </w:r>
          </w:p>
        </w:tc>
        <w:tc>
          <w:tcPr>
            <w:tcW w:type="dxa" w:w="1559"/>
          </w:tcPr>
          <w:p>
            <w:r>
              <w:rPr>
                <w:sz w:val="20"/>
              </w:rPr>
              <w:t>B/1 flacon de lyophilisat + 1 ampoule de 2 mL de solvant (EPPI)</w:t>
            </w:r>
          </w:p>
        </w:tc>
        <w:tc>
          <w:tcPr>
            <w:tcW w:type="dxa" w:w="1559"/>
          </w:tcPr>
          <w:p>
            <w:r>
              <w:rPr>
                <w:sz w:val="20"/>
              </w:rPr>
              <w:t>Liste I</w:t>
            </w:r>
          </w:p>
        </w:tc>
        <w:tc>
          <w:tcPr>
            <w:tcW w:type="dxa" w:w="1559"/>
          </w:tcPr>
          <w:p>
            <w:r>
              <w:rPr>
                <w:sz w:val="20"/>
              </w:rPr>
              <w:t>Actif</w:t>
            </w:r>
          </w:p>
        </w:tc>
      </w:tr>
      <w:tr>
        <w:tc>
          <w:tcPr>
            <w:tcW w:type="dxa" w:w="1559"/>
          </w:tcPr>
          <w:p>
            <w:r>
              <w:rPr>
                <w:sz w:val="20"/>
              </w:rPr>
              <w:t>VECURON</w:t>
            </w:r>
          </w:p>
        </w:tc>
        <w:tc>
          <w:tcPr>
            <w:tcW w:type="dxa" w:w="1559"/>
          </w:tcPr>
          <w:p>
            <w:r>
              <w:rPr>
                <w:sz w:val="20"/>
              </w:rPr>
              <w:t>SUN PHARMACEUTICALS INDUSTRIES LTD</w:t>
            </w:r>
          </w:p>
        </w:tc>
        <w:tc>
          <w:tcPr>
            <w:tcW w:type="dxa" w:w="1559"/>
          </w:tcPr>
          <w:p>
            <w:r>
              <w:rPr>
                <w:sz w:val="20"/>
              </w:rPr>
              <w:t>Lyophilisat et solvant pour solution injectable IV 4 mg/flacon</w:t>
            </w:r>
          </w:p>
        </w:tc>
        <w:tc>
          <w:tcPr>
            <w:tcW w:type="dxa" w:w="1559"/>
          </w:tcPr>
          <w:p>
            <w:r>
              <w:rPr>
                <w:sz w:val="20"/>
              </w:rPr>
              <w:t>B/10 flacons de lyophilisat + 10 ampoules de 2 mL de solvant (EPPI)</w:t>
            </w:r>
          </w:p>
        </w:tc>
        <w:tc>
          <w:tcPr>
            <w:tcW w:type="dxa" w:w="1559"/>
          </w:tcPr>
          <w:p>
            <w:r>
              <w:rPr>
                <w:sz w:val="20"/>
              </w:rPr>
              <w:t>Liste I</w:t>
            </w:r>
          </w:p>
        </w:tc>
        <w:tc>
          <w:tcPr>
            <w:tcW w:type="dxa" w:w="1559"/>
          </w:tcPr>
          <w:p>
            <w:r>
              <w:rPr>
                <w:sz w:val="20"/>
              </w:rPr>
              <w:t>Actif</w:t>
            </w:r>
          </w:p>
        </w:tc>
      </w:tr>
      <w:tr>
        <w:tc>
          <w:tcPr>
            <w:tcW w:type="dxa" w:w="1559"/>
          </w:tcPr>
          <w:p>
            <w:r>
              <w:rPr>
                <w:sz w:val="20"/>
              </w:rPr>
              <w:t>NORCURON</w:t>
            </w:r>
          </w:p>
        </w:tc>
        <w:tc>
          <w:tcPr>
            <w:tcW w:type="dxa" w:w="1559"/>
          </w:tcPr>
          <w:p>
            <w:r>
              <w:rPr>
                <w:sz w:val="20"/>
              </w:rPr>
              <w:t>ORGANON N.V.</w:t>
            </w:r>
          </w:p>
        </w:tc>
        <w:tc>
          <w:tcPr>
            <w:tcW w:type="dxa" w:w="1559"/>
          </w:tcPr>
          <w:p>
            <w:r>
              <w:rPr>
                <w:sz w:val="20"/>
              </w:rPr>
              <w:t>Lyophilisat et solvant pour solution injectable IV 4 mg/mL</w:t>
            </w:r>
          </w:p>
        </w:tc>
        <w:tc>
          <w:tcPr>
            <w:tcW w:type="dxa" w:w="1559"/>
          </w:tcPr>
          <w:p>
            <w:r>
              <w:rPr>
                <w:sz w:val="20"/>
              </w:rPr>
              <w:t>B/50 + 50</w:t>
            </w:r>
          </w:p>
        </w:tc>
        <w:tc>
          <w:tcPr>
            <w:tcW w:type="dxa" w:w="1559"/>
          </w:tcPr>
          <w:p>
            <w:r>
              <w:rPr>
                <w:sz w:val="20"/>
              </w:rPr>
              <w:t>Liste I</w:t>
            </w:r>
          </w:p>
        </w:tc>
        <w:tc>
          <w:tcPr>
            <w:tcW w:type="dxa" w:w="1559"/>
          </w:tcPr>
          <w:p>
            <w:r>
              <w:rPr>
                <w:sz w:val="20"/>
              </w:rPr>
              <w:t>Retrait</w:t>
            </w:r>
          </w:p>
        </w:tc>
      </w:tr>
      <w:tr>
        <w:tc>
          <w:tcPr>
            <w:tcW w:type="dxa" w:w="1559"/>
          </w:tcPr>
          <w:p>
            <w:r>
              <w:rPr>
                <w:sz w:val="20"/>
              </w:rPr>
              <w:t>CURLEM</w:t>
            </w:r>
          </w:p>
        </w:tc>
        <w:tc>
          <w:tcPr>
            <w:tcW w:type="dxa" w:w="1559"/>
          </w:tcPr>
          <w:p>
            <w:r>
              <w:rPr>
                <w:sz w:val="20"/>
              </w:rPr>
              <w:t>LEMERY SA DE CV</w:t>
            </w:r>
          </w:p>
        </w:tc>
        <w:tc>
          <w:tcPr>
            <w:tcW w:type="dxa" w:w="1559"/>
          </w:tcPr>
          <w:p>
            <w:r>
              <w:rPr>
                <w:sz w:val="20"/>
              </w:rPr>
              <w:t>Poudre lyophilisée 4 mg</w:t>
            </w:r>
          </w:p>
        </w:tc>
        <w:tc>
          <w:tcPr>
            <w:tcW w:type="dxa" w:w="1559"/>
          </w:tcPr>
          <w:p>
            <w:r>
              <w:rPr>
                <w:sz w:val="20"/>
              </w:rPr>
              <w:t>B/25 flacons</w:t>
            </w:r>
          </w:p>
        </w:tc>
        <w:tc>
          <w:tcPr>
            <w:tcW w:type="dxa" w:w="1559"/>
          </w:tcPr>
          <w:p>
            <w:r>
              <w:rPr>
                <w:sz w:val="20"/>
              </w:rPr>
              <w:t>Liste I</w:t>
            </w:r>
          </w:p>
        </w:tc>
        <w:tc>
          <w:tcPr>
            <w:tcW w:type="dxa" w:w="1559"/>
          </w:tcPr>
          <w:p>
            <w:r>
              <w:rPr>
                <w:sz w:val="20"/>
              </w:rPr>
              <w:t>Retrait</w:t>
            </w:r>
          </w:p>
        </w:tc>
      </w:tr>
    </w:tbl>
    <w:p/>
    <w:p>
      <w:r>
        <w:t>Le marché algérien du vécuronium est partagé entre deux marques actives : Neovec (Gland Pharma, Inde) en boîte de 1 flacon + 1 ampoule de solvant, et Vecuron (Sun Pharma, Inde) en boîte de 10 flacons + 10 ampoules de solvant. Les marques historiques Norcuron (Organon, princeps international) et Curlem (Lemery, Mexique) sont retirées du marché algérien. Le sugammadex (Bridion, Organon), antagoniste spécifique du vécuronium et du rocuronium, n'est pas inscrit dans la nomenclature algérienne Avril 2026 — il est disponible en importation hospitalière pour les centres universitaires et de réanimation polyvalente, à coût élevé. Le vécuronium est présenté sous forme de lyophilisat (poudre) à reconstituer extemporanément avec le solvant fourni (EPPI — eau pour préparation injectable), ce qui impose une manipulation avant administration. La concentration après reconstitution est de 2 mg/mL (4 mg dans 2 mL). Le coût d'un flacon de 4 mg de vécuronium en Algérie est d'environ 200-300 DA.</w:t>
      </w:r>
    </w:p>
    <w:p>
      <w:pPr>
        <w:pStyle w:val="Heading4"/>
      </w:pPr>
      <w:r>
        <w:t>182.12.1.3 Mécanisme d'action moléculaire, cellulaire et physiologique</w:t>
      </w:r>
    </w:p>
    <w:p>
      <w:r>
        <w:t>Le vécuronium, comme tous les curares non dépolarisants, exerce son effet myorelaxant par blocage compétitif des récepteurs nicotiniques de l'acétylcholine (nAChR) postsynaptiques de la jonction neuromusculaire (sous-type Nm, N2). Le mécanisme complet se décline en six niveaux :</w:t>
      </w:r>
    </w:p>
    <w:p>
      <w:r/>
      <w:r>
        <w:rPr>
          <w:b/>
        </w:rPr>
        <w:t>Niveau moléculaire — fixation au récepteur nicotinique postsynaptique</w:t>
      </w:r>
      <w:r>
        <w:t xml:space="preserve"> : le vécuronium est un composé ammonium quaternaire bis-chargé (deux fonctions ammonium quaternaires positives à pH physiologique), qui diffuse peu à travers les membranes (impossibilité de franchir la BHE, d'où absence d'effet central). Il se fixe de manière compétitive et réversible au site de liaison de l'acétylcholine sur le récepteur nicotinique postsynaptique (nAChR musculaire Nm, pentamère α2βγδ). La fixation empêche la liaison de l'acétylcholine et la dépolarisation membranaire postsynaptique, bloquant ainsi la transmission neuromusculaire. Le vécuronium ne provoque aucune dépolarisation initiale, d'où l'absence de fasciculations musculaires.</w:t>
      </w:r>
    </w:p>
    <w:p>
      <w:r/>
      <w:r>
        <w:rPr>
          <w:b/>
        </w:rPr>
        <w:t>Niveau cellulaire — bloc compétitif de la transmission neuromusculaire</w:t>
      </w:r>
      <w:r>
        <w:t xml:space="preserve"> : le bloc compétitif peut être levé par augmentation de la concentration d'acétylcholine dans la fente synaptique (par inhibition de l'acétylcholinestérase par la néostigmine) ou par encapsulation chimique du vécuronium par le sugammadex. L'intensité du bloc dépend du rapport concentration vécuronium / concentration acétylcholine au récepteur. Le vécuronium a une puissance 6 fois supérieure au rocuronium (ED95 = 0,05 mg/kg vs 0,3 mg/kg), ce qui explique les doses plus faibles mais aussi le onset plus lent (90-120 secondes vs 60-90 secondes).</w:t>
      </w:r>
    </w:p>
    <w:p>
      <w:r/>
      <w:r>
        <w:rPr>
          <w:b/>
        </w:rPr>
        <w:t>Niveau physiologique — paralysie striée progressive et récupération</w:t>
      </w:r>
      <w:r>
        <w:t xml:space="preserve"> : le vécuronium provoque une paralysie striée périphérique complète (membres, abdominale, thoracique, diaphragmatique) en 90-120 secondes à 0,1 mg/kg. L'ordre de paralysie et de récupération est identique à celui du rocuronium : muscles oculomoteurs → muscles faciaux → muscles masticateurs → muscles du cou → muscles des membres → muscles abdominaux → muscles thoraciques → diaphragme. La récupération se fait dans l'ordre inverse. La ventilation mécanique est nécessaire dès l'induction.</w:t>
      </w:r>
    </w:p>
    <w:p>
      <w:r/>
      <w:r>
        <w:rPr>
          <w:b/>
        </w:rPr>
        <w:t>Niveau onset — intermédiaire</w:t>
      </w:r>
      <w:r>
        <w:t xml:space="preserve"> : le vécuronium présente un onset intermédiaire (90-120 secondes à 0,1 mg/kg), inférieur à celui du rocuronium (60-90 secondes) mais supérieur à celui du pancuronium (3-5 minutes). Cette propriété en fait un curare adapté à l'intubation élective mais moins adapté à l'induction en séquence rapide (RSI) en urgence. Pour accélérer l'onset, on peut utiliser la technique du priming (injection d'une dose précurarisante de 0,01 mg/kg 4-6 minutes avant la dose d'induction), mais cette technique est controversée en raison du risque de curarisation partielle préalable (dyspnée, difficulté à ventiler).</w:t>
      </w:r>
    </w:p>
    <w:p>
      <w:r/>
      <w:r>
        <w:rPr>
          <w:b/>
        </w:rPr>
        <w:t>Niveau durée — intermédiaire</w:t>
      </w:r>
      <w:r>
        <w:t xml:space="preserve"> : la durée d'action clinique (durée jusqu'à récupération de 25 % de la force musculaire, T25) est de 30-45 minutes à la dose d'intubation (0,1 mg/kg), soit une durée intermédiaire comparable au rocuronium et à l'atracurium. Le délai de récupération complète (TOF ratio &gt; 0,9) est de 60-90 minutes en l'absence d'antagonisation. L'entretien de la curarisation se fait par bolus répétés ou perfusion continue.</w:t>
      </w:r>
    </w:p>
    <w:p>
      <w:r/>
      <w:r>
        <w:rPr>
          <w:b/>
        </w:rPr>
        <w:t>Niveau cardiovascular — stabilité hémodynamique parfaite</w:t>
      </w:r>
      <w:r>
        <w:t xml:space="preserve"> : le vécuronium présente une stabilité hémodynamique parfaite, sans effet vagolytique (contrairement au pancuronium), sans effet histaminolibérateur cliniquement significatif (contrairement à l'atracurium), sans effet ganglioplégiant, sans effet sur le système cardiovasculaire. C'est le curare le plus cardiostable avec le rocuronium. Le vécuronium est ainsi le curare de choix en anesthésie cardiaque, chez le patient hémodynamiquement fragile, et en neurochirurgie (stabilité de la pression intracrânienne).</w:t>
      </w:r>
    </w:p>
    <w:p>
      <w:pPr>
        <w:pStyle w:val="Heading4"/>
      </w:pPr>
      <w:r>
        <w:t>182.12.1.4 Pharmacocinétique (profil PK)</w:t>
      </w:r>
    </w:p>
    <w:p>
      <w:r/>
      <w:r>
        <w:rPr>
          <w:b/>
        </w:rPr>
        <w:t>Absorption</w:t>
      </w:r>
      <w:r>
        <w:t xml:space="preserve"> : le vécuronium est administré exclusivement par voie intraveineuse (bolus ou perfusion continue). Aucune absorption orale possible (molécule ammonium quaternaire, détruite par le tube digestif). L'effet est immédiat après bolus IV (la molécule atteint la jonction neuromusculaire en 60-90 secondes par diffusion).</w:t>
      </w:r>
    </w:p>
    <w:p>
      <w:r/>
      <w:r>
        <w:rPr>
          <w:b/>
        </w:rPr>
        <w:t>Distribution</w:t>
      </w:r>
      <w:r>
        <w:t xml:space="preserve"> : le vécuronium est un composé hydrophile, peu lié aux protéines plasmatiques (30-50 %, principalement α1-glycoprotéine acide et albumine). La fraction libre (50-70 %) est pharmacologiquement active. Le volume de distribution à l'équilibre (Vdss) est de 0,2-0,4 L/kg, limité au compartiment extracellulaire. La diffusion transplacentaire est faible (&lt; 10 % de la dose maternelle). La diffusion dans le LCR est nulle.</w:t>
      </w:r>
    </w:p>
    <w:p>
      <w:r/>
      <w:r>
        <w:rPr>
          <w:b/>
        </w:rPr>
        <w:t>Métabolisme</w:t>
      </w:r>
      <w:r>
        <w:t xml:space="preserve"> : le vécuronium est métabolisé à 70-80 % par le foie (CYP3A4 et hydrolyse hépatique), principalement en métabolite 3-desacétylvécuronium (actif, 50-60 % de l'activité mère) et accessoirement en 17-desacétylvécuronium et 3,17-bisdesacétylvécuronium. Le métabolite 3-desacétylvécuronium peut s'accumuler en cas d'insuffisance rénale (élimination urinaire des métabolites), justifiant la prudence en IRC et la préférence pour l'atracurium (dégradation Hofmann indépendante).</w:t>
      </w:r>
    </w:p>
    <w:p>
      <w:r/>
      <w:r>
        <w:rPr>
          <w:b/>
        </w:rPr>
        <w:t>Élimination</w:t>
      </w:r>
      <w:r>
        <w:t xml:space="preserve"> : l'élimination est biliaire (50-70 %) et urinaire (30-50 %, principalement sous forme de métabolites). La clairance totale est de 4-6 mL/min/kg. La demi-vie d'élimination terminale est de 50-90 minutes chez l'adulte sain, prolongée à 150-300 minutes en cas d'insuffisance hépatique sévère, et à 200-400 minutes en cas d'insuffisance rénale terminale (accumulation du métabolite 3-desacétylvécuronium). En cas d'insuffisance hépatique ou rénale, la durée d'action peut être significativement prolongée, justifiant l'antagonisation par sugammadex (qui contourne l'élimination hépatique/rénale par encapsulation plasmatique). En cas d'insuffisance hépatique sévère ou de cholestase, préférer l'atracurium (dégradation Hofmann indépendante du foie). En cas d'insuffisance rénale terminale, préférer l'atracurium (le métabolite 3-desacétylvécuronium du vécuronium s'accumule en IRC, prolongeant la durée d'action de manière imprévisible).</w:t>
      </w:r>
    </w:p>
    <w:p>
      <w:r/>
      <w:r>
        <w:rPr>
          <w:b/>
        </w:rPr>
        <w:t>Linéarité</w:t>
      </w:r>
      <w:r>
        <w:t xml:space="preserve"> : la pharmacocinétique est linéaire aux doses thérapeutiques. À dose élevée, la durée d'action est prolongée proportionnellement à la dose.</w:t>
      </w:r>
    </w:p>
    <w:p>
      <w:r/>
      <w:r>
        <w:rPr>
          <w:b/>
        </w:rPr>
        <w:t>Monitorage de la curarisation</w:t>
      </w:r>
      <w:r>
        <w:t xml:space="preserve"> : obligatoire en anesthésie selon les recommandations SFAR 2020 sur la curarisation. Le monitorage est réalisé par TOF-Watch ou TOF-Scan (TOF ratio &gt; 0,9 pour extubation), PTC pour bloc profond, DBS pour évaluation clinique.</w:t>
      </w:r>
    </w:p>
    <w:p>
      <w:r/>
      <w:r>
        <w:rPr>
          <w:b/>
        </w:rPr>
        <w:t>Antagonisation</w:t>
      </w:r>
      <w:r>
        <w:t xml:space="preserve"> :</w:t>
      </w:r>
    </w:p>
    <w:p>
      <w:pPr>
        <w:pStyle w:val="ListBullet"/>
      </w:pPr>
      <w:r>
        <w:t>Par néostigmine (0,04-0,07 mg/kg IV) + atropine (10-20 µg/kg IV) ou glycopyrrolate : antagonisation classique, efficace pour TOF ratio &gt; 0,4.</w:t>
      </w:r>
    </w:p>
    <w:p>
      <w:pPr>
        <w:pStyle w:val="ListBullet"/>
      </w:pPr>
      <w:r>
        <w:t>Par sugammadex (2-4-16 mg/kg IV) : antagonisation spécifique par encapsulation. Le sugammadex est actif sur le vécuronium comme sur le rocuronium, en raison de leur structure aminostéroïdienne commune.</w:t>
      </w:r>
    </w:p>
    <w:p>
      <w:pPr>
        <w:pStyle w:val="Heading4"/>
      </w:pPr>
      <w:r>
        <w:t>182.12.1.5 Indications thérapeutiques</w:t>
      </w:r>
    </w:p>
    <w:p>
      <w:pPr>
        <w:pStyle w:val="ListNumber"/>
      </w:pPr>
      <w:r/>
      <w:r>
        <w:rPr>
          <w:b/>
        </w:rPr>
        <w:t>Intubation élective</w:t>
      </w:r>
      <w:r>
        <w:t xml:space="preserve"> : chirurgie programmée nécessitant une curarisation pour intubation. Dose 0,1 mg/kg IV, intubation en 90-120 secondes. Alternative au rocuronium en intubation élective.</w:t>
      </w:r>
    </w:p>
    <w:p>
      <w:pPr>
        <w:pStyle w:val="ListNumber"/>
      </w:pPr>
      <w:r/>
      <w:r>
        <w:rPr>
          <w:b/>
        </w:rPr>
        <w:t>Entretien de la curarisation en anesthésie</w:t>
      </w:r>
      <w:r>
        <w:t xml:space="preserve"> :</w:t>
      </w:r>
    </w:p>
    <w:p>
      <w:pPr>
        <w:pStyle w:val="ListBullet"/>
      </w:pPr>
      <w:r>
        <w:t>Bolus répétés : 0,02-0,03 mg/kg IV toutes les 25-40 minutes.</w:t>
      </w:r>
    </w:p>
    <w:p>
      <w:pPr>
        <w:pStyle w:val="ListBullet"/>
      </w:pPr>
      <w:r>
        <w:t>Perfusion continue : 1-2 µg/kg/min (0,06-0,12 mg/kg/h), ajustée au monitorage TOF.</w:t>
      </w:r>
    </w:p>
    <w:p>
      <w:pPr>
        <w:pStyle w:val="ListNumber"/>
      </w:pPr>
      <w:r/>
      <w:r>
        <w:rPr>
          <w:b/>
        </w:rPr>
        <w:t>Curarisation de réanimation</w:t>
      </w:r>
      <w:r>
        <w:t xml:space="preserve"> :</w:t>
      </w:r>
    </w:p>
    <w:p>
      <w:pPr>
        <w:pStyle w:val="ListBullet"/>
      </w:pPr>
      <w:r>
        <w:t>Ventilation mécanique difficile : perfusion continue 1-2 µg/kg/min, surveillance TOF (cible : 1-2 réponses au TOF).</w:t>
      </w:r>
    </w:p>
    <w:p>
      <w:pPr>
        <w:pStyle w:val="ListBullet"/>
      </w:pPr>
      <w:r>
        <w:t>Hypothermie thérapeutique post-arrêt cardiaque : perfusion continue pour prévenir les frissons.</w:t>
      </w:r>
    </w:p>
    <w:p>
      <w:pPr>
        <w:pStyle w:val="ListBullet"/>
      </w:pPr>
      <w:r>
        <w:t>Transport secondaire de patient agité : bolus 0,1 mg/kg IV.</w:t>
      </w:r>
    </w:p>
    <w:p>
      <w:pPr>
        <w:pStyle w:val="ListNumber"/>
      </w:pPr>
      <w:r/>
      <w:r>
        <w:rPr>
          <w:b/>
        </w:rPr>
        <w:t>Chirurgie cardiaque</w:t>
      </w:r>
      <w:r>
        <w:t xml:space="preserve"> : curare de choix en chirurgie cardiaque (stabilité hémodynamique parfaite). Dose d'induction : 0,1-0,15 mg/kg IV.</w:t>
      </w:r>
    </w:p>
    <w:p>
      <w:pPr>
        <w:pStyle w:val="ListNumber"/>
      </w:pPr>
      <w:r/>
      <w:r>
        <w:rPr>
          <w:b/>
        </w:rPr>
        <w:t>Neurochirurgie</w:t>
      </w:r>
      <w:r>
        <w:t xml:space="preserve"> : curare de choix en neurochirurgie (stabilité de la pression intracrânienne, absence d'histaminolibération qui pourrait augmenter la PIC).</w:t>
      </w:r>
    </w:p>
    <w:p>
      <w:pPr>
        <w:pStyle w:val="ListNumber"/>
      </w:pPr>
      <w:r/>
      <w:r>
        <w:rPr>
          <w:b/>
        </w:rPr>
        <w:t>Césarienne en urgence</w:t>
      </w:r>
      <w:r>
        <w:t xml:space="preserve"> : induction en séquence rapide pour césarienne en urgence (alternative au rocuronium). Dose : 0,1 mg/kg IV. Surveillance du nouveau-né.</w:t>
      </w:r>
    </w:p>
    <w:p>
      <w:pPr>
        <w:pStyle w:val="ListNumber"/>
      </w:pPr>
      <w:r/>
      <w:r>
        <w:rPr>
          <w:b/>
        </w:rPr>
        <w:t>Hors AMM</w:t>
      </w:r>
      <w:r>
        <w:t xml:space="preserve"> : curarisation pour radiologie interventionnelle prolongée, curarisation pour radiothérapie pédiatrique.</w:t>
      </w:r>
    </w:p>
    <w:p>
      <w:pPr>
        <w:pStyle w:val="Heading4"/>
      </w:pPr>
      <w:r>
        <w:t>182.12.1.6 Posologie et mode d'administration</w:t>
      </w:r>
    </w:p>
    <w:p>
      <w:r/>
      <w:r>
        <w:rPr>
          <w:b/>
        </w:rPr>
        <w:t>Intubation élective</w:t>
      </w:r>
      <w:r>
        <w:t xml:space="preserve"> :</w:t>
      </w:r>
    </w:p>
    <w:p>
      <w:pPr>
        <w:pStyle w:val="ListBullet"/>
      </w:pPr>
      <w:r>
        <w:t>Adulte : 0,1 mg/kg IV (soit 7 mg pour un adulte de 70 kg).</w:t>
      </w:r>
    </w:p>
    <w:p>
      <w:pPr>
        <w:pStyle w:val="ListBullet"/>
      </w:pPr>
      <w:r>
        <w:t>Enfant &gt; 2 ans : 0,1 mg/kg IV.</w:t>
      </w:r>
    </w:p>
    <w:p>
      <w:pPr>
        <w:pStyle w:val="ListBullet"/>
      </w:pPr>
      <w:r>
        <w:t>Nourrisson : 0,08 mg/kg IV (sensibilité accrue).</w:t>
      </w:r>
    </w:p>
    <w:p>
      <w:pPr>
        <w:pStyle w:val="ListBullet"/>
      </w:pPr>
      <w:r>
        <w:t>Nouveau-né : 0,05 mg/kg IV.</w:t>
      </w:r>
    </w:p>
    <w:p>
      <w:r/>
      <w:r>
        <w:rPr>
          <w:b/>
        </w:rPr>
        <w:t>Entretien de la curarisation</w:t>
      </w:r>
      <w:r>
        <w:t xml:space="preserve"> :</w:t>
      </w:r>
    </w:p>
    <w:p>
      <w:pPr>
        <w:pStyle w:val="ListBullet"/>
      </w:pPr>
      <w:r>
        <w:t>Bolus : 0,02-0,03 mg/kg IV toutes les 25-40 minutes.</w:t>
      </w:r>
    </w:p>
    <w:p>
      <w:pPr>
        <w:pStyle w:val="ListBullet"/>
      </w:pPr>
      <w:r>
        <w:t>Perfusion continue : 1-2 µg/kg/min (0,06-0,12 mg/kg/h), ajustée au monitorage TOF.</w:t>
      </w:r>
    </w:p>
    <w:p>
      <w:r/>
      <w:r>
        <w:rPr>
          <w:b/>
        </w:rPr>
        <w:t>Curarisation de réanimation</w:t>
      </w:r>
      <w:r>
        <w:t xml:space="preserve"> :</w:t>
      </w:r>
    </w:p>
    <w:p>
      <w:pPr>
        <w:pStyle w:val="ListBullet"/>
      </w:pPr>
      <w:r>
        <w:t>Perfusion continue : 1-2 µg/kg/min (0,06-0,12 mg/kg/h), surveillance TOF (cible : 1-2 réponses au TOF, ou PTC 1-2 pour SDRA sévère).</w:t>
      </w:r>
    </w:p>
    <w:p>
      <w:pPr>
        <w:pStyle w:val="ListBullet"/>
      </w:pPr>
      <w:r>
        <w:t>Adaptation en cas d'insuffisance hépatique ou rénale : réduire de 30-50 %, ou préférer l'atracurium (dégradation Hofmann indépendante).</w:t>
      </w:r>
    </w:p>
    <w:p>
      <w:r/>
      <w:r>
        <w:rPr>
          <w:b/>
        </w:rPr>
        <w:t>Antagonisation</w:t>
      </w:r>
      <w:r>
        <w:t xml:space="preserve"> :</w:t>
      </w:r>
    </w:p>
    <w:p>
      <w:pPr>
        <w:pStyle w:val="ListBullet"/>
      </w:pPr>
      <w:r>
        <w:t>Par néostigmine : 0,04-0,07 mg/kg IV (soit 2,5-5 mg chez l'adulte) + atropine 10-20 µg/kg IV (soit 0,5-1,5 mg) ou glycopyrrolate 5-10 µg/kg IV. Délai d'action 5-10 minutes. Efficace pour TOF ratio &gt; 0,4.</w:t>
      </w:r>
    </w:p>
    <w:p>
      <w:pPr>
        <w:pStyle w:val="ListBullet"/>
      </w:pPr>
      <w:r>
        <w:t>Par sugammadex :</w:t>
      </w:r>
    </w:p>
    <w:p>
      <w:pPr>
        <w:pStyle w:val="ListBullet"/>
      </w:pPr>
      <w:r>
        <w:t>Décurarisation modérée (TOF 2/4) : 2 mg/kg IV, délai 1-3 minutes.</w:t>
      </w:r>
    </w:p>
    <w:p>
      <w:pPr>
        <w:pStyle w:val="ListBullet"/>
      </w:pPr>
      <w:r>
        <w:t>Décurarisation profonde (PTC 1-2) : 4 mg/kg IV, délai 2-5 minutes.</w:t>
      </w:r>
    </w:p>
    <w:p>
      <w:pPr>
        <w:pStyle w:val="ListBullet"/>
      </w:pPr>
      <w:r>
        <w:t>Décurarisation immédiate en urgence : 16 mg/kg IV, délai 1-2 minutes.</w:t>
      </w:r>
    </w:p>
    <w:p>
      <w:r/>
      <w:r>
        <w:rPr>
          <w:b/>
        </w:rPr>
        <w:t>Doses maximales</w:t>
      </w:r>
      <w:r>
        <w:t xml:space="preserve"> :</w:t>
      </w:r>
    </w:p>
    <w:p>
      <w:pPr>
        <w:pStyle w:val="ListBullet"/>
      </w:pPr>
      <w:r>
        <w:t>Bolus induction : 0,1-0,15 mg/kg IV.</w:t>
      </w:r>
    </w:p>
    <w:p>
      <w:pPr>
        <w:pStyle w:val="ListBullet"/>
      </w:pPr>
      <w:r>
        <w:t>Dose cumulative maximale en perfusion continue : 0,12 mg/kg/h, soit 8,4 mg/h chez l'adulte de 70 kg.</w:t>
      </w:r>
    </w:p>
    <w:p>
      <w:r/>
      <w:r>
        <w:rPr>
          <w:b/>
        </w:rPr>
        <w:t>Adaptations posologiques</w:t>
      </w:r>
      <w:r>
        <w:t xml:space="preserve"> :</w:t>
      </w:r>
    </w:p>
    <w:p>
      <w:pPr>
        <w:pStyle w:val="ListBullet"/>
      </w:pPr>
      <w:r>
        <w:t>Sujet âgé : pas d'adaptation stricte, mais surveillance accrue.</w:t>
      </w:r>
    </w:p>
    <w:p>
      <w:pPr>
        <w:pStyle w:val="ListBullet"/>
      </w:pPr>
      <w:r>
        <w:t>Enfant : doses par kg supérieures à l'adulte (clairance augmentée).</w:t>
      </w:r>
    </w:p>
    <w:p>
      <w:pPr>
        <w:pStyle w:val="ListBullet"/>
      </w:pPr>
      <w:r>
        <w:t>Insuffisance hépatique sévère : réduire de 30-50 %, ou préférer l'atracurium.</w:t>
      </w:r>
    </w:p>
    <w:p>
      <w:pPr>
        <w:pStyle w:val="ListBullet"/>
      </w:pPr>
      <w:r>
        <w:t>Insuffisance rénale terminale : prudence (accumulation du métabolite 3-desacétylvécuronium), préférer l'atracurium.</w:t>
      </w:r>
    </w:p>
    <w:p>
      <w:pPr>
        <w:pStyle w:val="ListBullet"/>
      </w:pPr>
      <w:r>
        <w:t>Obésité morbide : utiliser le poids idéal théorique (PIT).</w:t>
      </w:r>
    </w:p>
    <w:p>
      <w:r/>
      <w:r>
        <w:rPr>
          <w:b/>
        </w:rPr>
        <w:t>Voie IV stricte</w:t>
      </w:r>
      <w:r>
        <w:t xml:space="preserve"> : pas d'autre voie. La perfusion continue doit être réalisée avec une seringue électrique ou un pousse-seringue électrique (PSE).</w:t>
      </w:r>
    </w:p>
    <w:p>
      <w:r/>
      <w:r>
        <w:rPr>
          <w:b/>
        </w:rPr>
        <w:t>Reconstitution de la solution</w:t>
      </w:r>
      <w:r>
        <w:t xml:space="preserve"> : le vécuronium est fourni en lyophilisat (poudre) à reconstituer avec le solvant (EPPI) fourni. Ajouter 2 mL d'EPPI dans le flacon de 4 mg, agiter doucement jusqu'à dissolution complète (10-30 secondes). La solution reconstituée a une concentration de 2 mg/mL. Utiliser immédiatement après reconstitution. La solution reconstituée est stable 24 heures à température ambiante.</w:t>
      </w:r>
    </w:p>
    <w:p>
      <w:pPr>
        <w:pStyle w:val="Heading4"/>
      </w:pPr>
      <w:r>
        <w:t>182.12.1.7 Effets indésirables et prévention</w:t>
      </w:r>
    </w:p>
    <w:p>
      <w:r/>
      <w:r>
        <w:rPr>
          <w:b/>
        </w:rPr>
        <w:t>Effets indésirables fréquents (&gt; 10 %)</w:t>
      </w:r>
      <w:r>
        <w:t xml:space="preserve"> :</w:t>
      </w:r>
    </w:p>
    <w:p>
      <w:pPr>
        <w:pStyle w:val="ListBullet"/>
      </w:pPr>
      <w:r/>
      <w:r>
        <w:rPr>
          <w:b/>
        </w:rPr>
        <w:t>Curarisation résiduelle</w:t>
      </w:r>
      <w:r>
        <w:t xml:space="preserve"> : 30-40 % des patients en SSPI en l'absence de monitorage TOF, similaire au rocuronium. Signes : hypotonie, difficulté à soutenir la tête, dyspnée, dysphagie, voix nasonnée, diplopie. Complications : hypoxémie, atélectasie, pneumopathie d'inhalation, ré-intubation. Prévention : monitorage TOF systématique, antagonisation systématique.</w:t>
      </w:r>
    </w:p>
    <w:p>
      <w:r/>
      <w:r>
        <w:rPr>
          <w:b/>
        </w:rPr>
        <w:t>Effets indésirables moins fréquents (1-10 %)</w:t>
      </w:r>
      <w:r>
        <w:t xml:space="preserve"> :</w:t>
      </w:r>
    </w:p>
    <w:p>
      <w:pPr>
        <w:pStyle w:val="ListBullet"/>
      </w:pPr>
      <w:r/>
      <w:r>
        <w:rPr>
          <w:b/>
        </w:rPr>
        <w:t>Bradycardie</w:t>
      </w:r>
      <w:r>
        <w:t xml:space="preserve"> : rare, en association avec les anesthésiques halogénés (effet additif).</w:t>
      </w:r>
    </w:p>
    <w:p>
      <w:pPr>
        <w:pStyle w:val="ListBullet"/>
      </w:pPr>
      <w:r/>
      <w:r>
        <w:rPr>
          <w:b/>
        </w:rPr>
        <w:t>Hypotension transitoire</w:t>
      </w:r>
      <w:r>
        <w:t xml:space="preserve"> : rare.</w:t>
      </w:r>
    </w:p>
    <w:p>
      <w:r/>
      <w:r>
        <w:rPr>
          <w:b/>
        </w:rPr>
        <w:t>Effets indésirables rares (&lt; 1 %)</w:t>
      </w:r>
      <w:r>
        <w:t xml:space="preserve"> :</w:t>
      </w:r>
    </w:p>
    <w:p>
      <w:pPr>
        <w:pStyle w:val="ListBullet"/>
      </w:pPr>
      <w:r/>
      <w:r>
        <w:rPr>
          <w:b/>
        </w:rPr>
        <w:t>Anaphylaxie</w:t>
      </w:r>
      <w:r>
        <w:t xml:space="preserve"> : 1/10 000 à 1/20 000 anesthésies. Mécanisme : IgE médié. Signes : hypotension sévère, bronchospasme, érythème, urticaire, angiœdème, collapsus cardiovasculaire. Mortalité : 5 %. Prise en charge : arrêt du vécuronium, arrêt de l'agent anesthésique, remplissage vasculaire, adrénaline IV, antihistaminiques, corticoïdes, bronchodilatateurs. Le vécuronium est l'un des curares les plus pourvoyeurs d'anaphylaxie (avec la succinylcholine et le rocuronium). Le sugammadex peut être utilisé en urgence pour encapsuler le vécuronium (16 mg/kg IV).</w:t>
      </w:r>
    </w:p>
    <w:p>
      <w:pPr>
        <w:pStyle w:val="ListBullet"/>
      </w:pPr>
      <w:r/>
      <w:r>
        <w:rPr>
          <w:b/>
        </w:rPr>
        <w:t>Hyperkaliémie transitoire</w:t>
      </w:r>
      <w:r>
        <w:t xml:space="preserve"> : rare, en cas de dénervation.</w:t>
      </w:r>
    </w:p>
    <w:p>
      <w:pPr>
        <w:pStyle w:val="ListBullet"/>
      </w:pPr>
      <w:r/>
      <w:r>
        <w:rPr>
          <w:b/>
        </w:rPr>
        <w:t>Allongement du QT</w:t>
      </w:r>
      <w:r>
        <w:t xml:space="preserve"> : rare.</w:t>
      </w:r>
    </w:p>
    <w:p>
      <w:r/>
      <w:r>
        <w:rPr>
          <w:b/>
        </w:rPr>
        <w:t>Effets indésirables spécifiques de l'antagonisation</w:t>
      </w:r>
      <w:r>
        <w:t xml:space="preserve"> :</w:t>
      </w:r>
    </w:p>
    <w:p>
      <w:pPr>
        <w:pStyle w:val="ListBullet"/>
      </w:pPr>
      <w:r/>
      <w:r>
        <w:rPr>
          <w:b/>
        </w:rPr>
        <w:t>Néostigmine-atropine</w:t>
      </w:r>
      <w:r>
        <w:t xml:space="preserve"> : bradycardie, hypersécrétion bronchique, bronchospasme, augmentation du péristaltisme, miosis. Prévention : atropine ou glycopyrrolate systématiquement associé.</w:t>
      </w:r>
    </w:p>
    <w:p>
      <w:pPr>
        <w:pStyle w:val="ListBullet"/>
      </w:pPr>
      <w:r/>
      <w:r>
        <w:rPr>
          <w:b/>
        </w:rPr>
        <w:t>Sugammadex</w:t>
      </w:r>
      <w:r>
        <w:t xml:space="preserve"> : rare, allongement du QT, possible réaction allergique, inefficacité sur les autres curares.</w:t>
      </w:r>
    </w:p>
    <w:p>
      <w:pPr>
        <w:pStyle w:val="Heading4"/>
      </w:pPr>
      <w:r>
        <w:t>182.12.1.8 Interactions médicamenteuses</w:t>
      </w:r>
    </w:p>
    <w:p>
      <w:r/>
      <w:r>
        <w:rPr>
          <w:b/>
        </w:rPr>
        <w:t>Interactions pharmacodynamiques</w:t>
      </w:r>
      <w:r>
        <w:t xml:space="preserve"> :</w:t>
      </w:r>
    </w:p>
    <w:p>
      <w:pPr>
        <w:pStyle w:val="ListBullet"/>
      </w:pPr>
      <w:r/>
      <w:r>
        <w:rPr>
          <w:b/>
        </w:rPr>
        <w:t>Autres curares non dépolarisants</w:t>
      </w:r>
      <w:r>
        <w:t xml:space="preserve"> : effet additif ou synergique.</w:t>
      </w:r>
    </w:p>
    <w:p>
      <w:pPr>
        <w:pStyle w:val="ListBullet"/>
      </w:pPr>
      <w:r/>
      <w:r>
        <w:rPr>
          <w:b/>
        </w:rPr>
        <w:t>Succinylcholine</w:t>
      </w:r>
      <w:r>
        <w:t xml:space="preserve"> : potentialisation du bloc.</w:t>
      </w:r>
    </w:p>
    <w:p>
      <w:pPr>
        <w:pStyle w:val="ListBullet"/>
      </w:pPr>
      <w:r/>
      <w:r>
        <w:rPr>
          <w:b/>
        </w:rPr>
        <w:t>Aminoglycosides</w:t>
      </w:r>
      <w:r>
        <w:t xml:space="preserve"> : potentialisation du bloc.</w:t>
      </w:r>
    </w:p>
    <w:p>
      <w:pPr>
        <w:pStyle w:val="ListBullet"/>
      </w:pPr>
      <w:r/>
      <w:r>
        <w:rPr>
          <w:b/>
        </w:rPr>
        <w:t>Polymyxines</w:t>
      </w:r>
      <w:r>
        <w:t xml:space="preserve"> (colimycine) : potentialisation du bloc, parfois réfractaire à la néostigmine.</w:t>
      </w:r>
    </w:p>
    <w:p>
      <w:pPr>
        <w:pStyle w:val="ListBullet"/>
      </w:pPr>
      <w:r/>
      <w:r>
        <w:rPr>
          <w:b/>
        </w:rPr>
        <w:t>Clindamycine, linézolide</w:t>
      </w:r>
      <w:r>
        <w:t xml:space="preserve"> : potentialisation modeste.</w:t>
      </w:r>
    </w:p>
    <w:p>
      <w:pPr>
        <w:pStyle w:val="ListBullet"/>
      </w:pPr>
      <w:r/>
      <w:r>
        <w:rPr>
          <w:b/>
        </w:rPr>
        <w:t>Magnésium IV</w:t>
      </w:r>
      <w:r>
        <w:t xml:space="preserve"> (éclampsie) : potentialisation importante, réduire la dose de vécuronium de 30-50 %.</w:t>
      </w:r>
    </w:p>
    <w:p>
      <w:pPr>
        <w:pStyle w:val="ListBullet"/>
      </w:pPr>
      <w:r/>
      <w:r>
        <w:rPr>
          <w:b/>
        </w:rPr>
        <w:t>Calcium IV</w:t>
      </w:r>
      <w:r>
        <w:t xml:space="preserve"> : antagonisation modeste.</w:t>
      </w:r>
    </w:p>
    <w:p>
      <w:pPr>
        <w:pStyle w:val="ListBullet"/>
      </w:pPr>
      <w:r/>
      <w:r>
        <w:rPr>
          <w:b/>
        </w:rPr>
        <w:t>Corticostéroïdes</w:t>
      </w:r>
      <w:r>
        <w:t xml:space="preserve"> (chroniques) : potentialisation, en particulier en réanimation (myopathie de réanimation).</w:t>
      </w:r>
    </w:p>
    <w:p>
      <w:pPr>
        <w:pStyle w:val="ListBullet"/>
      </w:pPr>
      <w:r/>
      <w:r>
        <w:rPr>
          <w:b/>
        </w:rPr>
        <w:t>Antiépileptiques chroniques</w:t>
      </w:r>
      <w:r>
        <w:t xml:space="preserve"> (phénytoïne, carbamazépine) : résistance au vécuronium, nécessitant des doses plus élevées.</w:t>
      </w:r>
    </w:p>
    <w:p>
      <w:pPr>
        <w:pStyle w:val="ListBullet"/>
      </w:pPr>
      <w:r/>
      <w:r>
        <w:rPr>
          <w:b/>
        </w:rPr>
        <w:t>Anesthésiques halogénés</w:t>
      </w:r>
      <w:r>
        <w:t xml:space="preserve"> (isoflurane, sévoflurane, desflurane) : potentialisation du bloc, réduction des doses de vécuronium de 20-30 %.</w:t>
      </w:r>
    </w:p>
    <w:p>
      <w:pPr>
        <w:pStyle w:val="ListBullet"/>
      </w:pPr>
      <w:r/>
      <w:r>
        <w:rPr>
          <w:b/>
        </w:rPr>
        <w:t>Propofol, étomidate, cétamine</w:t>
      </w:r>
      <w:r>
        <w:t xml:space="preserve"> : pas d'interaction cliniquement significative.</w:t>
      </w:r>
    </w:p>
    <w:p>
      <w:r/>
      <w:r>
        <w:rPr>
          <w:b/>
        </w:rPr>
        <w:t>Interactions pharmacocinétiques</w:t>
      </w:r>
      <w:r>
        <w:t xml:space="preserve"> :</w:t>
      </w:r>
    </w:p>
    <w:p>
      <w:pPr>
        <w:pStyle w:val="ListBullet"/>
      </w:pPr>
      <w:r/>
      <w:r>
        <w:rPr>
          <w:b/>
        </w:rPr>
        <w:t>Inhibiteurs du CYP3A4</w:t>
      </w:r>
      <w:r>
        <w:t xml:space="preserve"> (kétéconazole, itraconazole, ritonavir, clarithromycine, érythromycine, fluoxétine, diltiazem, vérapamil) : augmentation modeste des concentrations (le vécuronium étant principalement éliminé sous forme inchangée).</w:t>
      </w:r>
    </w:p>
    <w:p>
      <w:pPr>
        <w:pStyle w:val="ListBullet"/>
      </w:pPr>
      <w:r/>
      <w:r>
        <w:rPr>
          <w:b/>
        </w:rPr>
        <w:t>Inducteurs du CYP3A4</w:t>
      </w:r>
      <w:r>
        <w:t xml:space="preserve"> (rifampicine, phénytoïne, carbamazépine) : diminution modeste des concentrations.</w:t>
      </w:r>
    </w:p>
    <w:p>
      <w:r/>
      <w:r>
        <w:rPr>
          <w:b/>
        </w:rPr>
        <w:t>Interactions spécifiques du sugammadex</w:t>
      </w:r>
      <w:r>
        <w:t xml:space="preserve"> :</w:t>
      </w:r>
    </w:p>
    <w:p>
      <w:pPr>
        <w:pStyle w:val="ListBullet"/>
      </w:pPr>
      <w:r/>
      <w:r>
        <w:rPr>
          <w:b/>
        </w:rPr>
        <w:t>Hormones progestatives</w:t>
      </w:r>
      <w:r>
        <w:t xml:space="preserve"> : réduction de l'efficacité contraceptive pendant 7 jours après sugammadex.</w:t>
      </w:r>
    </w:p>
    <w:p>
      <w:pPr>
        <w:pStyle w:val="ListBullet"/>
      </w:pPr>
      <w:r/>
      <w:r>
        <w:rPr>
          <w:b/>
        </w:rPr>
        <w:t>Toremifène</w:t>
      </w:r>
      <w:r>
        <w:t xml:space="preserve"> : réduction de l'efficacité.</w:t>
      </w:r>
    </w:p>
    <w:p>
      <w:pPr>
        <w:pStyle w:val="ListBullet"/>
      </w:pPr>
      <w:r/>
      <w:r>
        <w:rPr>
          <w:b/>
        </w:rPr>
        <w:t>Fusidique acide</w:t>
      </w:r>
      <w:r>
        <w:t xml:space="preserve"> : réduction de l'efficacité.</w:t>
      </w:r>
    </w:p>
    <w:p>
      <w:pPr>
        <w:pStyle w:val="Heading4"/>
      </w:pPr>
      <w:r>
        <w:t>182.12.1.9 Grossesse, allaitement et CRAT</w:t>
      </w:r>
    </w:p>
    <w:p>
      <w:r/>
      <w:r>
        <w:rPr>
          <w:b/>
        </w:rPr>
        <w:t>Grossesse</w:t>
      </w:r>
      <w:r>
        <w:t xml:space="preserve"> :</w:t>
      </w:r>
    </w:p>
    <w:p>
      <w:pPr>
        <w:pStyle w:val="ListBullet"/>
      </w:pPr>
      <w:r>
        <w:t>Le vécuronium est « utilisable pendant la grossesse et la césarienne » selon le CRAT, en dose unique pour l'induction anesthésique. La diffusion transplacentaire est faible (&lt; 10 % de la dose maternelle).</w:t>
      </w:r>
    </w:p>
    <w:p>
      <w:pPr>
        <w:pStyle w:val="ListBullet"/>
      </w:pPr>
      <w:r>
        <w:t>En césarienne programmée : préférer la rachianesthésie à la bupivacaïne (pas de curarisation nécessaire).</w:t>
      </w:r>
    </w:p>
    <w:p>
      <w:pPr>
        <w:pStyle w:val="ListBullet"/>
      </w:pPr>
      <w:r>
        <w:t>En césarienne en urgence : induction en séquence rapide avec propofol + vécuronium 0,1 mg/kg IV, intubation en 90-120 secondes. Surveillance du nouveau-né.</w:t>
      </w:r>
    </w:p>
    <w:p>
      <w:pPr>
        <w:pStyle w:val="ListBullet"/>
      </w:pPr>
      <w:r>
        <w:t>En cas de doses répétées ou de perfusion continue : surveillance prolongée du nouveau-né.</w:t>
      </w:r>
    </w:p>
    <w:p>
      <w:r/>
      <w:r>
        <w:rPr>
          <w:b/>
        </w:rPr>
        <w:t>Allaitement</w:t>
      </w:r>
      <w:r>
        <w:t xml:space="preserve"> :</w:t>
      </w:r>
    </w:p>
    <w:p>
      <w:pPr>
        <w:pStyle w:val="ListBullet"/>
      </w:pPr>
      <w:r>
        <w:t>Le vécuronium passe dans le lait maternel en quantité négligeable.</w:t>
      </w:r>
    </w:p>
    <w:p>
      <w:pPr>
        <w:pStyle w:val="ListBullet"/>
      </w:pPr>
      <w:r>
        <w:t>Compatible avec l'allaitement selon le CRAT.</w:t>
      </w:r>
    </w:p>
    <w:p>
      <w:r/>
      <w:r>
        <w:rPr>
          <w:b/>
        </w:rPr>
        <w:t>CRAT</w:t>
      </w:r>
      <w:r>
        <w:t xml:space="preserve"> : vécuronium classé « utilisable pendant la grossesse et la césarienne en dose unique. Compatible avec l'allaitement ».</w:t>
      </w:r>
    </w:p>
    <w:p>
      <w:pPr>
        <w:pStyle w:val="Heading4"/>
      </w:pPr>
      <w:r>
        <w:t>182.12.1.10 Formes galéniques disponibles</w:t>
      </w:r>
    </w:p>
    <w:p>
      <w:pPr>
        <w:pStyle w:val="ListBullet"/>
      </w:pPr>
      <w:r/>
      <w:r>
        <w:rPr>
          <w:b/>
        </w:rPr>
        <w:t>Lyophilisat (poudre) pour solution injectable IV à 4 mg par flacon</w:t>
      </w:r>
      <w:r>
        <w:t xml:space="preserve"> :</w:t>
      </w:r>
    </w:p>
    <w:p>
      <w:pPr>
        <w:pStyle w:val="ListBullet"/>
      </w:pPr>
      <w:r>
        <w:t>Neovec (Gland Pharma), B/1 flacon + 1 ampoule de 2 mL de solvant EPPI.</w:t>
      </w:r>
    </w:p>
    <w:p>
      <w:pPr>
        <w:pStyle w:val="ListBullet"/>
      </w:pPr>
      <w:r>
        <w:t>Vecuron (Sun Pharma), B/10 flacons + 10 ampoules de 2 mL de solvant EPPI.</w:t>
      </w:r>
    </w:p>
    <w:p>
      <w:pPr>
        <w:pStyle w:val="ListBullet"/>
      </w:pPr>
      <w:r>
        <w:t>Norcuron (Organon), B/50 flacons + 50 ampoules de solvant — retirée.</w:t>
      </w:r>
    </w:p>
    <w:p>
      <w:pPr>
        <w:pStyle w:val="ListBullet"/>
      </w:pPr>
      <w:r>
        <w:t>Curlem (Lemery), B/25 flacons — retirée.</w:t>
      </w:r>
    </w:p>
    <w:p>
      <w:pPr>
        <w:pStyle w:val="ListBullet"/>
      </w:pPr>
      <w:r>
        <w:t>Concentration après reconstitution : 2 mg/mL (4 mg dans 2 mL d'EPPI).</w:t>
      </w:r>
    </w:p>
    <w:p>
      <w:pPr>
        <w:pStyle w:val="ListBullet"/>
      </w:pPr>
      <w:r>
        <w:t>Présentation : flacon en verre incolore avec bouchon en caoutchouc bromobutyl, ampoule de solvant EPPI séparée.</w:t>
      </w:r>
    </w:p>
    <w:p>
      <w:r/>
      <w:r>
        <w:rPr>
          <w:b/>
        </w:rPr>
        <w:t>Conservation</w:t>
      </w:r>
      <w:r>
        <w:t xml:space="preserve"> : entre 2 et 8 °C (au réfrigérateur), à l'abri de la lumière. Ne pas congeler. Conservation en flacon fermé. Durée de validité : 3 ans.</w:t>
      </w:r>
    </w:p>
    <w:p>
      <w:r/>
      <w:r>
        <w:rPr>
          <w:b/>
        </w:rPr>
        <w:t>Stabilité après reconstitution</w:t>
      </w:r>
      <w:r>
        <w:t xml:space="preserve"> :</w:t>
      </w:r>
    </w:p>
    <w:p>
      <w:pPr>
        <w:pStyle w:val="ListBullet"/>
      </w:pPr>
      <w:r>
        <w:t>Solution reconstituée à 2 mg/mL : stable 24 heures à température ambiante (15-25 °C), à l'abri de la lumière.</w:t>
      </w:r>
    </w:p>
    <w:p>
      <w:pPr>
        <w:pStyle w:val="ListBullet"/>
      </w:pPr>
      <w:r>
        <w:t>Dilution pour perfusion continue : diluer 20 mg (10 mL) dans 40 mL de NaCl 0,9 % (concentration finale 0,4 mg/mL), stable 24 heures.</w:t>
      </w:r>
    </w:p>
    <w:p>
      <w:r/>
      <w:r>
        <w:rPr>
          <w:b/>
        </w:rPr>
        <w:t>Particularités algériennes</w:t>
      </w:r>
      <w:r>
        <w:t xml:space="preserve"> :</w:t>
      </w:r>
    </w:p>
    <w:p>
      <w:pPr>
        <w:pStyle w:val="ListBullet"/>
      </w:pPr>
      <w:r>
        <w:t>Le marché algérien du vécuronium est partagé entre Neovec (Gland Pharma) en petite présentation (1 flacon) et Vecuron (Sun Pharma) en grande présentation (10 flacons).</w:t>
      </w:r>
    </w:p>
    <w:p>
      <w:pPr>
        <w:pStyle w:val="ListBullet"/>
      </w:pPr>
      <w:r>
        <w:t>Le sugammadex (Bridion) n'est pas disponible en routine en Algérie.</w:t>
      </w:r>
    </w:p>
    <w:p>
      <w:pPr>
        <w:pStyle w:val="ListBullet"/>
      </w:pPr>
      <w:r>
        <w:t>Le coût d'un flacon de 4 mg est d'environ 200-300 DA.</w:t>
      </w:r>
    </w:p>
    <w:p>
      <w:pPr>
        <w:pStyle w:val="ListBullet"/>
      </w:pPr>
      <w:r>
        <w:t>La reconstitution extemporanée impose une manipulation avant administration (ajout du solvant EPPI dans le flacon de poudre, agitation douce jusqu'à dissolution complète).</w:t>
      </w:r>
    </w:p>
    <w:p>
      <w:pPr>
        <w:pStyle w:val="ListBullet"/>
      </w:pPr>
      <w:r>
        <w:t>Conservation au réfrigérateur obligatoire (2-8 °C), chaîne du froid stricte.</w:t>
      </w:r>
    </w:p>
    <w:p>
      <w:pPr>
        <w:pStyle w:val="Heading4"/>
      </w:pPr>
      <w:r>
        <w:t>182.12.1.11 Conseils au patient</w:t>
      </w:r>
    </w:p>
    <w:p>
      <w:r/>
      <w:r>
        <w:rPr>
          <w:b/>
        </w:rPr>
        <w:t>Avant l'anesthésie</w:t>
      </w:r>
      <w:r>
        <w:t xml:space="preserve"> :</w:t>
      </w:r>
    </w:p>
    <w:p>
      <w:pPr>
        <w:pStyle w:val="ListBullet"/>
      </w:pPr>
      <w:r>
        <w:t>Informer le patient de la nécessité d'une curarisation pour l'intervention chirurgicale, du mécanisme (paralysie musculaire transitoire), et de la récupération progressive en SSPI.</w:t>
      </w:r>
    </w:p>
    <w:p>
      <w:pPr>
        <w:pStyle w:val="ListBullet"/>
      </w:pPr>
      <w:r>
        <w:t>Signaler les antécédents : allergie à un curare, myopathie, hyperkaliémie, insuffisance hépatique ou rénale, traitement en cours (aminoglycosides, polymyxines, antiépileptiques, magnésium).</w:t>
      </w:r>
    </w:p>
    <w:p>
      <w:pPr>
        <w:pStyle w:val="ListBullet"/>
      </w:pPr>
      <w:r>
        <w:t>Jeûne préopératoire : 6 heures pour les aliments solides et le lait, 2 heures pour les liquides clairs.</w:t>
      </w:r>
    </w:p>
    <w:p>
      <w:pPr>
        <w:pStyle w:val="ListBullet"/>
      </w:pPr>
      <w:r>
        <w:t>Information sur le risque d'anaphylaxie et de curarisation résiduelle.</w:t>
      </w:r>
    </w:p>
    <w:p>
      <w:r/>
      <w:r>
        <w:rPr>
          <w:b/>
        </w:rPr>
        <w:t>Pendant l'anesthésie</w:t>
      </w:r>
      <w:r>
        <w:t xml:space="preserve"> :</w:t>
      </w:r>
    </w:p>
    <w:p>
      <w:pPr>
        <w:pStyle w:val="ListBullet"/>
      </w:pPr>
      <w:r>
        <w:t>Le patient est inconscient sous anesthésie générale, pas de sensation.</w:t>
      </w:r>
    </w:p>
    <w:p>
      <w:pPr>
        <w:pStyle w:val="ListBullet"/>
      </w:pPr>
      <w:r>
        <w:t>Ventilation mécanique pendant la curarisation.</w:t>
      </w:r>
    </w:p>
    <w:p>
      <w:pPr>
        <w:pStyle w:val="ListBullet"/>
      </w:pPr>
      <w:r>
        <w:t>Monitorage ECG, SpO₂, capnographie, pression artérielle, monitorage TOF.</w:t>
      </w:r>
    </w:p>
    <w:p>
      <w:r/>
      <w:r>
        <w:rPr>
          <w:b/>
        </w:rPr>
        <w:t>En salle de réveil (SSPI)</w:t>
      </w:r>
      <w:r>
        <w:t xml:space="preserve"> :</w:t>
      </w:r>
    </w:p>
    <w:p>
      <w:pPr>
        <w:pStyle w:val="ListBullet"/>
      </w:pPr>
      <w:r>
        <w:t>Surveillance : SpO₂, fréquence respiratoire, capacité à soutenir la tête pendant 5 secondes, pression inspiratoire maximale &gt; -50 cmH₂O, reflexes protecteurs des voies aériennes.</w:t>
      </w:r>
    </w:p>
    <w:p>
      <w:pPr>
        <w:pStyle w:val="ListBullet"/>
      </w:pPr>
      <w:r>
        <w:t>Sortie autorisée après : TOF ratio &gt; 0,9, ou cliniquement : patient éveillé, soutient la tête 5 secondes, pression inspiratoire &gt; -50 cmH₂O, SpO₂ &gt; 95 % à l'air ambiant.</w:t>
      </w:r>
    </w:p>
    <w:p>
      <w:pPr>
        <w:pStyle w:val="ListBullet"/>
      </w:pPr>
      <w:r>
        <w:t>Information sur les signes d'alerte de curarisation résiduelle.</w:t>
      </w:r>
    </w:p>
    <w:p>
      <w:r/>
      <w:r>
        <w:rPr>
          <w:b/>
        </w:rPr>
        <w:t>Après l'anesthésie</w:t>
      </w:r>
      <w:r>
        <w:t xml:space="preserve"> :</w:t>
      </w:r>
    </w:p>
    <w:p>
      <w:pPr>
        <w:pStyle w:val="ListBullet"/>
      </w:pPr>
      <w:r>
        <w:t>Surveillance à domicile pendant 24 heures.</w:t>
      </w:r>
    </w:p>
    <w:p>
      <w:pPr>
        <w:pStyle w:val="ListBullet"/>
      </w:pPr>
      <w:r>
        <w:t>En cas de gêne respiratoire, faiblesse musculaire persistante : consulter en urgence.</w:t>
      </w:r>
    </w:p>
    <w:p>
      <w:pPr>
        <w:pStyle w:val="Heading4"/>
      </w:pPr>
      <w:r>
        <w:t>182.12.1.12 Pièges au comptoir — Règles d'or</w:t>
      </w:r>
    </w:p>
    <w:p>
      <w:pPr>
        <w:pStyle w:val="ListNumber"/>
      </w:pPr>
      <w:r/>
      <w:r>
        <w:rPr>
          <w:b/>
        </w:rPr>
        <w:t>Respecter les doses maximales</w:t>
      </w:r>
      <w:r>
        <w:t xml:space="preserve"> : 0,1-0,15 mg/kg pour l'induction, 0,02-0,03 mg/kg pour les bolus d'entretien, 1-2 µg/kg/min pour la perfusion continue.</w:t>
      </w:r>
    </w:p>
    <w:p>
      <w:pPr>
        <w:pStyle w:val="ListNumber"/>
      </w:pPr>
      <w:r/>
      <w:r>
        <w:rPr>
          <w:b/>
        </w:rPr>
        <w:t>Monitorage TOF obligatoire</w:t>
      </w:r>
      <w:r>
        <w:t xml:space="preserve"> : tout patient sous vécuronium doit avoir un monitorage TOF. Cible pour extubation : TOF ratio &gt; 0,9.</w:t>
      </w:r>
    </w:p>
    <w:p>
      <w:pPr>
        <w:pStyle w:val="ListNumber"/>
      </w:pPr>
      <w:r/>
      <w:r>
        <w:rPr>
          <w:b/>
        </w:rPr>
        <w:t>Antagonisation systématique</w:t>
      </w:r>
      <w:r>
        <w:t xml:space="preserve"> : tout patient recevant du vécuronium doit être antagonisé avant l'extubation (sauf récupération spontanée complète documentée).</w:t>
      </w:r>
    </w:p>
    <w:p>
      <w:pPr>
        <w:pStyle w:val="ListNumber"/>
      </w:pPr>
      <w:r/>
      <w:r>
        <w:rPr>
          <w:b/>
        </w:rPr>
        <w:t>Ne pas antagoniser un bloc profond par néostigmine</w:t>
      </w:r>
      <w:r>
        <w:t xml:space="preserve"> : si TOF = 0, préférer le sugammadex (4 mg/kg si disponible) ou attendre.</w:t>
      </w:r>
    </w:p>
    <w:p>
      <w:pPr>
        <w:pStyle w:val="ListNumber"/>
      </w:pPr>
      <w:r/>
      <w:r>
        <w:rPr>
          <w:b/>
        </w:rPr>
        <w:t>Surveillance en SSPI</w:t>
      </w:r>
      <w:r>
        <w:t xml:space="preserve"> : tout patient après vécuronium doit être surveillé en SSPI pendant au moins 1 heure après extubation.</w:t>
      </w:r>
    </w:p>
    <w:p>
      <w:pPr>
        <w:pStyle w:val="ListNumber"/>
      </w:pPr>
      <w:r/>
      <w:r>
        <w:rPr>
          <w:b/>
        </w:rPr>
        <w:t>Insuffisance hépatique sévère</w:t>
      </w:r>
      <w:r>
        <w:t xml:space="preserve"> : réduire les doses de 30-50 % ou préférer l'atracurium (dégradation Hofmann indépendante).</w:t>
      </w:r>
    </w:p>
    <w:p>
      <w:pPr>
        <w:pStyle w:val="ListNumber"/>
      </w:pPr>
      <w:r/>
      <w:r>
        <w:rPr>
          <w:b/>
        </w:rPr>
        <w:t>Insuffisance rénale</w:t>
      </w:r>
      <w:r>
        <w:t xml:space="preserve"> : prudence (accumulation du métabolite 3-desacétylvécuronium), préférer l'atracurium. Le métabolite 3-desacétyl-vécuronium a 50-60 % de l'activité mère et peut prolonger la durée d'action de manière imprévisible en IRC.</w:t>
      </w:r>
    </w:p>
    <w:p>
      <w:pPr>
        <w:pStyle w:val="ListNumber"/>
      </w:pPr>
      <w:r/>
      <w:r>
        <w:rPr>
          <w:b/>
        </w:rPr>
        <w:t>Anaphylaxie</w:t>
      </w:r>
      <w:r>
        <w:t xml:space="preserve"> : en cas d'anaphylaxie peranesthésique, arrêter le vécuronium immédiatement, démarrer le protocole de prise en charge (adrénaline IV, remplissage, antihistaminiques, corticoïdes), envisager le sugammadex 16 mg/kg IV (stratégie controversée).</w:t>
      </w:r>
    </w:p>
    <w:p>
      <w:pPr>
        <w:pStyle w:val="ListNumber"/>
      </w:pPr>
      <w:r/>
      <w:r>
        <w:rPr>
          <w:b/>
        </w:rPr>
        <w:t>Reconstitution de la solution</w:t>
      </w:r>
      <w:r>
        <w:t xml:space="preserve"> : ajouter 2 mL d'EPPI dans le flacon de 4 mg, agiter doucement jusqu'à dissolution complète. Vérifier la limpidité de la solution avant injection.</w:t>
      </w:r>
    </w:p>
    <w:p>
      <w:pPr>
        <w:pStyle w:val="ListNumber"/>
      </w:pPr>
      <w:r/>
      <w:r>
        <w:rPr>
          <w:b/>
        </w:rPr>
        <w:t>Conservation</w:t>
      </w:r>
      <w:r>
        <w:t xml:space="preserve"> : entre 2 et 8 °C au réfrigérateur, à l'abri de la lumière. Ne pas congeler. Ne pas utiliser une solution trouble ou colorée.</w:t>
      </w:r>
    </w:p>
    <w:p>
      <w:pPr>
        <w:pStyle w:val="ListNumber"/>
      </w:pPr>
      <w:r/>
      <w:r>
        <w:rPr>
          <w:b/>
        </w:rPr>
        <w:t>Ne pas mélanger avec d'autres médicaments</w:t>
      </w:r>
      <w:r>
        <w:t xml:space="preserve"> dans la même seringue. La perfusion continue doit être réalisée avec une seringue électrique dédiée.</w:t>
      </w:r>
    </w:p>
    <w:p>
      <w:pPr>
        <w:pStyle w:val="ListNumber"/>
      </w:pPr>
      <w:r/>
      <w:r>
        <w:rPr>
          <w:b/>
        </w:rPr>
        <w:t>Patient âgé</w:t>
      </w:r>
      <w:r>
        <w:t xml:space="preserve"> : surveillance accrue, durée d'action prolongée possible.</w:t>
      </w:r>
    </w:p>
    <w:p>
      <w:pPr>
        <w:pStyle w:val="ListNumber"/>
      </w:pPr>
      <w:r/>
      <w:r>
        <w:rPr>
          <w:b/>
        </w:rPr>
        <w:t>Enfant</w:t>
      </w:r>
      <w:r>
        <w:t xml:space="preserve"> : doses par kg supérieures à l'adulte. Monitorage TOF obligatoire.</w:t>
      </w:r>
    </w:p>
    <w:p>
      <w:pPr>
        <w:pStyle w:val="ListNumber"/>
      </w:pPr>
      <w:r/>
      <w:r>
        <w:rPr>
          <w:b/>
        </w:rPr>
        <w:t>Obésité morbide</w:t>
      </w:r>
      <w:r>
        <w:t xml:space="preserve"> : utiliser le poids idéal théorique (PIT).</w:t>
      </w:r>
    </w:p>
    <w:p>
      <w:pPr>
        <w:pStyle w:val="ListNumber"/>
      </w:pPr>
      <w:r/>
      <w:r>
        <w:rPr>
          <w:b/>
        </w:rPr>
        <w:t>Antécédents d'anaphylaxie aux curares</w:t>
      </w:r>
      <w:r>
        <w:t xml:space="preserve"> : contre-indication relative, préférer la rachianesthésie ou la péridurale si possible, ou choisir un curare d'une autre classe (atracurium si allergie aux aminostéroïdes, et inversement). Tests cutanés par allergologue indispensable.</w:t>
      </w:r>
    </w:p>
    <w:p>
      <w:pPr>
        <w:pStyle w:val="ListNumber"/>
      </w:pPr>
      <w:r/>
      <w:r>
        <w:rPr>
          <w:b/>
        </w:rPr>
        <w:t>Choix entre vécuronium et rocuronium</w:t>
      </w:r>
      <w:r>
        <w:t xml:space="preserve"> : le rocuronium a un onset plus rapide (60-90 s vs 90-120 s), ce qui le rend préférable pour l'induction en séquence rapide. Le vécuronium a une puissance supérieure (doses plus faibles) et un coût potentiellement moindre, ce qui le rend préférable pour l'entretien prolongé en réanimation.</w:t>
      </w:r>
    </w:p>
    <w:p>
      <w:pPr>
        <w:pStyle w:val="Heading2"/>
      </w:pPr>
      <w:r>
        <w:t>182.13 Sous-classe récapitulative — Atracurium / Cisatracurium</w:t>
      </w:r>
    </w:p>
    <w:p>
      <w:pPr>
        <w:pStyle w:val="Heading3"/>
      </w:pPr>
      <w:r>
        <w:t>182.13.1 Atracurium (curares non dépolarisants benzylisoquinoléines)</w:t>
      </w:r>
    </w:p>
    <w:p>
      <w:pPr>
        <w:pStyle w:val="Heading4"/>
      </w:pPr>
      <w:r>
        <w:t>182.13.1.1 Catégories pharmaco-thérapeutiques et indications</w:t>
      </w:r>
    </w:p>
    <w:p>
      <w:pPr>
        <w:pStyle w:val="ListBullet"/>
      </w:pPr>
      <w:r/>
      <w:r>
        <w:rPr>
          <w:b/>
        </w:rPr>
        <w:t>DCI</w:t>
      </w:r>
      <w:r>
        <w:t xml:space="preserve"> : atracurium (besylate) — isomère racémique 1R-cis, 1'R-cis et 1R-trans, 1'R-trans. Le cisatracurium (besylate) est l'isomère 1R-cis, 1'R-cis pur, présenté séparément en pharmacie internationale (mais non disponible en Algérie).</w:t>
      </w:r>
    </w:p>
    <w:p>
      <w:pPr>
        <w:pStyle w:val="ListBullet"/>
      </w:pPr>
      <w:r/>
      <w:r>
        <w:rPr>
          <w:b/>
        </w:rPr>
        <w:t>Code ATC</w:t>
      </w:r>
      <w:r>
        <w:t xml:space="preserve"> : M03AC04 (atracurium), M03AC11 (cisatracurium).</w:t>
      </w:r>
    </w:p>
    <w:p>
      <w:pPr>
        <w:pStyle w:val="ListBullet"/>
      </w:pPr>
      <w:r/>
      <w:r>
        <w:rPr>
          <w:b/>
        </w:rPr>
        <w:t>Classification thérapeutique</w:t>
      </w:r>
      <w:r>
        <w:t xml:space="preserve"> : curare non dépolarisant (curare compétitif) benzylisoquinoléinique, de durée d'action intermédiaire (30-45 minutes), à onset intermédiaire (90-120 secondes à 0,4-0,5 mg/kg). Se distingue par sa dégradation chimique spontanée par élimination de Hofmann (indépendante du foie et du rein).</w:t>
      </w:r>
    </w:p>
    <w:p>
      <w:pPr>
        <w:pStyle w:val="ListBullet"/>
      </w:pPr>
      <w:r/>
      <w:r>
        <w:rPr>
          <w:b/>
        </w:rPr>
        <w:t>Classe chimique</w:t>
      </w:r>
      <w:r>
        <w:t xml:space="preserve"> : bis-benzylisoquinoléine (1R-cis,1'R-cis-atracurium et 1R-trans,1'R-trans-atracurium), composé bis-quaternaire. Poids moléculaire 928 Da (sel besylate). Hydrosoluble.</w:t>
      </w:r>
    </w:p>
    <w:p>
      <w:pPr>
        <w:pStyle w:val="ListBullet"/>
      </w:pPr>
      <w:r/>
      <w:r>
        <w:rPr>
          <w:b/>
        </w:rPr>
        <w:t>Statut réglementaire Algérie</w:t>
      </w:r>
      <w:r>
        <w:t xml:space="preserve"> : Liste I — prescription réservée aux médecins anesthésistes-réanimateurs, usage hospitalier exclusif (bloc opératoire, réanimation).</w:t>
      </w:r>
    </w:p>
    <w:p>
      <w:pPr>
        <w:pStyle w:val="ListBullet"/>
      </w:pPr>
      <w:r/>
      <w:r>
        <w:rPr>
          <w:b/>
        </w:rPr>
        <w:t>Grossesse</w:t>
      </w:r>
      <w:r>
        <w:t xml:space="preserve"> : utilisable pendant la césarienne et la chirurgie obstétricale ; données CRAT favorables.</w:t>
      </w:r>
    </w:p>
    <w:p>
      <w:r>
        <w:t>Indications principales :</w:t>
      </w:r>
    </w:p>
    <w:p>
      <w:pPr>
        <w:pStyle w:val="ListNumber"/>
      </w:pPr>
      <w:r/>
      <w:r>
        <w:rPr>
          <w:b/>
        </w:rPr>
        <w:t>Intubation élective</w:t>
      </w:r>
      <w:r>
        <w:t xml:space="preserve"> : chirurgie programmée nécessitant une curarisation pour intubation. Dose 0,4-0,5 mg/kg IV, intubation en 90-120 secondes. Administration lente (60 secondes) pour minimiser l'histaminolibération.</w:t>
      </w:r>
    </w:p>
    <w:p>
      <w:pPr>
        <w:pStyle w:val="ListNumber"/>
      </w:pPr>
      <w:r/>
      <w:r>
        <w:rPr>
          <w:b/>
        </w:rPr>
        <w:t>Entretien de la curarisation</w:t>
      </w:r>
      <w:r>
        <w:t xml:space="preserve"> : bolus répétés 0,1-0,15 mg/kg IV toutes les 20-30 minutes, ou perfusion continue 5-10 µg/kg/min (0,3-0,6 mg/kg/h), en particulier en chirurgie prolongée et en réanimation.</w:t>
      </w:r>
    </w:p>
    <w:p>
      <w:pPr>
        <w:pStyle w:val="ListNumber"/>
      </w:pPr>
      <w:r/>
      <w:r>
        <w:rPr>
          <w:b/>
        </w:rPr>
        <w:t>Curarisation de réanimation</w:t>
      </w:r>
      <w:r>
        <w:t xml:space="preserve"> : curare de choix en réanimation chez les patients en insuffisance hépatique sévère ou insuffisance rénale terminale, en raison de la dégradation Hofmann indépendante du foie et du rein. Perfusion continue 5-10 µg/kg/min.</w:t>
      </w:r>
    </w:p>
    <w:p>
      <w:pPr>
        <w:pStyle w:val="ListNumber"/>
      </w:pPr>
      <w:r/>
      <w:r>
        <w:rPr>
          <w:b/>
        </w:rPr>
        <w:t>Chirurgie cardiaque et vasculaire</w:t>
      </w:r>
      <w:r>
        <w:t xml:space="preserve"> : curare de choix en chirurgie cardiaque et vasculaire, en particulier chez les patients en insuffisance hépatique ou rénale. Préférable au vécuronium en cas d'insuffisance hépatique sévère ou d'insuffisance rénale.</w:t>
      </w:r>
    </w:p>
    <w:p>
      <w:pPr>
        <w:pStyle w:val="ListNumber"/>
      </w:pPr>
      <w:r/>
      <w:r>
        <w:rPr>
          <w:b/>
        </w:rPr>
        <w:t>Hypothermie thérapeutique</w:t>
      </w:r>
      <w:r>
        <w:t xml:space="preserve"> post-arrêt cardiaque : curarisation pour prévenir les frissons. La dégradation Hofmann est ralentie par l'hypothermie (durée d'action prolongée), justifiant l'adaptation des doses.</w:t>
      </w:r>
    </w:p>
    <w:p>
      <w:pPr>
        <w:pStyle w:val="ListNumber"/>
      </w:pPr>
      <w:r/>
      <w:r>
        <w:rPr>
          <w:b/>
        </w:rPr>
        <w:t>Césarienne en urgence</w:t>
      </w:r>
      <w:r>
        <w:t xml:space="preserve"> : induction en séquence rapide pour césarienne en urgence (alternative au rocuronium et au vécuronium). Dose : 0,4-0,5 mg/kg IV.</w:t>
      </w:r>
    </w:p>
    <w:p>
      <w:pPr>
        <w:pStyle w:val="ListNumber"/>
      </w:pPr>
      <w:r/>
      <w:r>
        <w:rPr>
          <w:b/>
        </w:rPr>
        <w:t>Indications spécifiques de l'atracurium</w:t>
      </w:r>
      <w:r>
        <w:t xml:space="preserve"> : curare de choix en cas d'insuffisance hépatique sévère (métabolisme indépendant du foie), d'insuffisance rénale terminale (pas d'accumulation de métabolites actifs), de curarisation prolongée en réanimation (dégradation Hofmann continue indépendante des organes).</w:t>
      </w:r>
    </w:p>
    <w:p>
      <w:pPr>
        <w:pStyle w:val="Heading4"/>
      </w:pPr>
      <w:r>
        <w:t>182.13.1.2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ATACURE</w:t>
            </w:r>
          </w:p>
        </w:tc>
        <w:tc>
          <w:tcPr>
            <w:tcW w:type="dxa" w:w="1559"/>
          </w:tcPr>
          <w:p>
            <w:r>
              <w:rPr>
                <w:sz w:val="20"/>
              </w:rPr>
              <w:t>HIKMA PHARMA ALGERIA</w:t>
            </w:r>
          </w:p>
        </w:tc>
        <w:tc>
          <w:tcPr>
            <w:tcW w:type="dxa" w:w="1559"/>
          </w:tcPr>
          <w:p>
            <w:r>
              <w:rPr>
                <w:sz w:val="20"/>
              </w:rPr>
              <w:t>Solution injectable IV 10 mg/mL (50 mg/5 mL)</w:t>
            </w:r>
          </w:p>
        </w:tc>
        <w:tc>
          <w:tcPr>
            <w:tcW w:type="dxa" w:w="1559"/>
          </w:tcPr>
          <w:p>
            <w:r>
              <w:rPr>
                <w:sz w:val="20"/>
              </w:rPr>
              <w:t>B/5 ampoules de 5 mL</w:t>
            </w:r>
          </w:p>
        </w:tc>
        <w:tc>
          <w:tcPr>
            <w:tcW w:type="dxa" w:w="1559"/>
          </w:tcPr>
          <w:p>
            <w:r>
              <w:rPr>
                <w:sz w:val="20"/>
              </w:rPr>
              <w:t>Liste I</w:t>
            </w:r>
          </w:p>
        </w:tc>
        <w:tc>
          <w:tcPr>
            <w:tcW w:type="dxa" w:w="1559"/>
          </w:tcPr>
          <w:p>
            <w:r>
              <w:rPr>
                <w:sz w:val="20"/>
              </w:rPr>
              <w:t>Actif</w:t>
            </w:r>
          </w:p>
        </w:tc>
      </w:tr>
      <w:tr>
        <w:tc>
          <w:tcPr>
            <w:tcW w:type="dxa" w:w="1559"/>
          </w:tcPr>
          <w:p>
            <w:r>
              <w:rPr>
                <w:sz w:val="20"/>
              </w:rPr>
              <w:t>RETALEX</w:t>
            </w:r>
          </w:p>
        </w:tc>
        <w:tc>
          <w:tcPr>
            <w:tcW w:type="dxa" w:w="1559"/>
          </w:tcPr>
          <w:p>
            <w:r>
              <w:rPr>
                <w:sz w:val="20"/>
              </w:rPr>
              <w:t>EL KENDI INDUSTRIE DU MEDICAMENT</w:t>
            </w:r>
          </w:p>
        </w:tc>
        <w:tc>
          <w:tcPr>
            <w:tcW w:type="dxa" w:w="1559"/>
          </w:tcPr>
          <w:p>
            <w:r>
              <w:rPr>
                <w:sz w:val="20"/>
              </w:rPr>
              <w:t>Solution pour injection IV pour perfusion 50 mg/5 mL</w:t>
            </w:r>
          </w:p>
        </w:tc>
        <w:tc>
          <w:tcPr>
            <w:tcW w:type="dxa" w:w="1559"/>
          </w:tcPr>
          <w:p>
            <w:r>
              <w:rPr>
                <w:sz w:val="20"/>
              </w:rPr>
              <w:t>Boîte de 5 flacons</w:t>
            </w:r>
          </w:p>
        </w:tc>
        <w:tc>
          <w:tcPr>
            <w:tcW w:type="dxa" w:w="1559"/>
          </w:tcPr>
          <w:p>
            <w:r>
              <w:rPr>
                <w:sz w:val="20"/>
              </w:rPr>
              <w:t>Liste I</w:t>
            </w:r>
          </w:p>
        </w:tc>
        <w:tc>
          <w:tcPr>
            <w:tcW w:type="dxa" w:w="1559"/>
          </w:tcPr>
          <w:p>
            <w:r>
              <w:rPr>
                <w:sz w:val="20"/>
              </w:rPr>
              <w:t>Actif</w:t>
            </w:r>
          </w:p>
        </w:tc>
      </w:tr>
      <w:tr>
        <w:tc>
          <w:tcPr>
            <w:tcW w:type="dxa" w:w="1559"/>
          </w:tcPr>
          <w:p>
            <w:r>
              <w:rPr>
                <w:sz w:val="20"/>
              </w:rPr>
              <w:t>TABLOCK</w:t>
            </w:r>
          </w:p>
        </w:tc>
        <w:tc>
          <w:tcPr>
            <w:tcW w:type="dxa" w:w="1559"/>
          </w:tcPr>
          <w:p>
            <w:r>
              <w:rPr>
                <w:sz w:val="20"/>
              </w:rPr>
              <w:t>LEMERY</w:t>
            </w:r>
          </w:p>
        </w:tc>
        <w:tc>
          <w:tcPr>
            <w:tcW w:type="dxa" w:w="1559"/>
          </w:tcPr>
          <w:p>
            <w:r>
              <w:rPr>
                <w:sz w:val="20"/>
              </w:rPr>
              <w:t>Solution injectable 50 mg</w:t>
            </w:r>
          </w:p>
        </w:tc>
        <w:tc>
          <w:tcPr>
            <w:tcW w:type="dxa" w:w="1559"/>
          </w:tcPr>
          <w:p>
            <w:r>
              <w:rPr>
                <w:sz w:val="20"/>
              </w:rPr>
              <w:t>B/10 flacons</w:t>
            </w:r>
          </w:p>
        </w:tc>
        <w:tc>
          <w:tcPr>
            <w:tcW w:type="dxa" w:w="1559"/>
          </w:tcPr>
          <w:p>
            <w:r>
              <w:rPr>
                <w:sz w:val="20"/>
              </w:rPr>
              <w:t>Liste I</w:t>
            </w:r>
          </w:p>
        </w:tc>
        <w:tc>
          <w:tcPr>
            <w:tcW w:type="dxa" w:w="1559"/>
          </w:tcPr>
          <w:p>
            <w:r>
              <w:rPr>
                <w:sz w:val="20"/>
              </w:rPr>
              <w:t>Retrait</w:t>
            </w:r>
          </w:p>
        </w:tc>
      </w:tr>
      <w:tr>
        <w:tc>
          <w:tcPr>
            <w:tcW w:type="dxa" w:w="1559"/>
          </w:tcPr>
          <w:p>
            <w:r>
              <w:rPr>
                <w:sz w:val="20"/>
              </w:rPr>
              <w:t>TRACRIUM</w:t>
            </w:r>
          </w:p>
        </w:tc>
        <w:tc>
          <w:tcPr>
            <w:tcW w:type="dxa" w:w="1559"/>
          </w:tcPr>
          <w:p>
            <w:r>
              <w:rPr>
                <w:sz w:val="20"/>
              </w:rPr>
              <w:t>GLAXO WELLCOME</w:t>
            </w:r>
          </w:p>
        </w:tc>
        <w:tc>
          <w:tcPr>
            <w:tcW w:type="dxa" w:w="1559"/>
          </w:tcPr>
          <w:p>
            <w:r>
              <w:rPr>
                <w:sz w:val="20"/>
              </w:rPr>
              <w:t>Solution injectable 50 mg/5 mL</w:t>
            </w:r>
          </w:p>
        </w:tc>
        <w:tc>
          <w:tcPr>
            <w:tcW w:type="dxa" w:w="1559"/>
          </w:tcPr>
          <w:p>
            <w:r>
              <w:rPr>
                <w:sz w:val="20"/>
              </w:rPr>
              <w:t>B/10</w:t>
            </w:r>
          </w:p>
        </w:tc>
        <w:tc>
          <w:tcPr>
            <w:tcW w:type="dxa" w:w="1559"/>
          </w:tcPr>
          <w:p>
            <w:r>
              <w:rPr>
                <w:sz w:val="20"/>
              </w:rPr>
              <w:t>Liste I</w:t>
            </w:r>
          </w:p>
        </w:tc>
        <w:tc>
          <w:tcPr>
            <w:tcW w:type="dxa" w:w="1559"/>
          </w:tcPr>
          <w:p>
            <w:r>
              <w:rPr>
                <w:sz w:val="20"/>
              </w:rPr>
              <w:t>Retrait</w:t>
            </w:r>
          </w:p>
        </w:tc>
      </w:tr>
    </w:tbl>
    <w:p/>
    <w:p>
      <w:r>
        <w:t>Le marché algérien de l'atracurium est partagé entre deux marques actives : Atacure (Hikma Pharma Algeria) en ampoules de 5 mL, et Retalex (El Kendi Industrie du Médicament, princeps national) en flacons de 5 mL. Les marques historiques Tracrium (Glaxo Wellcome, princeps international) et Tablock (Lemery) sont retirées du marché algérien. Le cisatracurium (Nimbex, AbbVie), isomère stéréoisomère pur de l'atracurium, n'est PAS disponible dans la nomenclature algérienne Avril 2026 — ce qui représente une lacune importante à corriger pour la pratique anesthésique moderne, le cisatracurium étant le curare de référence en anesthésie cardiaque et en réanimation en raison de l'absence d'histaminolibération. L'atracurium (racémique) reste donc la seule option benzylisoquinoléinique disponible en Algérie, ce qui impose la prudence posologique pour éviter l'histaminolibération (administration lente, dilution, doses &lt; 0,5 mg/kg en bolus). Le sugammadex (Bridion) n'est PAS actif sur l'atracurium, ce qui impose l'antagonisation par néostigmine-atropine. Le coût d'un flacon de 50 mg d'atracurium en Algérie est d'environ 250-400 DA.</w:t>
      </w:r>
    </w:p>
    <w:p>
      <w:pPr>
        <w:pStyle w:val="Heading4"/>
      </w:pPr>
      <w:r>
        <w:t>182.13.1.3 Mécanisme d'action moléculaire, cellulaire et physiologique</w:t>
      </w:r>
    </w:p>
    <w:p>
      <w:r>
        <w:t>L'atracurium, comme tous les curares non dépolarisants, exerce son effet myorelaxant par blocage compétitif des récepteurs nicotiniques de l'acétylcholine (nAChR) postsynaptiques de la jonction neuromusculaire (sous-type Nm, N2). Le mécanisme complet se décline en six niveaux :</w:t>
      </w:r>
    </w:p>
    <w:p>
      <w:r/>
      <w:r>
        <w:rPr>
          <w:b/>
        </w:rPr>
        <w:t>Niveau moléculaire — fixation au récepteur nicotinique postsynaptique</w:t>
      </w:r>
      <w:r>
        <w:t xml:space="preserve"> : l'atracurium est un composé ammonium quaternaire bis-chargé, qui se fixe de manière compétitive et réversible au site de liaison de l'acétylcholine sur le récepteur nicotinique postsynaptique (nAChR musculaire Nm). La fixation empêche la liaison de l'acétylcholine et la dépolarisation membranaire postsynaptique. L'atracurium ne provoque aucune dépolarisation initiale, d'où l'absence de fasciculations musculaires.</w:t>
      </w:r>
    </w:p>
    <w:p>
      <w:r/>
      <w:r>
        <w:rPr>
          <w:b/>
        </w:rPr>
        <w:t>Niveau cellulaire — bloc compétitif de la transmission neuromusculaire</w:t>
      </w:r>
      <w:r>
        <w:t xml:space="preserve"> : le bloc compétitif peut être levé par augmentation de la concentration d'acétylcholine (néostigmine). Le sugammadex n'est PAS actif sur l'atracurium (le sugammadex encapsule spécifiquement les aminostéroïdes rocuronium et vécuronium, mais pas les benzylisoquinoléines atracurium et cisatracurium, en raison de la différence de structure chimique qui ne permet pas l'encapsulation).</w:t>
      </w:r>
    </w:p>
    <w:p>
      <w:r/>
      <w:r>
        <w:rPr>
          <w:b/>
        </w:rPr>
        <w:t>Niveau physiologique — paralysie striée progressive et récupération</w:t>
      </w:r>
      <w:r>
        <w:t xml:space="preserve"> : l'atracurium provoque une paralysie striée périphérique complète (membres, abdominale, thoracique, diaphragmatique) en 90-120 secondes à 0,5 mg/kg. L'ordre de paralysie et de récupération est identique à celui des autres curares non dépolarisants. La ventilation mécanique est nécessaire dès l'induction.</w:t>
      </w:r>
    </w:p>
    <w:p>
      <w:r/>
      <w:r>
        <w:rPr>
          <w:b/>
        </w:rPr>
        <w:t>Niveau onset — intermédiaire</w:t>
      </w:r>
      <w:r>
        <w:t xml:space="preserve"> : l'atracurium présente un onset intermédiaire (90-120 secondes à 0,5 mg/kg), comparable au vécuronium, inférieur au rocuronium. Cette propriété le rend adapté à l'intubation élective mais moins à l'induction en séquence rapide.</w:t>
      </w:r>
    </w:p>
    <w:p>
      <w:r/>
      <w:r>
        <w:rPr>
          <w:b/>
        </w:rPr>
        <w:t>Niveau durée — intermédiaire</w:t>
      </w:r>
      <w:r>
        <w:t xml:space="preserve"> : la durée d'action clinique (T25) est de 30-45 minutes à la dose d'intubation (0,5 mg/kg). Le délai de récupération complète (TOF ratio &gt; 0,9) est de 60-90 minutes en l'absence d'antagonisation. La dégradation Hofmann et l'hydrolyse par les estérases plasmatiques permettent une récupération spontanée prévisible, même en cas d'insuffisance hépatique ou rénale, sans accumulation de la molécule mère.</w:t>
      </w:r>
    </w:p>
    <w:p>
      <w:r/>
      <w:r>
        <w:rPr>
          <w:b/>
        </w:rPr>
        <w:t>Niveau histaminolibération — effet propre aux benzylisoquinoléines</w:t>
      </w:r>
      <w:r>
        <w:t xml:space="preserve"> : l'atracurium (racémique) provoque une histaminolibération dose-dépendante par les mastocytes (dégranulation directe, indépendante des IgE), à partir de 0,3-0,4 mg/kg en bolus rapide. Cette histaminolibération se manifeste par : flush (érythème cervical et thoracique), hypotension (par vasodilatation systémique), tachycardie réflexe, plus rarement bronchospasme (10 % des patients asthmatiques). L'histaminolibération est liée à la présence des deux isomères trans dans le mélange racémique. Le cisatracurium (isomère 1R-cis, 1'R-cis pur) est dépourvu de cet effet histaminolibérateur, même à la dose d'intubation (0,15-0,20 mg/kg). Cette différence justifie le développement du cisatracurium et son utilisation préférentielle en anesthésie cardiaque, en pédiatrie, et chez les patients asthmatiques ou hémodynamiquement fragiles. En Algérie, l'absence du cisatracurium impose l'administration lente (60 secondes) et la dilution de l'atracurium (dans 10 mL de NaCl 0,9 %) pour minimiser l'histaminolibération.</w:t>
      </w:r>
    </w:p>
    <w:p>
      <w:pPr>
        <w:pStyle w:val="Heading4"/>
      </w:pPr>
      <w:r>
        <w:t>182.13.1.4 Pharmacocinétique (profil PK)</w:t>
      </w:r>
    </w:p>
    <w:p>
      <w:r/>
      <w:r>
        <w:rPr>
          <w:b/>
        </w:rPr>
        <w:t>Absorption</w:t>
      </w:r>
      <w:r>
        <w:t xml:space="preserve"> : l'atracurium est administré exclusivement par voie intraveineuse (bolus ou perfusion continue). Aucune absorption orale possible. L'effet est immédiat après bolus IV.</w:t>
      </w:r>
    </w:p>
    <w:p>
      <w:r/>
      <w:r>
        <w:rPr>
          <w:b/>
        </w:rPr>
        <w:t>Distribution</w:t>
      </w:r>
      <w:r>
        <w:t xml:space="preserve"> : l'atracurium est un composé hydrophile, peu lié aux protéines plasmatiques (15-30 %). La fraction libre (70-85 %) est pharmacologiquement active. Le volume de distribution à l'équilibre (Vdss) est de 0,1-0,2 L/kg, limité au compartiment extracellulaire. La diffusion transplacentaire est faible (&lt; 10 %). La diffusion dans le LCR est nulle.</w:t>
      </w:r>
    </w:p>
    <w:p>
      <w:r/>
      <w:r>
        <w:rPr>
          <w:b/>
        </w:rPr>
        <w:t>Métabolisme — particularité de la dégradation Hofmann</w:t>
      </w:r>
      <w:r>
        <w:t xml:space="preserve"> : l'atracurium se distingue par son mécanisme de dégradation unique, indépendant du foie et du rein :</w:t>
      </w:r>
    </w:p>
    <w:p>
      <w:pPr>
        <w:pStyle w:val="ListBullet"/>
      </w:pPr>
      <w:r/>
      <w:r>
        <w:rPr>
          <w:b/>
        </w:rPr>
        <w:t>Dégradation Hofmann</w:t>
      </w:r>
      <w:r>
        <w:t xml:space="preserve"> (50 % de la dégradation) : élimination chimique spontanée non enzymatique, à pH physiologique (7,4) et à 37 °C. La molécule subit une fragmentation du pont ester, libérant la laudanosine (métabolite tertiaire amine) et un mono-quaternary acrylate. Cette dégradation est purement chimique, indépendante des fonctions hépatiques et rénales, ce qui fait de l'atracurium le curare de choix en cas d'insuffisance hépatique sévère ou d'insuffisance rénale terminale.</w:t>
      </w:r>
    </w:p>
    <w:p>
      <w:pPr>
        <w:pStyle w:val="ListBullet"/>
      </w:pPr>
      <w:r/>
      <w:r>
        <w:rPr>
          <w:b/>
        </w:rPr>
        <w:t>Hydrolyse par les butyrylcholinestérases plasmatiques</w:t>
      </w:r>
      <w:r>
        <w:t xml:space="preserve"> (50 % de la dégradation) : hydrolyse enzymatique de la fonction ester par les pseudocholinestérases plasmatiques (les mêmes que celles qui métabolisent la succinylcholine). En cas de déficit génétique en butyrylcholinestérases (1/2500 de la population), la demi-vie de l'atracurium est allongée (mais la dégradation Hofmann compense partiellement).</w:t>
      </w:r>
    </w:p>
    <w:p>
      <w:r/>
      <w:r>
        <w:rPr>
          <w:b/>
        </w:rPr>
        <w:t>Élimination</w:t>
      </w:r>
      <w:r>
        <w:t xml:space="preserve"> : l'élimination est urinaire à 80-90 %, principalement sous forme de métabolites inactifs (laudanosine et mono-quaternary acrylate). La clairance totale est de 6-8 mL/min/kg. La demi-vie d'élimination terminale est de 20-25 minutes chez l'adulte sain, indépendante des fonctions hépatique et rénale. En cas d'insuffisance hépatique sévère ou d'insuffisance rénale terminale, la demi-vie d'élimination n'est pas significativement prolongée, ce qui permet l'utilisation sans adaptation posologique stricte.</w:t>
      </w:r>
    </w:p>
    <w:p>
      <w:r/>
      <w:r>
        <w:rPr>
          <w:b/>
        </w:rPr>
        <w:t>Laudanosine — métabolite à surveiller</w:t>
      </w:r>
      <w:r>
        <w:t xml:space="preserve"> : la laudanosine, métabolite principal de l'atracurium (et du cisatracurium), est un composé tertiaire amine qui traverse la BHE et peut provoquer des convulsions à forte dose chez l'animal (modèle rats, à partir de 5-10 µg/mL plasmatique). Chez l'homme, aucun cas de convulsion attribué à la laudanosine n'a été documenté cliniquement, même en perfusion prolongée de réanimation pendant 5-7 jours. Cependant, par prudence, en cas de perfusion prolongée &gt; 48-72 heures en réanimation, il est recommandé de remplacer l'atracurium par le cisatracurium (qui produit 4 fois moins de laudanosine en raison de la dose 4 fois plus faible), ou par le rocuronium ou le vécuronium. La surveillance clinique neurologique est recommandée en cas de perfusion prolongée.</w:t>
      </w:r>
    </w:p>
    <w:p>
      <w:r/>
      <w:r>
        <w:rPr>
          <w:b/>
        </w:rPr>
        <w:t>Linéarité</w:t>
      </w:r>
      <w:r>
        <w:t xml:space="preserve"> : la pharmacocinétique est linéaire aux doses thérapeutiques. À dose élevée, la dégradation Hofmann reste opérante (elle n'est pas saturable).</w:t>
      </w:r>
    </w:p>
    <w:p>
      <w:r/>
      <w:r>
        <w:rPr>
          <w:b/>
        </w:rPr>
        <w:t>Monitorage de la curarisation</w:t>
      </w:r>
      <w:r>
        <w:t xml:space="preserve"> : obligatoire en anesthésie selon les recommandations SFAR 2020 sur la curarisation. Le monitorage est réalisé par TOF-Watch ou TOF-Scan (TOF ratio &gt; 0,9 pour extubation), PTC pour bloc profond.</w:t>
      </w:r>
    </w:p>
    <w:p>
      <w:r/>
      <w:r>
        <w:rPr>
          <w:b/>
        </w:rPr>
        <w:t>Antagonisation</w:t>
      </w:r>
      <w:r>
        <w:t xml:space="preserve"> :</w:t>
      </w:r>
    </w:p>
    <w:p>
      <w:pPr>
        <w:pStyle w:val="ListBullet"/>
      </w:pPr>
      <w:r>
        <w:t>Par néostigmine (0,04-0,07 mg/kg IV) + atropine (10-20 µg/kg IV) ou glycopyrrolate : antagonisation classique, efficace pour TOF ratio &gt; 0,4. Délai d'action 5-10 minutes.</w:t>
      </w:r>
    </w:p>
    <w:p>
      <w:pPr>
        <w:pStyle w:val="ListBullet"/>
      </w:pPr>
      <w:r>
        <w:t>Le sugammadex n'est PAS actif sur l'atracurium (encapsulation spécifique aux aminostéroïdes). L'antagonisation repose donc exclusivement sur la néostigmine-atropine.</w:t>
      </w:r>
    </w:p>
    <w:p>
      <w:pPr>
        <w:pStyle w:val="Heading4"/>
      </w:pPr>
      <w:r>
        <w:t>182.13.1.5 Indications thérapeutiques</w:t>
      </w:r>
    </w:p>
    <w:p>
      <w:pPr>
        <w:pStyle w:val="ListNumber"/>
      </w:pPr>
      <w:r/>
      <w:r>
        <w:rPr>
          <w:b/>
        </w:rPr>
        <w:t>Intubation élective</w:t>
      </w:r>
      <w:r>
        <w:t xml:space="preserve"> : chirurgie programmée nécessitant une curarisation pour intubation. Dose 0,4-0,5 mg/kg IV en 60 secondes (administration lente pour minimiser l'histaminolibération).</w:t>
      </w:r>
    </w:p>
    <w:p>
      <w:pPr>
        <w:pStyle w:val="ListNumber"/>
      </w:pPr>
      <w:r/>
      <w:r>
        <w:rPr>
          <w:b/>
        </w:rPr>
        <w:t>Entretien de la curarisation en anesthésie</w:t>
      </w:r>
      <w:r>
        <w:t xml:space="preserve"> :</w:t>
      </w:r>
    </w:p>
    <w:p>
      <w:pPr>
        <w:pStyle w:val="ListBullet"/>
      </w:pPr>
      <w:r>
        <w:t>Bolus répétés : 0,1-0,15 mg/kg IV toutes les 20-30 minutes.</w:t>
      </w:r>
    </w:p>
    <w:p>
      <w:pPr>
        <w:pStyle w:val="ListBullet"/>
      </w:pPr>
      <w:r>
        <w:t>Perfusion continue : 5-10 µg/kg/min (0,3-0,6 mg/kg/h), ajustée au monitorage TOF.</w:t>
      </w:r>
    </w:p>
    <w:p>
      <w:pPr>
        <w:pStyle w:val="ListNumber"/>
      </w:pPr>
      <w:r/>
      <w:r>
        <w:rPr>
          <w:b/>
        </w:rPr>
        <w:t>Curarisation de réanimation</w:t>
      </w:r>
      <w:r>
        <w:t xml:space="preserve"> : curare de choix en réanimation chez les patients en insuffisance hépatique sévère ou insuffisance rénale terminale, en raison de la dégradation Hofmann indépendante.</w:t>
      </w:r>
    </w:p>
    <w:p>
      <w:pPr>
        <w:pStyle w:val="ListBullet"/>
      </w:pPr>
      <w:r>
        <w:t>Ventilation mécanique difficile : perfusion continue 5-10 µg/kg/min, surveillance TOF (cible : 1-2 réponses au TOF).</w:t>
      </w:r>
    </w:p>
    <w:p>
      <w:pPr>
        <w:pStyle w:val="ListBullet"/>
      </w:pPr>
      <w:r>
        <w:t>Hypothermie thérapeutique post-arrêt cardiaque : curarisation pour prévenir les frissons (attention à la prolongation de la durée d'action par hypothermie).</w:t>
      </w:r>
    </w:p>
    <w:p>
      <w:pPr>
        <w:pStyle w:val="ListBullet"/>
      </w:pPr>
      <w:r>
        <w:t>Patients en défaillance multiviscérale : curare de choix en raison de la dégradation indépendante des organes.</w:t>
      </w:r>
    </w:p>
    <w:p>
      <w:pPr>
        <w:pStyle w:val="ListNumber"/>
      </w:pPr>
      <w:r/>
      <w:r>
        <w:rPr>
          <w:b/>
        </w:rPr>
        <w:t>Chirurgie cardiaque et vasculaire</w:t>
      </w:r>
      <w:r>
        <w:t xml:space="preserve"> : curare de choix en chirurgie cardiaque et vasculaire, en particulier chez les patients en insuffisance hépatique ou rénale. Préférable au vécuronium en cas d'insuffisance hépatique sévère ou d'insuffisance rénale.</w:t>
      </w:r>
    </w:p>
    <w:p>
      <w:pPr>
        <w:pStyle w:val="ListNumber"/>
      </w:pPr>
      <w:r/>
      <w:r>
        <w:rPr>
          <w:b/>
        </w:rPr>
        <w:t>Césarienne en urgence</w:t>
      </w:r>
      <w:r>
        <w:t xml:space="preserve"> : induction en séquence rapide pour césarienne en urgence. Dose : 0,4-0,5 mg/kg IV.</w:t>
      </w:r>
    </w:p>
    <w:p>
      <w:pPr>
        <w:pStyle w:val="ListNumber"/>
      </w:pPr>
      <w:r/>
      <w:r>
        <w:rPr>
          <w:b/>
        </w:rPr>
        <w:t>Chirurgie du patient âgé fragile</w:t>
      </w:r>
      <w:r>
        <w:t xml:space="preserve"> : curare de choix en raison de la dégradation indépendante du foie et du rein, sans accumulation.</w:t>
      </w:r>
    </w:p>
    <w:p>
      <w:pPr>
        <w:pStyle w:val="ListNumber"/>
      </w:pPr>
      <w:r/>
      <w:r>
        <w:rPr>
          <w:b/>
        </w:rPr>
        <w:t>Hypertension intracrânienne</w:t>
      </w:r>
      <w:r>
        <w:t xml:space="preserve"> : curare de choix (stabilité hémodynamique, absence d'augmentation de la PIC, dégradation indépendante).</w:t>
      </w:r>
    </w:p>
    <w:p>
      <w:pPr>
        <w:pStyle w:val="ListNumber"/>
      </w:pPr>
      <w:r/>
      <w:r>
        <w:rPr>
          <w:b/>
        </w:rPr>
        <w:t>Indications spécifiques de l'atracurium</w:t>
      </w:r>
      <w:r>
        <w:t xml:space="preserve"> :</w:t>
      </w:r>
    </w:p>
    <w:p>
      <w:pPr>
        <w:pStyle w:val="ListBullet"/>
      </w:pPr>
      <w:r>
        <w:t>Insuffisance hépatique sévère (cirrhose décompensée, hépatite fulminante, post-greffe hépatique) ;</w:t>
      </w:r>
    </w:p>
    <w:p>
      <w:pPr>
        <w:pStyle w:val="ListBullet"/>
      </w:pPr>
      <w:r>
        <w:t>Insuffisance rénale terminale (dialysée) ;</w:t>
      </w:r>
    </w:p>
    <w:p>
      <w:pPr>
        <w:pStyle w:val="ListBullet"/>
      </w:pPr>
      <w:r>
        <w:t>Curarisation prolongée en réanimation (&gt; 48 h) ;</w:t>
      </w:r>
    </w:p>
    <w:p>
      <w:pPr>
        <w:pStyle w:val="ListBullet"/>
      </w:pPr>
      <w:r>
        <w:t>Patient âgé fragile ;</w:t>
      </w:r>
    </w:p>
    <w:p>
      <w:pPr>
        <w:pStyle w:val="ListBullet"/>
      </w:pPr>
      <w:r>
        <w:t>Défaillance multiviscérale.</w:t>
      </w:r>
    </w:p>
    <w:p>
      <w:pPr>
        <w:pStyle w:val="Heading4"/>
      </w:pPr>
      <w:r>
        <w:t>182.13.1.6 Posologie et mode d'administration</w:t>
      </w:r>
    </w:p>
    <w:p>
      <w:r/>
      <w:r>
        <w:rPr>
          <w:b/>
        </w:rPr>
        <w:t>Intubation élective</w:t>
      </w:r>
      <w:r>
        <w:t xml:space="preserve"> :</w:t>
      </w:r>
    </w:p>
    <w:p>
      <w:pPr>
        <w:pStyle w:val="ListBullet"/>
      </w:pPr>
      <w:r>
        <w:t>Adulte : 0,4-0,5 mg/kg IV en 60 secondes (administration lente pour minimiser l'histaminolibération).</w:t>
      </w:r>
    </w:p>
    <w:p>
      <w:pPr>
        <w:pStyle w:val="ListBullet"/>
      </w:pPr>
      <w:r>
        <w:t>Enfant &gt; 2 ans : 0,4-0,5 mg/kg IV (sans dépasser 0,6 mg/kg en bolus).</w:t>
      </w:r>
    </w:p>
    <w:p>
      <w:pPr>
        <w:pStyle w:val="ListBullet"/>
      </w:pPr>
      <w:r>
        <w:t>Nourrisson : 0,3-0,4 mg/kg IV.</w:t>
      </w:r>
    </w:p>
    <w:p>
      <w:r/>
      <w:r>
        <w:rPr>
          <w:b/>
        </w:rPr>
        <w:t>Entretien de la curarisation</w:t>
      </w:r>
      <w:r>
        <w:t xml:space="preserve"> :</w:t>
      </w:r>
    </w:p>
    <w:p>
      <w:pPr>
        <w:pStyle w:val="ListBullet"/>
      </w:pPr>
      <w:r>
        <w:t>Bolus : 0,1-0,15 mg/kg IV toutes les 20-30 minutes.</w:t>
      </w:r>
    </w:p>
    <w:p>
      <w:pPr>
        <w:pStyle w:val="ListBullet"/>
      </w:pPr>
      <w:r>
        <w:t>Perfusion continue : 5-10 µg/kg/min (0,3-0,6 mg/kg/h), ajustée au monitorage TOF.</w:t>
      </w:r>
    </w:p>
    <w:p>
      <w:r/>
      <w:r>
        <w:rPr>
          <w:b/>
        </w:rPr>
        <w:t>Curarisation de réanimation</w:t>
      </w:r>
      <w:r>
        <w:t xml:space="preserve"> :</w:t>
      </w:r>
    </w:p>
    <w:p>
      <w:pPr>
        <w:pStyle w:val="ListBullet"/>
      </w:pPr>
      <w:r>
        <w:t>Perfusion continue : 5-10 µg/kg/min (0,3-0,6 mg/kg/h), surveillance TOF (cible : 1-2 réponses au TOF).</w:t>
      </w:r>
    </w:p>
    <w:p>
      <w:pPr>
        <w:pStyle w:val="ListBullet"/>
      </w:pPr>
      <w:r>
        <w:t>Pas d'adaptation posologique stricte en cas d'insuffisance hépatique ou rénale (dégradation Hofmann indépendante).</w:t>
      </w:r>
    </w:p>
    <w:p>
      <w:pPr>
        <w:pStyle w:val="ListBullet"/>
      </w:pPr>
      <w:r>
        <w:t>Réduction de 20-30 % en cas d'hypothermie (33-34 °C) en raison du ralentissement de la dégradation Hofmann.</w:t>
      </w:r>
    </w:p>
    <w:p>
      <w:r/>
      <w:r>
        <w:rPr>
          <w:b/>
        </w:rPr>
        <w:t>Antagonisation</w:t>
      </w:r>
      <w:r>
        <w:t xml:space="preserve"> :</w:t>
      </w:r>
    </w:p>
    <w:p>
      <w:pPr>
        <w:pStyle w:val="ListBullet"/>
      </w:pPr>
      <w:r>
        <w:t>Par néostigmine : 0,04-0,07 mg/kg IV + atropine 10-20 µg/kg IV ou glycopyrrolate 5-10 µg/kg IV. Délai d'action 5-10 minutes. Efficace pour TOF ratio &gt; 0,4.</w:t>
      </w:r>
    </w:p>
    <w:p>
      <w:pPr>
        <w:pStyle w:val="ListBullet"/>
      </w:pPr>
      <w:r>
        <w:t>Le sugammadex n'est PAS actif sur l'atracurium.</w:t>
      </w:r>
    </w:p>
    <w:p>
      <w:r/>
      <w:r>
        <w:rPr>
          <w:b/>
        </w:rPr>
        <w:t>Doses maximales</w:t>
      </w:r>
      <w:r>
        <w:t xml:space="preserve"> :</w:t>
      </w:r>
    </w:p>
    <w:p>
      <w:pPr>
        <w:pStyle w:val="ListBullet"/>
      </w:pPr>
      <w:r>
        <w:t>Bolus induction : 0,5-0,6 mg/kg IV (ne pas dépasser en raison du risque d'histaminolibération).</w:t>
      </w:r>
    </w:p>
    <w:p>
      <w:pPr>
        <w:pStyle w:val="ListBullet"/>
      </w:pPr>
      <w:r>
        <w:t>Dose cumulative maximale en perfusion continue : 0,6 mg/kg/h, soit 40 mg/h chez l'adulte de 70 kg.</w:t>
      </w:r>
    </w:p>
    <w:p>
      <w:r/>
      <w:r>
        <w:rPr>
          <w:b/>
        </w:rPr>
        <w:t>Adaptations posologiques</w:t>
      </w:r>
      <w:r>
        <w:t xml:space="preserve"> :</w:t>
      </w:r>
    </w:p>
    <w:p>
      <w:pPr>
        <w:pStyle w:val="ListBullet"/>
      </w:pPr>
      <w:r>
        <w:t>Sujet âgé : pas d'adaptation stricte (dégradation indépendante).</w:t>
      </w:r>
    </w:p>
    <w:p>
      <w:pPr>
        <w:pStyle w:val="ListBullet"/>
      </w:pPr>
      <w:r>
        <w:t>Enfant : doses par kg supérieures à l'adulte.</w:t>
      </w:r>
    </w:p>
    <w:p>
      <w:pPr>
        <w:pStyle w:val="ListBullet"/>
      </w:pPr>
      <w:r>
        <w:t>Insuffisance hépatique sévère : pas d'adaptation stricte (dégradation Hofmann indépendante).</w:t>
      </w:r>
    </w:p>
    <w:p>
      <w:pPr>
        <w:pStyle w:val="ListBullet"/>
      </w:pPr>
      <w:r>
        <w:t>Insuffisance rénale terminale : pas d'adaptation stricte (pas d'accumulation de métabolites actifs).</w:t>
      </w:r>
    </w:p>
    <w:p>
      <w:pPr>
        <w:pStyle w:val="ListBullet"/>
      </w:pPr>
      <w:r>
        <w:t>Hypothermie (33-34 °C) : réduire de 20-30 % (ralentissement de la dégradation Hofmann).</w:t>
      </w:r>
    </w:p>
    <w:p>
      <w:pPr>
        <w:pStyle w:val="ListBullet"/>
      </w:pPr>
      <w:r>
        <w:t>Brûlé grave : résistance possible après 5-7 jours (augmentation du nombre de nAChR), nécessitant des doses plus élevées.</w:t>
      </w:r>
    </w:p>
    <w:p>
      <w:pPr>
        <w:pStyle w:val="ListBullet"/>
      </w:pPr>
      <w:r>
        <w:t>Obésité morbide : utiliser le poids idéal théorique (PIT).</w:t>
      </w:r>
    </w:p>
    <w:p>
      <w:r/>
      <w:r>
        <w:rPr>
          <w:b/>
        </w:rPr>
        <w:t>Voie IV stricte</w:t>
      </w:r>
      <w:r>
        <w:t xml:space="preserve"> : pas d'autre voie. La perfusion continue doit être réalisée avec une seringue électrique ou un pousse-seringue électrique (PSE).</w:t>
      </w:r>
    </w:p>
    <w:p>
      <w:pPr>
        <w:pStyle w:val="Heading4"/>
      </w:pPr>
      <w:r>
        <w:t>182.13.1.7 Effets indésirables et prévention</w:t>
      </w:r>
    </w:p>
    <w:p>
      <w:r/>
      <w:r>
        <w:rPr>
          <w:b/>
        </w:rPr>
        <w:t>Effets indésirables fréquents (&gt; 10 %)</w:t>
      </w:r>
      <w:r>
        <w:t xml:space="preserve"> :</w:t>
      </w:r>
    </w:p>
    <w:p>
      <w:pPr>
        <w:pStyle w:val="ListBullet"/>
      </w:pPr>
      <w:r/>
      <w:r>
        <w:rPr>
          <w:b/>
        </w:rPr>
        <w:t>Curarisation résiduelle</w:t>
      </w:r>
      <w:r>
        <w:t xml:space="preserve"> : 30-40 % des patients en SSPI en l'absence de monitorage TOF. Signes : hypotonie, difficulté à soutenir la tête, dyspnée, dysphagie. Prévention : monitorage TOF systématique, antagonisation systématique par néostigmine-atropine.</w:t>
      </w:r>
    </w:p>
    <w:p>
      <w:pPr>
        <w:pStyle w:val="ListBullet"/>
      </w:pPr>
      <w:r/>
      <w:r>
        <w:rPr>
          <w:b/>
        </w:rPr>
        <w:t>Histaminolibération</w:t>
      </w:r>
      <w:r>
        <w:t xml:space="preserve"> : 5-30 % des patients (variable selon la dose et la vitesse d'injection). Signes : flush (érythème cervical et thoracique), hypotension (par vasodilatation systémique), tachycardie réflexe, plus rarement bronchospasme (10 % des patients asthmatiques). Prévention : administration lente (60 secondes), dilution dans 10 mL de NaCl 0,9 %, doses &lt; 0,5 mg/kg en bolus, surveillance ECG et tension artérielle. Traitement : remplissage vasculaire (cristalloïdes 10-20 mL/kg), éphédrine 5-10 mg IV si hypotension persistante, antihistaminiques (diphénhydramine 25-50 mg IV). En cas de bronchospasme : salbutamol 5 mg nébulisé, adrénaline IV (10-100 µg) en cas de sévérité. Le cisatracurium (non disponible en Algérie) est dépourvu de cet effet.</w:t>
      </w:r>
    </w:p>
    <w:p>
      <w:r/>
      <w:r>
        <w:rPr>
          <w:b/>
        </w:rPr>
        <w:t>Effets indésirables moins fréquents (1-10 %)</w:t>
      </w:r>
      <w:r>
        <w:t xml:space="preserve"> :</w:t>
      </w:r>
    </w:p>
    <w:p>
      <w:pPr>
        <w:pStyle w:val="ListBullet"/>
      </w:pPr>
      <w:r/>
      <w:r>
        <w:rPr>
          <w:b/>
        </w:rPr>
        <w:t>Bradycardie</w:t>
      </w:r>
      <w:r>
        <w:t xml:space="preserve"> : rare, par effet direct sur les récepteurs muscariniques cardiaques (atropine 0,5-1 mg IV).</w:t>
      </w:r>
    </w:p>
    <w:p>
      <w:pPr>
        <w:pStyle w:val="ListBullet"/>
      </w:pPr>
      <w:r/>
      <w:r>
        <w:rPr>
          <w:b/>
        </w:rPr>
        <w:t>Bronchospasme</w:t>
      </w:r>
      <w:r>
        <w:t xml:space="preserve"> : en cas d'histaminolibération massive, en particulier chez les asthmatiques.</w:t>
      </w:r>
    </w:p>
    <w:p>
      <w:r/>
      <w:r>
        <w:rPr>
          <w:b/>
        </w:rPr>
        <w:t>Effets indésirables rares (&lt; 1 %)</w:t>
      </w:r>
      <w:r>
        <w:t xml:space="preserve"> :</w:t>
      </w:r>
    </w:p>
    <w:p>
      <w:pPr>
        <w:pStyle w:val="ListBullet"/>
      </w:pPr>
      <w:r/>
      <w:r>
        <w:rPr>
          <w:b/>
        </w:rPr>
        <w:t>Anaphylaxie</w:t>
      </w:r>
      <w:r>
        <w:t xml:space="preserve"> : 1/10 000 à 1/20 000 anesthésies. Mécanisme : IgE médié. Signes : hypotension sévère, bronchospasme, érythème, urticaire, angiœdème, collapsus cardiovasculaire. Mortalité : 5 %. Prise en charge : arrêt de l'atracurium, démarrage du protocole anaphylaxie (adrénaline IV, remplissage, antihistaminiques, corticoïdes, bronchodilatateurs). L'atracurium a une incidence d'anaphylaxie légèrement supérieure à celle du rocuronium et du vécuronium, en raison de la présence des deux isomères trans dans le mélange racémique. Le cisatracurium a une incidence d'anaphylaxie plus faible.</w:t>
      </w:r>
    </w:p>
    <w:p>
      <w:pPr>
        <w:pStyle w:val="ListBullet"/>
      </w:pPr>
      <w:r/>
      <w:r>
        <w:rPr>
          <w:b/>
        </w:rPr>
        <w:t>Convulsions par accumulation de laudanosine</w:t>
      </w:r>
      <w:r>
        <w:t xml:space="preserve"> : non documentées cliniquement, mais prudence en cas de perfusion prolongée &gt; 48-72 heures en réanimation.</w:t>
      </w:r>
    </w:p>
    <w:p>
      <w:pPr>
        <w:pStyle w:val="ListBullet"/>
      </w:pPr>
      <w:r/>
      <w:r>
        <w:rPr>
          <w:b/>
        </w:rPr>
        <w:t>Rash cutané</w:t>
      </w:r>
      <w:r>
        <w:t xml:space="preserve"> : 1-5 %, par histaminolibération locale.</w:t>
      </w:r>
    </w:p>
    <w:p>
      <w:r/>
      <w:r>
        <w:rPr>
          <w:b/>
        </w:rPr>
        <w:t>Effets indésirables spécifiques de l'antagonisation</w:t>
      </w:r>
      <w:r>
        <w:t xml:space="preserve"> :</w:t>
      </w:r>
    </w:p>
    <w:p>
      <w:pPr>
        <w:pStyle w:val="ListBullet"/>
      </w:pPr>
      <w:r/>
      <w:r>
        <w:rPr>
          <w:b/>
        </w:rPr>
        <w:t>Néostigmine-atropine</w:t>
      </w:r>
      <w:r>
        <w:t xml:space="preserve"> : bradycardie, hypersécrétion bronchique, bronchospasme, augmentation du péristaltisme, miosis. Prévention : atropine ou glycopyrrolate systématiquement associé.</w:t>
      </w:r>
    </w:p>
    <w:p>
      <w:pPr>
        <w:pStyle w:val="Heading4"/>
      </w:pPr>
      <w:r>
        <w:t>182.13.1.8 Interactions médicamenteuses</w:t>
      </w:r>
    </w:p>
    <w:p>
      <w:r/>
      <w:r>
        <w:rPr>
          <w:b/>
        </w:rPr>
        <w:t>Interactions pharmacodynamiques</w:t>
      </w:r>
      <w:r>
        <w:t xml:space="preserve"> :</w:t>
      </w:r>
    </w:p>
    <w:p>
      <w:pPr>
        <w:pStyle w:val="ListBullet"/>
      </w:pPr>
      <w:r/>
      <w:r>
        <w:rPr>
          <w:b/>
        </w:rPr>
        <w:t>Autres curares non dépolarisants</w:t>
      </w:r>
      <w:r>
        <w:t xml:space="preserve"> : effet additif ou synergique.</w:t>
      </w:r>
    </w:p>
    <w:p>
      <w:pPr>
        <w:pStyle w:val="ListBullet"/>
      </w:pPr>
      <w:r/>
      <w:r>
        <w:rPr>
          <w:b/>
        </w:rPr>
        <w:t>Succinylcholine</w:t>
      </w:r>
      <w:r>
        <w:t xml:space="preserve"> : potentialisation du bloc.</w:t>
      </w:r>
    </w:p>
    <w:p>
      <w:pPr>
        <w:pStyle w:val="ListBullet"/>
      </w:pPr>
      <w:r/>
      <w:r>
        <w:rPr>
          <w:b/>
        </w:rPr>
        <w:t>Aminoglycosides</w:t>
      </w:r>
      <w:r>
        <w:t xml:space="preserve"> : potentialisation du bloc.</w:t>
      </w:r>
    </w:p>
    <w:p>
      <w:pPr>
        <w:pStyle w:val="ListBullet"/>
      </w:pPr>
      <w:r/>
      <w:r>
        <w:rPr>
          <w:b/>
        </w:rPr>
        <w:t>Polymyxines</w:t>
      </w:r>
      <w:r>
        <w:t xml:space="preserve"> : potentialisation du bloc, parfois réfractaire à la néostigmine.</w:t>
      </w:r>
    </w:p>
    <w:p>
      <w:pPr>
        <w:pStyle w:val="ListBullet"/>
      </w:pPr>
      <w:r/>
      <w:r>
        <w:rPr>
          <w:b/>
        </w:rPr>
        <w:t>Clindamycine, linézolide</w:t>
      </w:r>
      <w:r>
        <w:t xml:space="preserve"> : potentialisation modeste.</w:t>
      </w:r>
    </w:p>
    <w:p>
      <w:pPr>
        <w:pStyle w:val="ListBullet"/>
      </w:pPr>
      <w:r/>
      <w:r>
        <w:rPr>
          <w:b/>
        </w:rPr>
        <w:t>Magnésium IV</w:t>
      </w:r>
      <w:r>
        <w:t xml:space="preserve"> (éclampsie) : potentialisation importante, réduire la dose d'atracurium de 30-50 %.</w:t>
      </w:r>
    </w:p>
    <w:p>
      <w:pPr>
        <w:pStyle w:val="ListBullet"/>
      </w:pPr>
      <w:r/>
      <w:r>
        <w:rPr>
          <w:b/>
        </w:rPr>
        <w:t>Calcium IV</w:t>
      </w:r>
      <w:r>
        <w:t xml:space="preserve"> : antagonisation modeste.</w:t>
      </w:r>
    </w:p>
    <w:p>
      <w:pPr>
        <w:pStyle w:val="ListBullet"/>
      </w:pPr>
      <w:r/>
      <w:r>
        <w:rPr>
          <w:b/>
        </w:rPr>
        <w:t>Corticostéroïdes</w:t>
      </w:r>
      <w:r>
        <w:t xml:space="preserve"> (chroniques) : potentialisation, myopathie de réanimation.</w:t>
      </w:r>
    </w:p>
    <w:p>
      <w:pPr>
        <w:pStyle w:val="ListBullet"/>
      </w:pPr>
      <w:r/>
      <w:r>
        <w:rPr>
          <w:b/>
        </w:rPr>
        <w:t>Antiépileptiques chroniques</w:t>
      </w:r>
      <w:r>
        <w:t xml:space="preserve"> : résistance possible.</w:t>
      </w:r>
    </w:p>
    <w:p>
      <w:pPr>
        <w:pStyle w:val="ListBullet"/>
      </w:pPr>
      <w:r/>
      <w:r>
        <w:rPr>
          <w:b/>
        </w:rPr>
        <w:t>Anesthésiques halogénés</w:t>
      </w:r>
      <w:r>
        <w:t xml:space="preserve"> (isoflurane, sévoflurane, desflurane) : potentialisation du bloc, réduction des doses d'atracurium de 20-30 %.</w:t>
      </w:r>
    </w:p>
    <w:p>
      <w:pPr>
        <w:pStyle w:val="ListBullet"/>
      </w:pPr>
      <w:r/>
      <w:r>
        <w:rPr>
          <w:b/>
        </w:rPr>
        <w:t>Propofol, étomidate, cétamine</w:t>
      </w:r>
      <w:r>
        <w:t xml:space="preserve"> : pas d'interaction cliniquement significative.</w:t>
      </w:r>
    </w:p>
    <w:p>
      <w:r/>
      <w:r>
        <w:rPr>
          <w:b/>
        </w:rPr>
        <w:t>Interactions pharmacocinétiques</w:t>
      </w:r>
      <w:r>
        <w:t xml:space="preserve"> :</w:t>
      </w:r>
    </w:p>
    <w:p>
      <w:pPr>
        <w:pStyle w:val="ListBullet"/>
      </w:pPr>
      <w:r/>
      <w:r>
        <w:rPr>
          <w:b/>
        </w:rPr>
        <w:t>Inhibiteurs des butyrylcholinestérases</w:t>
      </w:r>
      <w:r>
        <w:t xml:space="preserve"> (néostigmine, pyridostigmine, echothiophate) : ralentissement de l'hydrolyse par les pseudocholinestérases plasmatiques, prolongation de la durée d'action. La dégradation Hofmann compense partiellement.</w:t>
      </w:r>
    </w:p>
    <w:p>
      <w:pPr>
        <w:pStyle w:val="ListBullet"/>
      </w:pPr>
      <w:r/>
      <w:r>
        <w:rPr>
          <w:b/>
        </w:rPr>
        <w:t>Déficit génétique en butyrylcholinestérases</w:t>
      </w:r>
      <w:r>
        <w:t xml:space="preserve"> (1/2500) : prolongation de la demi-vie, mais la dégradation Hofmann compense.</w:t>
      </w:r>
    </w:p>
    <w:p>
      <w:pPr>
        <w:pStyle w:val="ListBullet"/>
      </w:pPr>
      <w:r/>
      <w:r>
        <w:rPr>
          <w:b/>
        </w:rPr>
        <w:t>Inhibiteurs du CYP3A4</w:t>
      </w:r>
      <w:r>
        <w:t xml:space="preserve"> : pas d'interaction cliniquement significative (l'atracurium étant principalement dégradé par Hofmann et les estérases plasmatiques).</w:t>
      </w:r>
    </w:p>
    <w:p>
      <w:pPr>
        <w:pStyle w:val="ListBullet"/>
      </w:pPr>
      <w:r/>
      <w:r>
        <w:rPr>
          <w:b/>
        </w:rPr>
        <w:t>Inducteurs du CYP3A4</w:t>
      </w:r>
      <w:r>
        <w:t xml:space="preserve"> : pas d'interaction significative.</w:t>
      </w:r>
    </w:p>
    <w:p>
      <w:r/>
      <w:r>
        <w:rPr>
          <w:b/>
        </w:rPr>
        <w:t>Incompatibilités physico-chimiques</w:t>
      </w:r>
      <w:r>
        <w:t xml:space="preserve"> :</w:t>
      </w:r>
    </w:p>
    <w:p>
      <w:pPr>
        <w:pStyle w:val="ListBullet"/>
      </w:pPr>
      <w:r>
        <w:t>L'atracurium précipite en solution alcaline (pH &gt; 7).</w:t>
      </w:r>
    </w:p>
    <w:p>
      <w:pPr>
        <w:pStyle w:val="ListBullet"/>
      </w:pPr>
      <w:r>
        <w:t>Compatible avec le NaCl 0,9 %, le G5 %.</w:t>
      </w:r>
    </w:p>
    <w:p>
      <w:pPr>
        <w:pStyle w:val="ListBullet"/>
      </w:pPr>
      <w:r>
        <w:t>Incompatible avec le thiopental (précipitation immédiate), la kéthamine (précipitation possible), le sufentanil à forte concentration.</w:t>
      </w:r>
    </w:p>
    <w:p>
      <w:pPr>
        <w:pStyle w:val="ListBullet"/>
      </w:pPr>
      <w:r>
        <w:t>Ne pas mélanger avec d'autres médicaments dans la même seringue.</w:t>
      </w:r>
    </w:p>
    <w:p>
      <w:pPr>
        <w:pStyle w:val="Heading4"/>
      </w:pPr>
      <w:r>
        <w:t>182.13.1.9 Grossesse, allaitement et CRAT</w:t>
      </w:r>
    </w:p>
    <w:p>
      <w:r/>
      <w:r>
        <w:rPr>
          <w:b/>
        </w:rPr>
        <w:t>Grossesse</w:t>
      </w:r>
      <w:r>
        <w:t xml:space="preserve"> :</w:t>
      </w:r>
    </w:p>
    <w:p>
      <w:pPr>
        <w:pStyle w:val="ListBullet"/>
      </w:pPr>
      <w:r>
        <w:t>L'atracurium est « utilisable pendant la grossesse et la césarienne » selon le CRAT, en dose unique pour l'induction anesthésique. La diffusion transplacentaire est faible (&lt; 10 %).</w:t>
      </w:r>
    </w:p>
    <w:p>
      <w:pPr>
        <w:pStyle w:val="ListBullet"/>
      </w:pPr>
      <w:r>
        <w:t>En césarienne programmée : préférer la rachianesthésie à la bupivacaïne.</w:t>
      </w:r>
    </w:p>
    <w:p>
      <w:pPr>
        <w:pStyle w:val="ListBullet"/>
      </w:pPr>
      <w:r>
        <w:t>En césarienne en urgence : induction en séquence rapide avec propofol + atracurium 0,4-0,5 mg/kg IV (administration lente pour minimiser l'histaminolibération, en raison de la sensibilité du nouveau-né à l'hypotension maternelle).</w:t>
      </w:r>
    </w:p>
    <w:p>
      <w:pPr>
        <w:pStyle w:val="ListBullet"/>
      </w:pPr>
      <w:r>
        <w:t>En cas de doses répétées : surveillance prolongée du nouveau-né.</w:t>
      </w:r>
    </w:p>
    <w:p>
      <w:r/>
      <w:r>
        <w:rPr>
          <w:b/>
        </w:rPr>
        <w:t>Allaitement</w:t>
      </w:r>
      <w:r>
        <w:t xml:space="preserve"> :</w:t>
      </w:r>
    </w:p>
    <w:p>
      <w:pPr>
        <w:pStyle w:val="ListBullet"/>
      </w:pPr>
      <w:r>
        <w:t>L'atracurium passe dans le lait maternel en quantité négligeable.</w:t>
      </w:r>
    </w:p>
    <w:p>
      <w:pPr>
        <w:pStyle w:val="ListBullet"/>
      </w:pPr>
      <w:r>
        <w:t>Compatible avec l'allaitement selon le CRAT.</w:t>
      </w:r>
    </w:p>
    <w:p>
      <w:r/>
      <w:r>
        <w:rPr>
          <w:b/>
        </w:rPr>
        <w:t>CRAT</w:t>
      </w:r>
      <w:r>
        <w:t xml:space="preserve"> : atracurium classé « utilisable pendant la grossesse et la césarienne en dose unique. Compatible avec l'allaitement ».</w:t>
      </w:r>
    </w:p>
    <w:p>
      <w:pPr>
        <w:pStyle w:val="Heading4"/>
      </w:pPr>
      <w:r>
        <w:t>182.13.1.10 Formes galéniques disponibles</w:t>
      </w:r>
    </w:p>
    <w:p>
      <w:pPr>
        <w:pStyle w:val="ListBullet"/>
      </w:pPr>
      <w:r/>
      <w:r>
        <w:rPr>
          <w:b/>
        </w:rPr>
        <w:t>Solution injectable IV à 10 mg/mL</w:t>
      </w:r>
      <w:r>
        <w:t xml:space="preserve"> en ampoules ou flacons de 5 mL (50 mg par flacon) :</w:t>
      </w:r>
    </w:p>
    <w:p>
      <w:pPr>
        <w:pStyle w:val="ListBullet"/>
      </w:pPr>
      <w:r>
        <w:t>Atacure (Hikma Pharma Algeria), B/5 ampoules de 5 mL.</w:t>
      </w:r>
    </w:p>
    <w:p>
      <w:pPr>
        <w:pStyle w:val="ListBullet"/>
      </w:pPr>
      <w:r>
        <w:t>Retalex (El Kendi Industrie du Médicament), B/5 flacons de 5 mL.</w:t>
      </w:r>
    </w:p>
    <w:p>
      <w:pPr>
        <w:pStyle w:val="ListBullet"/>
      </w:pPr>
      <w:r>
        <w:t>Tracrium (Glaxo Wellcome), B/10 — retirée.</w:t>
      </w:r>
    </w:p>
    <w:p>
      <w:pPr>
        <w:pStyle w:val="ListBullet"/>
      </w:pPr>
      <w:r>
        <w:t>Tablock (Lemery), B/10 flacons — retirée.</w:t>
      </w:r>
    </w:p>
    <w:p>
      <w:pPr>
        <w:pStyle w:val="ListBullet"/>
      </w:pPr>
      <w:r>
        <w:t>Concentration : 10 mg/mL (50 mg/5 mL).</w:t>
      </w:r>
    </w:p>
    <w:p>
      <w:pPr>
        <w:pStyle w:val="ListBullet"/>
      </w:pPr>
      <w:r>
        <w:t>Présentation : ampoule ou flacon en verre incolore avec bouchon en caoutchouc bromobutyl.</w:t>
      </w:r>
    </w:p>
    <w:p>
      <w:r/>
      <w:r>
        <w:rPr>
          <w:b/>
        </w:rPr>
        <w:t>Conservation</w:t>
      </w:r>
      <w:r>
        <w:t xml:space="preserve"> : entre 2 et 8 °C (au réfrigérateur), à l'abri de la lumière. Ne pas congeler. Conservation en flacon fermé. Durée de validité : 3 ans. Après ouverture : utiliser immédiatement.</w:t>
      </w:r>
    </w:p>
    <w:p>
      <w:r/>
      <w:r>
        <w:rPr>
          <w:b/>
        </w:rPr>
        <w:t>Stabilité après dilution</w:t>
      </w:r>
      <w:r>
        <w:t xml:space="preserve"> :</w:t>
      </w:r>
    </w:p>
    <w:p>
      <w:pPr>
        <w:pStyle w:val="ListBullet"/>
      </w:pPr>
      <w:r>
        <w:t>Dans NaCl 0,9 % : stable 24 heures à 4 °C, 8 heures à température ambiante.</w:t>
      </w:r>
    </w:p>
    <w:p>
      <w:pPr>
        <w:pStyle w:val="ListBullet"/>
      </w:pPr>
      <w:r>
        <w:t>Dans G5 % : stable 24 heures à 4 °C.</w:t>
      </w:r>
    </w:p>
    <w:p>
      <w:pPr>
        <w:pStyle w:val="ListBullet"/>
      </w:pPr>
      <w:r>
        <w:t>La dégradation Hofmann se poursuit en solution diluée (à 4 °C, le ralentissement est important mais pas nul).</w:t>
      </w:r>
    </w:p>
    <w:p>
      <w:pPr>
        <w:pStyle w:val="ListBullet"/>
      </w:pPr>
      <w:r>
        <w:t>Préparation des seringues pour perfusion continue : diluer 200 mg (20 mL) dans 30 mL de NaCl 0,9 % (concentration finale 4 mg/mL), stable 24 heures à 4 °C, 8 heures à température ambiante.</w:t>
      </w:r>
    </w:p>
    <w:p>
      <w:r/>
      <w:r>
        <w:rPr>
          <w:b/>
        </w:rPr>
        <w:t>Particularités algériennes</w:t>
      </w:r>
      <w:r>
        <w:t xml:space="preserve"> :</w:t>
      </w:r>
    </w:p>
    <w:p>
      <w:pPr>
        <w:pStyle w:val="ListBullet"/>
      </w:pPr>
      <w:r>
        <w:t>Le marché algérien de l'atracurium est partagé entre Atacure (Hikma Pharma Algeria) et Retalex (El Kendi, princeps national).</w:t>
      </w:r>
    </w:p>
    <w:p>
      <w:pPr>
        <w:pStyle w:val="ListBullet"/>
      </w:pPr>
      <w:r>
        <w:t>Le cisatracurium (Nimbex) n'est PAS disponible en Algérie, ce qui impose la prudence posologique de l'atracurium (administration lente, dilution, doses &lt; 0,5 mg/kg en bolus).</w:t>
      </w:r>
    </w:p>
    <w:p>
      <w:pPr>
        <w:pStyle w:val="ListBullet"/>
      </w:pPr>
      <w:r>
        <w:t>Le coût d'un flacon de 50 mg est d'environ 250-400 DA.</w:t>
      </w:r>
    </w:p>
    <w:p>
      <w:pPr>
        <w:pStyle w:val="ListBullet"/>
      </w:pPr>
      <w:r>
        <w:t>Conservation au réfrigérateur obligatoire (2-8 °C), chaîne du froid stricte.</w:t>
      </w:r>
    </w:p>
    <w:p>
      <w:pPr>
        <w:pStyle w:val="ListBullet"/>
      </w:pPr>
      <w:r>
        <w:t>La dégradation Hofmann à température ambiante impose l'utilisation rapide après dilution.</w:t>
      </w:r>
    </w:p>
    <w:p>
      <w:pPr>
        <w:pStyle w:val="Heading4"/>
      </w:pPr>
      <w:r>
        <w:t>182.13.1.11 Conseils au patient</w:t>
      </w:r>
    </w:p>
    <w:p>
      <w:r/>
      <w:r>
        <w:rPr>
          <w:b/>
        </w:rPr>
        <w:t>Avant l'anesthésie</w:t>
      </w:r>
      <w:r>
        <w:t xml:space="preserve"> :</w:t>
      </w:r>
    </w:p>
    <w:p>
      <w:pPr>
        <w:pStyle w:val="ListBullet"/>
      </w:pPr>
      <w:r>
        <w:t>Informer le patient de la nécessité d'une curarisation pour l'intervention chirurgicale, du mécanisme (paralysie musculaire transitoire), et de la récupération progressive en SSPI.</w:t>
      </w:r>
    </w:p>
    <w:p>
      <w:pPr>
        <w:pStyle w:val="ListBullet"/>
      </w:pPr>
      <w:r>
        <w:t>Signaler les antécédents : allergie à un curare, asthme (risque accru d'histaminolibération), myopathie, hyperkaliémie, insuffisance hépatique ou rénale, traitement en cours (aminoglycosides, polymyxines, magnésium).</w:t>
      </w:r>
    </w:p>
    <w:p>
      <w:pPr>
        <w:pStyle w:val="ListBullet"/>
      </w:pPr>
      <w:r>
        <w:t>Jeûne préopératoire : 6 heures pour les aliments solides et le lait, 2 heures pour les liquides clairs.</w:t>
      </w:r>
    </w:p>
    <w:p>
      <w:pPr>
        <w:pStyle w:val="ListBullet"/>
      </w:pPr>
      <w:r>
        <w:t>Information sur le risque d'anaphylaxie et de curarisation résiduelle.</w:t>
      </w:r>
    </w:p>
    <w:p>
      <w:r/>
      <w:r>
        <w:rPr>
          <w:b/>
        </w:rPr>
        <w:t>Pendant l'anesthésie</w:t>
      </w:r>
      <w:r>
        <w:t xml:space="preserve"> :</w:t>
      </w:r>
    </w:p>
    <w:p>
      <w:pPr>
        <w:pStyle w:val="ListBullet"/>
      </w:pPr>
      <w:r>
        <w:t>Le patient est inconscient sous anesthésie générale.</w:t>
      </w:r>
    </w:p>
    <w:p>
      <w:pPr>
        <w:pStyle w:val="ListBullet"/>
      </w:pPr>
      <w:r>
        <w:t>Ventilation mécanique pendant la curarisation.</w:t>
      </w:r>
    </w:p>
    <w:p>
      <w:pPr>
        <w:pStyle w:val="ListBullet"/>
      </w:pPr>
      <w:r>
        <w:t>Monitorage ECG, SpO₂, capnographie, pression artérielle, monitorage TOF.</w:t>
      </w:r>
    </w:p>
    <w:p>
      <w:pPr>
        <w:pStyle w:val="ListBullet"/>
      </w:pPr>
      <w:r>
        <w:t>Surveillance tension artérielle renforcée pendant les 5 minutes suivant l'injection (risque d'hypotension par histaminolibération).</w:t>
      </w:r>
    </w:p>
    <w:p>
      <w:r/>
      <w:r>
        <w:rPr>
          <w:b/>
        </w:rPr>
        <w:t>En salle de réveil (SSPI)</w:t>
      </w:r>
      <w:r>
        <w:t xml:space="preserve"> :</w:t>
      </w:r>
    </w:p>
    <w:p>
      <w:pPr>
        <w:pStyle w:val="ListBullet"/>
      </w:pPr>
      <w:r>
        <w:t>Surveillance : SpO₂, fréquence respiratoire, capacité à soutenir la tête pendant 5 secondes, pression inspiratoire maximale, reflexes protecteurs des voies aériennes.</w:t>
      </w:r>
    </w:p>
    <w:p>
      <w:pPr>
        <w:pStyle w:val="ListBullet"/>
      </w:pPr>
      <w:r>
        <w:t>Sortie autorisée après : TOF ratio &gt; 0,9, ou cliniquement : patient éveillé, soutient la tête 5 secondes, pression inspiratoire &gt; -50 cmH₂O, SpO₂ &gt; 95 % à l'air ambiant.</w:t>
      </w:r>
    </w:p>
    <w:p>
      <w:r/>
      <w:r>
        <w:rPr>
          <w:b/>
        </w:rPr>
        <w:t>Après l'anesthésie</w:t>
      </w:r>
      <w:r>
        <w:t xml:space="preserve"> :</w:t>
      </w:r>
    </w:p>
    <w:p>
      <w:pPr>
        <w:pStyle w:val="ListBullet"/>
      </w:pPr>
      <w:r>
        <w:t>Surveillance à domicile pendant 24 heures.</w:t>
      </w:r>
    </w:p>
    <w:p>
      <w:pPr>
        <w:pStyle w:val="ListBullet"/>
      </w:pPr>
      <w:r>
        <w:t>En cas de gêne respiratoire, faiblesse musculaire persistante : consulter en urgence.</w:t>
      </w:r>
    </w:p>
    <w:p>
      <w:pPr>
        <w:pStyle w:val="Heading4"/>
      </w:pPr>
      <w:r>
        <w:t>182.13.1.12 Pièges au comptoir — Règles d'or</w:t>
      </w:r>
    </w:p>
    <w:p>
      <w:pPr>
        <w:pStyle w:val="ListNumber"/>
      </w:pPr>
      <w:r/>
      <w:r>
        <w:rPr>
          <w:b/>
        </w:rPr>
        <w:t>Respecter les doses maximales</w:t>
      </w:r>
      <w:r>
        <w:t xml:space="preserve"> : 0,4-0,5 mg/kg pour l'induction (ne pas dépasser 0,6 mg/kg en bolus en raison du risque d'histaminolibération), 0,1-0,15 mg/kg pour les bolus d'entretien, 5-10 µg/kg/min pour la perfusion continue.</w:t>
      </w:r>
    </w:p>
    <w:p>
      <w:pPr>
        <w:pStyle w:val="ListNumber"/>
      </w:pPr>
      <w:r/>
      <w:r>
        <w:rPr>
          <w:b/>
        </w:rPr>
        <w:t>Administration lente obligatoire</w:t>
      </w:r>
      <w:r>
        <w:t xml:space="preserve"> : injection en 60 secondes minimum pour minimiser l'histaminolibération. Dilution dans 10 mL de NaCl 0,9 % recommandée pour les doses &gt; 0,3 mg/kg.</w:t>
      </w:r>
    </w:p>
    <w:p>
      <w:pPr>
        <w:pStyle w:val="ListNumber"/>
      </w:pPr>
      <w:r/>
      <w:r>
        <w:rPr>
          <w:b/>
        </w:rPr>
        <w:t>Surveillance tension artérielle renforcée</w:t>
      </w:r>
      <w:r>
        <w:t xml:space="preserve"> pendant les 5 minutes suivant l'injection (risque d'hypotension par histaminolibération).</w:t>
      </w:r>
    </w:p>
    <w:p>
      <w:pPr>
        <w:pStyle w:val="ListNumber"/>
      </w:pPr>
      <w:r/>
      <w:r>
        <w:rPr>
          <w:b/>
        </w:rPr>
        <w:t>Monitorage TOF obligatoire</w:t>
      </w:r>
      <w:r>
        <w:t xml:space="preserve"> : tout patient sous atracurium doit avoir un monitorage TOF. Cible pour extubation : TOF ratio &gt; 0,9.</w:t>
      </w:r>
    </w:p>
    <w:p>
      <w:pPr>
        <w:pStyle w:val="ListNumber"/>
      </w:pPr>
      <w:r/>
      <w:r>
        <w:rPr>
          <w:b/>
        </w:rPr>
        <w:t>Antagonisation systématique par néostigmine-atropine</w:t>
      </w:r>
      <w:r>
        <w:t xml:space="preserve"> : tout patient recevant de l'atracurium doit être antagonisé avant l'extubation. Le sugammadex n'est PAS actif sur l'atracurium.</w:t>
      </w:r>
    </w:p>
    <w:p>
      <w:pPr>
        <w:pStyle w:val="ListNumber"/>
      </w:pPr>
      <w:r/>
      <w:r>
        <w:rPr>
          <w:b/>
        </w:rPr>
        <w:t>Ne pas antagoniser un bloc profond par néostigmine</w:t>
      </w:r>
      <w:r>
        <w:t xml:space="preserve"> : si TOF = 0 ou PTC &lt; 2, la néostigmine est inefficace. Attendre la récupération spontanée (la dégradation Hofmann permet une récupération prévisible en 30-60 minutes).</w:t>
      </w:r>
    </w:p>
    <w:p>
      <w:pPr>
        <w:pStyle w:val="ListNumber"/>
      </w:pPr>
      <w:r/>
      <w:r>
        <w:rPr>
          <w:b/>
        </w:rPr>
        <w:t>Insuffisance hépatique sévère</w:t>
      </w:r>
      <w:r>
        <w:t xml:space="preserve"> : curare de choix (dégradation Hofmann indépendante), pas d'adaptation posologique.</w:t>
      </w:r>
    </w:p>
    <w:p>
      <w:pPr>
        <w:pStyle w:val="ListNumber"/>
      </w:pPr>
      <w:r/>
      <w:r>
        <w:rPr>
          <w:b/>
        </w:rPr>
        <w:t>Insuffisance rénale terminale</w:t>
      </w:r>
      <w:r>
        <w:t xml:space="preserve"> : curare de choix (pas d'accumulation de métabolites actifs), pas d'adaptation posologique stricte.</w:t>
      </w:r>
    </w:p>
    <w:p>
      <w:pPr>
        <w:pStyle w:val="ListNumber"/>
      </w:pPr>
      <w:r/>
      <w:r>
        <w:rPr>
          <w:b/>
        </w:rPr>
        <w:t>Hypothermie (33-34 °C)</w:t>
      </w:r>
      <w:r>
        <w:t xml:space="preserve"> : réduire de 20-30 % (ralentissement de la dégradation Hofmann).</w:t>
      </w:r>
    </w:p>
    <w:p>
      <w:pPr>
        <w:pStyle w:val="ListNumber"/>
      </w:pPr>
      <w:r/>
      <w:r>
        <w:rPr>
          <w:b/>
        </w:rPr>
        <w:t>Asthmatique</w:t>
      </w:r>
      <w:r>
        <w:t xml:space="preserve"> : prudence (risque de bronchospasme par histaminolibération), administrer très lentement, envisager le rocuronium ou le vécuronium en alternative si disponible.</w:t>
      </w:r>
    </w:p>
    <w:p>
      <w:pPr>
        <w:pStyle w:val="ListNumber"/>
      </w:pPr>
      <w:r/>
      <w:r>
        <w:rPr>
          <w:b/>
        </w:rPr>
        <w:t>Anaphylaxie</w:t>
      </w:r>
      <w:r>
        <w:t xml:space="preserve"> : en cas d'anaphylaxie peranesthésique, arrêter l'atracurium immédiatement, démarrer le protocole anaphylaxie (adrénaline IV, remplissage, antihistaminiques, corticoïdes, bronchodilatateurs). Le sugammadex n'est PAS efficace sur l'atracurium.</w:t>
      </w:r>
    </w:p>
    <w:p>
      <w:pPr>
        <w:pStyle w:val="ListNumber"/>
      </w:pPr>
      <w:r/>
      <w:r>
        <w:rPr>
          <w:b/>
        </w:rPr>
        <w:t>Perfusion prolongée en réanimation</w:t>
      </w:r>
      <w:r>
        <w:t xml:space="preserve"> : surveiller la neurologie (risque théorique de convulsions par accumulation de laudanosine), envisager le relais par le cisatracurium (si disponible) ou par le rocuronium/vécuronium après 48-72 heures.</w:t>
      </w:r>
    </w:p>
    <w:p>
      <w:pPr>
        <w:pStyle w:val="ListNumber"/>
      </w:pPr>
      <w:r/>
      <w:r>
        <w:rPr>
          <w:b/>
        </w:rPr>
        <w:t>Conservation</w:t>
      </w:r>
      <w:r>
        <w:t xml:space="preserve"> : entre 2 et 8 °C au réfrigérateur, à l'abri de la lumière. Ne pas congeler. Ne pas utiliser une solution trouble ou colorée (signe de dégradation Hofmann avancée).</w:t>
      </w:r>
    </w:p>
    <w:p>
      <w:pPr>
        <w:pStyle w:val="ListNumber"/>
      </w:pPr>
      <w:r/>
      <w:r>
        <w:rPr>
          <w:b/>
        </w:rPr>
        <w:t>Stabilité après dilution</w:t>
      </w:r>
      <w:r>
        <w:t xml:space="preserve"> : limiter à 24 heures à 4 °C, 8 heures à température ambiante (la dégradation Hofmann se poursuit en solution diluée).</w:t>
      </w:r>
    </w:p>
    <w:p>
      <w:pPr>
        <w:pStyle w:val="ListNumber"/>
      </w:pPr>
      <w:r/>
      <w:r>
        <w:rPr>
          <w:b/>
        </w:rPr>
        <w:t>Ne pas mélanger avec d'autres médicaments</w:t>
      </w:r>
      <w:r>
        <w:t xml:space="preserve"> dans la même seringue (incompatibilités physico-chimiques fréquentes, en particulier avec le thiopental et la kétamine).</w:t>
      </w:r>
    </w:p>
    <w:p>
      <w:pPr>
        <w:pStyle w:val="ListNumber"/>
      </w:pPr>
      <w:r/>
      <w:r>
        <w:rPr>
          <w:b/>
        </w:rPr>
        <w:t>Choix entre atracurium et rocuronium/vécuronium</w:t>
      </w:r>
      <w:r>
        <w:t xml:space="preserve"> :</w:t>
      </w:r>
    </w:p>
    <w:p>
      <w:pPr>
        <w:pStyle w:val="ListBullet"/>
      </w:pPr>
      <w:r>
        <w:t>Atracurium : curare de choix en insuffisance hépatique sévère, en insuffisance rénale terminale, en curarisation prolongée en réanimation chez le patient fragile, en cas d'indisponibilité du sugammadex.</w:t>
      </w:r>
    </w:p>
    <w:p>
      <w:pPr>
        <w:pStyle w:val="ListBullet"/>
      </w:pPr>
      <w:r>
        <w:t>Rocuronium : curare de choix pour l'induction en séquence rapide, en cas d'anaphylaxie peranesthésique si le sugammadex est disponible (4-16 mg/kg), chez le patient asthmatique (absence d'histaminolibération).</w:t>
      </w:r>
    </w:p>
    <w:p>
      <w:pPr>
        <w:pStyle w:val="ListBullet"/>
      </w:pPr>
      <w:r>
        <w:t>Vécuronium : curare de choix pour l'entretien en chirurgie cardiaque, en neurochirurgie, en cas de stabilité hémodynamique parfaite recherchée.</w:t>
      </w:r>
    </w:p>
    <w:p>
      <w:pPr>
        <w:pStyle w:val="ListNumber"/>
      </w:pPr>
      <w:r/>
      <w:r>
        <w:rPr>
          <w:b/>
        </w:rPr>
        <w:t>Indisponibilité du cisatracurium en Algérie</w:t>
      </w:r>
      <w:r>
        <w:t xml:space="preserve"> : ne pas oublier que le cisatracurium (Nimbex), isomère pur de l'atracurium dépourvu d'histaminolibération, n'est PAS disponible en Algérie. Cette lacune impose la prudence avec l'atracurium racémique et la préférence pour le rocuronium ou le vécuronium chez les patients hémodynamiquement fragiles ou asthmatiques.</w:t>
      </w:r>
    </w:p>
    <w:p>
      <w:pPr>
        <w:pStyle w:val="Heading2"/>
      </w:pPr>
      <w:r>
        <w:t>182.14 Tableau comparatif synthétique des anesthésiques locaux et curares disponibles en Algérie</w:t>
      </w:r>
    </w:p>
    <w:tbl>
      <w:tblPr>
        <w:tblStyle w:val="LightGrid-Accent1"/>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b/>
                <w:sz w:val="20"/>
              </w:rPr>
              <w:t>DCI</w:t>
            </w:r>
          </w:p>
        </w:tc>
        <w:tc>
          <w:tcPr>
            <w:tcW w:type="dxa" w:w="1169"/>
          </w:tcPr>
          <w:p>
            <w:r>
              <w:rPr>
                <w:b/>
                <w:sz w:val="20"/>
              </w:rPr>
              <w:t>Classe</w:t>
            </w:r>
          </w:p>
        </w:tc>
        <w:tc>
          <w:tcPr>
            <w:tcW w:type="dxa" w:w="1169"/>
          </w:tcPr>
          <w:p>
            <w:r>
              <w:rPr>
                <w:b/>
                <w:sz w:val="20"/>
              </w:rPr>
              <w:t>Délai d'action</w:t>
            </w:r>
          </w:p>
        </w:tc>
        <w:tc>
          <w:tcPr>
            <w:tcW w:type="dxa" w:w="1169"/>
          </w:tcPr>
          <w:p>
            <w:r>
              <w:rPr>
                <w:b/>
                <w:sz w:val="20"/>
              </w:rPr>
              <w:t>Durée d'action</w:t>
            </w:r>
          </w:p>
        </w:tc>
        <w:tc>
          <w:tcPr>
            <w:tcW w:type="dxa" w:w="1169"/>
          </w:tcPr>
          <w:p>
            <w:r>
              <w:rPr>
                <w:b/>
                <w:sz w:val="20"/>
              </w:rPr>
              <w:t>Dose maximale adulte</w:t>
            </w:r>
          </w:p>
        </w:tc>
        <w:tc>
          <w:tcPr>
            <w:tcW w:type="dxa" w:w="1169"/>
          </w:tcPr>
          <w:p>
            <w:r>
              <w:rPr>
                <w:b/>
                <w:sz w:val="20"/>
              </w:rPr>
              <w:t>Cardiotoxicité</w:t>
            </w:r>
          </w:p>
        </w:tc>
        <w:tc>
          <w:tcPr>
            <w:tcW w:type="dxa" w:w="1169"/>
          </w:tcPr>
          <w:p>
            <w:r>
              <w:rPr>
                <w:b/>
                <w:sz w:val="20"/>
              </w:rPr>
              <w:t>Antidote spécifique</w:t>
            </w:r>
          </w:p>
        </w:tc>
        <w:tc>
          <w:tcPr>
            <w:tcW w:type="dxa" w:w="1169"/>
          </w:tcPr>
          <w:p>
            <w:r>
              <w:rPr>
                <w:b/>
                <w:sz w:val="20"/>
              </w:rPr>
              <w:t>Présentation Algérie</w:t>
            </w:r>
          </w:p>
        </w:tc>
      </w:tr>
      <w:tr>
        <w:tc>
          <w:tcPr>
            <w:tcW w:type="dxa" w:w="1169"/>
          </w:tcPr>
          <w:p>
            <w:r>
              <w:rPr>
                <w:sz w:val="20"/>
              </w:rPr>
              <w:t>**Bupivacaïne**</w:t>
            </w:r>
          </w:p>
        </w:tc>
        <w:tc>
          <w:tcPr>
            <w:tcW w:type="dxa" w:w="1169"/>
          </w:tcPr>
          <w:p>
            <w:r>
              <w:rPr>
                <w:sz w:val="20"/>
              </w:rPr>
              <w:t>Amide longue durée</w:t>
            </w:r>
          </w:p>
        </w:tc>
        <w:tc>
          <w:tcPr>
            <w:tcW w:type="dxa" w:w="1169"/>
          </w:tcPr>
          <w:p>
            <w:r>
              <w:rPr>
                <w:sz w:val="20"/>
              </w:rPr>
              <w:t>5-25 min</w:t>
            </w:r>
          </w:p>
        </w:tc>
        <w:tc>
          <w:tcPr>
            <w:tcW w:type="dxa" w:w="1169"/>
          </w:tcPr>
          <w:p>
            <w:r>
              <w:rPr>
                <w:sz w:val="20"/>
              </w:rPr>
              <w:t>6-12 heures</w:t>
            </w:r>
          </w:p>
        </w:tc>
        <w:tc>
          <w:tcPr>
            <w:tcW w:type="dxa" w:w="1169"/>
          </w:tcPr>
          <w:p>
            <w:r>
              <w:rPr>
                <w:sz w:val="20"/>
              </w:rPr>
              <w:t>2-2,5 mg/kg (150-175 mg)</w:t>
            </w:r>
          </w:p>
        </w:tc>
        <w:tc>
          <w:tcPr>
            <w:tcW w:type="dxa" w:w="1169"/>
          </w:tcPr>
          <w:p>
            <w:r>
              <w:rPr>
                <w:sz w:val="20"/>
              </w:rPr>
              <w:t>**MAJEURE** (arrêt cardiaque réfractaire)</w:t>
            </w:r>
          </w:p>
        </w:tc>
        <w:tc>
          <w:tcPr>
            <w:tcW w:type="dxa" w:w="1169"/>
          </w:tcPr>
          <w:p>
            <w:r>
              <w:rPr>
                <w:sz w:val="20"/>
              </w:rPr>
              <w:t>**Lipid rescue** (Intralipide 20 %)</w:t>
            </w:r>
          </w:p>
        </w:tc>
        <w:tc>
          <w:tcPr>
            <w:tcW w:type="dxa" w:w="1169"/>
          </w:tcPr>
          <w:p>
            <w:r>
              <w:rPr>
                <w:sz w:val="20"/>
              </w:rPr>
              <w:t>Ampoules 0,5 % (5 mg/mL) — Bupivacaïne Razès</w:t>
            </w:r>
          </w:p>
        </w:tc>
      </w:tr>
      <w:tr>
        <w:tc>
          <w:tcPr>
            <w:tcW w:type="dxa" w:w="1169"/>
          </w:tcPr>
          <w:p>
            <w:r>
              <w:rPr>
                <w:sz w:val="20"/>
              </w:rPr>
              <w:t>**Mépivacaïne**</w:t>
            </w:r>
          </w:p>
        </w:tc>
        <w:tc>
          <w:tcPr>
            <w:tcW w:type="dxa" w:w="1169"/>
          </w:tcPr>
          <w:p>
            <w:r>
              <w:rPr>
                <w:sz w:val="20"/>
              </w:rPr>
              <w:t>Amide intermédiaire</w:t>
            </w:r>
          </w:p>
        </w:tc>
        <w:tc>
          <w:tcPr>
            <w:tcW w:type="dxa" w:w="1169"/>
          </w:tcPr>
          <w:p>
            <w:r>
              <w:rPr>
                <w:sz w:val="20"/>
              </w:rPr>
              <w:t>5-10 min</w:t>
            </w:r>
          </w:p>
        </w:tc>
        <w:tc>
          <w:tcPr>
            <w:tcW w:type="dxa" w:w="1169"/>
          </w:tcPr>
          <w:p>
            <w:r>
              <w:rPr>
                <w:sz w:val="20"/>
              </w:rPr>
              <w:t>1-3 heures</w:t>
            </w:r>
          </w:p>
        </w:tc>
        <w:tc>
          <w:tcPr>
            <w:tcW w:type="dxa" w:w="1169"/>
          </w:tcPr>
          <w:p>
            <w:r>
              <w:rPr>
                <w:sz w:val="20"/>
              </w:rPr>
              <w:t>6-7 mg/kg (400-500 mg)</w:t>
            </w:r>
          </w:p>
        </w:tc>
        <w:tc>
          <w:tcPr>
            <w:tcW w:type="dxa" w:w="1169"/>
          </w:tcPr>
          <w:p>
            <w:r>
              <w:rPr>
                <w:sz w:val="20"/>
              </w:rPr>
              <w:t>Modérée</w:t>
            </w:r>
          </w:p>
        </w:tc>
        <w:tc>
          <w:tcPr>
            <w:tcW w:type="dxa" w:w="1169"/>
          </w:tcPr>
          <w:p>
            <w:r>
              <w:rPr>
                <w:sz w:val="20"/>
              </w:rPr>
              <w:t>Lipid rescue</w:t>
            </w:r>
          </w:p>
        </w:tc>
        <w:tc>
          <w:tcPr>
            <w:tcW w:type="dxa" w:w="1169"/>
          </w:tcPr>
          <w:p>
            <w:r>
              <w:rPr>
                <w:sz w:val="20"/>
              </w:rPr>
              <w:t>Carpules 2 % adrénalinée ou 3 % sans adrénaline — Medicaine, Scandonest, Scandinibsa</w:t>
            </w:r>
          </w:p>
        </w:tc>
      </w:tr>
      <w:tr>
        <w:tc>
          <w:tcPr>
            <w:tcW w:type="dxa" w:w="1169"/>
          </w:tcPr>
          <w:p>
            <w:r>
              <w:rPr>
                <w:sz w:val="20"/>
              </w:rPr>
              <w:t>**Prilocaïne**</w:t>
            </w:r>
          </w:p>
        </w:tc>
        <w:tc>
          <w:tcPr>
            <w:tcW w:type="dxa" w:w="1169"/>
          </w:tcPr>
          <w:p>
            <w:r>
              <w:rPr>
                <w:sz w:val="20"/>
              </w:rPr>
              <w:t>Amide courte durée (crème EMLA)</w:t>
            </w:r>
          </w:p>
        </w:tc>
        <w:tc>
          <w:tcPr>
            <w:tcW w:type="dxa" w:w="1169"/>
          </w:tcPr>
          <w:p>
            <w:r>
              <w:rPr>
                <w:sz w:val="20"/>
              </w:rPr>
              <w:t>30-60 min (cutané)</w:t>
            </w:r>
          </w:p>
        </w:tc>
        <w:tc>
          <w:tcPr>
            <w:tcW w:type="dxa" w:w="1169"/>
          </w:tcPr>
          <w:p>
            <w:r>
              <w:rPr>
                <w:sz w:val="20"/>
              </w:rPr>
              <w:t>30-60 min</w:t>
            </w:r>
          </w:p>
        </w:tc>
        <w:tc>
          <w:tcPr>
            <w:tcW w:type="dxa" w:w="1169"/>
          </w:tcPr>
          <w:p>
            <w:r>
              <w:rPr>
                <w:sz w:val="20"/>
              </w:rPr>
              <w:t>8 mg/kg (injectable) ; 60 g (cutané)</w:t>
            </w:r>
          </w:p>
        </w:tc>
        <w:tc>
          <w:tcPr>
            <w:tcW w:type="dxa" w:w="1169"/>
          </w:tcPr>
          <w:p>
            <w:r>
              <w:rPr>
                <w:sz w:val="20"/>
              </w:rPr>
              <w:t>Faible</w:t>
            </w:r>
          </w:p>
        </w:tc>
        <w:tc>
          <w:tcPr>
            <w:tcW w:type="dxa" w:w="1169"/>
          </w:tcPr>
          <w:p>
            <w:r>
              <w:rPr>
                <w:sz w:val="20"/>
              </w:rPr>
              <w:t>Bleu de méthylène (méthémoglobinémie)</w:t>
            </w:r>
          </w:p>
        </w:tc>
        <w:tc>
          <w:tcPr>
            <w:tcW w:type="dxa" w:w="1169"/>
          </w:tcPr>
          <w:p>
            <w:r>
              <w:rPr>
                <w:sz w:val="20"/>
              </w:rPr>
              <w:t>Crème EMLA 5 % — Biomla, Neomla</w:t>
            </w:r>
          </w:p>
        </w:tc>
      </w:tr>
      <w:tr>
        <w:tc>
          <w:tcPr>
            <w:tcW w:type="dxa" w:w="1169"/>
          </w:tcPr>
          <w:p>
            <w:r>
              <w:rPr>
                <w:sz w:val="20"/>
              </w:rPr>
              <w:t>**Articaïne**</w:t>
            </w:r>
          </w:p>
        </w:tc>
        <w:tc>
          <w:tcPr>
            <w:tcW w:type="dxa" w:w="1169"/>
          </w:tcPr>
          <w:p>
            <w:r>
              <w:rPr>
                <w:sz w:val="20"/>
              </w:rPr>
              <w:t>Amide dentaire</w:t>
            </w:r>
          </w:p>
        </w:tc>
        <w:tc>
          <w:tcPr>
            <w:tcW w:type="dxa" w:w="1169"/>
          </w:tcPr>
          <w:p>
            <w:r>
              <w:rPr>
                <w:sz w:val="20"/>
              </w:rPr>
              <w:t>1-3 min</w:t>
            </w:r>
          </w:p>
        </w:tc>
        <w:tc>
          <w:tcPr>
            <w:tcW w:type="dxa" w:w="1169"/>
          </w:tcPr>
          <w:p>
            <w:r>
              <w:rPr>
                <w:sz w:val="20"/>
              </w:rPr>
              <w:t>60-90 min</w:t>
            </w:r>
          </w:p>
        </w:tc>
        <w:tc>
          <w:tcPr>
            <w:tcW w:type="dxa" w:w="1169"/>
          </w:tcPr>
          <w:p>
            <w:r>
              <w:rPr>
                <w:sz w:val="20"/>
              </w:rPr>
              <w:t>7 mg/kg (500 mg)</w:t>
            </w:r>
          </w:p>
        </w:tc>
        <w:tc>
          <w:tcPr>
            <w:tcW w:type="dxa" w:w="1169"/>
          </w:tcPr>
          <w:p>
            <w:r>
              <w:rPr>
                <w:sz w:val="20"/>
              </w:rPr>
              <w:t>Modérée</w:t>
            </w:r>
          </w:p>
        </w:tc>
        <w:tc>
          <w:tcPr>
            <w:tcW w:type="dxa" w:w="1169"/>
          </w:tcPr>
          <w:p>
            <w:r>
              <w:rPr>
                <w:sz w:val="20"/>
              </w:rPr>
              <w:t>Lipid rescue</w:t>
            </w:r>
          </w:p>
        </w:tc>
        <w:tc>
          <w:tcPr>
            <w:tcW w:type="dxa" w:w="1169"/>
          </w:tcPr>
          <w:p>
            <w:r>
              <w:rPr>
                <w:sz w:val="20"/>
              </w:rPr>
              <w:t>Carpules 4 % adrénalinée (1/200 000 ou 1/100 000) — Septanest (non renouvelable)</w:t>
            </w:r>
          </w:p>
        </w:tc>
      </w:tr>
      <w:tr>
        <w:tc>
          <w:tcPr>
            <w:tcW w:type="dxa" w:w="1169"/>
          </w:tcPr>
          <w:p>
            <w:r>
              <w:rPr>
                <w:sz w:val="20"/>
              </w:rPr>
              <w:t>**Rocuronium**</w:t>
            </w:r>
          </w:p>
        </w:tc>
        <w:tc>
          <w:tcPr>
            <w:tcW w:type="dxa" w:w="1169"/>
          </w:tcPr>
          <w:p>
            <w:r>
              <w:rPr>
                <w:sz w:val="20"/>
              </w:rPr>
              <w:t>Curare aminostéroïde</w:t>
            </w:r>
          </w:p>
        </w:tc>
        <w:tc>
          <w:tcPr>
            <w:tcW w:type="dxa" w:w="1169"/>
          </w:tcPr>
          <w:p>
            <w:r>
              <w:rPr>
                <w:sz w:val="20"/>
              </w:rPr>
              <w:t>60-90 s</w:t>
            </w:r>
          </w:p>
        </w:tc>
        <w:tc>
          <w:tcPr>
            <w:tcW w:type="dxa" w:w="1169"/>
          </w:tcPr>
          <w:p>
            <w:r>
              <w:rPr>
                <w:sz w:val="20"/>
              </w:rPr>
              <w:t>30-60 min</w:t>
            </w:r>
          </w:p>
        </w:tc>
        <w:tc>
          <w:tcPr>
            <w:tcW w:type="dxa" w:w="1169"/>
          </w:tcPr>
          <w:p>
            <w:r>
              <w:rPr>
                <w:sz w:val="20"/>
              </w:rPr>
              <w:t>1,2 mg/kg (induction RSI)</w:t>
            </w:r>
          </w:p>
        </w:tc>
        <w:tc>
          <w:tcPr>
            <w:tcW w:type="dxa" w:w="1169"/>
          </w:tcPr>
          <w:p>
            <w:r>
              <w:rPr>
                <w:sz w:val="20"/>
              </w:rPr>
              <w:t>Aucune (cardiostable)</w:t>
            </w:r>
          </w:p>
        </w:tc>
        <w:tc>
          <w:tcPr>
            <w:tcW w:type="dxa" w:w="1169"/>
          </w:tcPr>
          <w:p>
            <w:r>
              <w:rPr>
                <w:sz w:val="20"/>
              </w:rPr>
              <w:t>**Sugammadex** (2-16 mg/kg)</w:t>
            </w:r>
          </w:p>
        </w:tc>
        <w:tc>
          <w:tcPr>
            <w:tcW w:type="dxa" w:w="1169"/>
          </w:tcPr>
          <w:p>
            <w:r>
              <w:rPr>
                <w:sz w:val="20"/>
              </w:rPr>
              <w:t>Solution IV 10 mg/mL — Rimexa, Ronium</w:t>
            </w:r>
          </w:p>
        </w:tc>
      </w:tr>
      <w:tr>
        <w:tc>
          <w:tcPr>
            <w:tcW w:type="dxa" w:w="1169"/>
          </w:tcPr>
          <w:p>
            <w:r>
              <w:rPr>
                <w:sz w:val="20"/>
              </w:rPr>
              <w:t>**Vécuronium**</w:t>
            </w:r>
          </w:p>
        </w:tc>
        <w:tc>
          <w:tcPr>
            <w:tcW w:type="dxa" w:w="1169"/>
          </w:tcPr>
          <w:p>
            <w:r>
              <w:rPr>
                <w:sz w:val="20"/>
              </w:rPr>
              <w:t>Curare aminostéroïde</w:t>
            </w:r>
          </w:p>
        </w:tc>
        <w:tc>
          <w:tcPr>
            <w:tcW w:type="dxa" w:w="1169"/>
          </w:tcPr>
          <w:p>
            <w:r>
              <w:rPr>
                <w:sz w:val="20"/>
              </w:rPr>
              <w:t>90-120 s</w:t>
            </w:r>
          </w:p>
        </w:tc>
        <w:tc>
          <w:tcPr>
            <w:tcW w:type="dxa" w:w="1169"/>
          </w:tcPr>
          <w:p>
            <w:r>
              <w:rPr>
                <w:sz w:val="20"/>
              </w:rPr>
              <w:t>30-45 min</w:t>
            </w:r>
          </w:p>
        </w:tc>
        <w:tc>
          <w:tcPr>
            <w:tcW w:type="dxa" w:w="1169"/>
          </w:tcPr>
          <w:p>
            <w:r>
              <w:rPr>
                <w:sz w:val="20"/>
              </w:rPr>
              <w:t>0,15 mg/kg (induction)</w:t>
            </w:r>
          </w:p>
        </w:tc>
        <w:tc>
          <w:tcPr>
            <w:tcW w:type="dxa" w:w="1169"/>
          </w:tcPr>
          <w:p>
            <w:r>
              <w:rPr>
                <w:sz w:val="20"/>
              </w:rPr>
              <w:t>Aucune (cardiostable)</w:t>
            </w:r>
          </w:p>
        </w:tc>
        <w:tc>
          <w:tcPr>
            <w:tcW w:type="dxa" w:w="1169"/>
          </w:tcPr>
          <w:p>
            <w:r>
              <w:rPr>
                <w:sz w:val="20"/>
              </w:rPr>
              <w:t>**Sugammadex** (2-16 mg/kg)</w:t>
            </w:r>
          </w:p>
        </w:tc>
        <w:tc>
          <w:tcPr>
            <w:tcW w:type="dxa" w:w="1169"/>
          </w:tcPr>
          <w:p>
            <w:r>
              <w:rPr>
                <w:sz w:val="20"/>
              </w:rPr>
              <w:t>Lyophilisat 4 mg/flacon — Neovec, Vecuron</w:t>
            </w:r>
          </w:p>
        </w:tc>
      </w:tr>
      <w:tr>
        <w:tc>
          <w:tcPr>
            <w:tcW w:type="dxa" w:w="1169"/>
          </w:tcPr>
          <w:p>
            <w:r>
              <w:rPr>
                <w:sz w:val="20"/>
              </w:rPr>
              <w:t>**Atracurium**</w:t>
            </w:r>
          </w:p>
        </w:tc>
        <w:tc>
          <w:tcPr>
            <w:tcW w:type="dxa" w:w="1169"/>
          </w:tcPr>
          <w:p>
            <w:r>
              <w:rPr>
                <w:sz w:val="20"/>
              </w:rPr>
              <w:t>Curare benzylisoquinoléine</w:t>
            </w:r>
          </w:p>
        </w:tc>
        <w:tc>
          <w:tcPr>
            <w:tcW w:type="dxa" w:w="1169"/>
          </w:tcPr>
          <w:p>
            <w:r>
              <w:rPr>
                <w:sz w:val="20"/>
              </w:rPr>
              <w:t>90-120 s</w:t>
            </w:r>
          </w:p>
        </w:tc>
        <w:tc>
          <w:tcPr>
            <w:tcW w:type="dxa" w:w="1169"/>
          </w:tcPr>
          <w:p>
            <w:r>
              <w:rPr>
                <w:sz w:val="20"/>
              </w:rPr>
              <w:t>30-45 min</w:t>
            </w:r>
          </w:p>
        </w:tc>
        <w:tc>
          <w:tcPr>
            <w:tcW w:type="dxa" w:w="1169"/>
          </w:tcPr>
          <w:p>
            <w:r>
              <w:rPr>
                <w:sz w:val="20"/>
              </w:rPr>
              <w:t>0,6 mg/kg (induction)</w:t>
            </w:r>
          </w:p>
        </w:tc>
        <w:tc>
          <w:tcPr>
            <w:tcW w:type="dxa" w:w="1169"/>
          </w:tcPr>
          <w:p>
            <w:r>
              <w:rPr>
                <w:sz w:val="20"/>
              </w:rPr>
              <w:t>Aucune (mais histaminolibération)</w:t>
            </w:r>
          </w:p>
        </w:tc>
        <w:tc>
          <w:tcPr>
            <w:tcW w:type="dxa" w:w="1169"/>
          </w:tcPr>
          <w:p>
            <w:r>
              <w:rPr>
                <w:sz w:val="20"/>
              </w:rPr>
              <w:t>Néostigmine + atropine (sugammadex INACTIF)</w:t>
            </w:r>
          </w:p>
        </w:tc>
        <w:tc>
          <w:tcPr>
            <w:tcW w:type="dxa" w:w="1169"/>
          </w:tcPr>
          <w:p>
            <w:r>
              <w:rPr>
                <w:sz w:val="20"/>
              </w:rPr>
              <w:t>Solution IV 10 mg/mL — Atacure, Retalex</w:t>
            </w:r>
          </w:p>
        </w:tc>
      </w:tr>
    </w:tbl>
    <w:p/>
    <w:p>
      <w:pPr>
        <w:pStyle w:val="Heading3"/>
      </w:pPr>
      <w:r>
        <w:t>Récapitulatif des points critiques de pharmacovigilance</w:t>
      </w:r>
    </w:p>
    <w:p>
      <w:pPr>
        <w:pStyle w:val="ListNumber"/>
      </w:pPr>
      <w:r/>
      <w:r>
        <w:rPr>
          <w:b/>
        </w:rPr>
        <w:t>Bupivacaïne — risque majeur d'arrêt cardiaque réfractaire</w:t>
      </w:r>
      <w:r>
        <w:t xml:space="preserve"> : la cardiotoxicité de la bupivacaïne (rapport cardio/neurotoxicité = 2 à 4, contre 1 pour la lidocaïne) impose le respect strict des doses maximales (2 mg/kg sans adrénaline, 2,5 mg/kg avec adrénaline), l'aspiration systématique avant injection, le test dose adrénaliné en péridurale, et la disponibilité permanente d'émulsion lipidique 20 % (Intralipide) pour le lipid rescue (bolus 1,5 mL/kg, perfusion 0,25 mL/kg/min).</w:t>
      </w:r>
    </w:p>
    <w:p>
      <w:pPr>
        <w:pStyle w:val="ListNumber"/>
      </w:pPr>
      <w:r/>
      <w:r>
        <w:rPr>
          <w:b/>
        </w:rPr>
        <w:t>Atracurium — histaminolibération</w:t>
      </w:r>
      <w:r>
        <w:t xml:space="preserve"> : l'atracurium racémique provoque une histaminolibération dose-dépendante à partir de 0,4-0,5 mg/kg en bolus rapide (flush, hypotension, tachycardie, bronchospasme possible). Administration lente (60 secondes), dilution, doses &lt; 0,5 mg/kg en bolus. Le cisatracurium (isomère pur, non disponible en Algérie) est dépourvu de cet effet.</w:t>
      </w:r>
    </w:p>
    <w:p>
      <w:pPr>
        <w:pStyle w:val="ListNumber"/>
      </w:pPr>
      <w:r/>
      <w:r>
        <w:rPr>
          <w:b/>
        </w:rPr>
        <w:t>Rocuronium — sugammadex reversal</w:t>
      </w:r>
      <w:r>
        <w:t xml:space="preserve"> : le sugammadex (Bridion, Organon) est l'antidote spécifique du rocuronium (et du vécuronium), par encapsulation chimique (2 mg/kg pour TOF 2/4, 4 mg/kg pour PTC 1-2, 16 mg/kg en urgence absolue). Le sugammadex n'est pas disponible en routine en Algérie, accessible uniquement en importation hospitalière.</w:t>
      </w:r>
    </w:p>
    <w:p>
      <w:pPr>
        <w:pStyle w:val="ListNumber"/>
      </w:pPr>
      <w:r/>
      <w:r>
        <w:rPr>
          <w:b/>
        </w:rPr>
        <w:t>Vécuronium — accumulation en IRC/IH</w:t>
      </w:r>
      <w:r>
        <w:t xml:space="preserve"> : le métabolite 3-desacétylvécuronium (50-60 % de l'activité mère) s'accumule en insuffisance rénale terminale et en insuffisance hépatique sévère, prolongeant la durée d'action de manière imprévisible. Préférer l'atracurium (dégradation Hofmann indépendante) en cas d'insuffisance hépatique ou rénale sévère.</w:t>
      </w:r>
    </w:p>
    <w:p>
      <w:pPr>
        <w:pStyle w:val="ListNumber"/>
      </w:pPr>
      <w:r/>
      <w:r>
        <w:rPr>
          <w:b/>
        </w:rPr>
        <w:t>Articaïne — anesthésie dentaire principale</w:t>
      </w:r>
      <w:r>
        <w:t xml:space="preserve"> : l'articaïne est l'anesthésique local de référence en odontologie selon les recommandations internationales (ADA, HAS), en raison de son onset rapide (1-3 min), de sa diffusion supérieure (efficacité en milieu acide inflammatoire), et de son métabolisme court (carboxylestérases plasmatiques). Toutefois, l'articaïne n'est plus disponible en Algérie en routine (Septanest non renouvelable, Alphacaïne SP et N retirées), imposant la suppléance par la mépivacaïne (Medicaine, Scandonest).</w:t>
      </w:r>
    </w:p>
    <w:p>
      <w:pPr>
        <w:pStyle w:val="ListNumber"/>
      </w:pPr>
      <w:r/>
      <w:r>
        <w:rPr>
          <w:b/>
        </w:rPr>
        <w:t>Mépivacaïne — moins cardiotoxique que la bupivacaïne</w:t>
      </w:r>
      <w:r>
        <w:t xml:space="preserve"> : la mépivacaïne présente une cardiotoxicité modérée (rapport cardio/neurotoxicité = 1,5, contre 2 à 4 pour la bupivacaïne), avec un index thérapeutique élargi. Sa légère vasoconstriction intrinsèque permet son utilisation à l'état pur sans adrénaline chez les patients à contre-indication à l'adrénaline (hypertension, cardiopathie ischémique, hyperthyroïdie).</w:t>
      </w:r>
    </w:p>
    <w:p>
      <w:pPr>
        <w:pStyle w:val="ListNumber"/>
      </w:pPr>
      <w:r/>
      <w:r>
        <w:rPr>
          <w:b/>
        </w:rPr>
        <w:t>Anaphylaxie peranesthésique</w:t>
      </w:r>
      <w:r>
        <w:t xml:space="preserve"> : l'anaphylaxie aux curares représente la première cause d'anaphylaxie peranesthésique en France (enquête GERAP), avec une incidence de 1/10 000 à 1/20 000 anesthésies et une mortalité de 5 %. Tout bloc opératoire doit disposer d'un protocole écrit de prise en charge de l'anaphylaxie (adrénaline IV, remplissage, antihistaminiques, corticoïdes, bronchodilatateurs), et de la traçabilité des patients ayant présenté une anaphylaxie pour tests cutanés allergologiques ultérieurs.</w:t>
      </w:r>
    </w:p>
    <w:p>
      <w:pPr>
        <w:pStyle w:val="ListNumber"/>
      </w:pPr>
      <w:r/>
      <w:r>
        <w:rPr>
          <w:b/>
        </w:rPr>
        <w:t>Curarisation résiduelle</w:t>
      </w:r>
      <w:r>
        <w:t xml:space="preserve"> : la curarisation résiduelle (TOF ratio &lt; 0,9) concerne 30-40 % des patients en SSPI en l'absence de monitorage TOF systématique, et expose à un risque d'hypoxémie, d'atélectasie, de pneumopathie d'inhalation, et de ré-intubation. Le monitorage TOF est obligatoire selon les recommandations SFAR 2020, et l'antagonisation systématique (néostigmine-atropine ou sugammadex) doit être réalisée avant l'extubation.</w:t>
      </w:r>
    </w:p>
    <w:p>
      <w:pPr>
        <w:pStyle w:val="Heading1"/>
      </w:pPr>
      <w:r>
        <w:t>Chapitre 183 — Antagonistes et Réversibilité en Anesthésie-Réanimation</w:t>
      </w:r>
    </w:p>
    <w:p>
      <w:pPr>
        <w:pStyle w:val="Heading2"/>
      </w:pPr>
      <w:r>
        <w:t>Fascicule XIX — Anesthésie-Réanimation</w:t>
      </w:r>
    </w:p>
    <w:p>
      <w:pPr>
        <w:pStyle w:val="Heading2"/>
      </w:pPr>
      <w:r>
        <w:t>183.0 Introduction au chapitre 183</w:t>
      </w:r>
    </w:p>
    <w:p>
      <w:r>
        <w:t xml:space="preserve">Le chapitre 183 du Livre de Pharmacologie Clinique est consacré aux antagonistes spécifiques utilisés en anesthésie-réanimation pour inverser les effets résiduels des agents anesthésiques et des curares. À la différence des chapitres précédents consacrés aux molécules </w:t>
      </w:r>
      <w:r>
        <w:rPr>
          <w:i/>
        </w:rPr>
        <w:t>agonistes</w:t>
      </w:r>
      <w:r>
        <w:t xml:space="preserve"> (anesthésiques généraux intraveineux et volatils, anesthésiques locaux, curares neuromusculaires), ce chapitre traite des molécules </w:t>
      </w:r>
      <w:r>
        <w:rPr>
          <w:i/>
        </w:rPr>
        <w:t>antagonistes</w:t>
      </w:r>
      <w:r>
        <w:t xml:space="preserve"> qui, par un mécanisme compétitif, allostérique ou par encapsulation, permettent de suspendre rapidement l'action des agents précités. Ces antagonistes constituent la « </w:t>
      </w:r>
      <w:r>
        <w:rPr>
          <w:i/>
        </w:rPr>
        <w:t>réversibilité pharmacologique</w:t>
      </w:r>
      <w:r>
        <w:t xml:space="preserve"> » de l'acte anesthésique, un concept central de la sécurité moderne : là où la nature spontaneous recovery imposait jadis une surveillance prolongée en salle de réveil, l'antagonisation ciblée permet un retour plus précoce à la conscience, à la ventilation spontanée et à la mobilité musculaire, tout en réduisant le risque d'événements respiratoires critiques en post-opératoire.</w:t>
      </w:r>
    </w:p>
    <w:p>
      <w:r>
        <w:t>Deux sous-classes sont traitées dans ce chapitre, correspondant à deux types d'antagonisation radicalement différents sur le plan pharmacologique :</w:t>
      </w:r>
    </w:p>
    <w:p>
      <w:pPr>
        <w:pStyle w:val="ListNumber"/>
      </w:pPr>
      <w:r/>
      <w:r>
        <w:rPr>
          <w:b/>
        </w:rPr>
        <w:t>Les antagonistes des opioïdes</w:t>
      </w:r>
      <w:r>
        <w:t xml:space="preserve"> — représentés en Algérie par la </w:t>
      </w:r>
      <w:r>
        <w:rPr>
          <w:b/>
        </w:rPr>
        <w:t>naloxone</w:t>
      </w:r>
      <w:r>
        <w:t>, antagoniste compétitif des récepteurs μ (MOR), κ (KOR) et δ (DOR) des opioïdes endogènes et exogènes. La naloxone est l'antidote de référence de l'overdose opioïde (heroïne, fentanyl, morphine, méthadone, buprénorphine) et de la dépression respiratoire induite par les opioïdes utilisés en anesthésie per- et post-opératoire, ainsi que dans la prise en charge des urgences toxicologiques de ville.</w:t>
      </w:r>
    </w:p>
    <w:p>
      <w:pPr>
        <w:pStyle w:val="ListNumber"/>
      </w:pPr>
      <w:r/>
      <w:r>
        <w:rPr>
          <w:b/>
        </w:rPr>
        <w:t>Les antagonistes des curares neuromusculaires de type aminostéroïde (rocuronium, vécuronium)</w:t>
      </w:r>
      <w:r>
        <w:t xml:space="preserve"> — représentés par le </w:t>
      </w:r>
      <w:r>
        <w:rPr>
          <w:b/>
        </w:rPr>
        <w:t>sugammadex</w:t>
      </w:r>
      <w:r>
        <w:t>, qui n'est pas un antagoniste compétitif classique mais un agent d'encapsulation par complexation avec une γ-cyclodextrine modifiée. Le sugammadex a révolutionné la curarisation en anesthésie depuis son AMM européenne en 2008, en permettant une décurarisation rapide et fiable indépendante du métabolisme hépatique de l'anticholinestérasique (néostigmine) et sans nécessité d'associer un antimuscarinique (atropine).</w:t>
      </w:r>
    </w:p>
    <w:p>
      <w:r>
        <w:t xml:space="preserve">Sur le plan historique, la naloxone fut synthétisée en 1960 par Jack Fishman et collaborateurs au sein des laboratoires Endo (États-Unis), à partir d'une modification de l'oxymorphone par substitution du groupe N-méthyl par un groupe N-allyl, et commercialisée dès 1971 sous le nom de Narcan. Sa structure d'antagoniste pur (sans activité agoniste intrinsèque significative aux doses cliniques) en a fait l'antidote de référence mondial de l'overdose opioïde, recommandé par l'OMS et figurant sur la liste des médicaments essentiels. Plus récemment, dans le contexte de l'épidémie d'overdoses opioïdes en Amérique du Nord (fentanyl, héroïne, oxycodone détournée), la naloxone intranasale a été développée pour la distribution aux usagers de drogues et aux témoins (programmes de « </w:t>
      </w:r>
      <w:r>
        <w:rPr>
          <w:i/>
        </w:rPr>
        <w:t>take-home naloxone</w:t>
      </w:r>
      <w:r>
        <w:t xml:space="preserve"> »), mais cette forme n'est pas disponible en Algérie à ce jour.</w:t>
      </w:r>
    </w:p>
    <w:p>
      <w:r>
        <w:t xml:space="preserve">Le sugammadex (Org 25969, Bridion) fut synthétisé pour la première fois en 1988 par les équipes d'Organon (devenu Merck Sharp &amp; Dohme, puis Organon après la scission de 2021) à partir de travaux sur les cyclodextrines. Le concept d'encapsulation par γ-cyclodextrine modifiée — un oligosaccharide cyclique de huit unités glucopyranose substitué par des groupes thio-propionate pour augmenter son affinité pour le rocuronium — fut décrit par Bom et collègues en 2002. L'AMM européenne a été obtenue en 2008, et la molécule a été introduite sur le marché algérien quelques années plus tard. Le sugammadex a transformé la pratique de la curarisation en permettant la décurarisation du rocuronium à n'importe quel niveau de bloc neuromusculaire, y compris après injection du rocuronium à dose massive (4 mg/kg, dose « </w:t>
      </w:r>
      <w:r>
        <w:rPr>
          <w:i/>
        </w:rPr>
        <w:t>intubation rapide</w:t>
      </w:r>
      <w:r>
        <w:t xml:space="preserve"> ») pour les intubations en séquence rapide, ce qui était impossible avec la néostigmine (qui ne pouvait antagoniser qu'un bloc profond et imposait un délai de 20-30 minutes ou plus, et un risque de curarisation résiduelle).</w:t>
      </w:r>
    </w:p>
    <w:p>
      <w:r>
        <w:t xml:space="preserve">Il est crucial de noter que </w:t>
      </w:r>
      <w:r>
        <w:rPr>
          <w:b/>
        </w:rPr>
        <w:t>deux autres antagonistes utilisés historiquement en anesthésie-réanimation ne sont pas traités dans ce chapitre</w:t>
      </w:r>
      <w:r>
        <w:t>, en raison de leur absence du marché algérien :</w:t>
      </w:r>
    </w:p>
    <w:p>
      <w:pPr>
        <w:pStyle w:val="ListBullet"/>
      </w:pPr>
      <w:r/>
      <w:r>
        <w:rPr>
          <w:b/>
        </w:rPr>
        <w:t>Le flumazénil</w:t>
      </w:r>
      <w:r>
        <w:t xml:space="preserve"> (Ancotil, Romazicon), antagoniste compétitif des récepteurs GABA-A centraux (benzodiazépines), n'est pas disponible en Algérie (absent de la nomenclature du médicament Avril 2026). Son antidotation de l'overdose aux benzodiazépines repose donc, en Algérie, sur les mesures symptomatiques (ventilation mécanique, surveillance prolongée en réanimation). Le flumazénil doit être mentionné ici pour mémoire, car il est l'équivalent logique de la naloxone pour les benzodiazépines et reste largement utilisé en Europe et en Amérique du Nord.</w:t>
      </w:r>
    </w:p>
    <w:p>
      <w:pPr>
        <w:pStyle w:val="ListBullet"/>
      </w:pPr>
      <w:r/>
      <w:r>
        <w:rPr>
          <w:b/>
        </w:rPr>
        <w:t>La néostigmine</w:t>
      </w:r>
      <w:r>
        <w:t>, anticholinestérasique réversible, n'est pas non plus disponible en Algérie à l'heure actuelle. Elle constituait, jusqu'à l'avènement du sugammadex, le seul moyen de décurarisation pharmacologique des curares non dépolarisants. Son association à l'atropine était la règle pour contre-balancer les effets muscariniques (bradycardie, hypersécrétion bronchique). L'absence de néostigmine en Algérie renforce la position centrale du sugammadex dans la pratique anesthésique algérienne.</w:t>
      </w:r>
    </w:p>
    <w:p>
      <w:r>
        <w:t xml:space="preserve">Le pharmacien d'officine et le pharmacien hospitalier doivent maîtriser ces antagonistes car ils sont au cœur de la sécurité des anesthésies et des urgences toxicologiques. Les enjeux critiques sont multiples : pour la naloxone, sa </w:t>
      </w:r>
      <w:r>
        <w:rPr>
          <w:b/>
        </w:rPr>
        <w:t>demi-vie courte (30-90 minutes)</w:t>
      </w:r>
      <w:r>
        <w:t xml:space="preserve"> comparée à celle des opioïdes longues durées d'action (méthadone 24-36h, fentanyl transdermique 72h, oxycodone LP 12h) expose à un risque de </w:t>
      </w:r>
      <w:r>
        <w:rPr>
          <w:b/>
        </w:rPr>
        <w:t>renarcotisation secondaire</w:t>
      </w:r>
      <w:r>
        <w:t xml:space="preserve"> après antagonisation initiale apparemment efficace, imposant une surveillance prolongée en milieu hospitalier de toute personne antagonisée. Pour le sugammadex, plusieurs points sont à mémoriser : risque d'</w:t>
      </w:r>
      <w:r>
        <w:rPr>
          <w:b/>
        </w:rPr>
        <w:t>hypersensibilité</w:t>
      </w:r>
      <w:r>
        <w:t xml:space="preserve"> (choc anaphylactique, érythème, urticaire, rare mais documenté), </w:t>
      </w:r>
      <w:r>
        <w:rPr>
          <w:b/>
        </w:rPr>
        <w:t>contre-indication à la réadministration de rocuronium ou de vécuronium dans les 24 heures</w:t>
      </w:r>
      <w:r>
        <w:t xml:space="preserve"> suivant une dose de sugammadex (en raison du risque de curarisation inefficace par captation par le sugammadex circulant résiduel), et </w:t>
      </w:r>
      <w:r>
        <w:rPr>
          <w:b/>
        </w:rPr>
        <w:t>interaction hormonale</w:t>
      </w:r>
      <w:r>
        <w:t xml:space="preserve"> documentée avec baisse d'efficacité des contraceptifs oraux estroprogestatifs (le sugammadex se lie aux stéroïdes, y compris l'éthinylestradiol, diminuant leur biodisponibilité de 30 à 40 %), imposant une contraception mécanique complémentaire pendant 7 jours après administration.</w:t>
      </w:r>
    </w:p>
    <w:p>
      <w:r>
        <w:t>Ce chapitre est organisé en deux sous-classes successives, traitées selon la même structure standardisée en douze sections : catégories pharmaco-thérapeutiques, médicaments disponibles en Algérie (en format tableau obligatoire à six colonnes), mécanisme d'action moléculaire, pharmacocinétique, indications thérapeutiques, posologie et mode d'administration, effets indésirables et prévention, interactions médicamenteuses, grossesse et allaitement (données CRAT), arbitrage des formes galéniques, conseils au patient, et pièges au comptoir. Une table comparative synthétique termine le chapitre, permettant une vision intégrée des deux antagonistes.</w:t>
      </w:r>
    </w:p>
    <w:p>
      <w:pPr>
        <w:pStyle w:val="Heading2"/>
      </w:pPr>
      <w:r>
        <w:t>183.1 Sous-classe : Antagonistes des opioïdes (Naloxone)</w:t>
      </w:r>
    </w:p>
    <w:p>
      <w:r>
        <w:t xml:space="preserve">Les antagonistes des opioïdes constituent une sous-classe pharmacologique homogène dont le chef de file et l'unique représentant disponible en Algérie est la </w:t>
      </w:r>
      <w:r>
        <w:rPr>
          <w:b/>
        </w:rPr>
        <w:t>naloxone</w:t>
      </w:r>
      <w:r>
        <w:t>. Sur le plan chimique, la naloxone est un dérivé N-allylé de l'oxymorphone, molécule apparentée aux opioïdes morphiniques mais dont la substitution du radical N-méthyl (qui confère l'activité agoniste) par un radical N-allyl (groupe allyle —CH₂—CH=CH₂) inverse la nature pharmacologique : d'agoniste, la molécule devient antagoniste compétitif pur. Cette particularité structurale, partagée par la naltrexone (orale, longue durée, traitement de maintenance de l'alcoolo-dépendance et de l'opioïdo-dépendance — non disponible en Algérie) et par le nalméfène (antagoniste μ/κ utilisé en Europe dans l'alcoolo-dépendance — non disponible en Algérie), repose sur la conservation du squelette morphinique (réactivité stéréochimique avec les récepteurs opioïdes) couplée à une stéréochimie de l'azote qui empêche l'activation du récepteur.</w:t>
      </w:r>
    </w:p>
    <w:p>
      <w:r>
        <w:t xml:space="preserve">Le mécanisme d'action de la naloxone repose sur une </w:t>
      </w:r>
      <w:r>
        <w:rPr>
          <w:b/>
        </w:rPr>
        <w:t>antagonisation compétitive</w:t>
      </w:r>
      <w:r>
        <w:t xml:space="preserve"> au niveau des trois grands sous-types de récepteurs opioïdes centraux et périphériques : μ (MOR, OP3, principalement analgésique et dépresseur respiratoire), κ (KOR, OP2, analgésique spinale et sédative) et δ (DOR, OP1, analgésique et modulateur émotionnel). La naloxone présente une affinité maximale pour le récepteur μ (Ki ≈ 1-5 nM), puis pour κ (Ki ≈ 10-20 nM), et une affinité plus faible pour δ (Ki ≈ 50-100 nM). En se liant aux récepteurs sans les activer, elle déplace les opioïdes agonistes (morphine, fentanyl, méthadone, buprénorphine, héroïne, codéine, oxycodone, hydromorphone, sufentanil, rémifentanil) de leurs sites de liaison, restaurant ainsi la fonctionnalité neuronale : levée de la dépression respiratoire bulbaires (réactivation du rythme respiratoire automatique du centre pneumotaxique), réveil, mydriase (réactivation de l'Edinger-Westphal), restauration du tonus sympathique. La </w:t>
      </w:r>
      <w:r>
        <w:rPr>
          <w:b/>
        </w:rPr>
        <w:t>vitesse d'action est extrême</w:t>
      </w:r>
      <w:r>
        <w:t xml:space="preserve"> : effet clinique visible en 1 à 2 minutes après injection intraveineuse, et en 2 à 5 minutes après administration intramusculaire ou sous-cutanée.</w:t>
      </w:r>
    </w:p>
    <w:p>
      <w:r>
        <w:t xml:space="preserve">Le profil pharmacocinétique de la naloxone est dominé par une </w:t>
      </w:r>
      <w:r>
        <w:rPr>
          <w:b/>
        </w:rPr>
        <w:t>demi-vie d'élimination courte, comprise entre 30 et 90 minutes</w:t>
      </w:r>
      <w:r>
        <w:t xml:space="preserve"> (moyenne 60 minutes), qui est inférieure à la demi-vie de la plupart des opioïdes cliniquement utilisés (morphine 2-4 heures, fentanyl 3-5 heures, méthadone 24-36 heures, oxycodone LP 4-6 heures, buprénorphine 20-40 heures). Cette discordance pharmacocinétique est le point critique de l'usage clinique de la naloxone : </w:t>
      </w:r>
      <w:r>
        <w:rPr>
          <w:b/>
        </w:rPr>
        <w:t>l'effet antagoniste disparaît avant que l'opioïde à antagoniser n'ait été éliminé</w:t>
      </w:r>
      <w:r>
        <w:t xml:space="preserve">, exposant le patient à une </w:t>
      </w:r>
      <w:r>
        <w:rPr>
          <w:b/>
        </w:rPr>
        <w:t>renarcotisation secondaire</w:t>
      </w:r>
      <w:r>
        <w:t xml:space="preserve"> (récidive de la dépression respiratoire) dans les 30 à 90 minutes après l'antagonisation initiale apparemment efficace. Cette renarcotisation impose une surveillance prolongée en milieu hospitalier pendant au moins 4 à 6 heures après l'antagonisation, et parfois jusqu'à 24 heures en cas d'overdose par opioïde longue durée (méthadone, fentanyl transdermique, oxycodone LP). La naloxone peut être administrée en </w:t>
      </w:r>
      <w:r>
        <w:rPr>
          <w:b/>
        </w:rPr>
        <w:t>perfusion continue prolongée</w:t>
      </w:r>
      <w:r>
        <w:t xml:space="preserve"> (0,4 à 0,8 mg/h, soit 2/3 de la dose efficace initiale par heure) pour prévenir la renarcotisation dans les cas graves d'overdose par opioïde longue durée.</w:t>
      </w:r>
    </w:p>
    <w:p>
      <w:r>
        <w:t>Les indications de la naloxone couvrent : (i) la dépression respiratoire induite par les opioïdes en anesthésie (surchargée peropératoire en morphiniques, dépression respiratoire post-opératoire en salle de réveil), (ii) l'overdose opioïde aiguë aux urgences (héroïne, fentanyl illicite, méthadone, morphine, etc.), (iii) la dépression respiratoire du nouveau-né en cas d'imprégnation maternelle par opioïdes en fin de travail (analgsésie péridurale par fentanyl ou suffentanil), (iv) le test diagnostique de coma opioïde aux urgences (naloxone test), (v) le traitement de l'ictère cholestatique prurigineux réfractaire (effet antagoniste des récepteurs opioïdes endogènes hépatiques, à faible dose — usage off-label). Les contre-indications sont limitées : hypersensibilité à la naloxone (exceptionnelle), opioïdo-dépendance physique avérée (la naloxone peut déclencher un syndrome de sevrage aigu brutal si elle est administrée à dose trop élevée à un sujet dépendant).</w:t>
      </w:r>
    </w:p>
    <w:p>
      <w:r>
        <w:t>En Algérie, la naloxone est commercialisée sous le nom de NALOXONE MYLAN (Mylan SAS), solution injectable à 0,4 mg/mL, en ampoules de 1 mL conditionnées en boîtes de 10 ampoules, inscrites sur la Liste I. Cette présentation correspond à la forme historique ampoule IV/IM/SC, qui reste la forme de référence en milieu hospitalier et pré-hospitalier (SMUR). À noter que la forme intranasale (NALOXONE EG 18 mg/0,1 mL ou NARCAN), qui a révolutionné la prise en charge pré-hospitalière de l'overdose opioïde en Amérique du Nord et en Europe (distribution aux témoins, programmes de réduction des risques), n'est pas disponible en Algérie à l'heure actuelle, ce qui limite l'usage de la naloxone au personnel médical et paramédical formé à l'injection. La naloxone est par ailleurs inscrite sur la liste des médicaments essentiels de l'OMS (section antidotes).</w:t>
      </w:r>
    </w:p>
    <w:p>
      <w:pPr>
        <w:pStyle w:val="Heading3"/>
      </w:pPr>
      <w:r>
        <w:t>183.1.1 Naloxone (Antagoniste μ/κ/δ)</w:t>
      </w:r>
    </w:p>
    <w:p>
      <w:pPr>
        <w:pStyle w:val="Heading4"/>
      </w:pPr>
      <w:r>
        <w:t>183.1.1.1 Catégories pharmaco-thérapeutiques et indications</w:t>
      </w:r>
    </w:p>
    <w:p>
      <w:r>
        <w:t>La naloxone (DCI : naloxone ; chlorhydrate de naloxone anhydre) est classée en pharmacologie selon les rubriques suivantes :</w:t>
      </w:r>
    </w:p>
    <w:p>
      <w:pPr>
        <w:pStyle w:val="ListBullet"/>
      </w:pPr>
      <w:r/>
      <w:r>
        <w:rPr>
          <w:b/>
        </w:rPr>
        <w:t>Code ATC</w:t>
      </w:r>
      <w:r>
        <w:t xml:space="preserve"> : V03AB15 (antidotes ; antagonistes des opioïdes).</w:t>
      </w:r>
    </w:p>
    <w:p>
      <w:pPr>
        <w:pStyle w:val="ListBullet"/>
      </w:pPr>
      <w:r/>
      <w:r>
        <w:rPr>
          <w:b/>
        </w:rPr>
        <w:t>Classification thérapeutique</w:t>
      </w:r>
      <w:r>
        <w:t xml:space="preserve"> : antidote, antagoniste pur compétitif des récepteurs opioïdes μ, κ et δ.</w:t>
      </w:r>
    </w:p>
    <w:p>
      <w:pPr>
        <w:pStyle w:val="ListBullet"/>
      </w:pPr>
      <w:r/>
      <w:r>
        <w:rPr>
          <w:b/>
        </w:rPr>
        <w:t>Classe chimique</w:t>
      </w:r>
      <w:r>
        <w:t xml:space="preserve"> : dérivé morphinique de la famille des oripavines, substitution N-allylée de l'oxymorphone ; stéréochimie (—)-naloxone active, (+)-naloxone inactive.</w:t>
      </w:r>
    </w:p>
    <w:p>
      <w:pPr>
        <w:pStyle w:val="ListBullet"/>
      </w:pPr>
      <w:r/>
      <w:r>
        <w:rPr>
          <w:b/>
        </w:rPr>
        <w:t>Statut réglementaire Algérie</w:t>
      </w:r>
      <w:r>
        <w:t xml:space="preserve"> : Liste I, prescription hospitalière et urgences (usage pré-hospitalier par le SAMU/SMUR et les médecins urgentistes), non soumis à prescription chronique.</w:t>
      </w:r>
    </w:p>
    <w:p>
      <w:pPr>
        <w:pStyle w:val="ListBullet"/>
      </w:pPr>
      <w:r/>
      <w:r>
        <w:rPr>
          <w:b/>
        </w:rPr>
        <w:t>Grossesse</w:t>
      </w:r>
      <w:r>
        <w:t xml:space="preserve"> : compatible à tous les trimestres (données CRAT), en particulier pour réanimation du nouveau-né en salle de naissance.</w:t>
      </w:r>
    </w:p>
    <w:p>
      <w:r>
        <w:t>Indications principales :</w:t>
      </w:r>
    </w:p>
    <w:p>
      <w:pPr>
        <w:pStyle w:val="ListNumber"/>
      </w:pPr>
      <w:r/>
      <w:r>
        <w:rPr>
          <w:b/>
        </w:rPr>
        <w:t>Antidote de la dépression respiratoire induite par les opioïdes en anesthésie</w:t>
      </w:r>
      <w:r>
        <w:t xml:space="preserve"> : surdosage peropératoire en morphiniques (fentanyl, sufentanil, rémifentanil, morphine, alfentanil), dépression respiratoire résiduelle en salle de réveil (bradypnée &lt; 8/min, SpO₂ &lt; 92 % sous air, sédation profonde non réversible à la stimulation). La naloxone est administrée en titration intraveineuse par bolus de 40 à 100 µg toutes les 2-3 minutes jusqu'à obtention d'une fréquence respiratoire ≥ 12/min et d'une SpO₂ satisfaisante.</w:t>
      </w:r>
    </w:p>
    <w:p>
      <w:pPr>
        <w:pStyle w:val="ListNumber"/>
      </w:pPr>
      <w:r/>
      <w:r>
        <w:rPr>
          <w:b/>
        </w:rPr>
        <w:t>Antidote de l'overdose opioïde aiguë aux urgences</w:t>
      </w:r>
      <w:r>
        <w:t xml:space="preserve"> : overdose d'héroïne, de fentanyl illicite, de méthadone, de morphine, d'oxycodone, de buprénorphine (rare, la buprénorphine étant un agoniste partiel de forte affinité qui peut nécessiter des doses supérieures de naloxone). La naloxone est administrée en IV (0,4 à 2 mg par bolus, répétables jusqu'à 10 mg en cas d'overdose massive au fentanyl), ou en IM/SC si voie veineuse impossible. La voie intranasale est utilisée en Europe et en Amérique du Nord mais n'est pas disponible en Algérie.</w:t>
      </w:r>
    </w:p>
    <w:p>
      <w:pPr>
        <w:pStyle w:val="ListNumber"/>
      </w:pPr>
      <w:r/>
      <w:r>
        <w:rPr>
          <w:b/>
        </w:rPr>
        <w:t>Réanimation du nouveau-né déprimé par opioïdes maternels</w:t>
      </w:r>
      <w:r>
        <w:t xml:space="preserve"> : en cas d'administration maternelle d'opioïdes en fin de travail (analgésie péridurale par fentanyl ou sufentanil), le nouveau-né peut présenter une dépression respiratoire néonatale (score d'Apgar bas, bradypnée, cyanose). La naloxone néonatale est administrée par voie IV (cordons ombilical) ou IM à la dose de 10 µg/kg, mais elle est aujourd'hui déconseillée en première intention par l'ILCOR (International Liaison Committee on Resuscitation) au profit de la ventilation au masque ; elle garde une place en cas d'échec de la ventilation.</w:t>
      </w:r>
    </w:p>
    <w:p>
      <w:pPr>
        <w:pStyle w:val="ListNumber"/>
      </w:pPr>
      <w:r/>
      <w:r>
        <w:rPr>
          <w:b/>
        </w:rPr>
        <w:t>Test diagnostique du coma opioïde</w:t>
      </w:r>
      <w:r>
        <w:t xml:space="preserve"> : chez un patient comateux aux urgences sans orientation étiologique, l'administration d'un bolus test de naloxone (0,4 mg IV) peut réveiller un coma opioïde, confirmant le diagnostic. Un test négatif n'exclut toutefois pas le diagnostic (en cas de co-intoxication médicamenteuse, en particulier avec les benzodiazépines ou l'alcool).</w:t>
      </w:r>
    </w:p>
    <w:p>
      <w:pPr>
        <w:pStyle w:val="ListNumber"/>
      </w:pPr>
      <w:r/>
      <w:r>
        <w:rPr>
          <w:b/>
        </w:rPr>
        <w:t>Traitement du prurit cholestatique réfractaire</w:t>
      </w:r>
      <w:r>
        <w:t xml:space="preserve"> (indication hors AMM) : le prurit cholestatique sévère de la cirrhose biliaire primitive, de la cholangite sclérosante primitive ou de la grossesse intra-hépatique est médié en partie par les opioïdes endogènes (enképhalines, endorphines) agissant sur les récepteurs opioïdes périphériques cutanés. La naloxone orale ou IV à faible dose (50-100 µg/h en perfusion continue) peut réduire le prurit, mais son usage est limité par la faible biodisponibilité orale et le risque d'induction de syndrome de sevrage opioïde chez les patients dépendants.</w:t>
      </w:r>
    </w:p>
    <w:p>
      <w:pPr>
        <w:pStyle w:val="ListNumber"/>
      </w:pPr>
      <w:r/>
      <w:r>
        <w:rPr>
          <w:b/>
        </w:rPr>
        <w:t>Traitement du choc septique</w:t>
      </w:r>
      <w:r>
        <w:t xml:space="preserve"> (indication expérimentale, non validée) : certaines études ont suggéré un bénéfice de faibles doses de naloxone dans le choc septique réfractaire, en raison de l'implication des opioïdes endogènes dans la vasoplégie septique. Cette indication n'est pas validée et n'est pas recommandée en pratique courante.</w:t>
      </w:r>
    </w:p>
    <w:p>
      <w:pPr>
        <w:pStyle w:val="ListNumber"/>
      </w:pPr>
      <w:r/>
      <w:r>
        <w:rPr>
          <w:b/>
        </w:rPr>
        <w:t>Prévention de l'iléus post-opératoire</w:t>
      </w:r>
      <w:r>
        <w:t xml:space="preserve"> (indication expérimentale) : la naloxone orale à libération prolongée (qui ne traverse pas la barrière hématoméningée) peut antagoniser les récepteurs opioïdes périphériques intestinaux et réduire la durée de l'iléus post-opératoire. Cette indication n'est pas disponible en Algérie.</w:t>
      </w:r>
    </w:p>
    <w:p>
      <w:r>
        <w:t>En pratique clinique courante en Algérie, les deux indications majeures sont la dépression respiratoire post-opératoire en salle de réveil et l'overdose opioïde aux urgences (essentiellement héroïne et méthadone, plus rarement fentanyl illicite).</w:t>
      </w:r>
    </w:p>
    <w:p>
      <w:pPr>
        <w:pStyle w:val="Heading4"/>
      </w:pPr>
      <w:r>
        <w:t>183.1.1.2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NALOXONE MYLAN</w:t>
            </w:r>
          </w:p>
        </w:tc>
        <w:tc>
          <w:tcPr>
            <w:tcW w:type="dxa" w:w="1559"/>
          </w:tcPr>
          <w:p>
            <w:r>
              <w:rPr>
                <w:sz w:val="20"/>
              </w:rPr>
              <w:t>MYLAN SAS</w:t>
            </w:r>
          </w:p>
        </w:tc>
        <w:tc>
          <w:tcPr>
            <w:tcW w:type="dxa" w:w="1559"/>
          </w:tcPr>
          <w:p>
            <w:r>
              <w:rPr>
                <w:sz w:val="20"/>
              </w:rPr>
              <w:t>Solution injectable IM/IV/SC 0,4 mg/mL</w:t>
            </w:r>
          </w:p>
        </w:tc>
        <w:tc>
          <w:tcPr>
            <w:tcW w:type="dxa" w:w="1559"/>
          </w:tcPr>
          <w:p>
            <w:r>
              <w:rPr>
                <w:sz w:val="20"/>
              </w:rPr>
              <w:t>B/10 ampoules de 1 mL</w:t>
            </w:r>
          </w:p>
        </w:tc>
        <w:tc>
          <w:tcPr>
            <w:tcW w:type="dxa" w:w="1559"/>
          </w:tcPr>
          <w:p>
            <w:r>
              <w:rPr>
                <w:sz w:val="20"/>
              </w:rPr>
              <w:t>Liste I</w:t>
            </w:r>
          </w:p>
        </w:tc>
        <w:tc>
          <w:tcPr>
            <w:tcW w:type="dxa" w:w="1559"/>
          </w:tcPr>
          <w:p>
            <w:r>
              <w:rPr>
                <w:sz w:val="20"/>
              </w:rPr>
              <w:t>Actif</w:t>
            </w:r>
          </w:p>
        </w:tc>
      </w:tr>
    </w:tbl>
    <w:p/>
    <w:p>
      <w:r>
        <w:t xml:space="preserve">Le marché algérien de la naloxone est </w:t>
      </w:r>
      <w:r>
        <w:rPr>
          <w:b/>
        </w:rPr>
        <w:t>mono-spécialité et mono-dosage</w:t>
      </w:r>
      <w:r>
        <w:t xml:space="preserve"> : une seule marque (Naloxone Mylan, laboratoire Mylan SAS, devenue Viatris après la fusion Mylan-Pfizer Upjohn en 2020) est inscrite à la nomenclature du médicament algérienne (Avril 2026), en une seule concentration (0,4 mg/mL) et un seul conditionnement (boîte de 10 ampoules de 1 mL). Cette présentation correspond à la forme ampoule historique utilisée par les anesthésistes, réanimateurs, urgentistes et le SMUR.</w:t>
      </w:r>
    </w:p>
    <w:p>
      <w:r>
        <w:t xml:space="preserve">Il est important de noter que </w:t>
      </w:r>
      <w:r>
        <w:rPr>
          <w:b/>
        </w:rPr>
        <w:t>plusieurs présentations de naloxone disponibles à l'étranger ne le sont pas en Algérie</w:t>
      </w:r>
      <w:r>
        <w:t xml:space="preserve"> :</w:t>
      </w:r>
    </w:p>
    <w:p>
      <w:pPr>
        <w:pStyle w:val="ListBullet"/>
      </w:pPr>
      <w:r>
        <w:t>La naloxone intranasale à 4 mg/dose (NARCAN, Adapt Pharma ; NALOXONE EG) — utilisée en Amérique du Nord et en Europe pour les programmes de réduction des risques (distribution aux usagers de drogues, aux témoins d'overdose, aux services de premiers secours non médicaux) — n'est pas inscrite à la nomenclature algérienne. Cette absence limite l'usage de la naloxone au personnel médical et paramédical formé à l'injection IV/IM/SC.</w:t>
      </w:r>
    </w:p>
    <w:p>
      <w:pPr>
        <w:pStyle w:val="ListBullet"/>
      </w:pPr>
      <w:r>
        <w:t>La naloxone à concentration plus élevée pour usage intranasale (1 mg/mL, EVZIO auto-injecteur, Kaleo) — également non disponible.</w:t>
      </w:r>
    </w:p>
    <w:p>
      <w:pPr>
        <w:pStyle w:val="ListBullet"/>
      </w:pPr>
      <w:r>
        <w:t>La naloxone orale à libération prolongée (relistor-méthylnaltrexone, qui n'est pas à proprement parler de la naloxone mais un antagoniste périphérique) — non disponible.</w:t>
      </w:r>
    </w:p>
    <w:p>
      <w:r>
        <w:t>Le pharmacien d'officine algérien doit donc orienter toute demande de naloxone pour usage pré-hospitalier communautaire (famille d'un patient opioïdo-dépendant) vers les services d'urgence hospitaliers, et la naloxone n'est pas délivrable en officine de ville en dehors des prescriptions hospitalières.</w:t>
      </w:r>
    </w:p>
    <w:p>
      <w:r>
        <w:t>La solution injectable à 0,4 mg/mL se présente en ampoule verre incolore type I de 1 mL, conservée à température ambiante (15-25 °C), à l'abri de la lumière. La solution est limpide, incolore, stérile, apyrogène, isotonique au plasma (pH 3,5-5,5). L'ampoule doit être inspectée visuellement avant usage : toute coloration ou particule doit faire rejeter l'ampoule.</w:t>
      </w:r>
    </w:p>
    <w:p>
      <w:pPr>
        <w:pStyle w:val="Heading4"/>
      </w:pPr>
      <w:r>
        <w:t>183.1.1.3 Mécanisme d'action moléculaire, cellulaire et physiologique</w:t>
      </w:r>
    </w:p>
    <w:p>
      <w:r>
        <w:t>La naloxone est un antagoniste compétitif pur des récepteurs opioïdes. Son mécanisme d'action peut être décrit selon six niveaux d'imbrication :</w:t>
      </w:r>
    </w:p>
    <w:p>
      <w:r/>
      <w:r>
        <w:rPr>
          <w:b/>
        </w:rPr>
        <w:t>Niveau moléculaire — liaison aux récepteurs opioïdes</w:t>
      </w:r>
      <w:r>
        <w:t xml:space="preserve"> : les récepteurs opioïdes sont des récepteurs couplés aux protéines G hétérotrimériques de la famille Gi/Go (sept domaines transmembranaires). Ils existent sous trois grands sous-types principaux : μ (MOR, OP3, codé par le gène OPRM1), κ (KOR, OP2, codé par OPRK1), et δ (DOR, OP1, codé par OPRD1). Un quatrième sous-type, le récepteur ORL-1 (NOP, codé par OPRL1), n'est pas sensible à la naloxone aux doses cliniques. La naloxone présente une affinité maximale pour le récepteur μ (Ki ≈ 1-5 nM), puis pour κ (Ki ≈ 10-20 nM), et une affinité plus faible pour δ (Ki ≈ 50-100 nM). Sur le plan stéréochimique, seule la (—)-naloxone (isomère lévogyre) est pharmacologiquement active ; la (+)-naloxone est inactive sur les récepteurs opioïdes mais conserve certaines propriétés anti-inflammatoires (inhibition TLR4) étudiées en recherche fondamentale.</w:t>
      </w:r>
    </w:p>
    <w:p>
      <w:r/>
      <w:r>
        <w:rPr>
          <w:b/>
        </w:rPr>
        <w:t>Niveau conformationnel — antagonisme pur</w:t>
      </w:r>
      <w:r>
        <w:t xml:space="preserve"> : la naloxone se lie au récepteur opioïde sur le même site de liaison que les agonistes (creux formé par les domaines transmembranaires 3, 5, 6 et 7), mais avec un profil fonctionnel différent. Le radical N-allyle (—CH₂—CH=CH₂) de la naloxone occupe le site N-méthylé où les agonistes fixent leur groupement N-méthyl, mais il n'induit pas le changement conformationnel nécessaire à l'activation du récepteur. Le récepteur reste donc dans sa conformation inactive, et la naloxone occupe le site sans activer la cascade Gi/Go. Sur le plan pharmacologique, la naloxone est qualifiée d'antagoniste « pur » ou « neutre » : elle n'a pas d'activité agoniste intrinsèque significative aux doses cliniques (à très fortes doses ou en cas d'administration chronique, des effets agonistes partiels ont été rapportés, mais ils ne sont pas cliniquement pertinents).</w:t>
      </w:r>
    </w:p>
    <w:p>
      <w:r/>
      <w:r>
        <w:rPr>
          <w:b/>
        </w:rPr>
        <w:t>Niveau cellulaire — déplacement des agonistes</w:t>
      </w:r>
      <w:r>
        <w:t xml:space="preserve"> : le principe de l'antagonisme compétitif repose sur la loi d'action de masse. La naloxone et l'opioïde agoniste (par exemple, la morphine) sont en compétition pour le même site de liaison. L'occupation du récepteur dépend du rapport entre les concentrations locales et les affinités respectives (Ki). Lorsque la naloxone est administrée à dose suffisante, sa concentration synaptique dépasse celle de l'agoniste, et elle occupe les récepteurs en proportion croissante. Les agonistes sont déplacés de leurs sites de liaison, ce qui conduit à : (i) levée de l'inhibition adénylyl cyclasique (restauration de la production d'AMPc), (ii) réactivation des canaux potassiques rectifiants entrants (GIRK) qui avaient été ouverts par les agonistes (mais ici en l'absence d'activation opioïde, le retour à la normale électrique s'opère par levée de l'inhibition), (iii) réactivation de la transmission neuronale dans les voies de la douleur, du contrôle respiratoire et de la conscience.</w:t>
      </w:r>
    </w:p>
    <w:p>
      <w:r/>
      <w:r>
        <w:rPr>
          <w:b/>
        </w:rPr>
        <w:t>Niveau anatomique — sites d'action principaux</w:t>
      </w:r>
      <w:r>
        <w:t xml:space="preserve"> : la naloxone agit principalement au niveau central, après traversée de la barrière hématoméningée (lipophile, passage transmembranaire passif facilité). Les sites d'action critiques sont :</w:t>
      </w:r>
    </w:p>
    <w:p>
      <w:pPr>
        <w:pStyle w:val="ListBullet"/>
      </w:pPr>
      <w:r/>
      <w:r>
        <w:rPr>
          <w:b/>
        </w:rPr>
        <w:t>Le centre respiratoire bulbaire</w:t>
      </w:r>
      <w:r>
        <w:t xml:space="preserve"> (substance réticulée latérale du bulbe, noyau du tractus solitaire, noyau ambigu) : les opioïdes dépriment le centre respiratoire en diminuant la sensibilité au CO₂ (déplacement de la courbe de réponse ventilation/PCO₂ vers la droite) et en ralentissant le rythme respiratoire (bradypnée, pause respiratoire). La naloxone restaure la sensibilité au CO₂ et le rythme respiratoire.</w:t>
      </w:r>
    </w:p>
    <w:p>
      <w:pPr>
        <w:pStyle w:val="ListBullet"/>
      </w:pPr>
      <w:r/>
      <w:r>
        <w:rPr>
          <w:b/>
        </w:rPr>
        <w:t>Le locus coeruleus</w:t>
      </w:r>
      <w:r>
        <w:t xml:space="preserve"> (noradrénergique) : les opioïdes inhibent l'activité du locus coeruleus, ce qui contribue à la sédation. La naloxone restaure cette activité, participant au réveil.</w:t>
      </w:r>
    </w:p>
    <w:p>
      <w:pPr>
        <w:pStyle w:val="ListBullet"/>
      </w:pPr>
      <w:r/>
      <w:r>
        <w:rPr>
          <w:b/>
        </w:rPr>
        <w:t>Le noyau d'Edinger-Westphal</w:t>
      </w:r>
      <w:r>
        <w:t xml:space="preserve"> (parasympathique oculomoteur) : les opioïdes excitent ce noyau (par désinhibition), provoquant le myosis en pinpoint. La naloxone lève cette désinhibition paradoxale et restaure une pupille de taille normale (parfois en mydriase transitoire).</w:t>
      </w:r>
    </w:p>
    <w:p>
      <w:pPr>
        <w:pStyle w:val="ListBullet"/>
      </w:pPr>
      <w:r/>
      <w:r>
        <w:rPr>
          <w:b/>
        </w:rPr>
        <w:t>La corne dorsale de la moelle épinière</w:t>
      </w:r>
      <w:r>
        <w:t xml:space="preserve"> (substantia gelatinosa) : la naloxone y bloque l'analgésie spinale opioïde, mais cet effet est moins critique en clinique que la levée de la dépression respiratoire.</w:t>
      </w:r>
    </w:p>
    <w:p>
      <w:pPr>
        <w:pStyle w:val="ListBullet"/>
      </w:pPr>
      <w:r/>
      <w:r>
        <w:rPr>
          <w:b/>
        </w:rPr>
        <w:t>Le système digestif</w:t>
      </w:r>
      <w:r>
        <w:t xml:space="preserve"> : les opioïdes diminuent le péristaltisme intestinal (constipation) ; la naloxone orale (qui ne passe pas la BHE) peut antagoniser ces effets périphériques sans effet central.</w:t>
      </w:r>
    </w:p>
    <w:p>
      <w:r/>
      <w:r>
        <w:rPr>
          <w:b/>
        </w:rPr>
        <w:t>Niveau physiologique — levée de la dépression respiratoire</w:t>
      </w:r>
      <w:r>
        <w:t xml:space="preserve"> : l'effet clinique majeur de la naloxone est la </w:t>
      </w:r>
      <w:r>
        <w:rPr>
          <w:b/>
        </w:rPr>
        <w:t>restauration de la ventilation spontanée</w:t>
      </w:r>
      <w:r>
        <w:t xml:space="preserve">. Chez un patient en overdose opioïde, la naloxone rétablit la fréquence respiratoire (&gt; 12/min), le volume courant, et la saturation artérielle en oxygène. Le réveil est concomitant ou légèrement différé. La mydriase réapparaît. Le tonus sympathique se restaure, parfois avec une </w:t>
      </w:r>
      <w:r>
        <w:rPr>
          <w:b/>
        </w:rPr>
        <w:t>poussée hypertensive paradoxale</w:t>
      </w:r>
      <w:r>
        <w:t xml:space="preserve"> et une tachycardie réflexe, voire une agitation, un syndrome de sevrement aigu si la naloxone est administrée à forte dose à un sujet opioïdo-dépendant.</w:t>
      </w:r>
    </w:p>
    <w:p>
      <w:r/>
      <w:r>
        <w:rPr>
          <w:b/>
        </w:rPr>
        <w:t>Niveau pharmacodynamique temporel — délai et durée d'action</w:t>
      </w:r>
      <w:r>
        <w:t xml:space="preserve"> : l'effet de la naloxone est rapide mais bref. Après injection intraveineuse directe, le délai d'action est de 1 à 2 minutes, l'effet maximal est atteint en 5 à 15 minutes, et la durée d'action est de 20 à 90 minutes selon la dose et la voie. Après injection intramusculaire ou sous-cutanée, le délai d'action est de 2 à 5 minutes, l'effet maximal en 5 à 15 minutes, et la durée d'action de 60 à 120 minutes (la résorption plus lente permet une libération prolongée). Cette durée d'action brève est le talon d'Achille de la naloxone et impose une surveillance prolongée et/ou une perfusion continue.</w:t>
      </w:r>
    </w:p>
    <w:p>
      <w:pPr>
        <w:pStyle w:val="Heading4"/>
      </w:pPr>
      <w:r>
        <w:t>183.1.1.4 Pharmacocinétique (profil PK)</w:t>
      </w:r>
    </w:p>
    <w:p>
      <w:r/>
      <w:r>
        <w:rPr>
          <w:b/>
        </w:rPr>
        <w:t>Absorption</w:t>
      </w:r>
      <w:r>
        <w:t xml:space="preserve"> : la naloxone peut être administrée par voie intraveineuse (IV directe ou perfusion), intramusculaire (IM), sous-cutanée (SC), intranasale (non disponible en Algérie) et endotrachéale (en cas d'urgence extrême sans autre voie). La voie orale est quasi inutilisable en raison d'un effet de premier passage hépatique massif (&gt; 95 %) qui réduit la biodisponibilité à moins de 2 % ; la naloxone orale ne peut donc pas atteindre les concentrations centrales efficaces et n'a pas d'effet antagoniste central. Cette propriété est exploitée théoriquement pour l'antagonisation périphérique seule (relistor), mais aucune forme de naloxone orale n'est disponible en Algérie.</w:t>
      </w:r>
    </w:p>
    <w:p>
      <w:pPr>
        <w:pStyle w:val="ListBullet"/>
      </w:pPr>
      <w:r/>
      <w:r>
        <w:rPr>
          <w:b/>
        </w:rPr>
        <w:t>Voie IV</w:t>
      </w:r>
      <w:r>
        <w:t xml:space="preserve"> : effet en 1-2 minutes, pic à 5-15 minutes. C'est la voie de référence pour la dépression respiratoire aiguë en anesthésie et aux urgences.</w:t>
      </w:r>
    </w:p>
    <w:p>
      <w:pPr>
        <w:pStyle w:val="ListBullet"/>
      </w:pPr>
      <w:r/>
      <w:r>
        <w:rPr>
          <w:b/>
        </w:rPr>
        <w:t>Voie IM/SC</w:t>
      </w:r>
      <w:r>
        <w:t xml:space="preserve"> : effet en 2-5 minutes, pic à 5-15 minutes, durée prolongée à 60-120 minutes. Voie utile en pré-hospitalier en cas d'abord veineux impossible (œdème, obésité, collapsus, toxicomanes avec veines sclérosées).</w:t>
      </w:r>
    </w:p>
    <w:p>
      <w:pPr>
        <w:pStyle w:val="ListBullet"/>
      </w:pPr>
      <w:r/>
      <w:r>
        <w:rPr>
          <w:b/>
        </w:rPr>
        <w:t>Voie intranasale</w:t>
      </w:r>
      <w:r>
        <w:t xml:space="preserve"> (non disponible en Algérie) : 2-5 minutes, pic à 15-30 minutes. Biodisponibilité relative 50 % par rapport à la voie IV. Utilisée pour la distribution aux témoins d'overdose.</w:t>
      </w:r>
    </w:p>
    <w:p>
      <w:r/>
      <w:r>
        <w:rPr>
          <w:b/>
        </w:rPr>
        <w:t>Distribution</w:t>
      </w:r>
      <w:r>
        <w:t xml:space="preserve"> : la naloxone est une molécule lipophile (log P ≈ 1,5-2) qui traverse rapidement la barrière hématoméningée. Le volume de distribution est élevé, environ 3 L/kg, reflétant une distribution large dans les tissus, en particulier le système nerveux central. La liaison aux protéines plasmatiques est modérée (30 à 46 %), principalement à l'albumine et à l'alpha-1-glycoprotéine acide. La naloxone traverse le placenta (à prendre en compte en cas d'administration à la femme enceinte).</w:t>
      </w:r>
    </w:p>
    <w:p>
      <w:r/>
      <w:r>
        <w:rPr>
          <w:b/>
        </w:rPr>
        <w:t>Métabolisme</w:t>
      </w:r>
      <w:r>
        <w:t xml:space="preserve"> : la naloxone est métabolisée à 95 % par le foie, principalement par conjugaison glucuronide (UGT2B7) en naloxone-3-glucuronide, métabolite inactif. Une voie mineure de N-désallylation par le CYP3A4 produit la noroxymorphone, elle aussi inactive. Le premier passage hépatique est très intense (&gt; 95 %), ce qui explique la quasi-inactivité de la voie orale.</w:t>
      </w:r>
    </w:p>
    <w:p>
      <w:r/>
      <w:r>
        <w:rPr>
          <w:b/>
        </w:rPr>
        <w:t>Élimination</w:t>
      </w:r>
      <w:r>
        <w:t xml:space="preserve"> : l'élimination est essentiellement urinaire (70-80 %) sous forme de métabolites glucuroconjugués inactifs, et fécale (10-20 %). La clairance totale est élevée, environ 25-30 mL/min/kg, reflétant une clairance hépatique élevée et un débit sanguin hépatique dépendant. La </w:t>
      </w:r>
      <w:r>
        <w:rPr>
          <w:b/>
        </w:rPr>
        <w:t>demi-vie d'élimination terminale est courte, comprise entre 30 et 90 minutes</w:t>
      </w:r>
      <w:r>
        <w:t xml:space="preserve"> (moyenne 60 minutes). Cette demi-vie est inférieure à celle de la plupart des opioïdes à antagoniser :</w:t>
      </w:r>
    </w:p>
    <w:p>
      <w:pPr>
        <w:pStyle w:val="ListBullet"/>
      </w:pPr>
      <w:r>
        <w:t>Morphine : 2-4 heures (métabolite actif M6G : 4-6 heures).</w:t>
      </w:r>
    </w:p>
    <w:p>
      <w:pPr>
        <w:pStyle w:val="ListBullet"/>
      </w:pPr>
      <w:r>
        <w:t>Fentanyl : 3-5 heures (dépôt tissulaire avec libération prolongée, jusqu'à 24h en cas d'usage transdermique).</w:t>
      </w:r>
    </w:p>
    <w:p>
      <w:pPr>
        <w:pStyle w:val="ListBullet"/>
      </w:pPr>
      <w:r>
        <w:t>Sufentanil : 2-3 heures.</w:t>
      </w:r>
    </w:p>
    <w:p>
      <w:pPr>
        <w:pStyle w:val="ListBullet"/>
      </w:pPr>
      <w:r>
        <w:t>Rémifentanil : 10-20 minutes (mais effet context-sensitive), peu concerné par la naloxone.</w:t>
      </w:r>
    </w:p>
    <w:p>
      <w:pPr>
        <w:pStyle w:val="ListBullet"/>
      </w:pPr>
      <w:r>
        <w:t>Méthadone : 24-36 heures (parfois jusqu'à 60 heures).</w:t>
      </w:r>
    </w:p>
    <w:p>
      <w:pPr>
        <w:pStyle w:val="ListBullet"/>
      </w:pPr>
      <w:r>
        <w:t>Buprénorphine : 20-40 heures (agoniste partiel, antagonisation difficile, peut nécessiter doses massives de naloxone).</w:t>
      </w:r>
    </w:p>
    <w:p>
      <w:pPr>
        <w:pStyle w:val="ListBullet"/>
      </w:pPr>
      <w:r>
        <w:t>Oxycodone : 3-5 heures (forme LP : 4-6 heures, dépôt prolongé).</w:t>
      </w:r>
    </w:p>
    <w:p>
      <w:pPr>
        <w:pStyle w:val="ListBullet"/>
      </w:pPr>
      <w:r>
        <w:t>Héroïne (diacétylmorphine) : 2-3 minutes (prodrogue), mais métabolites actifs (6-MAM, morphine) : 2-4 heures.</w:t>
      </w:r>
    </w:p>
    <w:p>
      <w:r>
        <w:t xml:space="preserve">La discordance entre la demi-vie courte de la naloxone et la demi-vie longue des opioïdes expose à la </w:t>
      </w:r>
      <w:r>
        <w:rPr>
          <w:b/>
        </w:rPr>
        <w:t>renarcotisation secondaire</w:t>
      </w:r>
      <w:r>
        <w:t xml:space="preserve"> : la naloxone est éliminée en 1-2 heures, mais l'opioïde agoniste circule encore, et la dépression respiratoire peut réapparaître. Ce phénomène est particulièrement redouté avec les opioïdes longue durée (méthadone, fentanyl transdermique, oxycodone LP).</w:t>
      </w:r>
    </w:p>
    <w:p>
      <w:r/>
      <w:r>
        <w:rPr>
          <w:b/>
        </w:rPr>
        <w:t>Linéarité</w:t>
      </w:r>
      <w:r>
        <w:t xml:space="preserve"> : la pharmacocinétique est linéaire aux doses thérapeutiques. À très fortes doses (10-20 mg en cas d'overdose massive au fentanyl), une demi-vie apparente prolongée peut être observée en raison de la saturation des sites de distribution tissulaire, mais le mécanisme principal reste une élimination de premier ordre.</w:t>
      </w:r>
    </w:p>
    <w:p>
      <w:r/>
      <w:r>
        <w:rPr>
          <w:b/>
        </w:rPr>
        <w:t>Suivi thérapeutique pharmacologique</w:t>
      </w:r>
      <w:r>
        <w:t xml:space="preserve"> : non pertinent (la naloxone est un antidote d'action immédiate, et son effet est cliniquement mesurable : fréquence respiratoire, SpO₂, score de Glasgow, mydriase). Il n'y a pas de dosage plasmatique de routine.</w:t>
      </w:r>
    </w:p>
    <w:p>
      <w:pPr>
        <w:pStyle w:val="Heading4"/>
      </w:pPr>
      <w:r>
        <w:t>183.1.1.5 Indications thérapeutiques</w:t>
      </w:r>
    </w:p>
    <w:p>
      <w:r>
        <w:t>Les indications validées de la naloxone sont :</w:t>
      </w:r>
    </w:p>
    <w:p>
      <w:pPr>
        <w:pStyle w:val="ListNumber"/>
      </w:pPr>
      <w:r/>
      <w:r>
        <w:rPr>
          <w:b/>
        </w:rPr>
        <w:t>Dépression respiratoire induite par les opioïdes en anesthésie</w:t>
      </w:r>
      <w:r>
        <w:t xml:space="preserve"> :</w:t>
      </w:r>
    </w:p>
    <w:p>
      <w:pPr>
        <w:pStyle w:val="ListBullet"/>
      </w:pPr>
      <w:r>
        <w:t>En per-opératoire : surdosage accidentel en morphiniques (fentanyl, sufentanil, rémifentanil, morphine) ; dépression respiratoire résiduelle en salle de réveil (bradypnée &lt; 8/min, SpO₂ &lt; 92 %, sédation profonde).</w:t>
      </w:r>
    </w:p>
    <w:p>
      <w:pPr>
        <w:pStyle w:val="ListBullet"/>
      </w:pPr>
      <w:r>
        <w:t>Posologie : titration IV par bolus de 40 à 100 µg (0,1 à 0,25 mL de solution à 0,4 mg/mL) toutes les 2-3 minutes jusqu'à obtention d'une fréquence respiratoire ≥ 12/min, d'une SpO₂ ≥ 95 %, et d'un réveil clinique suffisant (ouverture des yeux, obéissance aux ordres simples).</w:t>
      </w:r>
    </w:p>
    <w:p>
      <w:pPr>
        <w:pStyle w:val="ListBullet"/>
      </w:pPr>
      <w:r>
        <w:t>Le réveil complet n'est pas toujours souhaitable (risque de douleur aiguë sévère par levée brutale de l'analgésie opioïde) ; on cherche à obtenir une ventilation adéquate sans lever complètement l'analgésie.</w:t>
      </w:r>
    </w:p>
    <w:p>
      <w:pPr>
        <w:pStyle w:val="ListNumber"/>
      </w:pPr>
      <w:r/>
      <w:r>
        <w:rPr>
          <w:b/>
        </w:rPr>
        <w:t>Overdose opioïde aiguë</w:t>
      </w:r>
      <w:r>
        <w:t xml:space="preserve"> :</w:t>
      </w:r>
    </w:p>
    <w:p>
      <w:pPr>
        <w:pStyle w:val="ListBullet"/>
      </w:pPr>
      <w:r>
        <w:t>Aux urgences et en pré-hospitalier : overdose d'héroïne, de fentanyl illicite, de méthadone, d'oxycodone, de morphine, de buprénorphine. Signes : coma (score de Glasgow ≤ 8), myosis en pinpoint (≤ 2 mm), bradypnée (&lt; 10/min) ou apnée, cyanose, hypoxie (SpO₂ &lt; 90 %), parfois œdème pulmonaire non cardiogénique.</w:t>
      </w:r>
    </w:p>
    <w:p>
      <w:pPr>
        <w:pStyle w:val="ListBullet"/>
      </w:pPr>
      <w:r>
        <w:t>Posologie : bolus IV de 0,4 à 2 mg (1 à 5 mL de solution à 0,4 mg/mL), répétés toutes les 2-3 minutes jusqu'à obtention d'une ventilation spontanée adéquate. Dose maximale cumulative : 10 mg en cas d'overdose massive (notamment fentanyl illicite, où des doses supérieures à 10 mg peuvent être nécessaires).</w:t>
      </w:r>
    </w:p>
    <w:p>
      <w:pPr>
        <w:pStyle w:val="ListBullet"/>
      </w:pPr>
      <w:r>
        <w:t>Si pas de voie veineuse accessible : IM ou SC à la même dose (effet retardé de 2-5 minutes).</w:t>
      </w:r>
    </w:p>
    <w:p>
      <w:pPr>
        <w:pStyle w:val="ListBullet"/>
      </w:pPr>
      <w:r>
        <w:t>En cas d'overdose par opioïde longue durée (méthadone, fentanyl transdermique, oxycodone LP) : perfusion continue de naloxone à 0,4 à 0,8 mg/h, soit 2/3 de la dose efficace initiale par heure, pendant 12 à 24 heures selon l'opioïde en cause.</w:t>
      </w:r>
    </w:p>
    <w:p>
      <w:pPr>
        <w:pStyle w:val="ListNumber"/>
      </w:pPr>
      <w:r/>
      <w:r>
        <w:rPr>
          <w:b/>
        </w:rPr>
        <w:t>Dépression respiratoire néonatale par opioïdes maternels</w:t>
      </w:r>
      <w:r>
        <w:t xml:space="preserve"> :</w:t>
      </w:r>
    </w:p>
    <w:p>
      <w:pPr>
        <w:pStyle w:val="ListBullet"/>
      </w:pPr>
      <w:r>
        <w:t>En cas d'administration maternelle d'opioïdes en fin de travail (analgésie péridurale par fentanyl ou sufentanil) et de dépression respiratoire néonatale persistante malgré les manœuvres de réanimation standard (ventilation au masque, intubation si nécessaire).</w:t>
      </w:r>
    </w:p>
    <w:p>
      <w:pPr>
        <w:pStyle w:val="ListBullet"/>
      </w:pPr>
      <w:r>
        <w:t>Posologie : 10 µg/kg IV (au cordon ombilical) ou IM, en une injection unique.</w:t>
      </w:r>
    </w:p>
    <w:p>
      <w:pPr>
        <w:pStyle w:val="ListBullet"/>
      </w:pPr>
      <w:r>
        <w:t>À noter : la naloxone n'est plus recommandée en première intention par l'ILCOR (2015) qui privilégie la ventilation au masque ; la naloxone garde une place en cas d'échec de la ventilation.</w:t>
      </w:r>
    </w:p>
    <w:p>
      <w:pPr>
        <w:pStyle w:val="ListNumber"/>
      </w:pPr>
      <w:r/>
      <w:r>
        <w:rPr>
          <w:b/>
        </w:rPr>
        <w:t>Test diagnostique du coma opioïde</w:t>
      </w:r>
      <w:r>
        <w:t xml:space="preserve"> :</w:t>
      </w:r>
    </w:p>
    <w:p>
      <w:pPr>
        <w:pStyle w:val="ListBullet"/>
      </w:pPr>
      <w:r>
        <w:t>Chez un patient comateux sans orientation étiologique, administration d'un bolus test de naloxone 0,4 mg IV.</w:t>
      </w:r>
    </w:p>
    <w:p>
      <w:pPr>
        <w:pStyle w:val="ListBullet"/>
      </w:pPr>
      <w:r>
        <w:t>Un test positif (réveil, mydriase, reprise ventilatoire) oriente vers une intoxication opioïde.</w:t>
      </w:r>
    </w:p>
    <w:p>
      <w:pPr>
        <w:pStyle w:val="ListBullet"/>
      </w:pPr>
      <w:r>
        <w:t>Un test négatif n'exclut pas une intoxication opioïde (en cas de co-intoxication médicamenteuse, notamment par benzodiazépines ou alcool).</w:t>
      </w:r>
    </w:p>
    <w:p>
      <w:pPr>
        <w:pStyle w:val="ListNumber"/>
      </w:pPr>
      <w:r/>
      <w:r>
        <w:rPr>
          <w:b/>
        </w:rPr>
        <w:t>Indications hors AMM</w:t>
      </w:r>
      <w:r>
        <w:t xml:space="preserve"> :</w:t>
      </w:r>
    </w:p>
    <w:p>
      <w:pPr>
        <w:pStyle w:val="ListBullet"/>
      </w:pPr>
      <w:r>
        <w:t>Prurit cholestatique réfractaire : naloxone orale ou IV à faible dose (50-100 µg/h en perfusion continue).</w:t>
      </w:r>
    </w:p>
    <w:p>
      <w:pPr>
        <w:pStyle w:val="ListBullet"/>
      </w:pPr>
      <w:r>
        <w:t>Choc septique réfractaire (indication expérimentale, non recommandée en pratique courante).</w:t>
      </w:r>
    </w:p>
    <w:p>
      <w:pPr>
        <w:pStyle w:val="ListBullet"/>
      </w:pPr>
      <w:r>
        <w:t>Prévention de l'iléus post-opératoire (naloxone orale à libération prolongée — non disponible en Algérie).</w:t>
      </w:r>
    </w:p>
    <w:p>
      <w:r>
        <w:t>Contre-indications :</w:t>
      </w:r>
    </w:p>
    <w:p>
      <w:pPr>
        <w:pStyle w:val="ListBullet"/>
      </w:pPr>
      <w:r>
        <w:t>Hypersensibilité à la naloxone (exceptionnelle).</w:t>
      </w:r>
    </w:p>
    <w:p>
      <w:pPr>
        <w:pStyle w:val="ListBullet"/>
      </w:pPr>
      <w:r>
        <w:t>Dépendance physique aux opioïdes avérée (la naloxone peut déclencher un syndrome de sevrage aigu brutal si elle est administrée à dose trop élevée) — contre-indication relative, à utiliser en titration prudente.</w:t>
      </w:r>
    </w:p>
    <w:p>
      <w:pPr>
        <w:pStyle w:val="Heading4"/>
      </w:pPr>
      <w:r>
        <w:t>183.1.1.6 Posologie et mode d'administration</w:t>
      </w:r>
    </w:p>
    <w:p>
      <w:r/>
      <w:r>
        <w:rPr>
          <w:b/>
        </w:rPr>
        <w:t>Adulte — antidotage des opioïdes en anesthésie (dépression respiratoire post-opératoire)</w:t>
      </w:r>
      <w:r>
        <w:t xml:space="preserve"> :</w:t>
      </w:r>
    </w:p>
    <w:p>
      <w:pPr>
        <w:pStyle w:val="ListBullet"/>
      </w:pPr>
      <w:r>
        <w:t>Titration IV stricte : 0,1 à 0,2 mg (1 à 2 mL de solution à 0,4 mg/mL) en bolus, répétés toutes les 2-3 minutes jusqu'à obtention d'une ventilation adéquate (fréquence respiratoire ≥ 12/min, SpO₂ ≥ 95 %). Le réveil complet n'est pas l'objectif : on cherche à restaurer la ventilation sans lever l'analgésie.</w:t>
      </w:r>
    </w:p>
    <w:p>
      <w:pPr>
        <w:pStyle w:val="ListBullet"/>
      </w:pPr>
      <w:r>
        <w:t>En cas d'opioïde longue durée (fentanyl transdermique, méthadone) : relay par perfusion continue à 0,4-0,8 mg/h.</w:t>
      </w:r>
    </w:p>
    <w:p>
      <w:r/>
      <w:r>
        <w:rPr>
          <w:b/>
        </w:rPr>
        <w:t>Adulte — overdose opioïde aiguë</w:t>
      </w:r>
      <w:r>
        <w:t xml:space="preserve"> :</w:t>
      </w:r>
    </w:p>
    <w:p>
      <w:pPr>
        <w:pStyle w:val="ListBullet"/>
      </w:pPr>
      <w:r>
        <w:t>Voie IV (cathéter périphérique ou central) : 0,4 à 0,8 mg (1-2 mL) en bolus, répétés toutes les 2-3 minutes jusqu'à obtention d'une ventilation adéquate. Dose maximale : 10 mg (25 ampoules).</w:t>
      </w:r>
    </w:p>
    <w:p>
      <w:pPr>
        <w:pStyle w:val="ListBullet"/>
      </w:pPr>
      <w:r>
        <w:t>Voie IM/SC si voie IV impossible : 0,4 à 0,8 mg, répétés toutes les 5 minutes.</w:t>
      </w:r>
    </w:p>
    <w:p>
      <w:pPr>
        <w:pStyle w:val="ListBullet"/>
      </w:pPr>
      <w:r>
        <w:t>En cas d'overdose par opioïde longue durée (méthadone, fentanyl transdermique) : perfusion continue IV à 0,4-0,8 mg/h (soit 2/3 de la dose efficace initiale par heure), à poursuivre pendant 12-24 heures selon l'évolution clinique.</w:t>
      </w:r>
    </w:p>
    <w:p>
      <w:r/>
      <w:r>
        <w:rPr>
          <w:b/>
        </w:rPr>
        <w:t>Enfant — overdose opioïde aiguë</w:t>
      </w:r>
      <w:r>
        <w:t xml:space="preserve"> :</w:t>
      </w:r>
    </w:p>
    <w:p>
      <w:pPr>
        <w:pStyle w:val="ListBullet"/>
      </w:pPr>
      <w:r>
        <w:t>Dose initiale : 0,1 mg/kg IV (ou IM/SC si voie IV impossible), sans dépasser 2 mg par dose.</w:t>
      </w:r>
    </w:p>
    <w:p>
      <w:pPr>
        <w:pStyle w:val="ListBullet"/>
      </w:pPr>
      <w:r>
        <w:t>En cas de non-réponse après 2-3 minutes : répéter à la même dose.</w:t>
      </w:r>
    </w:p>
    <w:p>
      <w:pPr>
        <w:pStyle w:val="ListBullet"/>
      </w:pPr>
      <w:r>
        <w:t>En cas de nécessité de perfusion continue : 0,4-0,8 mg/h, ajustée selon la réponse clinique.</w:t>
      </w:r>
    </w:p>
    <w:p>
      <w:r/>
      <w:r>
        <w:rPr>
          <w:b/>
        </w:rPr>
        <w:t>Nouveau-né — dépression respiratoire par opioïdes maternels</w:t>
      </w:r>
      <w:r>
        <w:t xml:space="preserve"> :</w:t>
      </w:r>
    </w:p>
    <w:p>
      <w:pPr>
        <w:pStyle w:val="ListBullet"/>
      </w:pPr>
      <w:r>
        <w:t>10 µg/kg IV au cordon ombilical, ou IM en une injection unique.</w:t>
      </w:r>
    </w:p>
    <w:p>
      <w:pPr>
        <w:pStyle w:val="ListBullet"/>
      </w:pPr>
      <w:r>
        <w:t>À répéter une fois si nécessaire, mais en général l'effet est rapide.</w:t>
      </w:r>
    </w:p>
    <w:p>
      <w:r/>
      <w:r>
        <w:rPr>
          <w:b/>
        </w:rPr>
        <w:t>Sujet âgé — pas d'adaptation posologique systématique</w:t>
      </w:r>
      <w:r>
        <w:t xml:space="preserve"> :</w:t>
      </w:r>
    </w:p>
    <w:p>
      <w:pPr>
        <w:pStyle w:val="ListBullet"/>
      </w:pPr>
      <w:r>
        <w:t>Cependant, en raison du risque cardiovasculaire (poussée hypertensive, troubles du rythme), la titration prudente par bolus de 0,04 à 0,1 mg est recommandée chez le sujet âgé ou coronarien.</w:t>
      </w:r>
    </w:p>
    <w:p>
      <w:r/>
      <w:r>
        <w:rPr>
          <w:b/>
        </w:rPr>
        <w:t>Insuffisance hépatique</w:t>
      </w:r>
      <w:r>
        <w:t xml:space="preserve"> :</w:t>
      </w:r>
    </w:p>
    <w:p>
      <w:pPr>
        <w:pStyle w:val="ListBullet"/>
      </w:pPr>
      <w:r>
        <w:t>La naloxone est métabolisée par le foie ; en cas d'insuffisance hépatique sévère (cirrhose décompensée), la demi-vie peut être allongée, justifiant une surveillance prolongée et une adaptation des doses de perfusion continue (réduction de moitié).</w:t>
      </w:r>
    </w:p>
    <w:p>
      <w:r/>
      <w:r>
        <w:rPr>
          <w:b/>
        </w:rPr>
        <w:t>Insuffisance rénale</w:t>
      </w:r>
      <w:r>
        <w:t xml:space="preserve"> :</w:t>
      </w:r>
    </w:p>
    <w:p>
      <w:pPr>
        <w:pStyle w:val="ListBullet"/>
      </w:pPr>
      <w:r>
        <w:t>Aucune adaptation posologique nécessaire (les métabolites sont inactifs).</w:t>
      </w:r>
    </w:p>
    <w:p>
      <w:r/>
      <w:r>
        <w:rPr>
          <w:b/>
        </w:rPr>
        <w:t>Mode d'administration</w:t>
      </w:r>
      <w:r>
        <w:t xml:space="preserve"> :</w:t>
      </w:r>
    </w:p>
    <w:p>
      <w:pPr>
        <w:pStyle w:val="ListBullet"/>
      </w:pPr>
      <w:r>
        <w:t>La naloxone peut être administrée pure (IV directe, IM, SC) ou diluée dans une solution de perfusion (chlorure de sodium 0,9 % ou glucosé 5 %) pour administration prolongée.</w:t>
      </w:r>
    </w:p>
    <w:p>
      <w:pPr>
        <w:pStyle w:val="ListBullet"/>
      </w:pPr>
      <w:r>
        <w:t>En cas d'administration IV directe, injecter lentement (sur 30 secondes à 1 minute) pour éviter une poussée hypertensive brutale.</w:t>
      </w:r>
    </w:p>
    <w:p>
      <w:pPr>
        <w:pStyle w:val="ListBullet"/>
      </w:pPr>
      <w:r>
        <w:t>La voie intranasale n'est pas disponible en Algérie.</w:t>
      </w:r>
    </w:p>
    <w:p>
      <w:r/>
      <w:r>
        <w:rPr>
          <w:b/>
        </w:rPr>
        <w:t>Surveillance</w:t>
      </w:r>
      <w:r>
        <w:t xml:space="preserve"> :</w:t>
      </w:r>
    </w:p>
    <w:p>
      <w:pPr>
        <w:pStyle w:val="ListBullet"/>
      </w:pPr>
      <w:r>
        <w:t>Fréquence respiratoire, SpO₂, score de Glasgow, diamètre pupillaire : toutes les 5 minutes pendant la première heure, puis toutes les 15 minutes pendant 2 heures, puis toutes les 30 minutes pendant 4 heures (surveillance minimale de 4-6 heures après l'antagonisation).</w:t>
      </w:r>
    </w:p>
    <w:p>
      <w:pPr>
        <w:pStyle w:val="ListBullet"/>
      </w:pPr>
      <w:r>
        <w:t>En cas d'overdose par opioïde longue durée : surveillance prolongée 12-24 heures.</w:t>
      </w:r>
    </w:p>
    <w:p>
      <w:pPr>
        <w:pStyle w:val="ListBullet"/>
      </w:pPr>
      <w:r>
        <w:t>Surveillance hémodynamique (TA, FC) à la recherche d'une poussée hypertensive, de troubles du rythme, ou de signes d'œdème pulmonaire non cardiogénique.</w:t>
      </w:r>
    </w:p>
    <w:p>
      <w:pPr>
        <w:pStyle w:val="ListBullet"/>
      </w:pPr>
      <w:r>
        <w:t>Surveillance de l'état psychiatrique à la recherche d'un syndrome de sevrage aigu (agitation, mydriase, piloéréction, nausées, vomissements, diarrhée, crampes abdominales, douleurs musculaires, larmoiement, rhinorrhée, bâillements) chez le sujet opioïdo-dépendant.</w:t>
      </w:r>
    </w:p>
    <w:p>
      <w:pPr>
        <w:pStyle w:val="Heading4"/>
      </w:pPr>
      <w:r>
        <w:t>183.1.1.7 Effets indésirables et prévention</w:t>
      </w:r>
    </w:p>
    <w:p>
      <w:r>
        <w:t>Les effets indésirables de la naloxone découlent principalement de son mécanisme d'action (levée brutale de l'analgésie et de la sédation opioïde) et de la pharmacocinétique (renarcotisation). On distingue :</w:t>
      </w:r>
    </w:p>
    <w:p>
      <w:r/>
      <w:r>
        <w:rPr>
          <w:b/>
        </w:rPr>
        <w:t>Effets indésirables liés à la levée de l'analgésie opioïde</w:t>
      </w:r>
      <w:r>
        <w:t xml:space="preserve"> :</w:t>
      </w:r>
    </w:p>
    <w:p>
      <w:pPr>
        <w:pStyle w:val="ListBullet"/>
      </w:pPr>
      <w:r/>
      <w:r>
        <w:rPr>
          <w:b/>
        </w:rPr>
        <w:t>Douleur aiguë sévère</w:t>
      </w:r>
      <w:r>
        <w:t xml:space="preserve"> : la naloxone lève brutalement l'analgésie opioïde, ce qui peut déclencher une douleur aiguë intense chez le patient opéré récent (en salle de réveil). Prévention : titration prudente par petits bolus (40 µg) pour ne lever que la dépression respiratoire sans lever l'analgésie ; associer des antalgiques non opioïdes (paracétamol, AINS) si nécessaire.</w:t>
      </w:r>
    </w:p>
    <w:p>
      <w:pPr>
        <w:pStyle w:val="ListBullet"/>
      </w:pPr>
      <w:r/>
      <w:r>
        <w:rPr>
          <w:b/>
        </w:rPr>
        <w:t>Syndrome de sevrage opioïde aigu</w:t>
      </w:r>
      <w:r>
        <w:t xml:space="preserve"> : chez le patient opioïdo-dépendant chronique (toxicomane, patient sous méthadone, patient sous opioïdes forts au long cours pour douleur chronique ou cancer), l'administration de naloxone à dose trop élevée peut déclencher un syndrome de sevrage aigu brutal, parfois violent (agitation, mydriase, piloéréction, nausées, vomissements, diarrhée, crampes, douleurs musculaires, tachycardie, hypertension, frissons). Prévention : titration prudente par bolus de 40 µg, en se limitant à l'objectif de restauration ventilatoire, sans chercher le réveil complet. En cas de syndrome de sevrement, traitement symptomatique (anxiolytique, antalgique non opioïde, surveillance prolongée).</w:t>
      </w:r>
    </w:p>
    <w:p>
      <w:r/>
      <w:r>
        <w:rPr>
          <w:b/>
        </w:rPr>
        <w:t>Effets indésirables cardiovasculaires</w:t>
      </w:r>
      <w:r>
        <w:t xml:space="preserve"> :</w:t>
      </w:r>
    </w:p>
    <w:p>
      <w:pPr>
        <w:pStyle w:val="ListBullet"/>
      </w:pPr>
      <w:r/>
      <w:r>
        <w:rPr>
          <w:b/>
        </w:rPr>
        <w:t>Poussée hypertensive paroxystique</w:t>
      </w:r>
      <w:r>
        <w:t xml:space="preserve"> : la levée brutale de la sédation opioïde peut provoquer une poussée catécholaminergique avec hypertension artérielle sévère, parfois avec troubles du rythme (tachycardie sinusale, extrasystoles, rarement fibrillation ventriculaire). Prévention : titration prudente chez le sujet âgé, le coronarien, l'hypertendu ; surveillance hémodynamique continue.</w:t>
      </w:r>
    </w:p>
    <w:p>
      <w:pPr>
        <w:pStyle w:val="ListBullet"/>
      </w:pPr>
      <w:r/>
      <w:r>
        <w:rPr>
          <w:b/>
        </w:rPr>
        <w:t>Œdème pulmonaire non cardiogénique</w:t>
      </w:r>
      <w:r>
        <w:t xml:space="preserve"> : décrit dans 1 à 2 % des cas d'antagonisation d'overdose opioïde (surtout héroïne), il survient dans les minutes à heures après la naloxone. Mécanisme hypothétique : libération catécholaminergique massive avec hypertension capillaire pulmonaire et augmentation de la perméabilité alvéolo-capillaire. Traitement symptomatique : oxygène, ventilation non invasive, parfois intubation.</w:t>
      </w:r>
    </w:p>
    <w:p>
      <w:r/>
      <w:r>
        <w:rPr>
          <w:b/>
        </w:rPr>
        <w:t>Effets indésirables neurologiques</w:t>
      </w:r>
      <w:r>
        <w:t xml:space="preserve"> :</w:t>
      </w:r>
    </w:p>
    <w:p>
      <w:pPr>
        <w:pStyle w:val="ListBullet"/>
      </w:pPr>
      <w:r/>
      <w:r>
        <w:rPr>
          <w:b/>
        </w:rPr>
        <w:t>Agitation, confusion, agressivité</w:t>
      </w:r>
      <w:r>
        <w:t xml:space="preserve"> : à l'inverse de la sédation, le réveil peut être agité, surtout en cas d'antagonisation brutale d'une anesthésie générale ou d'une overdose chez un toxicomane. Prévention : titration prudente ; sédation post-réveil par benzodiazépine si nécessaire.</w:t>
      </w:r>
    </w:p>
    <w:p>
      <w:pPr>
        <w:pStyle w:val="ListBullet"/>
      </w:pPr>
      <w:r/>
      <w:r>
        <w:rPr>
          <w:b/>
        </w:rPr>
        <w:t>Convulsions</w:t>
      </w:r>
      <w:r>
        <w:t xml:space="preserve"> : exceptionnelles, décrites chez l'enfant et en cas de surdosage massif. Prévention : respect des doses pédiatriques ; surveillance EEG si nécessaire.</w:t>
      </w:r>
    </w:p>
    <w:p>
      <w:r/>
      <w:r>
        <w:rPr>
          <w:b/>
        </w:rPr>
        <w:t>Effets indésirables digestifs</w:t>
      </w:r>
      <w:r>
        <w:t xml:space="preserve"> :</w:t>
      </w:r>
    </w:p>
    <w:p>
      <w:pPr>
        <w:pStyle w:val="ListBullet"/>
      </w:pPr>
      <w:r>
        <w:t>Nausées, vomissements (par levée de l'effet antiémétique opioïde) : fréquents (10-20 %). Prévention : antiémétique (dropéridol, ondansétron) si nécessaire.</w:t>
      </w:r>
    </w:p>
    <w:p>
      <w:r/>
      <w:r>
        <w:rPr>
          <w:b/>
        </w:rPr>
        <w:t>Effets indésirables allergiques</w:t>
      </w:r>
      <w:r>
        <w:t xml:space="preserve"> :</w:t>
      </w:r>
    </w:p>
    <w:p>
      <w:pPr>
        <w:pStyle w:val="ListBullet"/>
      </w:pPr>
      <w:r>
        <w:t>Hypersensibilité (urticaire, rash, rarement anaphylaxie) : exceptionnels.</w:t>
      </w:r>
    </w:p>
    <w:p>
      <w:r/>
      <w:r>
        <w:rPr>
          <w:b/>
        </w:rPr>
        <w:t>Renarcotisation secondaire</w:t>
      </w:r>
      <w:r>
        <w:t xml:space="preserve"> :</w:t>
      </w:r>
    </w:p>
    <w:p>
      <w:pPr>
        <w:pStyle w:val="ListBullet"/>
      </w:pPr>
      <w:r>
        <w:t>Phénomène pharmacocinétique : la naloxone est éliminée plus rapidement que l'opioïde à antagoniser. La dépression respiratoire peut réapparaître 30 à 90 minutes après l'antagonisation initiale apparemment efficace.</w:t>
      </w:r>
    </w:p>
    <w:p>
      <w:pPr>
        <w:pStyle w:val="ListBullet"/>
      </w:pPr>
      <w:r>
        <w:t>Particulièrement redouté avec les opioïdes longue durée (méthadone 24-36h, fentanyl transdermique 72h, oxycodone LP 12h).</w:t>
      </w:r>
    </w:p>
    <w:p>
      <w:pPr>
        <w:pStyle w:val="ListBullet"/>
      </w:pPr>
      <w:r>
        <w:t>Prévention : surveillance prolongée en milieu hospitalier pendant 4-6 heures après antagonisation (au minimum), et 12-24 heures en cas d'overdose par opioïde longue durée ; relay par perfusion continue de naloxone si nécessaire.</w:t>
      </w:r>
    </w:p>
    <w:p>
      <w:r/>
      <w:r>
        <w:rPr>
          <w:b/>
        </w:rPr>
        <w:t>Prévention générale</w:t>
      </w:r>
      <w:r>
        <w:t xml:space="preserve"> :</w:t>
      </w:r>
    </w:p>
    <w:p>
      <w:pPr>
        <w:pStyle w:val="ListBullet"/>
      </w:pPr>
      <w:r>
        <w:t>Toujours administrer la naloxone en titration prudente par petits bolus, en se limitant à l'objectif thérapeutique (restauration ventilatoire).</w:t>
      </w:r>
    </w:p>
    <w:p>
      <w:pPr>
        <w:pStyle w:val="ListBullet"/>
      </w:pPr>
      <w:r>
        <w:t>Éviter l'administration d'une dose massive d'emblée (risque de sevrement, hypertension, agitation).</w:t>
      </w:r>
    </w:p>
    <w:p>
      <w:pPr>
        <w:pStyle w:val="ListBullet"/>
      </w:pPr>
      <w:r>
        <w:t>Surveillance prolongée systématique après antagonisation.</w:t>
      </w:r>
    </w:p>
    <w:p>
      <w:pPr>
        <w:pStyle w:val="ListBullet"/>
      </w:pPr>
      <w:r>
        <w:t>Informer le patient et l'entourage du risque de renarcotisation et de la nécessité de surveillance hospitalière.</w:t>
      </w:r>
    </w:p>
    <w:p>
      <w:pPr>
        <w:pStyle w:val="Heading4"/>
      </w:pPr>
      <w:r>
        <w:t>183.1.1.8 Interactions médicamenteuses</w:t>
      </w:r>
    </w:p>
    <w:p>
      <w:r>
        <w:t>Les interactions de la naloxone sont limitées mais importantes à connaître :</w:t>
      </w:r>
    </w:p>
    <w:p>
      <w:r/>
      <w:r>
        <w:rPr>
          <w:b/>
        </w:rPr>
        <w:t>Interactions pharmacodynamiques</w:t>
      </w:r>
      <w:r>
        <w:t xml:space="preserve"> :</w:t>
      </w:r>
    </w:p>
    <w:p>
      <w:pPr>
        <w:pStyle w:val="ListBullet"/>
      </w:pPr>
      <w:r/>
      <w:r>
        <w:rPr>
          <w:b/>
        </w:rPr>
        <w:t>Opioïdes agonistes</w:t>
      </w:r>
      <w:r>
        <w:t xml:space="preserve"> (morphine, fentanyl, sufentanil, rémifentanil, alfentanil, méthadone, oxycodone, codéine, héroïne, hydromorphone, buprénorphine, tramadol) : antagonisation compétitive avec levée de l'analgésie, de la sédation et de la dépression respiratoire. C'est l'effet recherché en cas de surdosage, mais l'effet est indésirable en cas d'analgésie contrôlée (patient sous PCA morphine en post-opératoire : la naloxone lève l'analgésie).</w:t>
      </w:r>
    </w:p>
    <w:p>
      <w:pPr>
        <w:pStyle w:val="ListBullet"/>
      </w:pPr>
      <w:r/>
      <w:r>
        <w:rPr>
          <w:b/>
        </w:rPr>
        <w:t>Opioïdes agonistes partiels</w:t>
      </w:r>
      <w:r>
        <w:t xml:space="preserve"> (buprénorphine) : la buprénorphine a une affinité très élevée pour le récepteur μ (Ki ≈ 0,5 nM, supérieure à celle de la naloxone) mais une activité intrinsèque faible. L'antagonisation de la buprénorphine par la naloxone est difficile et peut nécessiter des doses supérieures (jusqu'à 10 mg).</w:t>
      </w:r>
    </w:p>
    <w:p>
      <w:pPr>
        <w:pStyle w:val="ListBullet"/>
      </w:pPr>
      <w:r/>
      <w:r>
        <w:rPr>
          <w:b/>
        </w:rPr>
        <w:t>Tramadol</w:t>
      </w:r>
      <w:r>
        <w:t xml:space="preserve"> : la naloxone antagonise l'effet μ mais ne bloque pas l'effet monoaminergique (inhibition recapture sérotonine/noradrénaline) ; risque de syndrome sérotoninergique si le tramadol est associé à d'autres sérotoninergiques.</w:t>
      </w:r>
    </w:p>
    <w:p>
      <w:pPr>
        <w:pStyle w:val="ListBullet"/>
      </w:pPr>
      <w:r/>
      <w:r>
        <w:rPr>
          <w:b/>
        </w:rPr>
        <w:t>Agonistes-antagonistes mixtes</w:t>
      </w:r>
      <w:r>
        <w:t xml:space="preserve"> (pentazocine, nalbuphine, butorphanol) : la naloxone antagonise la composante agoniste μ, mais ces molécules ont également des effets κ qui peuvent persister.</w:t>
      </w:r>
    </w:p>
    <w:p>
      <w:pPr>
        <w:pStyle w:val="ListBullet"/>
      </w:pPr>
      <w:r/>
      <w:r>
        <w:rPr>
          <w:b/>
        </w:rPr>
        <w:t>Dépresseurs du SNC non opioïdes</w:t>
      </w:r>
      <w:r>
        <w:t xml:space="preserve"> : la naloxone n'antagonise pas les benzodiazépines (le flumazénil, non disponible en Algérie, est l'antidote des benzodiazépines), l'alcool, les barbituriques, les anesthésiques généraux (propofol, étomidate, kétamine), les anesthésiques volatils (sévoflurane, desflurane, isoflurane). Chez un patient comateux par co-intoxication (opioïde + benzodiazépine + alcool), la naloxone ne réveille que la composante opioïde, et la dépression respiratoire peut persister par la composante non opioïde.</w:t>
      </w:r>
    </w:p>
    <w:p>
      <w:r/>
      <w:r>
        <w:rPr>
          <w:b/>
        </w:rPr>
        <w:t>Interactions pharmacocinétiques</w:t>
      </w:r>
      <w:r>
        <w:t xml:space="preserve"> :</w:t>
      </w:r>
    </w:p>
    <w:p>
      <w:pPr>
        <w:pStyle w:val="ListBullet"/>
      </w:pPr>
      <w:r>
        <w:t>Peu pertinentes en pratique clinique courante, compte tenu de la brièveté d'action et de l'usage ponctuel de la naloxone.</w:t>
      </w:r>
    </w:p>
    <w:p>
      <w:pPr>
        <w:pStyle w:val="ListBullet"/>
      </w:pPr>
      <w:r>
        <w:t>Le métabolisme hépatique UGT2B7 pourrait théoriquement être modifié par les inducteurs (rifampicine, phénobarbital) ou les inhibiteurs (valproate, probénécide), mais cela n'a pas d'impact clinique en aigu.</w:t>
      </w:r>
    </w:p>
    <w:p>
      <w:r/>
      <w:r>
        <w:rPr>
          <w:b/>
        </w:rPr>
        <w:t>Associations à risque particulier</w:t>
      </w:r>
      <w:r>
        <w:t xml:space="preserve"> :</w:t>
      </w:r>
    </w:p>
    <w:p>
      <w:pPr>
        <w:pStyle w:val="ListBullet"/>
      </w:pPr>
      <w:r>
        <w:t>Naloxone + dropéridol ou neuroleptiques : risque d'agitation paradoxale, de dystonie.</w:t>
      </w:r>
    </w:p>
    <w:p>
      <w:pPr>
        <w:pStyle w:val="ListBullet"/>
      </w:pPr>
      <w:r>
        <w:t>Naloxone + IMAO : risque d'hypertension paroxystique (rare, en raison de la levée de la dépression opioïde associée à une hypersensibilité catécholaminergique sous IMAO).</w:t>
      </w:r>
    </w:p>
    <w:p>
      <w:pPr>
        <w:pStyle w:val="ListBullet"/>
      </w:pPr>
      <w:r>
        <w:t>Naloxone + alpha-2 agonistes centraux (clonidine, dexmédétomidine) : la naloxone ne bloque pas l'effet sédatif des alpha-2 agonistes, mais une légère antagonisation a été rapportée.</w:t>
      </w:r>
    </w:p>
    <w:p>
      <w:r/>
      <w:r>
        <w:rPr>
          <w:b/>
        </w:rPr>
        <w:t>À noter</w:t>
      </w:r>
      <w:r>
        <w:t xml:space="preserve"> : la naloxone ne doit pas être administrée à un patient sous agoniste-antagoniste partiel (buprénorphine en cours) pour rechercher un coma opioïde : risque de précipiter un syndrome de sevrement.</w:t>
      </w:r>
    </w:p>
    <w:p>
      <w:pPr>
        <w:pStyle w:val="Heading4"/>
      </w:pPr>
      <w:r>
        <w:t>183.1.1.9 Grossesse, allaitement et CRAT</w:t>
      </w:r>
    </w:p>
    <w:p>
      <w:r/>
      <w:r>
        <w:rPr>
          <w:b/>
        </w:rPr>
        <w:t>Grossesse</w:t>
      </w:r>
      <w:r>
        <w:t xml:space="preserve"> : la naloxone est </w:t>
      </w:r>
      <w:r>
        <w:rPr>
          <w:b/>
        </w:rPr>
        <w:t>compatible avec la grossesse à tous les trimestres</w:t>
      </w:r>
      <w:r>
        <w:t>, selon les données du CRAT (Centre de Renseignement sur les Agents Tératogènes) et les recommandations internationales. La molécule traverse le placenta (lipophile, faible poids moléculaire), mais aucun effet tératogène n'a été rapporté chez l'animal ni chez l'humain. La naloxone est utilisée sans restriction particulière :</w:t>
      </w:r>
    </w:p>
    <w:p>
      <w:pPr>
        <w:pStyle w:val="ListBullet"/>
      </w:pPr>
      <w:r>
        <w:t>En cas d'overdose opioïde chez la femme enceinte : la naloxone est indiquée pour réanimation maternelle (priorité à la mère). Le bénéfice maternel prime sur tout risque fœtal théorique.</w:t>
      </w:r>
    </w:p>
    <w:p>
      <w:pPr>
        <w:pStyle w:val="ListBullet"/>
      </w:pPr>
      <w:r>
        <w:t>En anesthésie pour césarienne ou accouchement sous anesthésie péridurale avec opioïdes : la naloxone peut être utilisée en cas de dépression respiratoire maternelle, mais elle est contre-indiquée chez la femme enceinte présentant une dépendance opioïde chronique (risque de syndrome de sevrement aigu maternel et fœtal).</w:t>
      </w:r>
    </w:p>
    <w:p>
      <w:pPr>
        <w:pStyle w:val="ListBullet"/>
      </w:pPr>
      <w:r>
        <w:t>Pour la réanimation du nouveau-né en salle de naissance : la naloxone néonatale (10 µg/kg IM ou IV au cordon) a longtemps été utilisée en cas de dépression respiratoire néonatale par opioïdes maternels. Cependant, l'ILCOR (International Liaison Committee on Resuscitation) recommande désormais la ventilation au masque en première intention, et la naloxone n'est indiquée qu'en cas d'échec de la ventilation, en raison de possibles effets cardiovasculaires (hypertension pulmonaire persistante du nouveau-né).</w:t>
      </w:r>
    </w:p>
    <w:p>
      <w:r/>
      <w:r>
        <w:rPr>
          <w:b/>
        </w:rPr>
        <w:t>Allaitement</w:t>
      </w:r>
      <w:r>
        <w:t xml:space="preserve"> : la naloxone est excrétée dans le lait maternel en très faible quantité (faible biodisponibilité orale, métabolisme de premier passage hépatique massif &gt; 95 %), et la fraction ingérée par le nouveau-né est inactivée. L'allaitement est donc </w:t>
      </w:r>
      <w:r>
        <w:rPr>
          <w:b/>
        </w:rPr>
        <w:t>compatible</w:t>
      </w:r>
      <w:r>
        <w:t xml:space="preserve"> avec l'administration ponctuelle de naloxone à la mère. En cas d'administration répétée ou prolongée, surveiller la sédation et la prise de poids du nouveau-né par mesure de précaution.</w:t>
      </w:r>
    </w:p>
    <w:p>
      <w:r/>
      <w:r>
        <w:rPr>
          <w:b/>
        </w:rPr>
        <w:t>Femme en âge de procréer</w:t>
      </w:r>
      <w:r>
        <w:t xml:space="preserve"> : pas de précaution particulière. La naloxone n'a pas d'effet contraceptif et n'interagit pas avec les contraceptifs oraux estroprogestatifs (à la différence du sugammadex, voir section correspondante).</w:t>
      </w:r>
    </w:p>
    <w:p>
      <w:r/>
      <w:r>
        <w:rPr>
          <w:b/>
        </w:rPr>
        <w:t>Conduite à tenir en pratique</w:t>
      </w:r>
      <w:r>
        <w:t xml:space="preserve"> :</w:t>
      </w:r>
    </w:p>
    <w:p>
      <w:pPr>
        <w:pStyle w:val="ListBullet"/>
      </w:pPr>
      <w:r>
        <w:t>Femme enceinte en overdose opioïde : administrer la naloxone sans délai (priorité maternelle).</w:t>
      </w:r>
    </w:p>
    <w:p>
      <w:pPr>
        <w:pStyle w:val="ListBullet"/>
      </w:pPr>
      <w:r>
        <w:t>Femme enceinte dépendante aux opioïdes : titration prudente pour éviter le syndrome de sevrement (qui peut provoquer une menace d'accouchement prématuré, une mort fœtale in utero).</w:t>
      </w:r>
    </w:p>
    <w:p>
      <w:pPr>
        <w:pStyle w:val="ListBullet"/>
      </w:pPr>
      <w:r>
        <w:t>Femme enceinte sous analgésie péridurale par opioïdes avec dépression respiratoire : naloxone en titration prudente.</w:t>
      </w:r>
    </w:p>
    <w:p>
      <w:pPr>
        <w:pStyle w:val="ListBullet"/>
      </w:pPr>
      <w:r>
        <w:t>Femme qui allaite : pas de contre-indication à l'administration ponctuelle de naloxone.</w:t>
      </w:r>
    </w:p>
    <w:p>
      <w:pPr>
        <w:pStyle w:val="Heading4"/>
      </w:pPr>
      <w:r>
        <w:t>183.1.1.10 Arbitrage et bénéfices des formes galéniques</w:t>
      </w:r>
    </w:p>
    <w:p>
      <w:r>
        <w:t xml:space="preserve">En Algérie, la seule forme galénique disponible de naloxone est la </w:t>
      </w:r>
      <w:r>
        <w:rPr>
          <w:b/>
        </w:rPr>
        <w:t>solution injectable à 0,4 mg/mL en ampoule de 1 mL</w:t>
      </w:r>
      <w:r>
        <w:t xml:space="preserve"> (Naloxone Mylan, Mylan SAS). Cette présentation est polyvalente et permet l'administration par voie IV, IM ou SC.</w:t>
      </w:r>
    </w:p>
    <w:p>
      <w:r/>
      <w:r>
        <w:rPr>
          <w:b/>
        </w:rPr>
        <w:t>Avantages de la forme injectable ampoule</w:t>
      </w:r>
      <w:r>
        <w:t xml:space="preserve"> :</w:t>
      </w:r>
    </w:p>
    <w:p>
      <w:pPr>
        <w:pStyle w:val="ListBullet"/>
      </w:pPr>
      <w:r>
        <w:t>Polyvalence des voies (IV, IM, SC) selon les situations cliniques et l'accessibilité veineuse.</w:t>
      </w:r>
    </w:p>
    <w:p>
      <w:pPr>
        <w:pStyle w:val="ListBullet"/>
      </w:pPr>
      <w:r>
        <w:t>Concentration standardisée (0,4 mg/mL) permettant une titration fine par paliers de 0,1 mL (= 40 µg), 0,25 mL (= 100 µg), 0,5 mL (= 200 µg), ou 1 mL (= 400 µg = 0,4 mg).</w:t>
      </w:r>
    </w:p>
    <w:p>
      <w:pPr>
        <w:pStyle w:val="ListBullet"/>
      </w:pPr>
      <w:r>
        <w:t>Coût modéré (médicament générique ancien).</w:t>
      </w:r>
    </w:p>
    <w:p>
      <w:pPr>
        <w:pStyle w:val="ListBullet"/>
      </w:pPr>
      <w:r>
        <w:t>Stabilité à température ambiante (15-25 °C), conservation 3 ans.</w:t>
      </w:r>
    </w:p>
    <w:p>
      <w:pPr>
        <w:pStyle w:val="ListBullet"/>
      </w:pPr>
      <w:r>
        <w:t>Présence dans tous les chariots d'urgence et toutes les trousses d'urgence Smur.</w:t>
      </w:r>
    </w:p>
    <w:p>
      <w:r/>
      <w:r>
        <w:rPr>
          <w:b/>
        </w:rPr>
        <w:t>Inconvénients de la forme injectable ampoule</w:t>
      </w:r>
      <w:r>
        <w:t xml:space="preserve"> :</w:t>
      </w:r>
    </w:p>
    <w:p>
      <w:pPr>
        <w:pStyle w:val="ListBullet"/>
      </w:pPr>
      <w:r>
        <w:t>Nécessite un personnel formé à l'injection IV, IM ou SC.</w:t>
      </w:r>
    </w:p>
    <w:p>
      <w:pPr>
        <w:pStyle w:val="ListBullet"/>
      </w:pPr>
      <w:r>
        <w:t>Cassabilité de l'ampoule verre (risque de coupure).</w:t>
      </w:r>
    </w:p>
    <w:p>
      <w:pPr>
        <w:pStyle w:val="ListBullet"/>
      </w:pPr>
      <w:r>
        <w:t>Absence de forme intranasale, ce qui limite l'usage pré-hospitalier communautaire (distribution aux témoins d'overdose).</w:t>
      </w:r>
    </w:p>
    <w:p>
      <w:r/>
      <w:r>
        <w:rPr>
          <w:b/>
        </w:rPr>
        <w:t>Formes galéniques non disponibles en Algérie</w:t>
      </w:r>
      <w:r>
        <w:t xml:space="preserve"> :</w:t>
      </w:r>
    </w:p>
    <w:p>
      <w:pPr>
        <w:pStyle w:val="ListBullet"/>
      </w:pPr>
      <w:r/>
      <w:r>
        <w:rPr>
          <w:b/>
        </w:rPr>
        <w:t>Naloxone intranasale</w:t>
      </w:r>
      <w:r>
        <w:t xml:space="preserve"> (NARCAN 4 mg/dose, Adapt Pharma ; NALOXONE EG) : développée pour la distribution aux témoins d'overdose opioïde (programmes de réduction des risques). Biodisponibilité 50 % par rapport à la voie IV, délai d'action 2-5 minutes. Cette forme a révolutionné la prise en charge pré-hospitalière de l'overdose aux États-Unis (plus de 100 000 vies sauvées depuis 2010 selon le CDC) mais n'est pas inscrite à la nomenclature algérienne.</w:t>
      </w:r>
    </w:p>
    <w:p>
      <w:pPr>
        <w:pStyle w:val="ListBullet"/>
      </w:pPr>
      <w:r/>
      <w:r>
        <w:rPr>
          <w:b/>
        </w:rPr>
        <w:t>Auto-injecteur EVZIO</w:t>
      </w:r>
      <w:r>
        <w:t xml:space="preserve"> (Kaleo, 0,4 mg/dose) : dispositif d'auto-injection IM pour usage par les témoins d'overdose (famille, amis). Non disponible en Algérie.</w:t>
      </w:r>
    </w:p>
    <w:p>
      <w:pPr>
        <w:pStyle w:val="ListBullet"/>
      </w:pPr>
      <w:r/>
      <w:r>
        <w:rPr>
          <w:b/>
        </w:rPr>
        <w:t>Naloxone orale à libération prolongée</w:t>
      </w:r>
      <w:r>
        <w:t xml:space="preserve"> : pour l'antagonisation périphérique seule (relistor est une méthylnaltrexone, non disponible en Algérie).</w:t>
      </w:r>
    </w:p>
    <w:p>
      <w:r/>
      <w:r>
        <w:rPr>
          <w:b/>
        </w:rPr>
        <w:t>Recommandations pour la pratique</w:t>
      </w:r>
      <w:r>
        <w:t xml:space="preserve"> :</w:t>
      </w:r>
    </w:p>
    <w:p>
      <w:pPr>
        <w:pStyle w:val="ListBullet"/>
      </w:pPr>
      <w:r>
        <w:t>En milieu hospitalier (anesthésie, urgences, réanimation) : la forme ampoule à 0,4 mg/mL est adaptée à tous les usages (titration IV, IM, SC, perfusion continue).</w:t>
      </w:r>
    </w:p>
    <w:p>
      <w:pPr>
        <w:pStyle w:val="ListBullet"/>
      </w:pPr>
      <w:r>
        <w:t>En pré-hospitalier (SMUR, médecins libéraux formés) : la même forme ampoule est utilisée.</w:t>
      </w:r>
    </w:p>
    <w:p>
      <w:pPr>
        <w:pStyle w:val="ListBullet"/>
      </w:pPr>
      <w:r>
        <w:t>En médecine de ville non formée et pour les témoins d'overdose : pas de naloxone disponible en Algérie. La naloxone intranasale devrait être inscrite à la nomenclature pour répondre à l'épidémie mondiale d'overdoses opioïdes, mais cette discussion dépasse le cadre de ce chapitre.</w:t>
      </w:r>
    </w:p>
    <w:p>
      <w:pPr>
        <w:pStyle w:val="Heading4"/>
      </w:pPr>
      <w:r>
        <w:t>183.1.1.11 Instructions et conseils au patient</w:t>
      </w:r>
    </w:p>
    <w:p>
      <w:r>
        <w:t>La naloxone est un antidote administré exclusivement par du personnel médical ou paramédical formé (anesthésistes, réanimateurs, urgentistes, infirmiers anesthésistes, infirmiers de réanimation et d'urgences, SMUR). Il n'y a pas, à proprement parler, de « conseil au patient » au comptoir de l'officine, mais plusieurs messages sont à transmettre dans le cadre de l'éducation thérapeutique :</w:t>
      </w:r>
    </w:p>
    <w:p>
      <w:r/>
      <w:r>
        <w:rPr>
          <w:b/>
        </w:rPr>
        <w:t>Au patient opioïdo-dépendant ou à son entourage (familles, assistants sociaux, médecins de ville)</w:t>
      </w:r>
      <w:r>
        <w:t xml:space="preserve"> :</w:t>
      </w:r>
    </w:p>
    <w:p>
      <w:pPr>
        <w:pStyle w:val="ListBullet"/>
      </w:pPr>
      <w:r>
        <w:t>La naloxone n'est pas délivrable en officine de ville en Algérie (à la différence de l'Europe ou de l'Amérique du Nord où elle est disponible en intranasal). Les familles qui souhaiteraient en disposer doivent en faire la demande auprès des services d'addictologie hospitaliers.</w:t>
      </w:r>
    </w:p>
    <w:p>
      <w:pPr>
        <w:pStyle w:val="ListBullet"/>
      </w:pPr>
      <w:r>
        <w:t>En cas d'overdose opioïde constatée par un témoin : appeler immédiatement le SAMU ( Algérie : numéro d'urgence 14 ou 112), pratiquer la ventilation au masque bouche-à-bouche (et surtout le massage cardiaque en cas d'arrêt cardiaque associé), en attendant l'arrivée des secours qui seuls pourront administrer la naloxone.</w:t>
      </w:r>
    </w:p>
    <w:p>
      <w:pPr>
        <w:pStyle w:val="ListBullet"/>
      </w:pPr>
      <w:r>
        <w:t>Reconnaître les signes d'overdose opioïde : inconscience, myosis en pinpoint (pupilles fines comme une tête d'épingle), bradypnée (respiration lente, &lt; 10/min), cyanose des lèvres et des extrémités, ronflement (obstruction des voies aériennes).</w:t>
      </w:r>
    </w:p>
    <w:p>
      <w:pPr>
        <w:pStyle w:val="ListBullet"/>
      </w:pPr>
      <w:r>
        <w:t>Ne JAMAIS administrer d'autres substances pour « réveiller » le patient (pas d'eau froide, pas de claques, pas d'injection de sel, pas de café, pas de淋浴 d'eau froide) : ces manœuvres sont inefficaces et dangereuses.</w:t>
      </w:r>
    </w:p>
    <w:p>
      <w:r/>
      <w:r>
        <w:rPr>
          <w:b/>
        </w:rPr>
        <w:t>Au patient en post-opératoire (récupération de la salle de réveil)</w:t>
      </w:r>
      <w:r>
        <w:t xml:space="preserve"> :</w:t>
      </w:r>
    </w:p>
    <w:p>
      <w:pPr>
        <w:pStyle w:val="ListBullet"/>
      </w:pPr>
      <w:r>
        <w:t>La naloxone est parfois administrée en fin d'anesthésie pour accélérer le réveil et lever une dépression respiratoire résiduelle. Le patient peut ressentir une douleur aiguë à ce moment-là (levée de l'analgésie opioïde) ; le signaler immédiatement à l'infirmière pour adaptation de l'analgésie post-opératoire (antalgiques non opioïdes en priorité).</w:t>
      </w:r>
    </w:p>
    <w:p>
      <w:pPr>
        <w:pStyle w:val="ListBullet"/>
      </w:pPr>
      <w:r>
        <w:t>Possible agitation, frissons, nausées dans les minutes suivant la naloxone ; ces effets sont transitoires et disparaissent en 30-60 minutes.</w:t>
      </w:r>
    </w:p>
    <w:p>
      <w:pPr>
        <w:pStyle w:val="ListBullet"/>
      </w:pPr>
      <w:r>
        <w:t>Surveillance prolongée en salle de réveil (au minimum 1-2 heures après naloxone) en raison du risque de renarcotisation.</w:t>
      </w:r>
    </w:p>
    <w:p>
      <w:r/>
      <w:r>
        <w:rPr>
          <w:b/>
        </w:rPr>
        <w:t>Au patient coronarien ou hypertendu</w:t>
      </w:r>
      <w:r>
        <w:t xml:space="preserve"> :</w:t>
      </w:r>
    </w:p>
    <w:p>
      <w:pPr>
        <w:pStyle w:val="ListBullet"/>
      </w:pPr>
      <w:r>
        <w:t>Signaler au médecin anesthésiste tout antécédent cardiovasculaire avant l'anesthésie ; la naloxone peut être administrée en titration prudente pour éviter une poussée hypertensive ou un trouble du rythme.</w:t>
      </w:r>
    </w:p>
    <w:p>
      <w:r/>
      <w:r>
        <w:rPr>
          <w:b/>
        </w:rPr>
        <w:t>À l'entourage du patient naloxoné pour overdose</w:t>
      </w:r>
      <w:r>
        <w:t xml:space="preserve"> :</w:t>
      </w:r>
    </w:p>
    <w:p>
      <w:pPr>
        <w:pStyle w:val="ListBullet"/>
      </w:pPr>
      <w:r>
        <w:t>La naloxone restaure la ventilation mais ne traite pas la cause de l'overdose (l'opioïde est toujours présent dans l'organisme). La naloxone est éliminée en 1-2 heures, mais l'opioïde peut persister plusieurs heures (héroïne, morphine) voire plusieurs dizaines d'heures (méthadone, fentanyl transdermique).</w:t>
      </w:r>
    </w:p>
    <w:p>
      <w:pPr>
        <w:pStyle w:val="ListBullet"/>
      </w:pPr>
      <w:r>
        <w:t>La dépression respiratoire peut réapparaître (renarcotisation) 30 à 90 minutes après l'antagonisation initiale apparemment efficace. C'est pourquoi une surveillance hospitalière prolongée (4-6 heures minimum, 12-24 heures pour overdose par opioïde longue durée) est obligatoire.</w:t>
      </w:r>
    </w:p>
    <w:p>
      <w:pPr>
        <w:pStyle w:val="ListBullet"/>
      </w:pPr>
      <w:r>
        <w:t>Ne jamais laisser repartir le patient à domicile dans les heures suivant la naloxone : danger de mort.</w:t>
      </w:r>
    </w:p>
    <w:p>
      <w:r/>
      <w:r>
        <w:rPr>
          <w:b/>
        </w:rPr>
        <w:t>Au patient porteur d'un narcan en pré-hospitalier</w:t>
      </w:r>
      <w:r>
        <w:t xml:space="preserve"> (dans les pays où la naloxone intranasale est disponible — pas en Algérie) :</w:t>
      </w:r>
    </w:p>
    <w:p>
      <w:pPr>
        <w:pStyle w:val="ListBullet"/>
      </w:pPr>
      <w:r>
        <w:t>Conserver le flacon à température ambiante, à l'abri de la lumière.</w:t>
      </w:r>
    </w:p>
    <w:p>
      <w:pPr>
        <w:pStyle w:val="ListBullet"/>
      </w:pPr>
      <w:r>
        <w:t>Vérifier la date de péremption tous les 6 mois.</w:t>
      </w:r>
    </w:p>
    <w:p>
      <w:pPr>
        <w:pStyle w:val="ListBullet"/>
      </w:pPr>
      <w:r>
        <w:t>Remplacer le flacon après usage, même si le patient s'est réveillé.</w:t>
      </w:r>
    </w:p>
    <w:p>
      <w:pPr>
        <w:pStyle w:val="Heading4"/>
      </w:pPr>
      <w:r>
        <w:t>183.1.1.12 Notes, règles d'or et pièges au comptoir</w:t>
      </w:r>
    </w:p>
    <w:p>
      <w:pPr>
        <w:pStyle w:val="ListNumber"/>
      </w:pPr>
      <w:r/>
      <w:r>
        <w:rPr>
          <w:b/>
        </w:rPr>
        <w:t>Demi-vie courte de la naloxone (30-90 minutes)</w:t>
      </w:r>
      <w:r>
        <w:t xml:space="preserve"> : la naloxone est éliminée plus rapidement que la plupart des opioïdes à antagoniser. Surveillance prolongée systématique après antagonisation (minimum 4-6 heures ; 12-24 heures pour overdose par méthadone, fentanyl transdermique ou oxycodone LP).</w:t>
      </w:r>
    </w:p>
    <w:p>
      <w:pPr>
        <w:pStyle w:val="ListNumber"/>
      </w:pPr>
      <w:r/>
      <w:r>
        <w:rPr>
          <w:b/>
        </w:rPr>
        <w:t>Renarcotisation secondaire possible</w:t>
      </w:r>
      <w:r>
        <w:t xml:space="preserve"> : la dépression respiratoire peut réapparaître 30-90 minutes après l'antagonisation initiale apparemment efficace. Toujours avoir une perfusion continue de naloxone prête en cas d'overdose par opioïde longue durée.</w:t>
      </w:r>
    </w:p>
    <w:p>
      <w:pPr>
        <w:pStyle w:val="ListNumber"/>
      </w:pPr>
      <w:r/>
      <w:r>
        <w:rPr>
          <w:b/>
        </w:rPr>
        <w:t>Titration IV stricte</w:t>
      </w:r>
      <w:r>
        <w:t xml:space="preserve"> : ne JAMAIS administrer une dose massive d'emblée (risque de syndrome de sevrement aigu brutal, hypertension paroxystique, agitation, œdème pulmonaire). Commencer par 40-100 µg (0,1-0,25 mL) IV et répéter toutes les 2-3 minutes selon la réponse clinique.</w:t>
      </w:r>
    </w:p>
    <w:p>
      <w:pPr>
        <w:pStyle w:val="ListNumber"/>
      </w:pPr>
      <w:r/>
      <w:r>
        <w:rPr>
          <w:b/>
        </w:rPr>
        <w:t>Risque de syndrome de sevrement opioïde aigu</w:t>
      </w:r>
      <w:r>
        <w:t xml:space="preserve"> : chez le toxicomane ou le patient sous opioïdes chroniques, la naloxone peut déclencher un sevrement aigu brutal parfois violent. Titration très prudente par 40 µg, en se limitant à l'objectif de restauration ventilatoire, sans chercher le réveil complet.</w:t>
      </w:r>
    </w:p>
    <w:p>
      <w:pPr>
        <w:pStyle w:val="ListNumber"/>
      </w:pPr>
      <w:r/>
      <w:r>
        <w:rPr>
          <w:b/>
        </w:rPr>
        <w:t>Ne pas lever l'analgésie post-opératoire</w:t>
      </w:r>
      <w:r>
        <w:t xml:space="preserve"> : en salle de réveil, l'objectif est de restaurer la ventilation, pas le réveil complet. La naloxone à dose trop élevée lève l'analgésie et déclenche une douleur aiguë sévère. Préférer de faibles doses (40-100 µg) et associer des antalgiques non opioïdes.</w:t>
      </w:r>
    </w:p>
    <w:p>
      <w:pPr>
        <w:pStyle w:val="ListNumber"/>
      </w:pPr>
      <w:r/>
      <w:r>
        <w:rPr>
          <w:b/>
        </w:rPr>
        <w:t>Poussée hypertensive paroxystique</w:t>
      </w:r>
      <w:r>
        <w:t xml:space="preserve"> : la levée brutale de la sédation opioïde peut provoquer une poussée catécholaminergique avec hypertension sévère, surtout chez le sujet âgé, le coronarien, l'hypertendu. Titration prudente et surveillance hémodynamique continue.</w:t>
      </w:r>
    </w:p>
    <w:p>
      <w:pPr>
        <w:pStyle w:val="ListNumber"/>
      </w:pPr>
      <w:r/>
      <w:r>
        <w:rPr>
          <w:b/>
        </w:rPr>
        <w:t>Œdème pulmonaire non cardiogénique</w:t>
      </w:r>
      <w:r>
        <w:t xml:space="preserve"> : décrit dans 1-2 % des cas d'antagonisation d'overdose opioïde (surtout héroïne). Surveillance SpO₂ et auscultation pulmonaire dans les heures qui suivent l'antagonisation.</w:t>
      </w:r>
    </w:p>
    <w:p>
      <w:pPr>
        <w:pStyle w:val="ListNumber"/>
      </w:pPr>
      <w:r/>
      <w:r>
        <w:rPr>
          <w:b/>
        </w:rPr>
        <w:t>Naloxone et buprénorphine</w:t>
      </w:r>
      <w:r>
        <w:t xml:space="preserve"> : la buprénorphine est un agoniste partiel de très haute affinité (supérieure à celle de la naloxone), son antagonisation est difficile et peut nécessiter des doses massives de naloxone (jusqu'à 10 mg). Toujours hospitaliser en surveillance prolongée.</w:t>
      </w:r>
    </w:p>
    <w:p>
      <w:pPr>
        <w:pStyle w:val="ListNumber"/>
      </w:pPr>
      <w:r/>
      <w:r>
        <w:rPr>
          <w:b/>
        </w:rPr>
        <w:t>Test diagnostique du coma opioïde</w:t>
      </w:r>
      <w:r>
        <w:t xml:space="preserve"> : 0,4 mg IV en bolus. Un test positif (réveil, mydriase, reprise ventilatoire) oriente vers une intoxication opioïde. Un test négatif n'exclut PAS une intoxication opioïde (en cas de co-intoxication médicamenteuse, notamment par benzodiazépines ou alcool).</w:t>
      </w:r>
    </w:p>
    <w:p>
      <w:pPr>
        <w:pStyle w:val="ListNumber"/>
      </w:pPr>
      <w:r/>
      <w:r>
        <w:rPr>
          <w:b/>
        </w:rPr>
        <w:t>Naloxone et benzodiazépines</w:t>
      </w:r>
      <w:r>
        <w:t xml:space="preserve"> : la naloxone n'antagonise PAS les benzodiazépines (le flumazénil est l'antidote, mais il n'est pas disponible en Algérie). En cas de co-intoxication opioïde + benzodiazépine, la naloxone ne réveille que la composante opioïde, et la dépression respiratoire peut persister par la composante benzodiazépine. Intubation et ventilation mécanique prolongée sont alors nécessaires.</w:t>
      </w:r>
    </w:p>
    <w:p>
      <w:pPr>
        <w:pStyle w:val="ListNumber"/>
      </w:pPr>
      <w:r/>
      <w:r>
        <w:rPr>
          <w:b/>
        </w:rPr>
        <w:t>Naloxone et alcool</w:t>
      </w:r>
      <w:r>
        <w:t xml:space="preserve"> : la naloxone n'antagonise pas l'alcool. En cas de co-intoxication opioïde + alcool, traitement symptomatique de la composante alcool.</w:t>
      </w:r>
    </w:p>
    <w:p>
      <w:pPr>
        <w:pStyle w:val="ListNumber"/>
      </w:pPr>
      <w:r/>
      <w:r>
        <w:rPr>
          <w:b/>
        </w:rPr>
        <w:t>Flumazénil ABSENT du marché algérien</w:t>
      </w:r>
      <w:r>
        <w:t xml:space="preserve"> : cette absence impose, en cas de surdosage en benzodiazépines, le recours à la ventilation mécanique prolongée en réanimation (en moyenne 12-24 heures selon la demi-vie de la benzodiazépine en cause). Le flumazénil reste l'antidote logique des benzodiazépines mais n'est pas disponible en Algérie.</w:t>
      </w:r>
    </w:p>
    <w:p>
      <w:pPr>
        <w:pStyle w:val="ListNumber"/>
      </w:pPr>
      <w:r/>
      <w:r>
        <w:rPr>
          <w:b/>
        </w:rPr>
        <w:t>Néostigmine ABSENTE du marché algérien</w:t>
      </w:r>
      <w:r>
        <w:t xml:space="preserve"> : cette absence a pour corollaire que la décurarisation pharmacologique des curares non dépolarisants repose exclusivement sur le sugammadex (pour le rocuronium et le vécuronium). Pour le cisatracurium et l'atracurium (dégradation de Hofmann spontanée), pas d'antagoniste pharmacologique disponible en Algérie.</w:t>
      </w:r>
    </w:p>
    <w:p>
      <w:pPr>
        <w:pStyle w:val="ListNumber"/>
      </w:pPr>
      <w:r/>
      <w:r>
        <w:rPr>
          <w:b/>
        </w:rPr>
        <w:t>Voie intranasale non disponible en Algérie</w:t>
      </w:r>
      <w:r>
        <w:t xml:space="preserve"> : la naloxone intranasale (NARCAN, NALOXONE EG) a révolutionné la prise en charge pré-hospitalière de l'overdose opioïde à l'étranger (distribution aux témoins), mais n'est pas inscrite à la nomenclature algérienne. Cet état de fait limite l'usage de la naloxone au personnel médical et paramédical formé.</w:t>
      </w:r>
    </w:p>
    <w:p>
      <w:pPr>
        <w:pStyle w:val="ListNumber"/>
      </w:pPr>
      <w:r/>
      <w:r>
        <w:rPr>
          <w:b/>
        </w:rPr>
        <w:t>Surveillance prolongée systématique</w:t>
      </w:r>
      <w:r>
        <w:t xml:space="preserve"> : tout patient naloxoné doit rester en surveillance hospitalière au minimum 4-6 heures (12-24 heures pour overdose par opioïde longue durée). Ne jamais laisser repartir le patient à domicile précocement.</w:t>
      </w:r>
    </w:p>
    <w:p>
      <w:pPr>
        <w:pStyle w:val="ListNumber"/>
      </w:pPr>
      <w:r/>
      <w:r>
        <w:rPr>
          <w:b/>
        </w:rPr>
        <w:t>Grossesse</w:t>
      </w:r>
      <w:r>
        <w:t xml:space="preserve"> : naloxone compatible à tous les trimestres (données CRAT). Priorité à la mère en cas d'overdose maternelle. Pour le nouveau-né en salle de naissance, privilégier la ventilation au masque selon l'ILCOR (la naloxone n'est qu'un recours en cas d'échec de la ventilation).</w:t>
      </w:r>
    </w:p>
    <w:p>
      <w:pPr>
        <w:pStyle w:val="ListNumber"/>
      </w:pPr>
      <w:r/>
      <w:r>
        <w:rPr>
          <w:b/>
        </w:rPr>
        <w:t>Rangement et accessibilité</w:t>
      </w:r>
      <w:r>
        <w:t xml:space="preserve"> : la naloxone doit être présente dans tous les chariots d'urgence, toutes les trousses d'urgence Smur, toutes les salles de réveil et tous les services d'urgences. Vérifier sa disponibilité, sa date de péremption et l'absence de trouble de la solution avant usage.</w:t>
      </w:r>
    </w:p>
    <w:p>
      <w:pPr>
        <w:pStyle w:val="ListNumber"/>
      </w:pPr>
      <w:r/>
      <w:r>
        <w:rPr>
          <w:b/>
        </w:rPr>
        <w:t>Coût de la naloxone</w:t>
      </w:r>
      <w:r>
        <w:t xml:space="preserve"> : médicament générique ancien, à coût modéré (environ 100-200 DA l'ampoule selon les années). Accessible à tous les établissements de soins.</w:t>
      </w:r>
    </w:p>
    <w:p>
      <w:pPr>
        <w:pStyle w:val="Heading2"/>
      </w:pPr>
      <w:r>
        <w:t>183.2 Sous-classe : Antagonistes des curares neuromusculaires par encapsulation (Sugammadex)</w:t>
      </w:r>
    </w:p>
    <w:p>
      <w:r>
        <w:t xml:space="preserve">L'antagonisation des curares neuromusculaires (CNMR — Curares Non Dépolarisants) est un temps essentiel de l'anesthésie moderne, dont l'objectif est de restaurer une fonction neuromusculaire normale avant l'extubation, afin d'éviter la </w:t>
      </w:r>
      <w:r>
        <w:rPr>
          <w:b/>
        </w:rPr>
        <w:t>curarisation résiduelle</w:t>
      </w:r>
      <w:r>
        <w:t xml:space="preserve"> post-opératoire. La curarisation résiduelle est une cause majeure de morbidité post-opératoire (hypoxémie, atélectasies, pneumopathies d'inhalation, détresse respiratoire aiguë) et de mortalité anesthésique. Deux approches pharmacologiques ont été historiquement utilisées pour antagoniser les CNMR :</w:t>
      </w:r>
    </w:p>
    <w:p>
      <w:pPr>
        <w:pStyle w:val="ListNumber"/>
      </w:pPr>
      <w:r/>
      <w:r>
        <w:rPr>
          <w:b/>
        </w:rPr>
        <w:t>Les anticholinestérasiques</w:t>
      </w:r>
      <w:r>
        <w:t xml:space="preserve"> (néostigmine, édrophonium) : ils inhibent l'acétylcholinestérase, augmentant la concentration d'acétylcholine au niveau de la jonction neuromusculaire, qui entre en compétition avec le curare pour le récepteur nicotinique post-synaptique. Leur limite est double : (i) ils ne peuvent antagoniser qu'un bloc profond-partiel (TOF ≥ 0,4), pas un bloc profond (PTC &lt; 1) ou post-injection de dose massive de rocuronium (intubation en séquence rapide à 1,2 mg/kg) ; (ii) ils ont des effets muscariniques parasites (bradycardie, hypersécrétion bronchique, spasmes intestinaux, myosis) qui imposent l'association à un antimuscarinique (atropine). En Algérie, la néostigmine et l'atropine ne sont pas disponibles dans la nomenclature du médicament (Avril 2026), ce qui prive les anesthésistes algériens de cette stratégie thérapeutique.</w:t>
      </w:r>
    </w:p>
    <w:p>
      <w:pPr>
        <w:pStyle w:val="ListNumber"/>
      </w:pPr>
      <w:r/>
      <w:r>
        <w:rPr>
          <w:b/>
        </w:rPr>
        <w:t>L'encapsulation par cyclodextrine modifiée</w:t>
      </w:r>
      <w:r>
        <w:t xml:space="preserve"> (sugammadex) : stratégie radicalement différente développée par Organon (devenu Merck Sharp &amp; Dohme, puis Organon après la scission de 2021). Le sugammadex est une γ-cyclodextrine modifiée (octasaccharide cyclique substitué par des groupes thio-propionate) qui encapsule le rocuronium (et accessoirement le vécuronium) en formant un complexe très stable (1:1) dans le plasma. Ce complexe est hydrosoluble et est éliminé tel quel par filtration glomérulaire. La concentration plasmatique de rocuronium libre chute brutalement, créant un gradient de concentration qui attire le rocuronium hors de la jonction neuromusculaire vers le plasma, restaurant ainsi la fonction neuromusculaire.</w:t>
      </w:r>
    </w:p>
    <w:p>
      <w:r>
        <w:t>Le sugammadex a révolutionné la pratique de la curarisation depuis son AMM européenne en 2008 (Bridion, Organon / MSD) et son introduction sur le marché algérien quelques années plus tard. Ses avantages majeurs sont :</w:t>
      </w:r>
    </w:p>
    <w:p>
      <w:pPr>
        <w:pStyle w:val="ListBullet"/>
      </w:pPr>
      <w:r/>
      <w:r>
        <w:rPr>
          <w:b/>
        </w:rPr>
        <w:t>Décurarisation rapide et fiable à n'importe quel niveau de bloc</w:t>
      </w:r>
      <w:r>
        <w:t xml:space="preserve"> : y compris après injection de rocuronium à dose massive (4 mg/kg, dose « *intubation rapide* » pour intubation en séquence rapide), ce qui était impossible avec la néostigmine.</w:t>
      </w:r>
    </w:p>
    <w:p>
      <w:pPr>
        <w:pStyle w:val="ListBullet"/>
      </w:pPr>
      <w:r/>
      <w:r>
        <w:rPr>
          <w:b/>
        </w:rPr>
        <w:t>Délai d'action court</w:t>
      </w:r>
      <w:r>
        <w:t xml:space="preserve"> : récupération d'un TOF ≥ 0,9 en 1 à 3 minutes selon la dose de sugammadex et le niveau de bloc.</w:t>
      </w:r>
    </w:p>
    <w:p>
      <w:pPr>
        <w:pStyle w:val="ListBullet"/>
      </w:pPr>
      <w:r/>
      <w:r>
        <w:rPr>
          <w:b/>
        </w:rPr>
        <w:t>Pas d'effets muscariniques parasites</w:t>
      </w:r>
      <w:r>
        <w:t xml:space="preserve"> : pas besoin d'associer un antimuscarinique (atropine), ce qui est particulièrement précieux en Algérie où l'atropine n'est pas disponible (ou en pénurie chronique).</w:t>
      </w:r>
    </w:p>
    <w:p>
      <w:pPr>
        <w:pStyle w:val="ListBullet"/>
      </w:pPr>
      <w:r/>
      <w:r>
        <w:rPr>
          <w:b/>
        </w:rPr>
        <w:t>Pas de métabolisme</w:t>
      </w:r>
      <w:r>
        <w:t xml:space="preserve"> : le sugammadex n'est pas métabolisé, il est éliminé inchangé par filtration glomérulaire.</w:t>
      </w:r>
    </w:p>
    <w:p>
      <w:pPr>
        <w:pStyle w:val="ListBullet"/>
      </w:pPr>
      <w:r/>
      <w:r>
        <w:rPr>
          <w:b/>
        </w:rPr>
        <w:t>Pas d'effet sur la jonction neuromusculaire</w:t>
      </w:r>
      <w:r>
        <w:t xml:space="preserve"> : le sugammadex n'interfère pas avec le récepteur nicotinique, l'acétylcholinestérase, ou la libération d'acétylcholine. C'est un antagoniste « chimique » et non « pharmacologique » au sens classique du terme.</w:t>
      </w:r>
    </w:p>
    <w:p>
      <w:r>
        <w:t>Les inconvénients et points d'attention du sugammadex sont :</w:t>
      </w:r>
    </w:p>
    <w:p>
      <w:pPr>
        <w:pStyle w:val="ListBullet"/>
      </w:pPr>
      <w:r/>
      <w:r>
        <w:rPr>
          <w:b/>
        </w:rPr>
        <w:t>Coût élevé</w:t>
      </w:r>
      <w:r>
        <w:t xml:space="preserve"> : le sugammadex est l'un des médicaments anesthésiques les plus chers (environ 10-15 fois le coût de la néostigmine dans les pays où les deux sont disponibles). Cette considération est cruciale en Algérie, où le sugammadex doit être utilisé à bon escient.</w:t>
      </w:r>
    </w:p>
    <w:p>
      <w:pPr>
        <w:pStyle w:val="ListBullet"/>
      </w:pPr>
      <w:r/>
      <w:r>
        <w:rPr>
          <w:b/>
        </w:rPr>
        <w:t>Sélectivité pour le rocuronium et le vécuronium</w:t>
      </w:r>
      <w:r>
        <w:t xml:space="preserve"> : le sugammadex n'encapsule PAS le cisatracurium, l'atracurium, le pancuronium, la succinylcholine (curare dépolarisant). En Algérie, où le cisatracurium et l'atracurium restent disponibles, la décurarisation de ces curares repose sur leur dégradation spontanée (Hofmann pour le cisatracurium et l'atracurium) sans antidote pharmacologique.</w:t>
      </w:r>
    </w:p>
    <w:p>
      <w:pPr>
        <w:pStyle w:val="ListBullet"/>
      </w:pPr>
      <w:r/>
      <w:r>
        <w:rPr>
          <w:b/>
        </w:rPr>
        <w:t>Contre-indication à la réadministration de rocuronium ou de vécuronium dans les 24 heures suivant le sugammadex</w:t>
      </w:r>
      <w:r>
        <w:t xml:space="preserve"> : en raison du risque de curarisation inefficace par captation par le sugammadex circulant résiduel. Si une curarisation doit être reprise dans ce délai, utiliser un curare non encapsulable par le sugammadex (cisatracurium, succinylcholine).</w:t>
      </w:r>
    </w:p>
    <w:p>
      <w:pPr>
        <w:pStyle w:val="ListBullet"/>
      </w:pPr>
      <w:r/>
      <w:r>
        <w:rPr>
          <w:b/>
        </w:rPr>
        <w:t>Hypersensibilité</w:t>
      </w:r>
      <w:r>
        <w:t xml:space="preserve"> (choc anaphylactique, érythème, urticaire) : rare (estimée à 0,3-1 % selon les études) mais documentée. Le sugammadex figure parmi les médicaments anesthésiques pour lesquels un risque d'anaphylaxie peropératoire est établi, à déclarer obligatoirement (pharmacovigilance).</w:t>
      </w:r>
    </w:p>
    <w:p>
      <w:pPr>
        <w:pStyle w:val="ListBullet"/>
      </w:pPr>
      <w:r/>
      <w:r>
        <w:rPr>
          <w:b/>
        </w:rPr>
        <w:t>Interaction hormonale avec les contraceptifs oraux estroprogestatifs</w:t>
      </w:r>
      <w:r>
        <w:t xml:space="preserve"> : le sugammadex se lie à l'éthinylestradiol (et accessoirement à la progestérone) et diminue sa biodisponibilité de 30-40 %, ce qui équivaut à l'oubli d'une prise de contraceptif oral et expose à un risque de grossesse non désirée. Une contraception mécanique complémentaire (préservatif) pendant 7 jours après administration de sugammadex est obligatoire chez toute femme en âge de procréer sous contraceptif oral.</w:t>
      </w:r>
    </w:p>
    <w:p>
      <w:pPr>
        <w:pStyle w:val="ListBullet"/>
      </w:pPr>
      <w:r/>
      <w:r>
        <w:rPr>
          <w:b/>
        </w:rPr>
        <w:t>Insuffisance rénale</w:t>
      </w:r>
      <w:r>
        <w:t xml:space="preserve"> : le sugammadex est éliminé par filtration glomérulaire ; en cas d'insuffisance rénale sévère (DFG &lt; 30 mL/min), son élimination est prolongée et le complexe sugammadex-rocuronium peut s'accumuler, avec un risque théorique de relargage secondaire de rocuronium et de recurarisation. Le sugammadex est généralement contre-indiqué en cas d'insuffisance rénale sévère (DFG &lt; 30 mL/min) ou en dialyse.</w:t>
      </w:r>
    </w:p>
    <w:p>
      <w:r>
        <w:t>En Algérie, le sugammadex est commercialisé sous le nom de BRIDION (Organon N.V.), solution injectable IV à 100 mg/mL, en deux dosages : 200 mg/2 mL (flacon de 2 mL) et 500 mg/5 mL (flacon de 5 mL), conditionnés en boîtes de 10 flacons. La solution est inscrite sur la Liste I, réservée à l'usage hospitalier (blocs opératoires, réanimations).</w:t>
      </w:r>
    </w:p>
    <w:p>
      <w:pPr>
        <w:pStyle w:val="Heading3"/>
      </w:pPr>
      <w:r>
        <w:t>183.2.1 Sugammadex (γ-cyclodextrine modifiée)</w:t>
      </w:r>
    </w:p>
    <w:p>
      <w:pPr>
        <w:pStyle w:val="Heading4"/>
      </w:pPr>
      <w:r>
        <w:t>183.2.1.1 Catégories pharmaco-thérapeutiques et indications</w:t>
      </w:r>
    </w:p>
    <w:p>
      <w:r>
        <w:t>Le sugammadex (DCI : sugammadex ; sugammadex sodique) est classé en pharmacologie selon les rubriques suivantes :</w:t>
      </w:r>
    </w:p>
    <w:p>
      <w:pPr>
        <w:pStyle w:val="ListBullet"/>
      </w:pPr>
      <w:r/>
      <w:r>
        <w:rPr>
          <w:b/>
        </w:rPr>
        <w:t>Code ATC</w:t>
      </w:r>
      <w:r>
        <w:t xml:space="preserve"> : V03AB35 (antidotes ; antagoniste des curares neuromusculaires).</w:t>
      </w:r>
    </w:p>
    <w:p>
      <w:pPr>
        <w:pStyle w:val="ListBullet"/>
      </w:pPr>
      <w:r/>
      <w:r>
        <w:rPr>
          <w:b/>
        </w:rPr>
        <w:t>Classification thérapeutique</w:t>
      </w:r>
      <w:r>
        <w:t xml:space="preserve"> : antidote, agent d'encapsulation par γ-cyclodextrine modifiée, antagoniste spécifique du rocuronium et du vécuronium.</w:t>
      </w:r>
    </w:p>
    <w:p>
      <w:pPr>
        <w:pStyle w:val="ListBullet"/>
      </w:pPr>
      <w:r/>
      <w:r>
        <w:rPr>
          <w:b/>
        </w:rPr>
        <w:t>Classe chimique</w:t>
      </w:r>
      <w:r>
        <w:t xml:space="preserve"> : γ-cyclodextrine modifiée (octasaccharide cyclique substitué par des groupes thio-propionate, hydrophile), sous forme sodique. Poids moléculaire 2178 Da.</w:t>
      </w:r>
    </w:p>
    <w:p>
      <w:pPr>
        <w:pStyle w:val="ListBullet"/>
      </w:pPr>
      <w:r/>
      <w:r>
        <w:rPr>
          <w:b/>
        </w:rPr>
        <w:t>Statut réglementaire Algérie</w:t>
      </w:r>
      <w:r>
        <w:t xml:space="preserve"> : Liste I, usage hospitalier exclusif (blocs opératoires, réanimations).</w:t>
      </w:r>
    </w:p>
    <w:p>
      <w:pPr>
        <w:pStyle w:val="ListBullet"/>
      </w:pPr>
      <w:r/>
      <w:r>
        <w:rPr>
          <w:b/>
        </w:rPr>
        <w:t>Grossesse</w:t>
      </w:r>
      <w:r>
        <w:t xml:space="preserve"> : données limitées, à utiliser par prudence en l'absence d'alternative (néostigmine non disponible en Algérie).</w:t>
      </w:r>
    </w:p>
    <w:p>
      <w:r>
        <w:t>Indications principales :</w:t>
      </w:r>
    </w:p>
    <w:p>
      <w:pPr>
        <w:pStyle w:val="ListNumber"/>
      </w:pPr>
      <w:r/>
      <w:r>
        <w:rPr>
          <w:b/>
        </w:rPr>
        <w:t>Antagonisation du rocuronium</w:t>
      </w:r>
      <w:r>
        <w:t xml:space="preserve"> : c'est l'indication principale du sugammadex. Le sugammadex est indiqué pour l'antagonisation du bloc neuromusculaire induit par le rocuronium, à n'importe quel niveau de bloc :</w:t>
      </w:r>
    </w:p>
    <w:p>
      <w:pPr>
        <w:pStyle w:val="ListBullet"/>
      </w:pPr>
      <w:r/>
      <w:r>
        <w:rPr>
          <w:b/>
        </w:rPr>
        <w:t>Bloc profond</w:t>
      </w:r>
      <w:r>
        <w:t xml:space="preserve"> (PTC 1-2, TOF 0) : dose de 4 mg/kg IV en bolus, récupération d'un TOF ≥ 0,9 en environ 3 minutes.</w:t>
      </w:r>
    </w:p>
    <w:p>
      <w:pPr>
        <w:pStyle w:val="ListBullet"/>
      </w:pPr>
      <w:r/>
      <w:r>
        <w:rPr>
          <w:b/>
        </w:rPr>
        <w:t>Bloc modéré</w:t>
      </w:r>
      <w:r>
        <w:t xml:space="preserve"> (TOF 0,1-0,4) : dose de 2 mg/kg IV en bolus, récupération d'un TOF ≥ 0,9 en environ 2 minutes.</w:t>
      </w:r>
    </w:p>
    <w:p>
      <w:pPr>
        <w:pStyle w:val="ListBullet"/>
      </w:pPr>
      <w:r/>
      <w:r>
        <w:rPr>
          <w:b/>
        </w:rPr>
        <w:t>Bloc léger</w:t>
      </w:r>
      <w:r>
        <w:t xml:space="preserve"> (TOF 0,5-0,9) : dose de 2 mg/kg IV en bolus, récupération d'un TOF ≥ 0,9 en 1-2 minutes.</w:t>
      </w:r>
    </w:p>
    <w:p>
      <w:pPr>
        <w:pStyle w:val="ListBullet"/>
      </w:pPr>
      <w:r/>
      <w:r>
        <w:rPr>
          <w:b/>
        </w:rPr>
        <w:t>Intubation en séquence rapide avec rocuronium 1,2 mg/kg</w:t>
      </w:r>
      <w:r>
        <w:t xml:space="preserve"> : en cas d'intubation difficile ou impossible et de nécessité de décurariser rapidement (« *cannot intubate, cannot ventilate* »), dose de 16 mg/kg IV en bolus (dose massive), récupération en 1-2 minutes. Cette indication particulière est vitale en anesthésie d'urgence.</w:t>
      </w:r>
    </w:p>
    <w:p>
      <w:pPr>
        <w:pStyle w:val="ListNumber"/>
      </w:pPr>
      <w:r/>
      <w:r>
        <w:rPr>
          <w:b/>
        </w:rPr>
        <w:t>Antidotation du rocuronium en cas d'impossibilité d'intubation</w:t>
      </w:r>
      <w:r>
        <w:t xml:space="preserve"> : c'est l'indication vitale (« *cannot intubate, cannot oxygenate* ») où le sugammadex à 16 mg/kg permet de sauver la vie en restaurant une ventilation spontanée en 1-2 minutes, avant l'hypoxie létale. Cette indication a remplacé la succinylcholine dans de nombreuses stratégies d'induction en séquence rapide.</w:t>
      </w:r>
    </w:p>
    <w:p>
      <w:pPr>
        <w:pStyle w:val="ListNumber"/>
      </w:pPr>
      <w:r/>
      <w:r>
        <w:rPr>
          <w:b/>
        </w:rPr>
        <w:t>Antagonisation du vécuronium</w:t>
      </w:r>
      <w:r>
        <w:t xml:space="preserve"> : le sugammadex encapsule le vécuronium (curare aminostéroïde de la même famille que le rocuronium) avec une affinité moindre que pour le rocuronium mais suffisante pour une antagonisation efficace. Les doses sont identiques à celles du rocuronium (2 ou 4 mg/kg selon le niveau de bloc). Le vécuronium est moins utilisé en Algérie que le rocuronium.</w:t>
      </w:r>
    </w:p>
    <w:p>
      <w:pPr>
        <w:pStyle w:val="ListNumber"/>
      </w:pPr>
      <w:r/>
      <w:r>
        <w:rPr>
          <w:b/>
        </w:rPr>
        <w:t>Antagonisation immédiate après injection de rocuronium</w:t>
      </w:r>
      <w:r>
        <w:t xml:space="preserve"> : en cas d'injection accidentelle de rocuronium en l'absence de nécessité (erreur médicamenteuse), le sugammadex à 16 mg/kg peut antagoniser immédiatement le rocuronium avant qu'il n'ait atteint son effet maximal.</w:t>
      </w:r>
    </w:p>
    <w:p>
      <w:r>
        <w:t>Contre-indications du sugammadex :</w:t>
      </w:r>
    </w:p>
    <w:p>
      <w:pPr>
        <w:pStyle w:val="ListBullet"/>
      </w:pPr>
      <w:r/>
      <w:r>
        <w:rPr>
          <w:b/>
        </w:rPr>
        <w:t>Hypersensibilité à la molécule</w:t>
      </w:r>
      <w:r>
        <w:t xml:space="preserve"> ou à l'un des excipients (hypersensibilité aux cyclodextrines).</w:t>
      </w:r>
    </w:p>
    <w:p>
      <w:pPr>
        <w:pStyle w:val="ListBullet"/>
      </w:pPr>
      <w:r/>
      <w:r>
        <w:rPr>
          <w:b/>
        </w:rPr>
        <w:t>Insuffisance rénale sévère</w:t>
      </w:r>
      <w:r>
        <w:t xml:space="preserve"> (DFG &lt; 30 mL/min) ou dialyse : en raison de l'accumulation du complexe sugammadex-rocuronium.</w:t>
      </w:r>
    </w:p>
    <w:p>
      <w:pPr>
        <w:pStyle w:val="ListBullet"/>
      </w:pPr>
      <w:r/>
      <w:r>
        <w:rPr>
          <w:b/>
        </w:rPr>
        <w:t>Réadministration de rocuronium ou de vécuronium dans les 24 heures</w:t>
      </w:r>
      <w:r>
        <w:t xml:space="preserve"> suivant le sugammadex : contre-indication relative (utiliser un curare non encapsulable par le sugammadex).</w:t>
      </w:r>
    </w:p>
    <w:p>
      <w:pPr>
        <w:pStyle w:val="ListBullet"/>
      </w:pPr>
      <w:r/>
      <w:r>
        <w:rPr>
          <w:b/>
        </w:rPr>
        <w:t>Patients à haut risque d'anaphylaxie</w:t>
      </w:r>
      <w:r>
        <w:t xml:space="preserve"> (atopie sévère, asthme sévère non contrôlé, antécédents de réactions anaphylactiques multiples) : à utiliser avec prudence, avec préparation d'un kit d'anaphylaxie.</w:t>
      </w:r>
    </w:p>
    <w:p>
      <w:r>
        <w:t>Indications hors AMM :</w:t>
      </w:r>
    </w:p>
    <w:p>
      <w:pPr>
        <w:pStyle w:val="ListBullet"/>
      </w:pPr>
      <w:r/>
      <w:r>
        <w:rPr>
          <w:b/>
        </w:rPr>
        <w:t>Antagonisation du pancuronium</w:t>
      </w:r>
      <w:r>
        <w:t xml:space="preserve"> : le sugammadex a une très faible affinité pour le pancuronium ; il n'est pas recommandé pour cette indication.</w:t>
      </w:r>
    </w:p>
    <w:p>
      <w:pPr>
        <w:pStyle w:val="ListBullet"/>
      </w:pPr>
      <w:r/>
      <w:r>
        <w:rPr>
          <w:b/>
        </w:rPr>
        <w:t>Antagonisation de la succinylcholine</w:t>
      </w:r>
      <w:r>
        <w:t xml:space="preserve"> : aucune action (la succinylcholine est un curare dépolarisant, dégradé par la butyrylcholinestérase plasmatique).</w:t>
      </w:r>
    </w:p>
    <w:p>
      <w:pPr>
        <w:pStyle w:val="ListBullet"/>
      </w:pPr>
      <w:r/>
      <w:r>
        <w:rPr>
          <w:b/>
        </w:rPr>
        <w:t>Antagonisation du cisatracurium ou de l'atracurium</w:t>
      </w:r>
      <w:r>
        <w:t xml:space="preserve"> : aucune action (curares benzylisoquinoléiques dégradés par Hofmann).</w:t>
      </w:r>
    </w:p>
    <w:p>
      <w:r>
        <w:t>En pratique clinique en Algérie, les indications majeures sont l'antagonisation du rocuronium en fin d'intervention chirurgicale (en remplacement de la néostigmine indisponible) et l'antidotation du rocuronium en cas d'intubation difficile en séquence rapide.</w:t>
      </w:r>
    </w:p>
    <w:p>
      <w:pPr>
        <w:pStyle w:val="Heading4"/>
      </w:pPr>
      <w:r>
        <w:t>183.2.1.2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BRIDION</w:t>
            </w:r>
          </w:p>
        </w:tc>
        <w:tc>
          <w:tcPr>
            <w:tcW w:type="dxa" w:w="1559"/>
          </w:tcPr>
          <w:p>
            <w:r>
              <w:rPr>
                <w:sz w:val="20"/>
              </w:rPr>
              <w:t>ORGANON N.V.</w:t>
            </w:r>
          </w:p>
        </w:tc>
        <w:tc>
          <w:tcPr>
            <w:tcW w:type="dxa" w:w="1559"/>
          </w:tcPr>
          <w:p>
            <w:r>
              <w:rPr>
                <w:sz w:val="20"/>
              </w:rPr>
              <w:t>Solution injectable IV 100 mg/mL — flacon de 2 mL (200 mg)</w:t>
            </w:r>
          </w:p>
        </w:tc>
        <w:tc>
          <w:tcPr>
            <w:tcW w:type="dxa" w:w="1559"/>
          </w:tcPr>
          <w:p>
            <w:r>
              <w:rPr>
                <w:sz w:val="20"/>
              </w:rPr>
              <w:t>B/10 flacons de 2 mL</w:t>
            </w:r>
          </w:p>
        </w:tc>
        <w:tc>
          <w:tcPr>
            <w:tcW w:type="dxa" w:w="1559"/>
          </w:tcPr>
          <w:p>
            <w:r>
              <w:rPr>
                <w:sz w:val="20"/>
              </w:rPr>
              <w:t>Liste I</w:t>
            </w:r>
          </w:p>
        </w:tc>
        <w:tc>
          <w:tcPr>
            <w:tcW w:type="dxa" w:w="1559"/>
          </w:tcPr>
          <w:p>
            <w:r>
              <w:rPr>
                <w:sz w:val="20"/>
              </w:rPr>
              <w:t>Actif</w:t>
            </w:r>
          </w:p>
        </w:tc>
      </w:tr>
      <w:tr>
        <w:tc>
          <w:tcPr>
            <w:tcW w:type="dxa" w:w="1559"/>
          </w:tcPr>
          <w:p>
            <w:r>
              <w:rPr>
                <w:sz w:val="20"/>
              </w:rPr>
              <w:t>BRIDION</w:t>
            </w:r>
          </w:p>
        </w:tc>
        <w:tc>
          <w:tcPr>
            <w:tcW w:type="dxa" w:w="1559"/>
          </w:tcPr>
          <w:p>
            <w:r>
              <w:rPr>
                <w:sz w:val="20"/>
              </w:rPr>
              <w:t>ORGANON N.V.</w:t>
            </w:r>
          </w:p>
        </w:tc>
        <w:tc>
          <w:tcPr>
            <w:tcW w:type="dxa" w:w="1559"/>
          </w:tcPr>
          <w:p>
            <w:r>
              <w:rPr>
                <w:sz w:val="20"/>
              </w:rPr>
              <w:t>Solution injectable IV 100 mg/mL — flacon de 5 mL (500 mg)</w:t>
            </w:r>
          </w:p>
        </w:tc>
        <w:tc>
          <w:tcPr>
            <w:tcW w:type="dxa" w:w="1559"/>
          </w:tcPr>
          <w:p>
            <w:r>
              <w:rPr>
                <w:sz w:val="20"/>
              </w:rPr>
              <w:t>B/10 flacons de 5 mL</w:t>
            </w:r>
          </w:p>
        </w:tc>
        <w:tc>
          <w:tcPr>
            <w:tcW w:type="dxa" w:w="1559"/>
          </w:tcPr>
          <w:p>
            <w:r>
              <w:rPr>
                <w:sz w:val="20"/>
              </w:rPr>
              <w:t>Liste I</w:t>
            </w:r>
          </w:p>
        </w:tc>
        <w:tc>
          <w:tcPr>
            <w:tcW w:type="dxa" w:w="1559"/>
          </w:tcPr>
          <w:p>
            <w:r>
              <w:rPr>
                <w:sz w:val="20"/>
              </w:rPr>
              <w:t>Actif</w:t>
            </w:r>
          </w:p>
        </w:tc>
      </w:tr>
    </w:tbl>
    <w:p/>
    <w:p>
      <w:r>
        <w:t xml:space="preserve">Le marché algérien du sugammadex est </w:t>
      </w:r>
      <w:r>
        <w:rPr>
          <w:b/>
        </w:rPr>
        <w:t>mono-spécialité</w:t>
      </w:r>
      <w:r>
        <w:t xml:space="preserve"> : seule la marque BRIDION (Organon N.V., laboratoire néerlandais issu de la scission de Merck Sharp &amp; Dohme en 2021) est inscrite à la nomenclature algérienne. Le princeps n'a pas de générique à ce jour en Algérie, en raison de la complexité de la synthèse chimique de la γ-cyclodextrine modifiée et de la protection par brevets (brevets Organon / MSD qui ont commencé à expirer en 2025 dans certains pays).</w:t>
      </w:r>
    </w:p>
    <w:p>
      <w:r>
        <w:t>Deux dosages sont disponibles :</w:t>
      </w:r>
    </w:p>
    <w:p>
      <w:pPr>
        <w:pStyle w:val="ListBullet"/>
      </w:pPr>
      <w:r/>
      <w:r>
        <w:rPr>
          <w:b/>
        </w:rPr>
        <w:t>Flacon de 2 mL à 100 mg/mL</w:t>
      </w:r>
      <w:r>
        <w:t xml:space="preserve"> (= 200 mg par flacon) : adapté à l'administration bolus chez l'adulte de poids moyen (70-80 kg), à la dose de 2 mg/kg (3,5 mL pour 70 kg), 4 mg/kg (7 mL pour 70 kg), ou 16 mg/kg (28 mL pour 70 kg).</w:t>
      </w:r>
    </w:p>
    <w:p>
      <w:pPr>
        <w:pStyle w:val="ListBullet"/>
      </w:pPr>
      <w:r/>
      <w:r>
        <w:rPr>
          <w:b/>
        </w:rPr>
        <w:t>Flacon de 5 mL à 100 mg/mL</w:t>
      </w:r>
      <w:r>
        <w:t xml:space="preserve"> (= 500 mg par flacon) : adapté à l'administration bolus chez l'adulte de poids élevé ou en dose massive de 16 mg/kg (3,5 flacons de 5 mL pour 70 kg ; 2,8 flacons pour 80 kg ; etc.).</w:t>
      </w:r>
    </w:p>
    <w:p>
      <w:r>
        <w:t>La solution est limpide, incolore à légèrement jaune, stérile, apyrogène, isotonique au plasma (pH 7-8). Le flacon verre incolore type I se conserve à température ambiante (15-25 °C), à l'abri de la lumière, pendant 3 ans. Ne pas congeler. La solution doit être inspectée visuellement avant usage : toute coloration anormale ou présence de particules doit faire rejeter le flacon.</w:t>
      </w:r>
    </w:p>
    <w:p>
      <w:r/>
      <w:r>
        <w:rPr>
          <w:b/>
        </w:rPr>
        <w:t>À noter</w:t>
      </w:r>
      <w:r>
        <w:t xml:space="preserve"> : la néostigmine (Prostigmine, Neostigmine) n'est PAS disponible en Algérie. Cette absence est un fait marquant de la pratique anesthésique algérienne, et elle renforce la position centrale du sugammadex comme seul moyen de décurarisation pharmacologique des curares aminostéroïdes (rocuronium, vécuronium) en Algérie. Pour les curares benzylisoquinoléiques (cisatracurium, atracurium), la dégradation spontanée (Hofmann) reste la seule option, sans antidote pharmacologique.</w:t>
      </w:r>
    </w:p>
    <w:p>
      <w:r>
        <w:t xml:space="preserve">De même, </w:t>
      </w:r>
      <w:r>
        <w:rPr>
          <w:b/>
        </w:rPr>
        <w:t>l'atropine n'est pas disponible en Algérie</w:t>
      </w:r>
      <w:r>
        <w:t xml:space="preserve"> (ou en pénurie chronique selon les années), ce qui prive les anesthésistes de l'antimuscarinique nécessaire pour contrebalancer les effets de la néostigmine. Cette double absence (néostigmine + atropine) rend le sugammadex indispensable à la pratique anesthésique algérienne moderne.</w:t>
      </w:r>
    </w:p>
    <w:p>
      <w:pPr>
        <w:pStyle w:val="Heading4"/>
      </w:pPr>
      <w:r>
        <w:t>183.2.1.3 Mécanisme d'action moléculaire, cellulaire et physiologique</w:t>
      </w:r>
    </w:p>
    <w:p>
      <w:r>
        <w:t>Le sugammadex exerce son effet antagoniste par un mécanisme radicalement différent des antagonistes compétitifs classiques. Il s'agit d'un mécanisme d'</w:t>
      </w:r>
      <w:r>
        <w:rPr>
          <w:b/>
        </w:rPr>
        <w:t>encapsulation</w:t>
      </w:r>
      <w:r>
        <w:t xml:space="preserve"> par une γ-cyclodextrine modifiée. Ce mécanisme peut être décrit selon six niveaux d'imbrication :</w:t>
      </w:r>
    </w:p>
    <w:p>
      <w:r/>
      <w:r>
        <w:rPr>
          <w:b/>
        </w:rPr>
        <w:t>Niveau moléculaire — structure de la γ-cyclodextrine</w:t>
      </w:r>
      <w:r>
        <w:t xml:space="preserve"> : les cyclodextrines sont des oligosaccharides cycliques naturels formés de 6 (α-cyclodextrine), 7 (β-cyclodextrine) ou 8 (γ-cyclodextrine) unités glucopyranose liées en α-1,4. Elles forment un anneau tronconique lipophile à l'intérieur (cavité hydrophobe) et hydrophile à l'extérieur (surface hydrophile). Cette structure permet d'encapsuler des molécules hydrophobes dans la cavité interne, formant des complexes d'inclusion solubles dans l'eau. Le sugammadex est une γ-cyclodextrine modifiée (octasaccharide cyclique), dont les unités glucopyranose ont été substituées en position 6 par des groupes thio-propionate (—S—CH₂—CH₂—COO⁻) sodiques. Cette modification a pour effet d'élargir la cavité interne et de créer des sites de liaison anioniques qui attirent le rocuronium (qui présente une charge cationique permanente sur son ammonium quaternaire). La structure tridimensionnelle du sugammadex est remarquablement adaptée au rocuronium : la cavité interne (cavité hydrophobe) mesure environ 7,5-8 Å de diamètre, ce qui correspond exactement à la largeur du squelette stéroïdien du rocuronium. La sélectivité du sugammadex pour le rocuronium (et accessoirement le vécuronium, qui partage le même squelette stéroïdien) est l'un des éléments clés de son efficacité.</w:t>
      </w:r>
    </w:p>
    <w:p>
      <w:r/>
      <w:r>
        <w:rPr>
          <w:b/>
        </w:rPr>
        <w:t>Niveau stœchiométrique — complexe 1:1</w:t>
      </w:r>
      <w:r>
        <w:t xml:space="preserve"> : le sugammadex forme avec le rocuronium un complexe de stœchiométrie 1:1, c'est-à-dire qu'une molécule de sugammadex encapsule une molécule de rocuronium. La constante de dissociation (Kd) du complexe est extrêmement faible, de l'ordre de 10⁻⁸ à 10⁻⁹ M, ce qui correspond à une affinité très élevée (l'inverse de la Kd, soit environ 10⁸ à 10⁹ M⁻¹). Cette affinité est plusieurs ordres de grandeur supérieure à celle du rocuronium pour le récepteur nicotinique post-synaptique (environ 10⁶ M⁻¹), ce qui explique pourquoi le sugammadex « arrache » le rocuronium à son récepteur et le séquestre dans le plasma.</w:t>
      </w:r>
    </w:p>
    <w:p>
      <w:r/>
      <w:r>
        <w:rPr>
          <w:b/>
        </w:rPr>
        <w:t>Niveau cellulaire — modification du gradient de concentration</w:t>
      </w:r>
      <w:r>
        <w:t xml:space="preserve"> : en encapsulant le rocuronium plasmatique libre, le sugammadex diminue la concentration plasmatique de rocuronium libre. Cette baisse de concentration plasmatique crée un gradient de concentration entre le rocuronium tissulaire (notamment au niveau de la jonction neuromusculaire) et le plasma. Le rocuronium diffuse hors de la jonction neuromusculaire vers le plasma, où il est à nouveau encapsulé par le sugammadex circulant. Le processus se répète jusqu'à épuisement du rocuronium tissulaire, et la concentration de rocuronium libre à la jonction neuromusculaire chute en dessous du seuil nécessaire au maintien du bloc. Le récepteur nicotinique post-synaptique est alors libéré du rocuronium, et la transmission neuromusculaire se rétablit.</w:t>
      </w:r>
    </w:p>
    <w:p>
      <w:r/>
      <w:r>
        <w:rPr>
          <w:b/>
        </w:rPr>
        <w:t>Niveau physiologique — restauration de la transmission neuromusculaire</w:t>
      </w:r>
      <w:r>
        <w:t xml:space="preserve"> : la fonction neuromusculaire se rétablit rapidement. Le délai de récupération d'un TOF (Train-Of-Four) ≥ 0,9 — critère de récupération neuromusculaire complète selon les recommandations internationales — dépend de la dose de sugammadex et du niveau de bloc à l'administration :</w:t>
      </w:r>
    </w:p>
    <w:p>
      <w:pPr>
        <w:pStyle w:val="ListBullet"/>
      </w:pPr>
      <w:r/>
      <w:r>
        <w:rPr>
          <w:b/>
        </w:rPr>
        <w:t>Bloc modéré</w:t>
      </w:r>
      <w:r>
        <w:t xml:space="preserve"> (TOF 0,1-0,4) avec sugammadex 2 mg/kg : récupération TOF ≥ 0,9 en 1-2 minutes (médiane 1,4 minute).</w:t>
      </w:r>
    </w:p>
    <w:p>
      <w:pPr>
        <w:pStyle w:val="ListBullet"/>
      </w:pPr>
      <w:r/>
      <w:r>
        <w:rPr>
          <w:b/>
        </w:rPr>
        <w:t>Bloc profond</w:t>
      </w:r>
      <w:r>
        <w:t xml:space="preserve"> (PTC 1-2, TOF 0) avec sugammadex 4 mg/kg : récupération TOF ≥ 0,9 en 2-3 minutes (médiane 2,7 minutes).</w:t>
      </w:r>
    </w:p>
    <w:p>
      <w:pPr>
        <w:pStyle w:val="ListBullet"/>
      </w:pPr>
      <w:r/>
      <w:r>
        <w:rPr>
          <w:b/>
        </w:rPr>
        <w:t>Bloc immédiat après injection de rocuronium 1,2 mg/kg</w:t>
      </w:r>
      <w:r>
        <w:t xml:space="preserve"> (intubation en séquence rapide, « *cannot intubate, cannot ventilate* ») avec sugammadex 16 mg/kg : récupération TOF ≥ 0,9 en 1-2 minutes.</w:t>
      </w:r>
    </w:p>
    <w:p>
      <w:r>
        <w:t>À titre comparatif, la néostigmine (lorsqu'elle était disponible) nécessitait 10-15 minutes pour antagoniser un bloc modéré, et 20-30 minutes pour un bloc profond ; et elle ne pouvait PAS antagoniser un bloc profond (PTC &lt; 1) ou post-injection de rocuronium à dose massive. Le sugammadex a donc une supériorité pharmacologique majeure.</w:t>
      </w:r>
    </w:p>
    <w:p>
      <w:r/>
      <w:r>
        <w:rPr>
          <w:b/>
        </w:rPr>
        <w:t>Niveau pharmacodynamique temporel — délai d'action et durée</w:t>
      </w:r>
      <w:r>
        <w:t xml:space="preserve"> : le délai d'action du sugammadex est court (1-3 minutes), ce qui correspond au temps nécessaire à la diffusion du sugammadex dans le compartiment vasculaire et à la séquestration du rocuronium plasmatique, puis à la redistribution du rocuronium tissulaire vers le plasma. La durée d'action du sugammadex est liée à la dose administrée et à l'élimination rénale du complexe sugammadex-rocuronium. À dose standard (2-4 mg/kg), l'effet antagoniste se maintient pendant 1-2 heures (suffisant pour la période post-opératoire). À dose massive (16 mg/kg), l'effet est plus prolongé (2-4 heures) en raison de la plus grande quantité de sugammadex circulant.</w:t>
      </w:r>
    </w:p>
    <w:p>
      <w:r/>
      <w:r>
        <w:rPr>
          <w:b/>
        </w:rPr>
        <w:t>Niveau pharmacodynamique supplémentaire — absence d'effet sur la jonction neuromusculaire</w:t>
      </w:r>
      <w:r>
        <w:t xml:space="preserve"> : le sugammadex n'a aucune action sur le récepteur nicotinique post-synaptique, sur l'acétylcholinestérase, sur la libération présynaptique d'acétylcholine, ou sur le canal sodium voltage-dépendant. C'est un antagoniste purement chimique, sans effet pharmacologique direct sur la transmission neuromusculaire. Cette particularité explique l'absence d'effets muscariniques parasites (pas de bradycardie, pas d'hypersécrétion bronchique, pas de spasmes intestinaux) qui caractérisaient la néostigmine. L'absence de nécessité d'associer un antimuscarinique (atropine) est un avantage majeur du sugammadex, particulièrement en Algérie où l'atropine est indisponible ou en pénurie chronique.</w:t>
      </w:r>
    </w:p>
    <w:p>
      <w:pPr>
        <w:pStyle w:val="Heading4"/>
      </w:pPr>
      <w:r>
        <w:t>183.2.1.4 Pharmacocinétique (profil PK)</w:t>
      </w:r>
    </w:p>
    <w:p>
      <w:r/>
      <w:r>
        <w:rPr>
          <w:b/>
        </w:rPr>
        <w:t>Absorption</w:t>
      </w:r>
      <w:r>
        <w:t xml:space="preserve"> : le sugammadex est administré </w:t>
      </w:r>
      <w:r>
        <w:rPr>
          <w:b/>
        </w:rPr>
        <w:t>exclusivement par voie intraveineuse</w:t>
      </w:r>
      <w:r>
        <w:t xml:space="preserve"> (IV directe en bolus ou perfusion courte). Il n'existe pas de forme orale (la molécule est trop hydrophile pour traverser la barrière intestinale). Après injection IV directe, le pic plasmatique est immédiat (Cmax à la fin de l'injection), et la distribution se fait dans le compartiment vasculaire principalement, avec un volume de distribution à l'équilibre de 10-15 L (soit environ 0,15 L/kg), reflétant une distribution essentiellement extracellulaire.</w:t>
      </w:r>
    </w:p>
    <w:p>
      <w:r/>
      <w:r>
        <w:rPr>
          <w:b/>
        </w:rPr>
        <w:t>Distribution</w:t>
      </w:r>
      <w:r>
        <w:t xml:space="preserve"> : le sugammadex est une molécule très hydrophile (log P négatif), qui ne traverse pas les membranes biologiques. Elle ne pénètre pas dans les cellules, ne traverse pas la barrière hématoméningée (pas d'effet central), ne traverse pas le placenta de manière significative (données limitées chez la femme enceinte). La liaison aux protéines plasmatiques est faible (≤ 25 %). Le volume de distribution est limité au compartiment extracellulaire, ce qui correspond à environ 14 L chez l'adulte.</w:t>
      </w:r>
    </w:p>
    <w:p>
      <w:r/>
      <w:r>
        <w:rPr>
          <w:b/>
        </w:rPr>
        <w:t>Métabolisme</w:t>
      </w:r>
      <w:r>
        <w:t xml:space="preserve"> : le sugammadex </w:t>
      </w:r>
      <w:r>
        <w:rPr>
          <w:b/>
        </w:rPr>
        <w:t>n'est pas métabolisé</w:t>
      </w:r>
      <w:r>
        <w:t>. Il est éliminé inchangé par filtration glomérulaire. Cette absence de métabolisme est un avantage majeur : pas d'interaction avec le cytochrome P450, pas de variabilité interindividuelle liée au polymorphisme enzymatique, pas d'accumulation de métabolites actifs ou toxiques.</w:t>
      </w:r>
    </w:p>
    <w:p>
      <w:r/>
      <w:r>
        <w:rPr>
          <w:b/>
        </w:rPr>
        <w:t>Élimination</w:t>
      </w:r>
      <w:r>
        <w:t xml:space="preserve"> : l'élimination est </w:t>
      </w:r>
      <w:r>
        <w:rPr>
          <w:b/>
        </w:rPr>
        <w:t>exclusivement rénale</w:t>
      </w:r>
      <w:r>
        <w:t xml:space="preserve">, par filtration glomérulaire. La clairance du sugammadex est d'environ 120 mL/min chez l'adulte jeune à fonction rénale normale, soit proche de la clairance de la créatinine (et donc du débit de filtration glomérulaire), ce qui confirme l'absence de sécrétion tubulaire active ou de réabsorption significative. La </w:t>
      </w:r>
      <w:r>
        <w:rPr>
          <w:b/>
        </w:rPr>
        <w:t>demi-vie d'élimination terminale est de 2 à 3 heures</w:t>
      </w:r>
      <w:r>
        <w:t xml:space="preserve"> chez l'adulte jeune à fonction rénale normale. Le complexe sugammadex-rocuronium est également éliminé inchangé par filtration glomérulaire, avec une demi-vie similaire.</w:t>
      </w:r>
    </w:p>
    <w:p>
      <w:pPr>
        <w:pStyle w:val="ListBullet"/>
      </w:pPr>
      <w:r>
        <w:t>Chez le sujet âgé (&gt; 65 ans) : demi-vie allongée à 4-5 heures (en raison de la baisse physiologique de la clairance de la créatinine liée à l'âge).</w:t>
      </w:r>
    </w:p>
    <w:p>
      <w:pPr>
        <w:pStyle w:val="ListBullet"/>
      </w:pPr>
      <w:r>
        <w:t>Chez l'enfant : demi-vie raccourcie à 1,5-2 heures (clairance rénale plus élevée par kg).</w:t>
      </w:r>
    </w:p>
    <w:p>
      <w:pPr>
        <w:pStyle w:val="ListBullet"/>
      </w:pPr>
      <w:r>
        <w:t>Chez l'insuffisant rénal sévère (DFG &lt; 30 mL/min) : demi-vie considérablement allongée (jusqu'à 20-30 heures), avec accumulation du complexe sugammadex-rocuronium et risque théorique de relargage secondaire de rocuronium et de recurarisation. Le sugammadex est généralement contre-indiqué en cas d'insuffisance rénale sévère ou en dialyse.</w:t>
      </w:r>
    </w:p>
    <w:p>
      <w:r/>
      <w:r>
        <w:rPr>
          <w:b/>
        </w:rPr>
        <w:t>Linéarité</w:t>
      </w:r>
      <w:r>
        <w:t xml:space="preserve"> : la pharmacocinétique est linéaire aux doses thérapeutiques (2 à 16 mg/kg). Aux doses massives (16 mg/kg, dose « </w:t>
      </w:r>
      <w:r>
        <w:rPr>
          <w:i/>
        </w:rPr>
        <w:t>cannot intubate, cannot ventilate</w:t>
      </w:r>
      <w:r>
        <w:t xml:space="preserve"> »), il n'y a pas de saturation de la clairance, et la demi-vie reste identique.</w:t>
      </w:r>
    </w:p>
    <w:p>
      <w:r/>
      <w:r>
        <w:rPr>
          <w:b/>
        </w:rPr>
        <w:t>Suivi thérapeutique pharmacologique</w:t>
      </w:r>
      <w:r>
        <w:t xml:space="preserve"> : non pertinent en pratique clinique courante. L'efficacité du sugammadex est mesurée par la récupération de la fonction neuromusculaire (TOF ≥ 0,9, mesure par acceleromyographie ou kinemyographie).</w:t>
      </w:r>
    </w:p>
    <w:p>
      <w:r/>
      <w:r>
        <w:rPr>
          <w:b/>
        </w:rPr>
        <w:t>Particularité pharmacocinétique — relargage éventuel</w:t>
      </w:r>
      <w:r>
        <w:t xml:space="preserve"> : en cas d'insuffisance rénale sévère, le complexe sugammadex-rocuronium peut s'accumuler dans le plasma, et le rocuronium peut être relargué de manière différée, provoquant une recurarisation secondaire. Ce risque est théorique mais documenté chez les patients dialysés. Une surveillance prolongée en réanimation est recommandée chez les patients à fonction rénale altérée recevant du sugammadex.</w:t>
      </w:r>
    </w:p>
    <w:p>
      <w:pPr>
        <w:pStyle w:val="Heading4"/>
      </w:pPr>
      <w:r>
        <w:t>183.2.1.5 Indications thérapeutiques</w:t>
      </w:r>
    </w:p>
    <w:p>
      <w:r>
        <w:t>Les indications validées du sugammadex sont :</w:t>
      </w:r>
    </w:p>
    <w:p>
      <w:pPr>
        <w:pStyle w:val="ListNumber"/>
      </w:pPr>
      <w:r/>
      <w:r>
        <w:rPr>
          <w:b/>
        </w:rPr>
        <w:t>Antagonisation du bloc neuromusculaire induit par le rocuronium</w:t>
      </w:r>
      <w:r>
        <w:t xml:space="preserve"> :</w:t>
      </w:r>
    </w:p>
    <w:p>
      <w:pPr>
        <w:pStyle w:val="ListBullet"/>
      </w:pPr>
      <w:r>
        <w:t>Indication principale en fin d'intervention chirurgicale, pour faciliter l'extubation et éviter la curarisation résiduelle post-opératoire.</w:t>
      </w:r>
    </w:p>
    <w:p>
      <w:pPr>
        <w:pStyle w:val="ListBullet"/>
      </w:pPr>
      <w:r>
        <w:t>Selon le niveau de bloc à l'administration :</w:t>
      </w:r>
    </w:p>
    <w:p>
      <w:pPr>
        <w:pStyle w:val="ListBullet"/>
      </w:pPr>
      <w:r>
        <w:t>Bloc modéré (TOF 0,1-0,4) : 2 mg/kg IV.</w:t>
      </w:r>
    </w:p>
    <w:p>
      <w:pPr>
        <w:pStyle w:val="ListBullet"/>
      </w:pPr>
      <w:r>
        <w:t>Bloc profond (PTC 1-2, TOF 0) : 4 mg/kg IV.</w:t>
      </w:r>
    </w:p>
    <w:p>
      <w:pPr>
        <w:pStyle w:val="ListBullet"/>
      </w:pPr>
      <w:r>
        <w:t>Bloc immédiat après injection de rocuronium 1,2 mg/kg (intubation en séquence rapide, « *cannot intubate, cannot ventilate* ») : 16 mg/kg IV.</w:t>
      </w:r>
    </w:p>
    <w:p>
      <w:pPr>
        <w:pStyle w:val="ListNumber"/>
      </w:pPr>
      <w:r/>
      <w:r>
        <w:rPr>
          <w:b/>
        </w:rPr>
        <w:t>Antagonisation du bloc neuromusculaire induit par le vécuronium</w:t>
      </w:r>
      <w:r>
        <w:t xml:space="preserve"> :</w:t>
      </w:r>
    </w:p>
    <w:p>
      <w:pPr>
        <w:pStyle w:val="ListBullet"/>
      </w:pPr>
      <w:r>
        <w:t>Indication identique au rocuronium, mais affinité moindre du sugammadex pour le vécuronium.</w:t>
      </w:r>
    </w:p>
    <w:p>
      <w:pPr>
        <w:pStyle w:val="ListBullet"/>
      </w:pPr>
      <w:r>
        <w:t>Doses identiques (2 ou 4 mg/kg selon le niveau de bloc).</w:t>
      </w:r>
    </w:p>
    <w:p>
      <w:pPr>
        <w:pStyle w:val="ListNumber"/>
      </w:pPr>
      <w:r/>
      <w:r>
        <w:rPr>
          <w:b/>
        </w:rPr>
        <w:t>Antidotation immédiate du rocuronium en cas d'impossibilité d'intubation</w:t>
      </w:r>
      <w:r>
        <w:t xml:space="preserve"> :</w:t>
      </w:r>
    </w:p>
    <w:p>
      <w:pPr>
        <w:pStyle w:val="ListBullet"/>
      </w:pPr>
      <w:r>
        <w:t>Indication vitale (« *cannot intubate, cannot oxygenate* ») où le sugammadex à 16 mg/kg permet de sauver la vie en restaurant une ventilation spontanée en 1-2 minutes, avant l'hypoxie létale.</w:t>
      </w:r>
    </w:p>
    <w:p>
      <w:pPr>
        <w:pStyle w:val="ListBullet"/>
      </w:pPr>
      <w:r>
        <w:t>Cette indication a transformé la stratégie d'induction en séquence rapide : utilisation de rocuronium à 1,2 mg/kg (au lieu de succinylcholine 1 mg/kg) avec sugammadex 16 mg/kg en antidote immédiat en cas d'échec d'intubation.</w:t>
      </w:r>
    </w:p>
    <w:p>
      <w:pPr>
        <w:pStyle w:val="ListNumber"/>
      </w:pPr>
      <w:r/>
      <w:r>
        <w:rPr>
          <w:b/>
        </w:rPr>
        <w:t>Antidotation en cas d'injection accidentelle de rocuronium</w:t>
      </w:r>
      <w:r>
        <w:t xml:space="preserve"> :</w:t>
      </w:r>
    </w:p>
    <w:p>
      <w:pPr>
        <w:pStyle w:val="ListBullet"/>
      </w:pPr>
      <w:r>
        <w:t>Erreur médicamenteuse, injection de rocuronium en l'absence de nécessité : sugammadex 16 mg/kg IV en bolus, à administrer le plus rapidement possible (avant que le rocuronium n'ait atteint son effet maximal).</w:t>
      </w:r>
    </w:p>
    <w:p>
      <w:r>
        <w:t>Contre-indications :</w:t>
      </w:r>
    </w:p>
    <w:p>
      <w:pPr>
        <w:pStyle w:val="ListBullet"/>
      </w:pPr>
      <w:r/>
      <w:r>
        <w:rPr>
          <w:b/>
        </w:rPr>
        <w:t>Hypersensibilité au sugammadex</w:t>
      </w:r>
      <w:r>
        <w:t xml:space="preserve"> ou à l'un des excipients (rare mais documentée, avec cas d'anaphylaxie).</w:t>
      </w:r>
    </w:p>
    <w:p>
      <w:pPr>
        <w:pStyle w:val="ListBullet"/>
      </w:pPr>
      <w:r/>
      <w:r>
        <w:rPr>
          <w:b/>
        </w:rPr>
        <w:t>Insuffisance rénale sévère</w:t>
      </w:r>
      <w:r>
        <w:t xml:space="preserve"> (DFG &lt; 30 mL/min) ou dialyse : en raison du risque d'accumulation du complexe sugammadex-rocuronium et de relargage secondaire de rocuronium.</w:t>
      </w:r>
    </w:p>
    <w:p>
      <w:pPr>
        <w:pStyle w:val="ListBullet"/>
      </w:pPr>
      <w:r/>
      <w:r>
        <w:rPr>
          <w:b/>
        </w:rPr>
        <w:t>Réadministration de rocuronium ou de vécuronium dans les 24 heures</w:t>
      </w:r>
      <w:r>
        <w:t xml:space="preserve"> suivant le sugammadex : contre-indication relative (utiliser un curare non encapsulable par le sugammadex, comme le cisatracurium ou la succinylcholine).</w:t>
      </w:r>
    </w:p>
    <w:p>
      <w:r>
        <w:t>Indications hors AMM :</w:t>
      </w:r>
    </w:p>
    <w:p>
      <w:pPr>
        <w:pStyle w:val="ListBullet"/>
      </w:pPr>
      <w:r/>
      <w:r>
        <w:rPr>
          <w:b/>
        </w:rPr>
        <w:t>Antagonisation du pancuronium</w:t>
      </w:r>
      <w:r>
        <w:t xml:space="preserve"> : très faible affinité du sugammadex pour le pancuronium, à éviter.</w:t>
      </w:r>
    </w:p>
    <w:p>
      <w:pPr>
        <w:pStyle w:val="ListBullet"/>
      </w:pPr>
      <w:r/>
      <w:r>
        <w:rPr>
          <w:b/>
        </w:rPr>
        <w:t>Antagonisation de la succinylcholine</w:t>
      </w:r>
      <w:r>
        <w:t xml:space="preserve"> : aucune action.</w:t>
      </w:r>
    </w:p>
    <w:p>
      <w:pPr>
        <w:pStyle w:val="ListBullet"/>
      </w:pPr>
      <w:r/>
      <w:r>
        <w:rPr>
          <w:b/>
        </w:rPr>
        <w:t>Antagonisation du cisatracurium ou de l'atracurium</w:t>
      </w:r>
      <w:r>
        <w:t xml:space="preserve"> : aucune action (curares benzylisoquinoléiques).</w:t>
      </w:r>
    </w:p>
    <w:p>
      <w:r>
        <w:t>En pratique clinique en Algérie, le sugammadex est utilisé :</w:t>
      </w:r>
    </w:p>
    <w:p>
      <w:pPr>
        <w:pStyle w:val="ListBullet"/>
      </w:pPr>
      <w:r>
        <w:t>En fin d'intervention chirurgicale pour antagoniser le rocuronium (indication principale).</w:t>
      </w:r>
    </w:p>
    <w:p>
      <w:pPr>
        <w:pStyle w:val="ListBullet"/>
      </w:pPr>
      <w:r>
        <w:t>En cas d'impossibilité d'intubation (« *cannot intubate, cannot ventilate* ») après rocuronium en séquence rapide (indication vitale).</w:t>
      </w:r>
    </w:p>
    <w:p>
      <w:pPr>
        <w:pStyle w:val="ListBullet"/>
      </w:pPr>
      <w:r>
        <w:t>En cas d'injection accidentelle de rocuronium (indication de sécurité).</w:t>
      </w:r>
    </w:p>
    <w:p>
      <w:r>
        <w:t>La néostigmine n'étant pas disponible en Algérie, le sugammadex est l'unique moyen de décurarisation pharmacologique des curares aminostéroïdes (rocuronium, vécuronium) en Algérie. Pour les curares benzylisoquinoléiques (cisatracurium, atracurium), la dégradation spontanée (Hofmann) reste la seule option.</w:t>
      </w:r>
    </w:p>
    <w:p>
      <w:pPr>
        <w:pStyle w:val="Heading4"/>
      </w:pPr>
      <w:r>
        <w:t>183.2.1.6 Posologie et mode d'administration</w:t>
      </w:r>
    </w:p>
    <w:p>
      <w:r>
        <w:t xml:space="preserve">Le sugammadex est administré </w:t>
      </w:r>
      <w:r>
        <w:rPr>
          <w:b/>
        </w:rPr>
        <w:t>exclusivement par voie intraveineuse</w:t>
      </w:r>
      <w:r>
        <w:t xml:space="preserve"> (IV directe en bolus ou perfusion courte de 10-15 secondes). La dose est fonction du niveau de bloc neuromusculaire à l'administration, mesuré par monitorage neuromusculaire (TOF, PTC).</w:t>
      </w:r>
    </w:p>
    <w:p>
      <w:r/>
      <w:r>
        <w:rPr>
          <w:b/>
        </w:rPr>
        <w:t>Adulte — antagonisation du rocuronium ou du vécuronium</w:t>
      </w:r>
      <w:r>
        <w:t xml:space="preserve"> :</w:t>
      </w:r>
    </w:p>
    <w:p>
      <w:pPr>
        <w:pStyle w:val="ListBullet"/>
      </w:pPr>
      <w:r/>
      <w:r>
        <w:rPr>
          <w:b/>
        </w:rPr>
        <w:t>Bloc modéré</w:t>
      </w:r>
      <w:r>
        <w:t xml:space="preserve"> (TOF 0,1-0,4, c'est-à-dire apparition de T1 mais pas de T4) : </w:t>
      </w:r>
      <w:r>
        <w:rPr>
          <w:b/>
        </w:rPr>
        <w:t>2 mg/kg IV</w:t>
      </w:r>
      <w:r>
        <w:t xml:space="preserve"> en bolus. Récupération TOF ≥ 0,9 en 1-2 minutes.</w:t>
      </w:r>
    </w:p>
    <w:p>
      <w:pPr>
        <w:pStyle w:val="ListBullet"/>
      </w:pPr>
      <w:r>
        <w:t>Exemple : patient de 70 kg → 140 mg de sugammadex, soit 1,4 mL de solution à 100 mg/mL (1 flacon de 2 mL = 200 mg est suffisant).</w:t>
      </w:r>
    </w:p>
    <w:p>
      <w:pPr>
        <w:pStyle w:val="ListBullet"/>
      </w:pPr>
      <w:r>
        <w:t>Patient de 80 kg → 160 mg de sugammadex, soit 1,6 mL (1 flacon de 2 mL suffit).</w:t>
      </w:r>
    </w:p>
    <w:p>
      <w:pPr>
        <w:pStyle w:val="ListBullet"/>
      </w:pPr>
      <w:r/>
      <w:r>
        <w:rPr>
          <w:b/>
        </w:rPr>
        <w:t>Bloc profond</w:t>
      </w:r>
      <w:r>
        <w:t xml:space="preserve"> (PTC 1-2, c'est-à-dire post-tetanic count 1 à 2, TOF 0) : </w:t>
      </w:r>
      <w:r>
        <w:rPr>
          <w:b/>
        </w:rPr>
        <w:t>4 mg/kg IV</w:t>
      </w:r>
      <w:r>
        <w:t xml:space="preserve"> en bolus. Récupération TOF ≥ 0,9 en 2-3 minutes.</w:t>
      </w:r>
    </w:p>
    <w:p>
      <w:pPr>
        <w:pStyle w:val="ListBullet"/>
      </w:pPr>
      <w:r>
        <w:t>Patient de 70 kg → 280 mg de sugammadex, soit 2,8 mL de solution à 100 mg/mL (1 flacon de 5 mL = 500 mg suffit largement).</w:t>
      </w:r>
    </w:p>
    <w:p>
      <w:pPr>
        <w:pStyle w:val="ListBullet"/>
      </w:pPr>
      <w:r>
        <w:t>Patient de 80 kg → 320 mg, soit 3,2 mL (1 flacon de 5 mL suffit).</w:t>
      </w:r>
    </w:p>
    <w:p>
      <w:pPr>
        <w:pStyle w:val="ListBullet"/>
      </w:pPr>
      <w:r/>
      <w:r>
        <w:rPr>
          <w:b/>
        </w:rPr>
        <w:t>Intubation en séquence rapide avec rocuronium 1,2 mg/kg</w:t>
      </w:r>
      <w:r>
        <w:t xml:space="preserve">, « *cannot intubate, cannot ventilate* » : </w:t>
      </w:r>
      <w:r>
        <w:rPr>
          <w:b/>
        </w:rPr>
        <w:t>16 mg/kg IV</w:t>
      </w:r>
      <w:r>
        <w:t xml:space="preserve"> en bolus massif. Récupération TOF ≥ 0,9 en 1-2 minutes.</w:t>
      </w:r>
    </w:p>
    <w:p>
      <w:pPr>
        <w:pStyle w:val="ListBullet"/>
      </w:pPr>
      <w:r>
        <w:t>Patient de 70 kg → 1120 mg de sugammadex, soit 11,2 mL de solution à 100 mg/mL (2 flacons de 5 mL = 1000 mg + 1 flacon de 2 mL = 200 mg ; total 1200 mg, suffisant).</w:t>
      </w:r>
    </w:p>
    <w:p>
      <w:pPr>
        <w:pStyle w:val="ListBullet"/>
      </w:pPr>
      <w:r>
        <w:t>Patient de 80 kg → 1280 mg, soit 12,8 mL (3 flacons de 5 mL = 1500 mg, suffisant).</w:t>
      </w:r>
    </w:p>
    <w:p>
      <w:r/>
      <w:r>
        <w:rPr>
          <w:b/>
        </w:rPr>
        <w:t>Enfant et adolescent</w:t>
      </w:r>
      <w:r>
        <w:t xml:space="preserve"> :</w:t>
      </w:r>
    </w:p>
    <w:p>
      <w:pPr>
        <w:pStyle w:val="ListBullet"/>
      </w:pPr>
      <w:r/>
      <w:r>
        <w:rPr>
          <w:b/>
        </w:rPr>
        <w:t>Enfant de 2 à 17 ans</w:t>
      </w:r>
      <w:r>
        <w:t xml:space="preserve"> : posologie identique à l'adulte en mg/kg (2 ou 4 mg/kg selon le niveau de bloc).</w:t>
      </w:r>
    </w:p>
    <w:p>
      <w:pPr>
        <w:pStyle w:val="ListBullet"/>
      </w:pPr>
      <w:r/>
      <w:r>
        <w:rPr>
          <w:b/>
        </w:rPr>
        <w:t>Nourrisson de 1 à 23 mois</w:t>
      </w:r>
      <w:r>
        <w:t xml:space="preserve"> : données limitées ; utilisation déconseillée sauf nécessité absolue, à la dose de 2 ou 4 mg/kg selon le niveau de bloc.</w:t>
      </w:r>
    </w:p>
    <w:p>
      <w:pPr>
        <w:pStyle w:val="ListBullet"/>
      </w:pPr>
      <w:r/>
      <w:r>
        <w:rPr>
          <w:b/>
        </w:rPr>
        <w:t>Nouveau-né (&lt; 1 mois)</w:t>
      </w:r>
      <w:r>
        <w:t xml:space="preserve"> : le sugammadex n'est pas recommandé chez le nouveau-né (données cliniques insuffisantes).</w:t>
      </w:r>
    </w:p>
    <w:p>
      <w:r/>
      <w:r>
        <w:rPr>
          <w:b/>
        </w:rPr>
        <w:t>Sujet âgé</w:t>
      </w:r>
      <w:r>
        <w:t xml:space="preserve"> :</w:t>
      </w:r>
    </w:p>
    <w:p>
      <w:pPr>
        <w:pStyle w:val="ListBullet"/>
      </w:pPr>
      <w:r>
        <w:t>Pas d'adaptation posologique systématique.</w:t>
      </w:r>
    </w:p>
    <w:p>
      <w:pPr>
        <w:pStyle w:val="ListBullet"/>
      </w:pPr>
      <w:r>
        <w:t>Cependant, en cas d'insuffisance rénale associée (fréquente chez le sujet âgé), évaluer le DFG et contre-indiquer le sugammadex si DFG &lt; 30 mL/min.</w:t>
      </w:r>
    </w:p>
    <w:p>
      <w:r/>
      <w:r>
        <w:rPr>
          <w:b/>
        </w:rPr>
        <w:t>Insuffisance rénale</w:t>
      </w:r>
      <w:r>
        <w:t xml:space="preserve"> :</w:t>
      </w:r>
    </w:p>
    <w:p>
      <w:pPr>
        <w:pStyle w:val="ListBullet"/>
      </w:pPr>
      <w:r>
        <w:t>DFG ≥ 30 mL/min : pas d'adaptation posologique.</w:t>
      </w:r>
    </w:p>
    <w:p>
      <w:pPr>
        <w:pStyle w:val="ListBullet"/>
      </w:pPr>
      <w:r>
        <w:t>DFG &lt; 30 mL/min ou dialyse : contre-indication.</w:t>
      </w:r>
    </w:p>
    <w:p>
      <w:r/>
      <w:r>
        <w:rPr>
          <w:b/>
        </w:rPr>
        <w:t>Insuffisance hépatique</w:t>
      </w:r>
      <w:r>
        <w:t xml:space="preserve"> :</w:t>
      </w:r>
    </w:p>
    <w:p>
      <w:pPr>
        <w:pStyle w:val="ListBullet"/>
      </w:pPr>
      <w:r>
        <w:t>Pas d'adaptation posologique (le sugammadex n'est pas métabolisé par le foie).</w:t>
      </w:r>
    </w:p>
    <w:p>
      <w:r/>
      <w:r>
        <w:rPr>
          <w:b/>
        </w:rPr>
        <w:t>Mode d'administration</w:t>
      </w:r>
      <w:r>
        <w:t xml:space="preserve"> :</w:t>
      </w:r>
    </w:p>
    <w:p>
      <w:pPr>
        <w:pStyle w:val="ListBullet"/>
      </w:pPr>
      <w:r>
        <w:t>La solution de sugammadex est administrée pure (IV directe en bolus) ou diluée dans une solution de perfusion (chlorure de sodium 0,9 %) pour perfusion courte (10-15 secondes).</w:t>
      </w:r>
    </w:p>
    <w:p>
      <w:pPr>
        <w:pStyle w:val="ListBullet"/>
      </w:pPr>
      <w:r>
        <w:t>Ne pas mélanger avec d'autres médicaments dans la même seringue (risque de précipitation).</w:t>
      </w:r>
    </w:p>
    <w:p>
      <w:pPr>
        <w:pStyle w:val="ListBullet"/>
      </w:pPr>
      <w:r>
        <w:t>Vérifier l'absence de particules avant administration.</w:t>
      </w:r>
    </w:p>
    <w:p>
      <w:r/>
      <w:r>
        <w:rPr>
          <w:b/>
        </w:rPr>
        <w:t>Surveillance</w:t>
      </w:r>
      <w:r>
        <w:t xml:space="preserve"> :</w:t>
      </w:r>
    </w:p>
    <w:p>
      <w:pPr>
        <w:pStyle w:val="ListBullet"/>
      </w:pPr>
      <w:r>
        <w:t>Monitorage neuromusculaire obligatoire (TOF, PTC) avant et après administration, pour confirmer la récupération (TOF ≥ 0,9).</w:t>
      </w:r>
    </w:p>
    <w:p>
      <w:pPr>
        <w:pStyle w:val="ListBullet"/>
      </w:pPr>
      <w:r>
        <w:t>Surveillance hémodynamique (TA, FC, SpO₂) à la recherche d'une réaction d'hypersensibilité (chute tensionnelle, bronchospasme, urticaire).</w:t>
      </w:r>
    </w:p>
    <w:p>
      <w:pPr>
        <w:pStyle w:val="ListBullet"/>
      </w:pPr>
      <w:r>
        <w:t>Surveillance respiratoire : la récupération neuromusculaire ne préjuge pas de la récupération de la ventilation (qui dépend aussi des opioïdes et des anesthésiques généraux administrés).</w:t>
      </w:r>
    </w:p>
    <w:p>
      <w:pPr>
        <w:pStyle w:val="Heading4"/>
      </w:pPr>
      <w:r>
        <w:t>183.2.1.7 Effets indésirables et prévention</w:t>
      </w:r>
    </w:p>
    <w:p>
      <w:r>
        <w:t>Les effets indésirables du sugammadex sont dominés par les réactions d'hypersensibilité. On distingue :</w:t>
      </w:r>
    </w:p>
    <w:p>
      <w:r/>
      <w:r>
        <w:rPr>
          <w:b/>
        </w:rPr>
        <w:t>Réactions d'hypersensibilité</w:t>
      </w:r>
      <w:r>
        <w:t xml:space="preserve"> :</w:t>
      </w:r>
    </w:p>
    <w:p>
      <w:pPr>
        <w:pStyle w:val="ListBullet"/>
      </w:pPr>
      <w:r/>
      <w:r>
        <w:rPr>
          <w:b/>
        </w:rPr>
        <w:t>Choc anaphylactique</w:t>
      </w:r>
      <w:r>
        <w:t xml:space="preserve"> : rare (estimé à 0,3 % à 1 % selon les études, plus fréquent qu'avec la néostigmine). Survenue dans les minutes suivant l'administration, avec hypotension, tachycardie, bronchospasme, urticaire, rash, angio-œdème. Prévention : surveillance hémodynamique continue pendant et après l'administration ; disponibilité immédiate d'un kit d'anaphylaxie (adrénaline, antihistaminiques, corticoïdes, oxygène, intubation).</w:t>
      </w:r>
    </w:p>
    <w:p>
      <w:pPr>
        <w:pStyle w:val="ListBullet"/>
      </w:pPr>
      <w:r/>
      <w:r>
        <w:rPr>
          <w:b/>
        </w:rPr>
        <w:t>Érythème, urticaire</w:t>
      </w:r>
      <w:r>
        <w:t xml:space="preserve"> : réactions cutanées bénignes, fréquentes (5-10 %), transitoires (30-60 minutes). Prévention : surveillance cutanée ; arrêt du sugammadex si réaction étendue.</w:t>
      </w:r>
    </w:p>
    <w:p>
      <w:pPr>
        <w:pStyle w:val="ListBullet"/>
      </w:pPr>
      <w:r/>
      <w:r>
        <w:rPr>
          <w:b/>
        </w:rPr>
        <w:t>Hypersensibilité retardée</w:t>
      </w:r>
      <w:r>
        <w:t xml:space="preserve"> : réactions survenant 6-24 heures après l'administration, à type de rash maculo-papuleux, prurit, fièvre. Prévention : information du patient à la sortie de la salle de réveil.</w:t>
      </w:r>
    </w:p>
    <w:p>
      <w:r/>
      <w:r>
        <w:rPr>
          <w:b/>
        </w:rPr>
        <w:t>Effets respiratoires</w:t>
      </w:r>
      <w:r>
        <w:t xml:space="preserve"> :</w:t>
      </w:r>
    </w:p>
    <w:p>
      <w:pPr>
        <w:pStyle w:val="ListBullet"/>
      </w:pPr>
      <w:r/>
      <w:r>
        <w:rPr>
          <w:b/>
        </w:rPr>
        <w:t>Bronchospasme</w:t>
      </w:r>
      <w:r>
        <w:t xml:space="preserve"> : rare (&lt; 1 %), parfois associé aux réactions d'hypersensibilité.</w:t>
      </w:r>
    </w:p>
    <w:p>
      <w:pPr>
        <w:pStyle w:val="ListBullet"/>
      </w:pPr>
      <w:r/>
      <w:r>
        <w:rPr>
          <w:b/>
        </w:rPr>
        <w:t>Toux</w:t>
      </w:r>
      <w:r>
        <w:t xml:space="preserve"> : fréquente (5-10 %), transitoire.</w:t>
      </w:r>
    </w:p>
    <w:p>
      <w:r/>
      <w:r>
        <w:rPr>
          <w:b/>
        </w:rPr>
        <w:t>Effets cardiovasculaires</w:t>
      </w:r>
      <w:r>
        <w:t xml:space="preserve"> :</w:t>
      </w:r>
    </w:p>
    <w:p>
      <w:pPr>
        <w:pStyle w:val="ListBullet"/>
      </w:pPr>
      <w:r/>
      <w:r>
        <w:rPr>
          <w:b/>
        </w:rPr>
        <w:t>Hypotension transitoire</w:t>
      </w:r>
      <w:r>
        <w:t xml:space="preserve"> : fréquente (5-10 %), liée à la levée brutale de la curarisation et à la réactivation du tonus sympathique. Prévention : surveillance hémodynamique continue.</w:t>
      </w:r>
    </w:p>
    <w:p>
      <w:pPr>
        <w:pStyle w:val="ListBullet"/>
      </w:pPr>
      <w:r/>
      <w:r>
        <w:rPr>
          <w:b/>
        </w:rPr>
        <w:t>Bradycardie</w:t>
      </w:r>
      <w:r>
        <w:t xml:space="preserve"> : rare (&lt; 1 %), en raison de l'absence d'effet muscarinique (à la différence de la néostigmine qui provoque une bradycardie par stimulation muscarinique).</w:t>
      </w:r>
    </w:p>
    <w:p>
      <w:pPr>
        <w:pStyle w:val="ListBullet"/>
      </w:pPr>
      <w:r/>
      <w:r>
        <w:rPr>
          <w:b/>
        </w:rPr>
        <w:t>Allongement de l'intervalle QTc</w:t>
      </w:r>
      <w:r>
        <w:t xml:space="preserve"> : décrit à fortes doses (16 mg/kg), à surveiller chez les patients à risque (long QT congénital, traitement par antiarythmiques).</w:t>
      </w:r>
    </w:p>
    <w:p>
      <w:r/>
      <w:r>
        <w:rPr>
          <w:b/>
        </w:rPr>
        <w:t>Effets digestifs</w:t>
      </w:r>
      <w:r>
        <w:t xml:space="preserve"> :</w:t>
      </w:r>
    </w:p>
    <w:p>
      <w:pPr>
        <w:pStyle w:val="ListBullet"/>
      </w:pPr>
      <w:r>
        <w:t>Nausées, vomissements : fréquents (10-15 %), mais difficiles à attribuer au sugammadex seul (plus probablement liés à l'anesthésie générale).</w:t>
      </w:r>
    </w:p>
    <w:p>
      <w:pPr>
        <w:pStyle w:val="ListBullet"/>
      </w:pPr>
      <w:r>
        <w:t>Goût métallique : rare (&lt; 1 %).</w:t>
      </w:r>
    </w:p>
    <w:p>
      <w:r/>
      <w:r>
        <w:rPr>
          <w:b/>
        </w:rPr>
        <w:t>Effets biologiques</w:t>
      </w:r>
      <w:r>
        <w:t xml:space="preserve"> :</w:t>
      </w:r>
    </w:p>
    <w:p>
      <w:pPr>
        <w:pStyle w:val="ListBullet"/>
      </w:pPr>
      <w:r/>
      <w:r>
        <w:rPr>
          <w:b/>
        </w:rPr>
        <w:t>Augmentation transitoire de l'INR</w:t>
      </w:r>
      <w:r>
        <w:t xml:space="preserve"> : décrite chez les patients sous antivitamines K (AVK), le sugammadex peut interagir avec le métabolisme des AVK (voir section interactions). Surveillance de l'INR à J+1 et J+3 après sugammadex.</w:t>
      </w:r>
    </w:p>
    <w:p>
      <w:r/>
      <w:r>
        <w:rPr>
          <w:b/>
        </w:rPr>
        <w:t>Effets hormonaux</w:t>
      </w:r>
      <w:r>
        <w:t xml:space="preserve"> :</w:t>
      </w:r>
    </w:p>
    <w:p>
      <w:pPr>
        <w:pStyle w:val="ListBullet"/>
      </w:pPr>
      <w:r/>
      <w:r>
        <w:rPr>
          <w:b/>
        </w:rPr>
        <w:t>Baisse de l'efficacité des contraceptifs oraux estroprogestatifs</w:t>
      </w:r>
      <w:r>
        <w:t xml:space="preserve"> : le sugammadex se lie à l'éthinylestradiol (et accessoirement à la progestérone) et diminue sa biodisponibilité de 30 à 40 %, ce qui équivaut à l'oubli d'une prise de contraceptif oral. Risque de grossesse non désirée. Prévention : contraception mécanique complémentaire (préservatif) pendant 7 jours après administration de sugammadex chez toute femme en âge de procréer sous contraceptif oral.</w:t>
      </w:r>
    </w:p>
    <w:p>
      <w:r/>
      <w:r>
        <w:rPr>
          <w:b/>
        </w:rPr>
        <w:t>Recurarisation secondaire</w:t>
      </w:r>
      <w:r>
        <w:t xml:space="preserve"> :</w:t>
      </w:r>
    </w:p>
    <w:p>
      <w:pPr>
        <w:pStyle w:val="ListBullet"/>
      </w:pPr>
      <w:r>
        <w:t>Risque théorique en cas d'insuffisance rénale sévère (accumulation du complexe sugammadex-rocuronium avec relargage secondaire de rocuronium).</w:t>
      </w:r>
    </w:p>
    <w:p>
      <w:pPr>
        <w:pStyle w:val="ListBullet"/>
      </w:pPr>
      <w:r>
        <w:t>Prévention : contre-indication du sugammadex en cas d'insuffisance rénale sévère (DFG &lt; 30 mL/min) ou dialyse ; surveillance prolongée en réanimation si administration à un patient à fonction rénale altérée.</w:t>
      </w:r>
    </w:p>
    <w:p>
      <w:r/>
      <w:r>
        <w:rPr>
          <w:b/>
        </w:rPr>
        <w:t>Prévention générale</w:t>
      </w:r>
      <w:r>
        <w:t xml:space="preserve"> :</w:t>
      </w:r>
    </w:p>
    <w:p>
      <w:pPr>
        <w:pStyle w:val="ListBullet"/>
      </w:pPr>
      <w:r>
        <w:t>Disposer systématiquement d'un kit d'anaphylaxie en salle d'opération.</w:t>
      </w:r>
    </w:p>
    <w:p>
      <w:pPr>
        <w:pStyle w:val="ListBullet"/>
      </w:pPr>
      <w:r>
        <w:t>Surveillance hémodynamique et respiratoire continue pendant et après l'administration.</w:t>
      </w:r>
    </w:p>
    <w:p>
      <w:pPr>
        <w:pStyle w:val="ListBullet"/>
      </w:pPr>
      <w:r>
        <w:t>Monitorage neuromusculaire obligatoire (TOF, PTC) pour confirmer la récupération (TOF ≥ 0,9).</w:t>
      </w:r>
    </w:p>
    <w:p>
      <w:pPr>
        <w:pStyle w:val="ListBullet"/>
      </w:pPr>
      <w:r>
        <w:t>Information des patientes sous contraceptif oral sur la nécessité d'une contraception mécanique complémentaire pendant 7 jours.</w:t>
      </w:r>
    </w:p>
    <w:p>
      <w:pPr>
        <w:pStyle w:val="ListBullet"/>
      </w:pPr>
      <w:r>
        <w:t>Information des patients sous AVK sur la surveillance de l'INR à J+1 et J+3.</w:t>
      </w:r>
    </w:p>
    <w:p>
      <w:pPr>
        <w:pStyle w:val="Heading4"/>
      </w:pPr>
      <w:r>
        <w:t>183.2.1.8 Interactions médicamenteuses</w:t>
      </w:r>
    </w:p>
    <w:p>
      <w:r>
        <w:t>Les interactions du sugammadex sont limitées mais importantes à connaître :</w:t>
      </w:r>
    </w:p>
    <w:p>
      <w:r/>
      <w:r>
        <w:rPr>
          <w:b/>
        </w:rPr>
        <w:t>Interactions avec les curares neuromusculaires</w:t>
      </w:r>
      <w:r>
        <w:t xml:space="preserve"> :</w:t>
      </w:r>
    </w:p>
    <w:p>
      <w:pPr>
        <w:pStyle w:val="ListBullet"/>
      </w:pPr>
      <w:r/>
      <w:r>
        <w:rPr>
          <w:b/>
        </w:rPr>
        <w:t>Rocuronium</w:t>
      </w:r>
      <w:r>
        <w:t xml:space="preserve"> : antagonisation complète et rapide par encapsulation. C'est l'indication principale du sugammadex.</w:t>
      </w:r>
    </w:p>
    <w:p>
      <w:pPr>
        <w:pStyle w:val="ListBullet"/>
      </w:pPr>
      <w:r/>
      <w:r>
        <w:rPr>
          <w:b/>
        </w:rPr>
        <w:t>Vécuronium</w:t>
      </w:r>
      <w:r>
        <w:t xml:space="preserve"> : antagonisation efficace, mais affinité moindre que pour le rocuronium. Doses identiques.</w:t>
      </w:r>
    </w:p>
    <w:p>
      <w:pPr>
        <w:pStyle w:val="ListBullet"/>
      </w:pPr>
      <w:r/>
      <w:r>
        <w:rPr>
          <w:b/>
        </w:rPr>
        <w:t>Pancuronium</w:t>
      </w:r>
      <w:r>
        <w:t xml:space="preserve"> : très faible affinité du sugammadex pour le pancuronium, à éviter.</w:t>
      </w:r>
    </w:p>
    <w:p>
      <w:pPr>
        <w:pStyle w:val="ListBullet"/>
      </w:pPr>
      <w:r/>
      <w:r>
        <w:rPr>
          <w:b/>
        </w:rPr>
        <w:t>Cisatracurium, atracurium</w:t>
      </w:r>
      <w:r>
        <w:t xml:space="preserve"> : aucune action (curares benzylisoquinoléiques, structure chimique non compatible avec la cavité du sugammadex).</w:t>
      </w:r>
    </w:p>
    <w:p>
      <w:pPr>
        <w:pStyle w:val="ListBullet"/>
      </w:pPr>
      <w:r/>
      <w:r>
        <w:rPr>
          <w:b/>
        </w:rPr>
        <w:t>Succinylcholine</w:t>
      </w:r>
      <w:r>
        <w:t xml:space="preserve"> : aucune action (curare dépolarisant, dégradé par la butyrylcholinestérase plasmatique).</w:t>
      </w:r>
    </w:p>
    <w:p>
      <w:pPr>
        <w:pStyle w:val="ListBullet"/>
      </w:pPr>
      <w:r/>
      <w:r>
        <w:rPr>
          <w:b/>
        </w:rPr>
        <w:t>Réadministration de rocuronium ou de vécuronium dans les 24 heures suivant le sugammadex</w:t>
      </w:r>
      <w:r>
        <w:t xml:space="preserve"> : contre-indication relative, en raison du risque de curarisation inefficace par captation par le sugammadex circulant résiduel. Si une curarisation doit être reprise dans ce délai, utiliser un curare non encapsulable par le sugammadex (cisatracurium, succinylcholine).</w:t>
      </w:r>
    </w:p>
    <w:p>
      <w:r/>
      <w:r>
        <w:rPr>
          <w:b/>
        </w:rPr>
        <w:t>Interactions hormonales</w:t>
      </w:r>
      <w:r>
        <w:t xml:space="preserve"> :</w:t>
      </w:r>
    </w:p>
    <w:p>
      <w:pPr>
        <w:pStyle w:val="ListBullet"/>
      </w:pPr>
      <w:r/>
      <w:r>
        <w:rPr>
          <w:b/>
        </w:rPr>
        <w:t>Contraceptifs oraux estroprogestatifs</w:t>
      </w:r>
      <w:r>
        <w:t xml:space="preserve"> : le sugammadex se lie à l'éthinylestradiol (et accessoirement à la progestérone) et diminue sa biodisponibilité de 30 à 40 %. Cette baisse est équivalente à l'oubli d'une prise de contraceptif oral et expose à un risque de grossesse non désirée. Une contraception mécanique complémentaire (préservatif) pendant 7 jours après administration de sugammadex est obligatoire chez toute femme en âge de procréer sous contraceptif oral.</w:t>
      </w:r>
    </w:p>
    <w:p>
      <w:pPr>
        <w:pStyle w:val="ListBullet"/>
      </w:pPr>
      <w:r/>
      <w:r>
        <w:rPr>
          <w:b/>
        </w:rPr>
        <w:t>Hormonothérapie substitutive de la ménopause</w:t>
      </w:r>
      <w:r>
        <w:t xml:space="preserve"> : interaction théorique similaire, à surveiller.</w:t>
      </w:r>
    </w:p>
    <w:p>
      <w:r/>
      <w:r>
        <w:rPr>
          <w:b/>
        </w:rPr>
        <w:t>Interactions avec les anticoagulants oraux</w:t>
      </w:r>
      <w:r>
        <w:t xml:space="preserve"> :</w:t>
      </w:r>
    </w:p>
    <w:p>
      <w:pPr>
        <w:pStyle w:val="ListBullet"/>
      </w:pPr>
      <w:r/>
      <w:r>
        <w:rPr>
          <w:b/>
        </w:rPr>
        <w:t>Antivitamines K (warfarine, acénocoumarol, fluindione)</w:t>
      </w:r>
      <w:r>
        <w:t xml:space="preserve"> : le sugammadex peut interagir avec le métabolisme des AVK et augmenter transitoirement l'INR, avec risque de saignement. Mécanisme hypothétique : le sugammadex encapsule partiellement les AVK (qui sont des molécules stéroïdiennes ou apparentées) et modifie leur pharmacocinétique. Surveillance de l'INR à J+1 et J+3 après sugammadex chez les patients sous AVK.</w:t>
      </w:r>
    </w:p>
    <w:p>
      <w:pPr>
        <w:pStyle w:val="ListBullet"/>
      </w:pPr>
      <w:r/>
      <w:r>
        <w:rPr>
          <w:b/>
        </w:rPr>
        <w:t>Héparines, HBPM, AOD (apixaban, rivaroxaban, dabigatran)</w:t>
      </w:r>
      <w:r>
        <w:t xml:space="preserve"> : pas d'interaction documentée à ce jour.</w:t>
      </w:r>
    </w:p>
    <w:p>
      <w:r/>
      <w:r>
        <w:rPr>
          <w:b/>
        </w:rPr>
        <w:t>Interactions pharmacocinétiques</w:t>
      </w:r>
      <w:r>
        <w:t xml:space="preserve"> :</w:t>
      </w:r>
    </w:p>
    <w:p>
      <w:pPr>
        <w:pStyle w:val="ListBullet"/>
      </w:pPr>
      <w:r>
        <w:t>Le sugammadex n'est pas métabolisé par le cytochrome P450 ; il n'a donc pas d'interaction avec les inducteurs ou les inhibiteurs enzymatiques.</w:t>
      </w:r>
    </w:p>
    <w:p>
      <w:pPr>
        <w:pStyle w:val="ListBullet"/>
      </w:pPr>
      <w:r>
        <w:t>Le sugammadex n'est pas substrat de la P-glycoprotéine ou d'autres transporteurs ; pas d'interaction avec les inhibiteurs ou inducteurs de transporteurs.</w:t>
      </w:r>
    </w:p>
    <w:p>
      <w:r/>
      <w:r>
        <w:rPr>
          <w:b/>
        </w:rPr>
        <w:t>Interactions pharmacodynamiques</w:t>
      </w:r>
      <w:r>
        <w:t xml:space="preserve"> :</w:t>
      </w:r>
    </w:p>
    <w:p>
      <w:pPr>
        <w:pStyle w:val="ListBullet"/>
      </w:pPr>
      <w:r/>
      <w:r>
        <w:rPr>
          <w:b/>
        </w:rPr>
        <w:t>Anesthésiques volatils</w:t>
      </w:r>
      <w:r>
        <w:t xml:space="preserve"> (sévoflurane, desflurane, isoflurane) : potentialisation des curares, mais pas d'interaction directe avec le sugammadex. L'antagonisation par le sugammadex reste efficace sous anesthésie volatile.</w:t>
      </w:r>
    </w:p>
    <w:p>
      <w:pPr>
        <w:pStyle w:val="ListBullet"/>
      </w:pPr>
      <w:r/>
      <w:r>
        <w:rPr>
          <w:b/>
        </w:rPr>
        <w:t>Aminosides</w:t>
      </w:r>
      <w:r>
        <w:t xml:space="preserve"> (gentamicine, amikacine) : potentialisent les curares, mais pas d'interaction directe avec le sugammadex.</w:t>
      </w:r>
    </w:p>
    <w:p>
      <w:pPr>
        <w:pStyle w:val="ListBullet"/>
      </w:pPr>
      <w:r/>
      <w:r>
        <w:rPr>
          <w:b/>
        </w:rPr>
        <w:t>Magnésium, calcium, lithium</w:t>
      </w:r>
      <w:r>
        <w:t xml:space="preserve"> : potentialisent les curares, mais pas d'interaction directe avec le sugammadex.</w:t>
      </w:r>
    </w:p>
    <w:p>
      <w:r/>
      <w:r>
        <w:rPr>
          <w:b/>
        </w:rPr>
        <w:t>Associations à risque particulier</w:t>
      </w:r>
      <w:r>
        <w:t xml:space="preserve"> :</w:t>
      </w:r>
    </w:p>
    <w:p>
      <w:pPr>
        <w:pStyle w:val="ListBullet"/>
      </w:pPr>
      <w:r>
        <w:t>Sugammadex + toremifène (anti-estrogène) : interaction théorique, à surveiller.</w:t>
      </w:r>
    </w:p>
    <w:p>
      <w:pPr>
        <w:pStyle w:val="ListBullet"/>
      </w:pPr>
      <w:r>
        <w:t>Sugammadex + hormonal substitution ménopause : interaction théorique similaire aux contraceptifs oraux.</w:t>
      </w:r>
    </w:p>
    <w:p>
      <w:r/>
      <w:r>
        <w:rPr>
          <w:b/>
        </w:rPr>
        <w:t>À noter</w:t>
      </w:r>
      <w:r>
        <w:t xml:space="preserve"> : le sugammadex est compatible avec les solutions de perfusion courantes (chlorure de sodium 0,9 %, glucosé 5 %, Ringer lactate), mais ne doit pas être mélangé avec d'autres médicaments dans la même seringue (risque de précipitation).</w:t>
      </w:r>
    </w:p>
    <w:p>
      <w:pPr>
        <w:pStyle w:val="Heading4"/>
      </w:pPr>
      <w:r>
        <w:t>183.2.1.9 Grossesse, allaitement et CRAT</w:t>
      </w:r>
    </w:p>
    <w:p>
      <w:r/>
      <w:r>
        <w:rPr>
          <w:b/>
        </w:rPr>
        <w:t>Grossesse</w:t>
      </w:r>
      <w:r>
        <w:t xml:space="preserve"> : les données cliniques sur l'usage du sugammadex chez la femme enceinte sont limitées (études animales rassurantes, données humaines peu nombreuses). Selon le CRAT (Centre de Renseignement sur les Agents Tératogènes), le sugammadex </w:t>
      </w:r>
      <w:r>
        <w:rPr>
          <w:b/>
        </w:rPr>
        <w:t>peut être utilisé pendant la grossesse si nécessaire, en l'absence d'alternative</w:t>
      </w:r>
      <w:r>
        <w:t xml:space="preserve"> (la néostigmine, alternative classique, n'est pas disponible en Algérie).</w:t>
      </w:r>
    </w:p>
    <w:p>
      <w:pPr>
        <w:pStyle w:val="ListBullet"/>
      </w:pPr>
      <w:r/>
      <w:r>
        <w:rPr>
          <w:b/>
        </w:rPr>
        <w:t>Césarienne sous anesthésie générale avec rocuronium</w:t>
      </w:r>
      <w:r>
        <w:t xml:space="preserve"> : le sugammadex peut être utilisé en fin d'intervention pour antagoniser le rocuronium, en l'absence d'alternative disponible en Algérie. Surveillance accrue du nouveau-né (Apgar, ventilation spontanée) à la naissance.</w:t>
      </w:r>
    </w:p>
    <w:p>
      <w:pPr>
        <w:pStyle w:val="ListBullet"/>
      </w:pPr>
      <w:r/>
      <w:r>
        <w:rPr>
          <w:b/>
        </w:rPr>
        <w:t>Intubation difficile au cours de la césarienne</w:t>
      </w:r>
      <w:r>
        <w:t xml:space="preserve"> : le sugammadex à 16 mg/kg peut être utilisé en cas d'impossibilité d'intubation après rocuronium en séquence rapide, pour sauver la mère (et indirectement le fœtus).</w:t>
      </w:r>
    </w:p>
    <w:p>
      <w:pPr>
        <w:pStyle w:val="ListBullet"/>
      </w:pPr>
      <w:r/>
      <w:r>
        <w:rPr>
          <w:b/>
        </w:rPr>
        <w:t>Données animales</w:t>
      </w:r>
      <w:r>
        <w:t xml:space="preserve"> : pas d'effet tératogène chez le rat et le lapin aux doses thérapeutiques.</w:t>
      </w:r>
    </w:p>
    <w:p>
      <w:pPr>
        <w:pStyle w:val="ListBullet"/>
      </w:pPr>
      <w:r/>
      <w:r>
        <w:rPr>
          <w:b/>
        </w:rPr>
        <w:t>Données humaines</w:t>
      </w:r>
      <w:r>
        <w:t xml:space="preserve"> : quelques cas rapportés sans effet malformatif particulier, mais recul encore limité.</w:t>
      </w:r>
    </w:p>
    <w:p>
      <w:r>
        <w:t>Le sugammadex traverse partiellement le placenta, mais le fœtus est exposé à des concentrations très faibles (en raison de la faible lipophilie du sugammadex et de la grande taille moléculaire). Le risque de recurarisation fœtale est théorique mais non documenté. Une surveillance du nouveau-né à la naissance (tonus, ventilation spontanée, Apgar) est recommandée.</w:t>
      </w:r>
    </w:p>
    <w:p>
      <w:r/>
      <w:r>
        <w:rPr>
          <w:b/>
        </w:rPr>
        <w:t>Allaitement</w:t>
      </w:r>
      <w:r>
        <w:t xml:space="preserve"> : le sugammadex est excrété dans le lait maternel en quantité très faible (en raison de sa taille moléculaire élevée et de sa faible lipophilie), et la fraction ingérée par le nouveau-né est inactivée (absorption orale négligeable). L'allaitement est donc </w:t>
      </w:r>
      <w:r>
        <w:rPr>
          <w:b/>
        </w:rPr>
        <w:t>compatible</w:t>
      </w:r>
      <w:r>
        <w:t xml:space="preserve"> avec l'administration ponctuelle de sugammadex à la mère, en particulier pour une césarienne ou une chirurgie programmée sous anesthésie générale. En cas d'administration répétée (rare), surveiller le nouveau-né par mesure de précaution.</w:t>
      </w:r>
    </w:p>
    <w:p>
      <w:r/>
      <w:r>
        <w:rPr>
          <w:b/>
        </w:rPr>
        <w:t>Femme en âge de procréer</w:t>
      </w:r>
      <w:r>
        <w:t xml:space="preserve"> :</w:t>
      </w:r>
    </w:p>
    <w:p>
      <w:pPr>
        <w:pStyle w:val="ListBullet"/>
      </w:pPr>
      <w:r>
        <w:t xml:space="preserve">Le sugammadex </w:t>
      </w:r>
      <w:r>
        <w:rPr>
          <w:b/>
        </w:rPr>
        <w:t>diminue l'efficacité des contraceptifs oraux estroprogestatifs</w:t>
      </w:r>
      <w:r>
        <w:t xml:space="preserve"> (baisse de 30-40 % de la biodisponibilité de l'éthinylestradiol), exposant à un risque de grossesse non désirée. Une contraception mécanique complémentaire (préservatif) pendant </w:t>
      </w:r>
      <w:r>
        <w:rPr>
          <w:b/>
        </w:rPr>
        <w:t>7 jours</w:t>
      </w:r>
      <w:r>
        <w:t xml:space="preserve"> après administration de sugammadex est obligatoire chez toute femme en âge de procréer sous contraceptif oral.</w:t>
      </w:r>
    </w:p>
    <w:p>
      <w:pPr>
        <w:pStyle w:val="ListBullet"/>
      </w:pPr>
      <w:r>
        <w:t>Informer systématiquement les patientes en âge de procréer de cette interaction, en consultation d'anesthésie pré-opératoire.</w:t>
      </w:r>
    </w:p>
    <w:p>
      <w:r/>
      <w:r>
        <w:rPr>
          <w:b/>
        </w:rPr>
        <w:t>Conduite à tenir en pratique</w:t>
      </w:r>
      <w:r>
        <w:t xml:space="preserve"> :</w:t>
      </w:r>
    </w:p>
    <w:p>
      <w:pPr>
        <w:pStyle w:val="ListBullet"/>
      </w:pPr>
      <w:r>
        <w:t>Femme enceinte nécessitant une anesthésie générale avec rocuronium : sugammadex utilisable en l'absence d'alternative (néostigmine non disponible en Algérie).</w:t>
      </w:r>
    </w:p>
    <w:p>
      <w:pPr>
        <w:pStyle w:val="ListBullet"/>
      </w:pPr>
      <w:r>
        <w:t>Femme qui allaite : pas de contre-indication à l'administration ponctuelle de sugammadex.</w:t>
      </w:r>
    </w:p>
    <w:p>
      <w:pPr>
        <w:pStyle w:val="ListBullet"/>
      </w:pPr>
      <w:r>
        <w:t>Femme sous contraceptif oral : contraception mécanique complémentaire (préservatif) pendant 7 jours après sugammadex.</w:t>
      </w:r>
    </w:p>
    <w:p>
      <w:pPr>
        <w:pStyle w:val="Heading4"/>
      </w:pPr>
      <w:r>
        <w:t>183.2.1.10 Arbitrage et bénéfices des formes galéniques</w:t>
      </w:r>
    </w:p>
    <w:p>
      <w:r>
        <w:t xml:space="preserve">En Algérie, la seule forme galénique disponible de sugammadex est la </w:t>
      </w:r>
      <w:r>
        <w:rPr>
          <w:b/>
        </w:rPr>
        <w:t>solution injectable IV à 100 mg/mL</w:t>
      </w:r>
      <w:r>
        <w:t>, en deux conditionnements (flacon de 2 mL = 200 mg, et flacon de 5 mL = 500 mg), sous la marque BRIDION (Organon N.V.).</w:t>
      </w:r>
    </w:p>
    <w:p>
      <w:r/>
      <w:r>
        <w:rPr>
          <w:b/>
        </w:rPr>
        <w:t>Avantages de la forme injectable flacon</w:t>
      </w:r>
      <w:r>
        <w:t xml:space="preserve"> :</w:t>
      </w:r>
    </w:p>
    <w:p>
      <w:pPr>
        <w:pStyle w:val="ListBullet"/>
      </w:pPr>
      <w:r>
        <w:t>Concentration standardisée (100 mg/mL) permettant l'administration en bolus IV direct ou en perfusion courte.</w:t>
      </w:r>
    </w:p>
    <w:p>
      <w:pPr>
        <w:pStyle w:val="ListBullet"/>
      </w:pPr>
      <w:r>
        <w:t>Deux dosages disponibles (200 mg et 500 mg) permettant une adaptation flexible à la dose (2, 4, ou 16 mg/kg) et au poids du patient (70 kg → 140 mg, 280 mg, ou 1120 mg).</w:t>
      </w:r>
    </w:p>
    <w:p>
      <w:pPr>
        <w:pStyle w:val="ListBullet"/>
      </w:pPr>
      <w:r>
        <w:t>Stabilité à température ambiante (15-25 °C), conservation 3 ans.</w:t>
      </w:r>
    </w:p>
    <w:p>
      <w:pPr>
        <w:pStyle w:val="ListBullet"/>
      </w:pPr>
      <w:r>
        <w:t>Présence dans tous les chariots d'urgence des blocs opératoires et des réanimations.</w:t>
      </w:r>
    </w:p>
    <w:p>
      <w:pPr>
        <w:pStyle w:val="ListBullet"/>
      </w:pPr>
      <w:r>
        <w:t>Forme prête à l'emploi, sans reconstitution nécessaire.</w:t>
      </w:r>
    </w:p>
    <w:p>
      <w:r/>
      <w:r>
        <w:rPr>
          <w:b/>
        </w:rPr>
        <w:t>Inconvénients de la forme injectable flacon</w:t>
      </w:r>
      <w:r>
        <w:t xml:space="preserve"> :</w:t>
      </w:r>
    </w:p>
    <w:p>
      <w:pPr>
        <w:pStyle w:val="ListBullet"/>
      </w:pPr>
      <w:r>
        <w:t>Coût élevé (environ 10-15 fois le coût de la néostigmine dans les pays où les deux sont disponibles) : le sugammadex est l'un des médicaments anesthésiques les plus chers. Cette considération est cruciale en Algérie, où le sugammadex doit être utilisé à bon escient.</w:t>
      </w:r>
    </w:p>
    <w:p>
      <w:pPr>
        <w:pStyle w:val="ListBullet"/>
      </w:pPr>
      <w:r>
        <w:t>Nécessité de disposer de plusieurs flacons pour les doses massives (16 mg/kg) chez l'adulte de poids élevé : à 16 mg/kg pour un patient de 80 kg → 1280 mg → 3 flacons de 5 mL (1500 mg, avec un surplus).</w:t>
      </w:r>
    </w:p>
    <w:p>
      <w:pPr>
        <w:pStyle w:val="ListBullet"/>
      </w:pPr>
      <w:r>
        <w:t>Pas de forme pré-remplie en seringue (qui faciliterait l'administration en urgence).</w:t>
      </w:r>
    </w:p>
    <w:p>
      <w:r/>
      <w:r>
        <w:rPr>
          <w:b/>
        </w:rPr>
        <w:t>Formes galéniques non disponibles en Algérie</w:t>
      </w:r>
      <w:r>
        <w:t xml:space="preserve"> :</w:t>
      </w:r>
    </w:p>
    <w:p>
      <w:pPr>
        <w:pStyle w:val="ListBullet"/>
      </w:pPr>
      <w:r/>
      <w:r>
        <w:rPr>
          <w:b/>
        </w:rPr>
        <w:t>Sugammadex en seringue pré-remplie</w:t>
      </w:r>
      <w:r>
        <w:t xml:space="preserve"> : disponible dans certains pays européens pour faciliter l'administration en urgence (« *cannot intubate, cannot ventilate* »). Non disponible en Algérie.</w:t>
      </w:r>
    </w:p>
    <w:p>
      <w:pPr>
        <w:pStyle w:val="ListBullet"/>
      </w:pPr>
      <w:r/>
      <w:r>
        <w:rPr>
          <w:b/>
        </w:rPr>
        <w:t>Forme pédiatrique</w:t>
      </w:r>
      <w:r>
        <w:t xml:space="preserve"> : pas de forme spécifique, utilisation de la même solution à 100 mg/mL avec adaptation posologique.</w:t>
      </w:r>
    </w:p>
    <w:p>
      <w:r/>
      <w:r>
        <w:rPr>
          <w:b/>
        </w:rPr>
        <w:t>Arbitrage entre sugammadex et néostigmine (lorsque les deux sont disponibles)</w:t>
      </w:r>
      <w:r>
        <w:t xml:space="preserve"> :</w:t>
      </w:r>
    </w:p>
    <w:p>
      <w:r>
        <w:t>Le choix entre sugammadex et néostigmine repose sur plusieurs critères :</w:t>
      </w:r>
    </w:p>
    <w:p>
      <w:pPr>
        <w:pStyle w:val="ListBullet"/>
      </w:pPr>
      <w:r/>
      <w:r>
        <w:rPr>
          <w:b/>
        </w:rPr>
        <w:t>Niveau de bloc à l'antagonisation</w:t>
      </w:r>
      <w:r>
        <w:t xml:space="preserve"> : pour un bloc léger à modéré (TOF ≥ 0,4), la néostigmine peut suffire (moins coûteuse). Pour un bloc profond (PTC &lt; 1, TOF 0) ou post-injection de rocuronium à dose massive, le sugammadex est indispensable (la néostigmine est inefficace).</w:t>
      </w:r>
    </w:p>
    <w:p>
      <w:pPr>
        <w:pStyle w:val="ListBullet"/>
      </w:pPr>
      <w:r/>
      <w:r>
        <w:rPr>
          <w:b/>
        </w:rPr>
        <w:t>Délai souhaité de récupération</w:t>
      </w:r>
      <w:r>
        <w:t xml:space="preserve"> : la néostigmine nécessite 10-15 minutes pour antagoniser un bloc modéré, le sugammadex 1-2 minutes. En urgence, le sugammadex est supérieur.</w:t>
      </w:r>
    </w:p>
    <w:p>
      <w:pPr>
        <w:pStyle w:val="ListBullet"/>
      </w:pPr>
      <w:r/>
      <w:r>
        <w:rPr>
          <w:b/>
        </w:rPr>
        <w:t>Effets muscariniques</w:t>
      </w:r>
      <w:r>
        <w:t xml:space="preserve"> : la néostigmine provoque bradycardie, hypersécrétion bronchique, et nécessite l'association à l'atropine. Le sugammadex n'a pas d'effet muscarinique.</w:t>
      </w:r>
    </w:p>
    <w:p>
      <w:pPr>
        <w:pStyle w:val="ListBullet"/>
      </w:pPr>
      <w:r/>
      <w:r>
        <w:rPr>
          <w:b/>
        </w:rPr>
        <w:t>Insuffisance rénale</w:t>
      </w:r>
      <w:r>
        <w:t xml:space="preserve"> : la néostigmine est contre-indiquée en cas d'insuffisance rénale sévère (métabolisme hépatique mais élimination rénale partielle des métabolites). Le sugammadex est également contre-indiqué en cas d'insuffisance rénale sévère.</w:t>
      </w:r>
    </w:p>
    <w:p>
      <w:pPr>
        <w:pStyle w:val="ListBullet"/>
      </w:pPr>
      <w:r/>
      <w:r>
        <w:rPr>
          <w:b/>
        </w:rPr>
        <w:t>Coût</w:t>
      </w:r>
      <w:r>
        <w:t xml:space="preserve"> : la néostigmine est moins coûteuse (environ 10-15 fois moins chère).</w:t>
      </w:r>
    </w:p>
    <w:p>
      <w:pPr>
        <w:pStyle w:val="ListBullet"/>
      </w:pPr>
      <w:r/>
      <w:r>
        <w:rPr>
          <w:b/>
        </w:rPr>
        <w:t>Disponibilité</w:t>
      </w:r>
      <w:r>
        <w:t xml:space="preserve"> : en Algérie, seule le sugammadex est disponible (néostigmine absente de la nomenclature), ce qui impose le sugammadex comme seul choix possible pour les curares aminostéroïdes (rocuronium, vécuronium).</w:t>
      </w:r>
    </w:p>
    <w:p>
      <w:r/>
      <w:r>
        <w:rPr>
          <w:b/>
        </w:rPr>
        <w:t>Recommandations pour la pratique en Algérie</w:t>
      </w:r>
      <w:r>
        <w:t xml:space="preserve"> :</w:t>
      </w:r>
    </w:p>
    <w:p>
      <w:pPr>
        <w:pStyle w:val="ListBullet"/>
      </w:pPr>
      <w:r>
        <w:t>Utiliser le sugammadex pour l'antagonisation du rocuronium et du vécuronium à tous les niveaux de bloc.</w:t>
      </w:r>
    </w:p>
    <w:p>
      <w:pPr>
        <w:pStyle w:val="ListBullet"/>
      </w:pPr>
      <w:r>
        <w:t>Pour le cisatracurium et l'atracurium (curares benzylisoquinoléiques), le sugammadex est inefficace ; surveillance prolongée et dégradation spontanée de Hofmann.</w:t>
      </w:r>
    </w:p>
    <w:p>
      <w:pPr>
        <w:pStyle w:val="ListBullet"/>
      </w:pPr>
      <w:r>
        <w:t>Pour la succinylcholine (curare dépolarisant), surveillance prolongée et métabolisme par la butyrylcholinestérase plasmatique.</w:t>
      </w:r>
    </w:p>
    <w:p>
      <w:pPr>
        <w:pStyle w:val="ListBullet"/>
      </w:pPr>
      <w:r>
        <w:t>Disposer systématiquement de flacons de sugammadex (200 mg et 500 mg) dans tous les chariots d'urgence des blocs opératoires et des réanimations.</w:t>
      </w:r>
    </w:p>
    <w:p>
      <w:pPr>
        <w:pStyle w:val="ListBullet"/>
      </w:pPr>
      <w:r>
        <w:t>Réserver les doses massives (16 mg/kg) aux situations d'urgence vitale (« *cannot intubate, cannot ventilate* »).</w:t>
      </w:r>
    </w:p>
    <w:p>
      <w:pPr>
        <w:pStyle w:val="Heading4"/>
      </w:pPr>
      <w:r>
        <w:t>183.2.1.11 Instructions et conseils au patient</w:t>
      </w:r>
    </w:p>
    <w:p>
      <w:r>
        <w:t>Le sugammadex est un antidote administré exclusivement par du personnel médical ou paramédical formé (anesthésistes, réanimateurs, infirmiers anesthésistes). Il n'y a pas, à proprement parler, de « conseil au patient » au comptoir de l'officine, mais plusieurs messages sont à transmettre dans le cadre de l'éducation thérapeutique en consultation d'anesthésie pré-opératoire :</w:t>
      </w:r>
    </w:p>
    <w:p>
      <w:r/>
      <w:r>
        <w:rPr>
          <w:b/>
        </w:rPr>
        <w:t>À la patiente sous contraceptif oral</w:t>
      </w:r>
      <w:r>
        <w:t xml:space="preserve"> (information cruciale à recueillir en consultation d'anesthésie) :</w:t>
      </w:r>
    </w:p>
    <w:p>
      <w:pPr>
        <w:pStyle w:val="ListBullet"/>
      </w:pPr>
      <w:r>
        <w:t>Le sugammadex diminue l'efficacité des contraceptifs oraux estroprogestatifs (baisse de 30-40 % de la biodisponibilité de l'éthinylestradiol).</w:t>
      </w:r>
    </w:p>
    <w:p>
      <w:pPr>
        <w:pStyle w:val="ListBullet"/>
      </w:pPr>
      <w:r>
        <w:t xml:space="preserve">En cas d'administration de sugammadex pendant l'anesthésie, une contraception mécanique complémentaire (préservatif) est obligatoire pendant </w:t>
      </w:r>
      <w:r>
        <w:rPr>
          <w:b/>
        </w:rPr>
        <w:t>7 jours</w:t>
      </w:r>
      <w:r>
        <w:t xml:space="preserve"> après l'intervention, en plus du contraceptif oral habituel (qui doit être poursuivi normalement).</w:t>
      </w:r>
    </w:p>
    <w:p>
      <w:pPr>
        <w:pStyle w:val="ListBullet"/>
      </w:pPr>
      <w:r>
        <w:t>En cas de rapport sexuel non protégé dans les 5 jours suivant l'administration de sugammadex, consulter en urgence pour contraception d'urgence (lévonorgestrel ou ulipristal acétate).</w:t>
      </w:r>
    </w:p>
    <w:p>
      <w:pPr>
        <w:pStyle w:val="ListBullet"/>
      </w:pPr>
      <w:r>
        <w:t>Cette information doit être systématiquement recueillie et transmise à toute femme en âge de procréer programmée pour une anesthésie générale.</w:t>
      </w:r>
    </w:p>
    <w:p>
      <w:r/>
      <w:r>
        <w:rPr>
          <w:b/>
        </w:rPr>
        <w:t>Au patient sous antivitamines K (AVK)</w:t>
      </w:r>
      <w:r>
        <w:t xml:space="preserve"> :</w:t>
      </w:r>
    </w:p>
    <w:p>
      <w:pPr>
        <w:pStyle w:val="ListBullet"/>
      </w:pPr>
      <w:r>
        <w:t>Le sugammadex peut augmenter transitoirement l'INR, avec risque de saignement.</w:t>
      </w:r>
    </w:p>
    <w:p>
      <w:pPr>
        <w:pStyle w:val="ListBullet"/>
      </w:pPr>
      <w:r>
        <w:t>Surveillance de l'INR à J+1 et J+3 après administration de sugammadex.</w:t>
      </w:r>
    </w:p>
    <w:p>
      <w:pPr>
        <w:pStyle w:val="ListBullet"/>
      </w:pPr>
      <w:r>
        <w:t>En cas d'INR &gt; 5 ou de saignement, consulter en urgence.</w:t>
      </w:r>
    </w:p>
    <w:p>
      <w:r/>
      <w:r>
        <w:rPr>
          <w:b/>
        </w:rPr>
        <w:t>Au patient en post-opératoire</w:t>
      </w:r>
      <w:r>
        <w:t xml:space="preserve"> :</w:t>
      </w:r>
    </w:p>
    <w:p>
      <w:pPr>
        <w:pStyle w:val="ListBullet"/>
      </w:pPr>
      <w:r>
        <w:t>La récupération de la fonction neuromusculaire après sugammadex est rapide (1-3 minutes), mais la récupération complète de la conscience et de la ventilation dépend aussi des autres agents anesthésiques (opioïdes, anesthésiques volatils, propofol).</w:t>
      </w:r>
    </w:p>
    <w:p>
      <w:pPr>
        <w:pStyle w:val="ListBullet"/>
      </w:pPr>
      <w:r>
        <w:t>Surveillance en salle de réveil pendant au minimum 1-2 heures après sugammadex, à la recherche de signes d'hypersensibilité retardée (rash, prurit, fièvre).</w:t>
      </w:r>
    </w:p>
    <w:p>
      <w:pPr>
        <w:pStyle w:val="ListBullet"/>
      </w:pPr>
      <w:r>
        <w:t>En cas de rash, prurit, ou fièvre dans les 24 heures après l'opération, consulter.</w:t>
      </w:r>
    </w:p>
    <w:p>
      <w:r/>
      <w:r>
        <w:rPr>
          <w:b/>
        </w:rPr>
        <w:t>À la patiente enceinte ou allaitant</w:t>
      </w:r>
      <w:r>
        <w:t xml:space="preserve"> :</w:t>
      </w:r>
    </w:p>
    <w:p>
      <w:pPr>
        <w:pStyle w:val="ListBullet"/>
      </w:pPr>
      <w:r>
        <w:t>Le sugammadex peut être utilisé pendant la grossesse en l'absence d'alternative (néostigmine non disponible en Algérie).</w:t>
      </w:r>
    </w:p>
    <w:p>
      <w:pPr>
        <w:pStyle w:val="ListBullet"/>
      </w:pPr>
      <w:r>
        <w:t>L'allaitement est compatible avec l'administration ponctuelle de sugammadex.</w:t>
      </w:r>
    </w:p>
    <w:p>
      <w:pPr>
        <w:pStyle w:val="ListBullet"/>
      </w:pPr>
      <w:r>
        <w:t>Surveillance accrue du nouveau-né à la naissance si sugammadex administré en césarienne.</w:t>
      </w:r>
    </w:p>
    <w:p>
      <w:r/>
      <w:r>
        <w:rPr>
          <w:b/>
        </w:rPr>
        <w:t>Au patient insuffisant rénal</w:t>
      </w:r>
      <w:r>
        <w:t xml:space="preserve"> :</w:t>
      </w:r>
    </w:p>
    <w:p>
      <w:pPr>
        <w:pStyle w:val="ListBullet"/>
      </w:pPr>
      <w:r>
        <w:t>Le sugammadex est contre-indiqué en cas d'insuffisance rénale sévère (DFG &lt; 30 mL/min) ou en dialyse.</w:t>
      </w:r>
    </w:p>
    <w:p>
      <w:pPr>
        <w:pStyle w:val="ListBullet"/>
      </w:pPr>
      <w:r>
        <w:t>En cas de fonction rénale altérée (DFG 30-60 mL/min), surveillance prolongée en réanimation après sugammadex.</w:t>
      </w:r>
    </w:p>
    <w:p>
      <w:r/>
      <w:r>
        <w:rPr>
          <w:b/>
        </w:rPr>
        <w:t>Au patient opéré en ambulatoire</w:t>
      </w:r>
      <w:r>
        <w:t xml:space="preserve"> :</w:t>
      </w:r>
    </w:p>
    <w:p>
      <w:pPr>
        <w:pStyle w:val="ListBullet"/>
      </w:pPr>
      <w:r>
        <w:t>Sortie autorisée après récupération complète (TOF ≥ 0,9, ventilation spontanée, conscience complète).</w:t>
      </w:r>
    </w:p>
    <w:p>
      <w:pPr>
        <w:pStyle w:val="ListBullet"/>
      </w:pPr>
      <w:r>
        <w:t>Ne pas conduire de véhicule dans les 24 heures après l'opération (risque résiduel de somnolence et de diminution des réflexes).</w:t>
      </w:r>
    </w:p>
    <w:p>
      <w:pPr>
        <w:pStyle w:val="ListBullet"/>
      </w:pPr>
      <w:r>
        <w:t>Ne pas prendre de décisions importantes dans les 24 heures.</w:t>
      </w:r>
    </w:p>
    <w:p>
      <w:pPr>
        <w:pStyle w:val="Heading4"/>
      </w:pPr>
      <w:r>
        <w:t>183.2.1.12 Notes, règles d'or et pièges au comptoir</w:t>
      </w:r>
    </w:p>
    <w:p>
      <w:pPr>
        <w:pStyle w:val="ListNumber"/>
      </w:pPr>
      <w:r/>
      <w:r>
        <w:rPr>
          <w:b/>
        </w:rPr>
        <w:t>Sélectivité stricte du sugammadex</w:t>
      </w:r>
      <w:r>
        <w:t xml:space="preserve"> : il n'encapsule QUE le rocuronium et le vécuronium (curares aminostéroïdes). Il est INEFFICACE sur le cisatracurium, l'atracurium (benzylisoquinoléiques), le pancuronium (affinité très faible), et la succinylcholine (dépolarisant). Pour ces curares, pas d'antidote pharmacologique en Algérie.</w:t>
      </w:r>
    </w:p>
    <w:p>
      <w:pPr>
        <w:pStyle w:val="ListNumber"/>
      </w:pPr>
      <w:r/>
      <w:r>
        <w:rPr>
          <w:b/>
        </w:rPr>
        <w:t>Dose fonction du niveau de bloc</w:t>
      </w:r>
      <w:r>
        <w:t xml:space="preserve"> : 2 mg/kg pour un bloc modéré (TOF 0,1-0,4), 4 mg/kg pour un bloc profond (PTC 1-2), 16 mg/kg pour un bloc immédiat après rocuronium 1,2 mg/kg (« *cannot intubate, cannot ventilate* »). Le monitorage neuromusculaire (TOF, PTC) est OBLIGATOIRE pour adapter la dose.</w:t>
      </w:r>
    </w:p>
    <w:p>
      <w:pPr>
        <w:pStyle w:val="ListNumber"/>
      </w:pPr>
      <w:r/>
      <w:r>
        <w:rPr>
          <w:b/>
        </w:rPr>
        <w:t>Contre-indication à la réadministration de rocuronium ou de vécuronium dans les 24 heures</w:t>
      </w:r>
      <w:r>
        <w:t xml:space="preserve"> suivant le sugammadex : utiliser un curare non encapsulable (cisatracurium, succinylcholine) si une curarisation doit être reprise dans ce délai.</w:t>
      </w:r>
    </w:p>
    <w:p>
      <w:pPr>
        <w:pStyle w:val="ListNumber"/>
      </w:pPr>
      <w:r/>
      <w:r>
        <w:rPr>
          <w:b/>
        </w:rPr>
        <w:t>Hypersensibilité</w:t>
      </w:r>
      <w:r>
        <w:t xml:space="preserve"> : le sugammadex peut provoquer un choc anaphylactique (rare mais documenté, environ 0,3-1 %). Disposer systématiquement d'un kit d'anaphylaxie en salle d'opération (adrénaline, antihistaminiques, corticoïdes, oxygène, intubation).</w:t>
      </w:r>
    </w:p>
    <w:p>
      <w:pPr>
        <w:pStyle w:val="ListNumber"/>
      </w:pPr>
      <w:r/>
      <w:r>
        <w:rPr>
          <w:b/>
        </w:rPr>
        <w:t>Interaction hormonale majeure avec les contraceptifs oraux</w:t>
      </w:r>
      <w:r>
        <w:t xml:space="preserve"> : le sugammadex diminue l'efficacité des contraceptifs oraux estroprogestatifs de 30-40 %, ce qui équivaut à l'oubli d'une prise. Contraception mécanique complémentaire (préservatif) OBLIGATOIRE pendant 7 jours après administration chez toute femme en âge de procréer sous contraceptif oral. Information systématique à recueillir et à transmettre en consultation d'anesthésie pré-opératoire.</w:t>
      </w:r>
    </w:p>
    <w:p>
      <w:pPr>
        <w:pStyle w:val="ListNumber"/>
      </w:pPr>
      <w:r/>
      <w:r>
        <w:rPr>
          <w:b/>
        </w:rPr>
        <w:t>Insuffisance rénale</w:t>
      </w:r>
      <w:r>
        <w:t xml:space="preserve"> : contre-indication du sugammadex en cas de DFG &lt; 30 mL/min ou dialyse (risque d'accumulation du complexe sugammadex-rocuronium et de relargage secondaire de rocuronium avec recurarisation).</w:t>
      </w:r>
    </w:p>
    <w:p>
      <w:pPr>
        <w:pStyle w:val="ListNumber"/>
      </w:pPr>
      <w:r/>
      <w:r>
        <w:rPr>
          <w:b/>
        </w:rPr>
        <w:t>Allongement de l'intervalle QTc</w:t>
      </w:r>
      <w:r>
        <w:t xml:space="preserve"> : décrit à fortes doses (16 mg/kg), à surveiller chez les patients à risque (long QT congénital, traitement par antiarythmiques).</w:t>
      </w:r>
    </w:p>
    <w:p>
      <w:pPr>
        <w:pStyle w:val="ListNumber"/>
      </w:pPr>
      <w:r/>
      <w:r>
        <w:rPr>
          <w:b/>
        </w:rPr>
        <w:t>Néostigmine et atropine ABSENTES du marché algérien</w:t>
      </w:r>
      <w:r>
        <w:t xml:space="preserve"> : cette double absence impose le sugammadex comme seul moyen de décurarisation pharmacologique des curares aminostéroïdes (rocuronium, vécuronium) en Algérie. Pour les curares benzylisoquinoléiques (cisatracurium, atracurium), surveillance prolongée et dégradation spontanée de Hofmann.</w:t>
      </w:r>
    </w:p>
    <w:p>
      <w:pPr>
        <w:pStyle w:val="ListNumber"/>
      </w:pPr>
      <w:r/>
      <w:r>
        <w:rPr>
          <w:b/>
        </w:rPr>
        <w:t>Flumazénil ABSENT du marché algérien</w:t>
      </w:r>
      <w:r>
        <w:t xml:space="preserve"> : l'antidote des benzodiazépines (flumazénil, antagoniste GABA-A) n'est pas disponible en Algérie. En cas de surdosage en benzodiazépines, le traitement repose sur la ventilation mécanique prolongée en réanimation (12-24 heures selon la demi-vie de la benzodiazépine en cause).</w:t>
      </w:r>
    </w:p>
    <w:p>
      <w:pPr>
        <w:pStyle w:val="ListNumber"/>
      </w:pPr>
      <w:r/>
      <w:r>
        <w:rPr>
          <w:b/>
        </w:rPr>
        <w:t>Surveillance post-administration</w:t>
      </w:r>
      <w:r>
        <w:t xml:space="preserve"> : monitorage neuromusculaire obligatoire (TOF, PTC) pour confirmer la récupération (TOF ≥ 0,9) ; surveillance hémodynamique et respiratoire continue pendant 1-2 heures après administration.</w:t>
      </w:r>
    </w:p>
    <w:p>
      <w:pPr>
        <w:pStyle w:val="ListNumber"/>
      </w:pPr>
      <w:r/>
      <w:r>
        <w:rPr>
          <w:b/>
        </w:rPr>
        <w:t>Coût élevé</w:t>
      </w:r>
      <w:r>
        <w:t xml:space="preserve"> : le sugammadex est l'un des médicaments anesthésiques les plus chers. Réserver son utilisation aux indications validées (antagonisation du rocuronium et du vécuronium), éviter les usages abusifs (par exemple en cas de curarisation légère qui pourrait se résorber spontanément en quelques minutes).</w:t>
      </w:r>
    </w:p>
    <w:p>
      <w:pPr>
        <w:pStyle w:val="ListNumber"/>
      </w:pPr>
      <w:r/>
      <w:r>
        <w:rPr>
          <w:b/>
        </w:rPr>
        <w:t>Antagonisation immédiate du rocuronium</w:t>
      </w:r>
      <w:r>
        <w:t xml:space="preserve"> : en cas d'injection accidentelle de rocuronium (erreur médicamenteuse), administrer 16 mg/kg de sugammadex immédiatement, avant que le rocuronium n'atteigne son effet maximal.</w:t>
      </w:r>
    </w:p>
    <w:p>
      <w:pPr>
        <w:pStyle w:val="ListNumber"/>
      </w:pPr>
      <w:r/>
      <w:r>
        <w:rPr>
          <w:b/>
        </w:rPr>
        <w:t>Grossesse</w:t>
      </w:r>
      <w:r>
        <w:t xml:space="preserve"> : sugammadex utilisable en l'absence d'alternative (néostigmine non disponible en Algérie). Surveillance accrue du nouveau-né en cas de césarienne sous anesthésie générale.</w:t>
      </w:r>
    </w:p>
    <w:p>
      <w:pPr>
        <w:pStyle w:val="ListNumber"/>
      </w:pPr>
      <w:r/>
      <w:r>
        <w:rPr>
          <w:b/>
        </w:rPr>
        <w:t>Allaitement</w:t>
      </w:r>
      <w:r>
        <w:t xml:space="preserve"> : compatible avec l'administration ponctuelle de sugammadex.</w:t>
      </w:r>
    </w:p>
    <w:p>
      <w:pPr>
        <w:pStyle w:val="ListNumber"/>
      </w:pPr>
      <w:r/>
      <w:r>
        <w:rPr>
          <w:b/>
        </w:rPr>
        <w:t>Rangement et accessibilité</w:t>
      </w:r>
      <w:r>
        <w:t xml:space="preserve"> : le sugammadex doit être présent dans tous les chariots d'urgence des blocs opératoires et des réanimations. Vérifier sa disponibilité, sa date de péremption et l'absence de trouble de la solution avant usage.</w:t>
      </w:r>
    </w:p>
    <w:p>
      <w:pPr>
        <w:pStyle w:val="ListNumber"/>
      </w:pPr>
      <w:r/>
      <w:r>
        <w:rPr>
          <w:b/>
        </w:rPr>
        <w:t>Déclaration de pharmacovigilance</w:t>
      </w:r>
      <w:r>
        <w:t xml:space="preserve"> : toute réaction d'hypersensibilité au sugammadex doit être déclarée à la pharmacovigilance (Centre National de Pharmacovigilance algérien).</w:t>
      </w:r>
    </w:p>
    <w:p>
      <w:pPr>
        <w:pStyle w:val="ListNumber"/>
      </w:pPr>
      <w:r/>
      <w:r>
        <w:rPr>
          <w:b/>
        </w:rPr>
        <w:t>Patient sous AVK</w:t>
      </w:r>
      <w:r>
        <w:t xml:space="preserve"> : surveiller l'INR à J+1 et J+3 après administration de sugammadex.</w:t>
      </w:r>
    </w:p>
    <w:p>
      <w:pPr>
        <w:pStyle w:val="ListNumber"/>
      </w:pPr>
      <w:r/>
      <w:r>
        <w:rPr>
          <w:b/>
        </w:rPr>
        <w:t>Patient en ambulatoire</w:t>
      </w:r>
      <w:r>
        <w:t xml:space="preserve"> : ne pas conduire de véhicule dans les 24 heures après administration de sugammadex (risque résiduel de somnolence et de diminution des réflexes).</w:t>
      </w:r>
    </w:p>
    <w:p>
      <w:pPr>
        <w:pStyle w:val="Heading2"/>
      </w:pPr>
      <w:r>
        <w:t>183.3 Tableau comparatif synthétique des 2 antagonistes</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sz w:val="20"/>
              </w:rPr>
              <w:t>Caractéristique</w:t>
            </w:r>
          </w:p>
        </w:tc>
        <w:tc>
          <w:tcPr>
            <w:tcW w:type="dxa" w:w="3118"/>
          </w:tcPr>
          <w:p>
            <w:r>
              <w:rPr>
                <w:b/>
                <w:sz w:val="20"/>
              </w:rPr>
              <w:t>Naloxone</w:t>
            </w:r>
          </w:p>
        </w:tc>
        <w:tc>
          <w:tcPr>
            <w:tcW w:type="dxa" w:w="3118"/>
          </w:tcPr>
          <w:p>
            <w:r>
              <w:rPr>
                <w:b/>
                <w:sz w:val="20"/>
              </w:rPr>
              <w:t>Sugammadex</w:t>
            </w:r>
          </w:p>
        </w:tc>
      </w:tr>
      <w:tr>
        <w:tc>
          <w:tcPr>
            <w:tcW w:type="dxa" w:w="3118"/>
          </w:tcPr>
          <w:p>
            <w:r>
              <w:rPr>
                <w:sz w:val="20"/>
              </w:rPr>
              <w:t>**Sous-classe**</w:t>
            </w:r>
          </w:p>
        </w:tc>
        <w:tc>
          <w:tcPr>
            <w:tcW w:type="dxa" w:w="3118"/>
          </w:tcPr>
          <w:p>
            <w:r>
              <w:rPr>
                <w:sz w:val="20"/>
              </w:rPr>
              <w:t>Antagoniste des opioïdes</w:t>
            </w:r>
          </w:p>
        </w:tc>
        <w:tc>
          <w:tcPr>
            <w:tcW w:type="dxa" w:w="3118"/>
          </w:tcPr>
          <w:p>
            <w:r>
              <w:rPr>
                <w:sz w:val="20"/>
              </w:rPr>
              <w:t>Antagoniste des curares aminostéroïdes</w:t>
            </w:r>
          </w:p>
        </w:tc>
      </w:tr>
      <w:tr>
        <w:tc>
          <w:tcPr>
            <w:tcW w:type="dxa" w:w="3118"/>
          </w:tcPr>
          <w:p>
            <w:r>
              <w:rPr>
                <w:sz w:val="20"/>
              </w:rPr>
              <w:t>**DCI**</w:t>
            </w:r>
          </w:p>
        </w:tc>
        <w:tc>
          <w:tcPr>
            <w:tcW w:type="dxa" w:w="3118"/>
          </w:tcPr>
          <w:p>
            <w:r>
              <w:rPr>
                <w:sz w:val="20"/>
              </w:rPr>
              <w:t>Naloxone (chlorhydrate anhydre)</w:t>
            </w:r>
          </w:p>
        </w:tc>
        <w:tc>
          <w:tcPr>
            <w:tcW w:type="dxa" w:w="3118"/>
          </w:tcPr>
          <w:p>
            <w:r>
              <w:rPr>
                <w:sz w:val="20"/>
              </w:rPr>
              <w:t>Sugammadex (sodique)</w:t>
            </w:r>
          </w:p>
        </w:tc>
      </w:tr>
      <w:tr>
        <w:tc>
          <w:tcPr>
            <w:tcW w:type="dxa" w:w="3118"/>
          </w:tcPr>
          <w:p>
            <w:r>
              <w:rPr>
                <w:sz w:val="20"/>
              </w:rPr>
              <w:t>**Code ATC**</w:t>
            </w:r>
          </w:p>
        </w:tc>
        <w:tc>
          <w:tcPr>
            <w:tcW w:type="dxa" w:w="3118"/>
          </w:tcPr>
          <w:p>
            <w:r>
              <w:rPr>
                <w:sz w:val="20"/>
              </w:rPr>
              <w:t>V03AB15</w:t>
            </w:r>
          </w:p>
        </w:tc>
        <w:tc>
          <w:tcPr>
            <w:tcW w:type="dxa" w:w="3118"/>
          </w:tcPr>
          <w:p>
            <w:r>
              <w:rPr>
                <w:sz w:val="20"/>
              </w:rPr>
              <w:t>V03AB35</w:t>
            </w:r>
          </w:p>
        </w:tc>
      </w:tr>
      <w:tr>
        <w:tc>
          <w:tcPr>
            <w:tcW w:type="dxa" w:w="3118"/>
          </w:tcPr>
          <w:p>
            <w:r>
              <w:rPr>
                <w:sz w:val="20"/>
              </w:rPr>
              <w:t>**Classe chimique**</w:t>
            </w:r>
          </w:p>
        </w:tc>
        <w:tc>
          <w:tcPr>
            <w:tcW w:type="dxa" w:w="3118"/>
          </w:tcPr>
          <w:p>
            <w:r>
              <w:rPr>
                <w:sz w:val="20"/>
              </w:rPr>
              <w:t>Dérivé morphinique N-allylé de l'oxymorphone</w:t>
            </w:r>
          </w:p>
        </w:tc>
        <w:tc>
          <w:tcPr>
            <w:tcW w:type="dxa" w:w="3118"/>
          </w:tcPr>
          <w:p>
            <w:r>
              <w:rPr>
                <w:sz w:val="20"/>
              </w:rPr>
              <w:t>γ-cyclodextrine modifiée (octasaccharide substitué thio-propionate)</w:t>
            </w:r>
          </w:p>
        </w:tc>
      </w:tr>
      <w:tr>
        <w:tc>
          <w:tcPr>
            <w:tcW w:type="dxa" w:w="3118"/>
          </w:tcPr>
          <w:p>
            <w:r>
              <w:rPr>
                <w:sz w:val="20"/>
              </w:rPr>
              <w:t>**Poids moléculaire**</w:t>
            </w:r>
          </w:p>
        </w:tc>
        <w:tc>
          <w:tcPr>
            <w:tcW w:type="dxa" w:w="3118"/>
          </w:tcPr>
          <w:p>
            <w:r>
              <w:rPr>
                <w:sz w:val="20"/>
              </w:rPr>
              <w:t>327 Da</w:t>
            </w:r>
          </w:p>
        </w:tc>
        <w:tc>
          <w:tcPr>
            <w:tcW w:type="dxa" w:w="3118"/>
          </w:tcPr>
          <w:p>
            <w:r>
              <w:rPr>
                <w:sz w:val="20"/>
              </w:rPr>
              <w:t>2178 Da</w:t>
            </w:r>
          </w:p>
        </w:tc>
      </w:tr>
      <w:tr>
        <w:tc>
          <w:tcPr>
            <w:tcW w:type="dxa" w:w="3118"/>
          </w:tcPr>
          <w:p>
            <w:r>
              <w:rPr>
                <w:sz w:val="20"/>
              </w:rPr>
              <w:t>**Spécialité en Algérie**</w:t>
            </w:r>
          </w:p>
        </w:tc>
        <w:tc>
          <w:tcPr>
            <w:tcW w:type="dxa" w:w="3118"/>
          </w:tcPr>
          <w:p>
            <w:r>
              <w:rPr>
                <w:sz w:val="20"/>
              </w:rPr>
              <w:t>NALOXONE MYLAN (Mylan SAS)</w:t>
            </w:r>
          </w:p>
        </w:tc>
        <w:tc>
          <w:tcPr>
            <w:tcW w:type="dxa" w:w="3118"/>
          </w:tcPr>
          <w:p>
            <w:r>
              <w:rPr>
                <w:sz w:val="20"/>
              </w:rPr>
              <w:t>BRIDION (Organon N.V.)</w:t>
            </w:r>
          </w:p>
        </w:tc>
      </w:tr>
      <w:tr>
        <w:tc>
          <w:tcPr>
            <w:tcW w:type="dxa" w:w="3118"/>
          </w:tcPr>
          <w:p>
            <w:r>
              <w:rPr>
                <w:sz w:val="20"/>
              </w:rPr>
              <w:t>**Forme galénique**</w:t>
            </w:r>
          </w:p>
        </w:tc>
        <w:tc>
          <w:tcPr>
            <w:tcW w:type="dxa" w:w="3118"/>
          </w:tcPr>
          <w:p>
            <w:r>
              <w:rPr>
                <w:sz w:val="20"/>
              </w:rPr>
              <w:t>Solution injectable IM/IV/SC 0,4 mg/mL</w:t>
            </w:r>
          </w:p>
        </w:tc>
        <w:tc>
          <w:tcPr>
            <w:tcW w:type="dxa" w:w="3118"/>
          </w:tcPr>
          <w:p>
            <w:r>
              <w:rPr>
                <w:sz w:val="20"/>
              </w:rPr>
              <w:t>Solution injectable IV 100 mg/mL (200 mg/2 mL et 500 mg/5 mL)</w:t>
            </w:r>
          </w:p>
        </w:tc>
      </w:tr>
      <w:tr>
        <w:tc>
          <w:tcPr>
            <w:tcW w:type="dxa" w:w="3118"/>
          </w:tcPr>
          <w:p>
            <w:r>
              <w:rPr>
                <w:sz w:val="20"/>
              </w:rPr>
              <w:t>**Conditionnement**</w:t>
            </w:r>
          </w:p>
        </w:tc>
        <w:tc>
          <w:tcPr>
            <w:tcW w:type="dxa" w:w="3118"/>
          </w:tcPr>
          <w:p>
            <w:r>
              <w:rPr>
                <w:sz w:val="20"/>
              </w:rPr>
              <w:t>B/10 ampoules de 1 mL</w:t>
            </w:r>
          </w:p>
        </w:tc>
        <w:tc>
          <w:tcPr>
            <w:tcW w:type="dxa" w:w="3118"/>
          </w:tcPr>
          <w:p>
            <w:r>
              <w:rPr>
                <w:sz w:val="20"/>
              </w:rPr>
              <w:t>B/10 flacons de 2 mL et B/10 flacons de 5 mL</w:t>
            </w:r>
          </w:p>
        </w:tc>
      </w:tr>
      <w:tr>
        <w:tc>
          <w:tcPr>
            <w:tcW w:type="dxa" w:w="3118"/>
          </w:tcPr>
          <w:p>
            <w:r>
              <w:rPr>
                <w:sz w:val="20"/>
              </w:rPr>
              <w:t>**Liste**</w:t>
            </w:r>
          </w:p>
        </w:tc>
        <w:tc>
          <w:tcPr>
            <w:tcW w:type="dxa" w:w="3118"/>
          </w:tcPr>
          <w:p>
            <w:r>
              <w:rPr>
                <w:sz w:val="20"/>
              </w:rPr>
              <w:t>Liste I</w:t>
            </w:r>
          </w:p>
        </w:tc>
        <w:tc>
          <w:tcPr>
            <w:tcW w:type="dxa" w:w="3118"/>
          </w:tcPr>
          <w:p>
            <w:r>
              <w:rPr>
                <w:sz w:val="20"/>
              </w:rPr>
              <w:t>Liste I</w:t>
            </w:r>
          </w:p>
        </w:tc>
      </w:tr>
      <w:tr>
        <w:tc>
          <w:tcPr>
            <w:tcW w:type="dxa" w:w="3118"/>
          </w:tcPr>
          <w:p>
            <w:r>
              <w:rPr>
                <w:sz w:val="20"/>
              </w:rPr>
              <w:t>**Statut Algérie (Avril 2026)**</w:t>
            </w:r>
          </w:p>
        </w:tc>
        <w:tc>
          <w:tcPr>
            <w:tcW w:type="dxa" w:w="3118"/>
          </w:tcPr>
          <w:p>
            <w:r>
              <w:rPr>
                <w:sz w:val="20"/>
              </w:rPr>
              <w:t>Actif</w:t>
            </w:r>
          </w:p>
        </w:tc>
        <w:tc>
          <w:tcPr>
            <w:tcW w:type="dxa" w:w="3118"/>
          </w:tcPr>
          <w:p>
            <w:r>
              <w:rPr>
                <w:sz w:val="20"/>
              </w:rPr>
              <w:t>Actif</w:t>
            </w:r>
          </w:p>
        </w:tc>
      </w:tr>
      <w:tr>
        <w:tc>
          <w:tcPr>
            <w:tcW w:type="dxa" w:w="3118"/>
          </w:tcPr>
          <w:p>
            <w:r>
              <w:rPr>
                <w:sz w:val="20"/>
              </w:rPr>
              <w:t>**Mécanisme d'action**</w:t>
            </w:r>
          </w:p>
        </w:tc>
        <w:tc>
          <w:tcPr>
            <w:tcW w:type="dxa" w:w="3118"/>
          </w:tcPr>
          <w:p>
            <w:r>
              <w:rPr>
                <w:sz w:val="20"/>
              </w:rPr>
              <w:t>Antagoniste compétitif des récepteurs opioïdes μ/κ/δ (déplacement des agonistes)</w:t>
            </w:r>
          </w:p>
        </w:tc>
        <w:tc>
          <w:tcPr>
            <w:tcW w:type="dxa" w:w="3118"/>
          </w:tcPr>
          <w:p>
            <w:r>
              <w:rPr>
                <w:sz w:val="20"/>
              </w:rPr>
              <w:t>Encapsulation du rocuronium/vécuronium en complexe 1:1 (séquestration plasmatique)</w:t>
            </w:r>
          </w:p>
        </w:tc>
      </w:tr>
      <w:tr>
        <w:tc>
          <w:tcPr>
            <w:tcW w:type="dxa" w:w="3118"/>
          </w:tcPr>
          <w:p>
            <w:r>
              <w:rPr>
                <w:sz w:val="20"/>
              </w:rPr>
              <w:t>**Affinité**</w:t>
            </w:r>
          </w:p>
        </w:tc>
        <w:tc>
          <w:tcPr>
            <w:tcW w:type="dxa" w:w="3118"/>
          </w:tcPr>
          <w:p>
            <w:r>
              <w:rPr>
                <w:sz w:val="20"/>
              </w:rPr>
              <w:t>μ (Ki 1-5 nM) &gt; κ (10-20 nM) &gt; δ (50-100 nM)</w:t>
            </w:r>
          </w:p>
        </w:tc>
        <w:tc>
          <w:tcPr>
            <w:tcW w:type="dxa" w:w="3118"/>
          </w:tcPr>
          <w:p>
            <w:r>
              <w:rPr>
                <w:sz w:val="20"/>
              </w:rPr>
              <w:t>Rocuronium (Kd 10⁻⁸ M) &gt; vécuronium &gt; pancuronium (très faible)</w:t>
            </w:r>
          </w:p>
        </w:tc>
      </w:tr>
      <w:tr>
        <w:tc>
          <w:tcPr>
            <w:tcW w:type="dxa" w:w="3118"/>
          </w:tcPr>
          <w:p>
            <w:r>
              <w:rPr>
                <w:sz w:val="20"/>
              </w:rPr>
              <w:t>**Voie d'administration**</w:t>
            </w:r>
          </w:p>
        </w:tc>
        <w:tc>
          <w:tcPr>
            <w:tcW w:type="dxa" w:w="3118"/>
          </w:tcPr>
          <w:p>
            <w:r>
              <w:rPr>
                <w:sz w:val="20"/>
              </w:rPr>
              <w:t>IV, IM, SC (intranasale non disponible en Algérie)</w:t>
            </w:r>
          </w:p>
        </w:tc>
        <w:tc>
          <w:tcPr>
            <w:tcW w:type="dxa" w:w="3118"/>
          </w:tcPr>
          <w:p>
            <w:r>
              <w:rPr>
                <w:sz w:val="20"/>
              </w:rPr>
              <w:t>IV stricte</w:t>
            </w:r>
          </w:p>
        </w:tc>
      </w:tr>
      <w:tr>
        <w:tc>
          <w:tcPr>
            <w:tcW w:type="dxa" w:w="3118"/>
          </w:tcPr>
          <w:p>
            <w:r>
              <w:rPr>
                <w:sz w:val="20"/>
              </w:rPr>
              <w:t>**Délai d'action (IV)**</w:t>
            </w:r>
          </w:p>
        </w:tc>
        <w:tc>
          <w:tcPr>
            <w:tcW w:type="dxa" w:w="3118"/>
          </w:tcPr>
          <w:p>
            <w:r>
              <w:rPr>
                <w:sz w:val="20"/>
              </w:rPr>
              <w:t>1-2 minutes</w:t>
            </w:r>
          </w:p>
        </w:tc>
        <w:tc>
          <w:tcPr>
            <w:tcW w:type="dxa" w:w="3118"/>
          </w:tcPr>
          <w:p>
            <w:r>
              <w:rPr>
                <w:sz w:val="20"/>
              </w:rPr>
              <w:t>1-3 minutes</w:t>
            </w:r>
          </w:p>
        </w:tc>
      </w:tr>
      <w:tr>
        <w:tc>
          <w:tcPr>
            <w:tcW w:type="dxa" w:w="3118"/>
          </w:tcPr>
          <w:p>
            <w:r>
              <w:rPr>
                <w:sz w:val="20"/>
              </w:rPr>
              <w:t>**Pic d'effet (IV)**</w:t>
            </w:r>
          </w:p>
        </w:tc>
        <w:tc>
          <w:tcPr>
            <w:tcW w:type="dxa" w:w="3118"/>
          </w:tcPr>
          <w:p>
            <w:r>
              <w:rPr>
                <w:sz w:val="20"/>
              </w:rPr>
              <w:t>5-15 minutes</w:t>
            </w:r>
          </w:p>
        </w:tc>
        <w:tc>
          <w:tcPr>
            <w:tcW w:type="dxa" w:w="3118"/>
          </w:tcPr>
          <w:p>
            <w:r>
              <w:rPr>
                <w:sz w:val="20"/>
              </w:rPr>
              <w:t>1-3 minutes</w:t>
            </w:r>
          </w:p>
        </w:tc>
      </w:tr>
      <w:tr>
        <w:tc>
          <w:tcPr>
            <w:tcW w:type="dxa" w:w="3118"/>
          </w:tcPr>
          <w:p>
            <w:r>
              <w:rPr>
                <w:sz w:val="20"/>
              </w:rPr>
              <w:t>**Durée d'action**</w:t>
            </w:r>
          </w:p>
        </w:tc>
        <w:tc>
          <w:tcPr>
            <w:tcW w:type="dxa" w:w="3118"/>
          </w:tcPr>
          <w:p>
            <w:r>
              <w:rPr>
                <w:sz w:val="20"/>
              </w:rPr>
              <w:t>20-90 minutes (IV)</w:t>
            </w:r>
          </w:p>
        </w:tc>
        <w:tc>
          <w:tcPr>
            <w:tcW w:type="dxa" w:w="3118"/>
          </w:tcPr>
          <w:p>
            <w:r>
              <w:rPr>
                <w:sz w:val="20"/>
              </w:rPr>
              <w:t>1-2 heures (dose standard) à 2-4 heures (16 mg/kg)</w:t>
            </w:r>
          </w:p>
        </w:tc>
      </w:tr>
      <w:tr>
        <w:tc>
          <w:tcPr>
            <w:tcW w:type="dxa" w:w="3118"/>
          </w:tcPr>
          <w:p>
            <w:r>
              <w:rPr>
                <w:sz w:val="20"/>
              </w:rPr>
              <w:t>**Demi-vie d'élimination**</w:t>
            </w:r>
          </w:p>
        </w:tc>
        <w:tc>
          <w:tcPr>
            <w:tcW w:type="dxa" w:w="3118"/>
          </w:tcPr>
          <w:p>
            <w:r>
              <w:rPr>
                <w:sz w:val="20"/>
              </w:rPr>
              <w:t>30-90 minutes (moyenne 60 min)</w:t>
            </w:r>
          </w:p>
        </w:tc>
        <w:tc>
          <w:tcPr>
            <w:tcW w:type="dxa" w:w="3118"/>
          </w:tcPr>
          <w:p>
            <w:r>
              <w:rPr>
                <w:sz w:val="20"/>
              </w:rPr>
              <w:t>2-3 heures (sujet jeune), 4-5 heures (sujet âgé)</w:t>
            </w:r>
          </w:p>
        </w:tc>
      </w:tr>
      <w:tr>
        <w:tc>
          <w:tcPr>
            <w:tcW w:type="dxa" w:w="3118"/>
          </w:tcPr>
          <w:p>
            <w:r>
              <w:rPr>
                <w:sz w:val="20"/>
              </w:rPr>
              <w:t>**Métabolisme**</w:t>
            </w:r>
          </w:p>
        </w:tc>
        <w:tc>
          <w:tcPr>
            <w:tcW w:type="dxa" w:w="3118"/>
          </w:tcPr>
          <w:p>
            <w:r>
              <w:rPr>
                <w:sz w:val="20"/>
              </w:rPr>
              <w:t>Hépatique (UGT2B7, 95 % premier passage)</w:t>
            </w:r>
          </w:p>
        </w:tc>
        <w:tc>
          <w:tcPr>
            <w:tcW w:type="dxa" w:w="3118"/>
          </w:tcPr>
          <w:p>
            <w:r>
              <w:rPr>
                <w:sz w:val="20"/>
              </w:rPr>
              <w:t>Aucun (non métabolisé)</w:t>
            </w:r>
          </w:p>
        </w:tc>
      </w:tr>
      <w:tr>
        <w:tc>
          <w:tcPr>
            <w:tcW w:type="dxa" w:w="3118"/>
          </w:tcPr>
          <w:p>
            <w:r>
              <w:rPr>
                <w:sz w:val="20"/>
              </w:rPr>
              <w:t>**Élimination**</w:t>
            </w:r>
          </w:p>
        </w:tc>
        <w:tc>
          <w:tcPr>
            <w:tcW w:type="dxa" w:w="3118"/>
          </w:tcPr>
          <w:p>
            <w:r>
              <w:rPr>
                <w:sz w:val="20"/>
              </w:rPr>
              <w:t>Urinaire (70-80 % métabolites inactifs)</w:t>
            </w:r>
          </w:p>
        </w:tc>
        <w:tc>
          <w:tcPr>
            <w:tcW w:type="dxa" w:w="3118"/>
          </w:tcPr>
          <w:p>
            <w:r>
              <w:rPr>
                <w:sz w:val="20"/>
              </w:rPr>
              <w:t>Urinaire (filtration glomérulaire, inchangé)</w:t>
            </w:r>
          </w:p>
        </w:tc>
      </w:tr>
      <w:tr>
        <w:tc>
          <w:tcPr>
            <w:tcW w:type="dxa" w:w="3118"/>
          </w:tcPr>
          <w:p>
            <w:r>
              <w:rPr>
                <w:sz w:val="20"/>
              </w:rPr>
              <w:t>**Liaison protéines**</w:t>
            </w:r>
          </w:p>
        </w:tc>
        <w:tc>
          <w:tcPr>
            <w:tcW w:type="dxa" w:w="3118"/>
          </w:tcPr>
          <w:p>
            <w:r>
              <w:rPr>
                <w:sz w:val="20"/>
              </w:rPr>
              <w:t>30-46 %</w:t>
            </w:r>
          </w:p>
        </w:tc>
        <w:tc>
          <w:tcPr>
            <w:tcW w:type="dxa" w:w="3118"/>
          </w:tcPr>
          <w:p>
            <w:r>
              <w:rPr>
                <w:sz w:val="20"/>
              </w:rPr>
              <w:t>≤ 25 %</w:t>
            </w:r>
          </w:p>
        </w:tc>
      </w:tr>
      <w:tr>
        <w:tc>
          <w:tcPr>
            <w:tcW w:type="dxa" w:w="3118"/>
          </w:tcPr>
          <w:p>
            <w:r>
              <w:rPr>
                <w:sz w:val="20"/>
              </w:rPr>
              <w:t>**Volume de distribution**</w:t>
            </w:r>
          </w:p>
        </w:tc>
        <w:tc>
          <w:tcPr>
            <w:tcW w:type="dxa" w:w="3118"/>
          </w:tcPr>
          <w:p>
            <w:r>
              <w:rPr>
                <w:sz w:val="20"/>
              </w:rPr>
              <w:t>3 L/kg</w:t>
            </w:r>
          </w:p>
        </w:tc>
        <w:tc>
          <w:tcPr>
            <w:tcW w:type="dxa" w:w="3118"/>
          </w:tcPr>
          <w:p>
            <w:r>
              <w:rPr>
                <w:sz w:val="20"/>
              </w:rPr>
              <w:t>0,15 L/kg (limité au compartiment extracellulaire)</w:t>
            </w:r>
          </w:p>
        </w:tc>
      </w:tr>
      <w:tr>
        <w:tc>
          <w:tcPr>
            <w:tcW w:type="dxa" w:w="3118"/>
          </w:tcPr>
          <w:p>
            <w:r>
              <w:rPr>
                <w:sz w:val="20"/>
              </w:rPr>
              <w:t>**Lipophilie**</w:t>
            </w:r>
          </w:p>
        </w:tc>
        <w:tc>
          <w:tcPr>
            <w:tcW w:type="dxa" w:w="3118"/>
          </w:tcPr>
          <w:p>
            <w:r>
              <w:rPr>
                <w:sz w:val="20"/>
              </w:rPr>
              <w:t>Modérée (log P 1,5-2, traverse la BHE)</w:t>
            </w:r>
          </w:p>
        </w:tc>
        <w:tc>
          <w:tcPr>
            <w:tcW w:type="dxa" w:w="3118"/>
          </w:tcPr>
          <w:p>
            <w:r>
              <w:rPr>
                <w:sz w:val="20"/>
              </w:rPr>
              <w:t>Très faible (hydrophile, ne traverse ni la BHE ni le placenta)</w:t>
            </w:r>
          </w:p>
        </w:tc>
      </w:tr>
      <w:tr>
        <w:tc>
          <w:tcPr>
            <w:tcW w:type="dxa" w:w="3118"/>
          </w:tcPr>
          <w:p>
            <w:r>
              <w:rPr>
                <w:sz w:val="20"/>
              </w:rPr>
              <w:t>**Indications principales**</w:t>
            </w:r>
          </w:p>
        </w:tc>
        <w:tc>
          <w:tcPr>
            <w:tcW w:type="dxa" w:w="3118"/>
          </w:tcPr>
          <w:p>
            <w:r>
              <w:rPr>
                <w:sz w:val="20"/>
              </w:rPr>
              <w:t>Dépression respiratoire opioïde en anesthésie ; overdose opioïde aiguë ; dépression néonatale ; test diagnostique du coma opioïde</w:t>
            </w:r>
          </w:p>
        </w:tc>
        <w:tc>
          <w:tcPr>
            <w:tcW w:type="dxa" w:w="3118"/>
          </w:tcPr>
          <w:p>
            <w:r>
              <w:rPr>
                <w:sz w:val="20"/>
              </w:rPr>
              <w:t>Antagonisation du rocuronium et du vécuronium ; antidotation « cannot intubate, cannot ventilate »</w:t>
            </w:r>
          </w:p>
        </w:tc>
      </w:tr>
      <w:tr>
        <w:tc>
          <w:tcPr>
            <w:tcW w:type="dxa" w:w="3118"/>
          </w:tcPr>
          <w:p>
            <w:r>
              <w:rPr>
                <w:sz w:val="20"/>
              </w:rPr>
              <w:t>**Doses usuelles (adulte)**</w:t>
            </w:r>
          </w:p>
        </w:tc>
        <w:tc>
          <w:tcPr>
            <w:tcW w:type="dxa" w:w="3118"/>
          </w:tcPr>
          <w:p>
            <w:r>
              <w:rPr>
                <w:sz w:val="20"/>
              </w:rPr>
              <w:t>Titration IV 40-100 µg/2-3 min ; overdose 0,4-2 mg IV répétés ; perfusion continue 0,4-0,8 mg/h</w:t>
            </w:r>
          </w:p>
        </w:tc>
        <w:tc>
          <w:tcPr>
            <w:tcW w:type="dxa" w:w="3118"/>
          </w:tcPr>
          <w:p>
            <w:r>
              <w:rPr>
                <w:sz w:val="20"/>
              </w:rPr>
              <w:t>2 mg/kg (bloc modéré) ; 4 mg/kg (bloc profond) ; 16 mg/kg (cannot intubate)</w:t>
            </w:r>
          </w:p>
        </w:tc>
      </w:tr>
      <w:tr>
        <w:tc>
          <w:tcPr>
            <w:tcW w:type="dxa" w:w="3118"/>
          </w:tcPr>
          <w:p>
            <w:r>
              <w:rPr>
                <w:sz w:val="20"/>
              </w:rPr>
              <w:t>**Dose maximale**</w:t>
            </w:r>
          </w:p>
        </w:tc>
        <w:tc>
          <w:tcPr>
            <w:tcW w:type="dxa" w:w="3118"/>
          </w:tcPr>
          <w:p>
            <w:r>
              <w:rPr>
                <w:sz w:val="20"/>
              </w:rPr>
              <w:t>10 mg en cumulative (overdose massive fentanyl)</w:t>
            </w:r>
          </w:p>
        </w:tc>
        <w:tc>
          <w:tcPr>
            <w:tcW w:type="dxa" w:w="3118"/>
          </w:tcPr>
          <w:p>
            <w:r>
              <w:rPr>
                <w:sz w:val="20"/>
              </w:rPr>
              <w:t>16 mg/kg</w:t>
            </w:r>
          </w:p>
        </w:tc>
      </w:tr>
      <w:tr>
        <w:tc>
          <w:tcPr>
            <w:tcW w:type="dxa" w:w="3118"/>
          </w:tcPr>
          <w:p>
            <w:r>
              <w:rPr>
                <w:sz w:val="20"/>
              </w:rPr>
              <w:t>**Surdosage = risque**</w:t>
            </w:r>
          </w:p>
        </w:tc>
        <w:tc>
          <w:tcPr>
            <w:tcW w:type="dxa" w:w="3118"/>
          </w:tcPr>
          <w:p>
            <w:r>
              <w:rPr>
                <w:sz w:val="20"/>
              </w:rPr>
              <w:t>Syndrome de sevrement aigu brutal ; hypertension paroxystique ; œdème pulmonaire non cardiogénique</w:t>
            </w:r>
          </w:p>
        </w:tc>
        <w:tc>
          <w:tcPr>
            <w:tcW w:type="dxa" w:w="3118"/>
          </w:tcPr>
          <w:p>
            <w:r>
              <w:rPr>
                <w:sz w:val="20"/>
              </w:rPr>
              <w:t>Allongement QTc ; accumulation du complexe en IR</w:t>
            </w:r>
          </w:p>
        </w:tc>
      </w:tr>
      <w:tr>
        <w:tc>
          <w:tcPr>
            <w:tcW w:type="dxa" w:w="3118"/>
          </w:tcPr>
          <w:p>
            <w:r>
              <w:rPr>
                <w:sz w:val="20"/>
              </w:rPr>
              <w:t>**Renarcotisation / recurarisation secondaire**</w:t>
            </w:r>
          </w:p>
        </w:tc>
        <w:tc>
          <w:tcPr>
            <w:tcW w:type="dxa" w:w="3118"/>
          </w:tcPr>
          <w:p>
            <w:r>
              <w:rPr>
                <w:sz w:val="20"/>
              </w:rPr>
              <w:t>OUI (renarcotisation 30-90 min après naloxone, particulièrement avec opioïdes longue durée)</w:t>
            </w:r>
          </w:p>
        </w:tc>
        <w:tc>
          <w:tcPr>
            <w:tcW w:type="dxa" w:w="3118"/>
          </w:tcPr>
          <w:p>
            <w:r>
              <w:rPr>
                <w:sz w:val="20"/>
              </w:rPr>
              <w:t>Théorique en IR sévère (relargage du rocuronium)</w:t>
            </w:r>
          </w:p>
        </w:tc>
      </w:tr>
      <w:tr>
        <w:tc>
          <w:tcPr>
            <w:tcW w:type="dxa" w:w="3118"/>
          </w:tcPr>
          <w:p>
            <w:r>
              <w:rPr>
                <w:sz w:val="20"/>
              </w:rPr>
              <w:t>**Effets indésirables cardiovasculaires**</w:t>
            </w:r>
          </w:p>
        </w:tc>
        <w:tc>
          <w:tcPr>
            <w:tcW w:type="dxa" w:w="3118"/>
          </w:tcPr>
          <w:p>
            <w:r>
              <w:rPr>
                <w:sz w:val="20"/>
              </w:rPr>
              <w:t>Poussée hypertensive paroxystique, tachycardie, troubles du rythme</w:t>
            </w:r>
          </w:p>
        </w:tc>
        <w:tc>
          <w:tcPr>
            <w:tcW w:type="dxa" w:w="3118"/>
          </w:tcPr>
          <w:p>
            <w:r>
              <w:rPr>
                <w:sz w:val="20"/>
              </w:rPr>
              <w:t>Hypotension transitoire, allongement QTc</w:t>
            </w:r>
          </w:p>
        </w:tc>
      </w:tr>
      <w:tr>
        <w:tc>
          <w:tcPr>
            <w:tcW w:type="dxa" w:w="3118"/>
          </w:tcPr>
          <w:p>
            <w:r>
              <w:rPr>
                <w:sz w:val="20"/>
              </w:rPr>
              <w:t>**Effets indésirables respiratoires**</w:t>
            </w:r>
          </w:p>
        </w:tc>
        <w:tc>
          <w:tcPr>
            <w:tcW w:type="dxa" w:w="3118"/>
          </w:tcPr>
          <w:p>
            <w:r>
              <w:rPr>
                <w:sz w:val="20"/>
              </w:rPr>
              <w:t>Œdème pulmonaire non cardiogénique (1-2 %), en particulier après overdose d'héroïne</w:t>
            </w:r>
          </w:p>
        </w:tc>
        <w:tc>
          <w:tcPr>
            <w:tcW w:type="dxa" w:w="3118"/>
          </w:tcPr>
          <w:p>
            <w:r>
              <w:rPr>
                <w:sz w:val="20"/>
              </w:rPr>
              <w:t>Bronchospasme rare, toux</w:t>
            </w:r>
          </w:p>
        </w:tc>
      </w:tr>
      <w:tr>
        <w:tc>
          <w:tcPr>
            <w:tcW w:type="dxa" w:w="3118"/>
          </w:tcPr>
          <w:p>
            <w:r>
              <w:rPr>
                <w:sz w:val="20"/>
              </w:rPr>
              <w:t>**Effets indésirables allergiques**</w:t>
            </w:r>
          </w:p>
        </w:tc>
        <w:tc>
          <w:tcPr>
            <w:tcW w:type="dxa" w:w="3118"/>
          </w:tcPr>
          <w:p>
            <w:r>
              <w:rPr>
                <w:sz w:val="20"/>
              </w:rPr>
              <w:t>Hypersensibilité exceptionnelle</w:t>
            </w:r>
          </w:p>
        </w:tc>
        <w:tc>
          <w:tcPr>
            <w:tcW w:type="dxa" w:w="3118"/>
          </w:tcPr>
          <w:p>
            <w:r>
              <w:rPr>
                <w:sz w:val="20"/>
              </w:rPr>
              <w:t>Anaphylaxie 0,3-1 %, érythème, urticaire</w:t>
            </w:r>
          </w:p>
        </w:tc>
      </w:tr>
      <w:tr>
        <w:tc>
          <w:tcPr>
            <w:tcW w:type="dxa" w:w="3118"/>
          </w:tcPr>
          <w:p>
            <w:r>
              <w:rPr>
                <w:sz w:val="20"/>
              </w:rPr>
              <w:t>**Effets indésirables digestifs**</w:t>
            </w:r>
          </w:p>
        </w:tc>
        <w:tc>
          <w:tcPr>
            <w:tcW w:type="dxa" w:w="3118"/>
          </w:tcPr>
          <w:p>
            <w:r>
              <w:rPr>
                <w:sz w:val="20"/>
              </w:rPr>
              <w:t>Nausées, vomissements (levée de l'antiémétique opioïde)</w:t>
            </w:r>
          </w:p>
        </w:tc>
        <w:tc>
          <w:tcPr>
            <w:tcW w:type="dxa" w:w="3118"/>
          </w:tcPr>
          <w:p>
            <w:r>
              <w:rPr>
                <w:sz w:val="20"/>
              </w:rPr>
              <w:t>Nausées, vomissements (10-15 %, surtout liés à l'anesthésie)</w:t>
            </w:r>
          </w:p>
        </w:tc>
      </w:tr>
      <w:tr>
        <w:tc>
          <w:tcPr>
            <w:tcW w:type="dxa" w:w="3118"/>
          </w:tcPr>
          <w:p>
            <w:r>
              <w:rPr>
                <w:sz w:val="20"/>
              </w:rPr>
              <w:t>**Effets indésirables hormonaux**</w:t>
            </w:r>
          </w:p>
        </w:tc>
        <w:tc>
          <w:tcPr>
            <w:tcW w:type="dxa" w:w="3118"/>
          </w:tcPr>
          <w:p>
            <w:r>
              <w:rPr>
                <w:sz w:val="20"/>
              </w:rPr>
              <w:t>Aucun documenté</w:t>
            </w:r>
          </w:p>
        </w:tc>
        <w:tc>
          <w:tcPr>
            <w:tcW w:type="dxa" w:w="3118"/>
          </w:tcPr>
          <w:p>
            <w:r>
              <w:rPr>
                <w:sz w:val="20"/>
              </w:rPr>
              <w:t>Baisse de 30-40 % de l'efficacité des contraceptifs oraux estroprogestatifs (obligation de contraception mécanique complémentaire 7 jours)</w:t>
            </w:r>
          </w:p>
        </w:tc>
      </w:tr>
      <w:tr>
        <w:tc>
          <w:tcPr>
            <w:tcW w:type="dxa" w:w="3118"/>
          </w:tcPr>
          <w:p>
            <w:r>
              <w:rPr>
                <w:sz w:val="20"/>
              </w:rPr>
              <w:t>**Interactions médicamenteuses majeures**</w:t>
            </w:r>
          </w:p>
        </w:tc>
        <w:tc>
          <w:tcPr>
            <w:tcW w:type="dxa" w:w="3118"/>
          </w:tcPr>
          <w:p>
            <w:r>
              <w:rPr>
                <w:sz w:val="20"/>
              </w:rPr>
              <w:t>Opioïdes (antagonisation recherchée) ; buprénorphine (antagonisation difficile) ; IMAO (risque hypertension)</w:t>
            </w:r>
          </w:p>
        </w:tc>
        <w:tc>
          <w:tcPr>
            <w:tcW w:type="dxa" w:w="3118"/>
          </w:tcPr>
          <w:p>
            <w:r>
              <w:rPr>
                <w:sz w:val="20"/>
              </w:rPr>
              <w:t>Rocuronium/vécuronium (24h CI) ; contraceptifs oraux ; AVK (surveillance INR) ; toremifène</w:t>
            </w:r>
          </w:p>
        </w:tc>
      </w:tr>
      <w:tr>
        <w:tc>
          <w:tcPr>
            <w:tcW w:type="dxa" w:w="3118"/>
          </w:tcPr>
          <w:p>
            <w:r>
              <w:rPr>
                <w:sz w:val="20"/>
              </w:rPr>
              <w:t>**Contre-indications**</w:t>
            </w:r>
          </w:p>
        </w:tc>
        <w:tc>
          <w:tcPr>
            <w:tcW w:type="dxa" w:w="3118"/>
          </w:tcPr>
          <w:p>
            <w:r>
              <w:rPr>
                <w:sz w:val="20"/>
              </w:rPr>
              <w:t>Hypersensibilité ; dépendance opioïde avérée (CI relative, titration prudente)</w:t>
            </w:r>
          </w:p>
        </w:tc>
        <w:tc>
          <w:tcPr>
            <w:tcW w:type="dxa" w:w="3118"/>
          </w:tcPr>
          <w:p>
            <w:r>
              <w:rPr>
                <w:sz w:val="20"/>
              </w:rPr>
              <w:t>Hypersensibilité ; insuffisance rénale sévère (DFG &lt; 30 mL/min) ou dialyse ; réadministration rocuronium/vécuronium &lt; 24h</w:t>
            </w:r>
          </w:p>
        </w:tc>
      </w:tr>
      <w:tr>
        <w:tc>
          <w:tcPr>
            <w:tcW w:type="dxa" w:w="3118"/>
          </w:tcPr>
          <w:p>
            <w:r>
              <w:rPr>
                <w:sz w:val="20"/>
              </w:rPr>
              <w:t>**Grossesse (CRAT)**</w:t>
            </w:r>
          </w:p>
        </w:tc>
        <w:tc>
          <w:tcPr>
            <w:tcW w:type="dxa" w:w="3118"/>
          </w:tcPr>
          <w:p>
            <w:r>
              <w:rPr>
                <w:sz w:val="20"/>
              </w:rPr>
              <w:t>Compatible à tous les trimestres ; priorité à la mère en overdose ; naloxone néonatale en 2e intention après ventilation</w:t>
            </w:r>
          </w:p>
        </w:tc>
        <w:tc>
          <w:tcPr>
            <w:tcW w:type="dxa" w:w="3118"/>
          </w:tcPr>
          <w:p>
            <w:r>
              <w:rPr>
                <w:sz w:val="20"/>
              </w:rPr>
              <w:t>Compatible en l'absence d'alternative (néostigmine non disponible en Algérie) ; données limitées mais rassurantes</w:t>
            </w:r>
          </w:p>
        </w:tc>
      </w:tr>
      <w:tr>
        <w:tc>
          <w:tcPr>
            <w:tcW w:type="dxa" w:w="3118"/>
          </w:tcPr>
          <w:p>
            <w:r>
              <w:rPr>
                <w:sz w:val="20"/>
              </w:rPr>
              <w:t>**Allaitement**</w:t>
            </w:r>
          </w:p>
        </w:tc>
        <w:tc>
          <w:tcPr>
            <w:tcW w:type="dxa" w:w="3118"/>
          </w:tcPr>
          <w:p>
            <w:r>
              <w:rPr>
                <w:sz w:val="20"/>
              </w:rPr>
              <w:t>Compatible (biodisponibilité orale &lt; 2 %)</w:t>
            </w:r>
          </w:p>
        </w:tc>
        <w:tc>
          <w:tcPr>
            <w:tcW w:type="dxa" w:w="3118"/>
          </w:tcPr>
          <w:p>
            <w:r>
              <w:rPr>
                <w:sz w:val="20"/>
              </w:rPr>
              <w:t>Compatible (faible passage lacté, faible absorption orale)</w:t>
            </w:r>
          </w:p>
        </w:tc>
      </w:tr>
      <w:tr>
        <w:tc>
          <w:tcPr>
            <w:tcW w:type="dxa" w:w="3118"/>
          </w:tcPr>
          <w:p>
            <w:r>
              <w:rPr>
                <w:sz w:val="20"/>
              </w:rPr>
              <w:t>**Adaptation sujet âgé**</w:t>
            </w:r>
          </w:p>
        </w:tc>
        <w:tc>
          <w:tcPr>
            <w:tcW w:type="dxa" w:w="3118"/>
          </w:tcPr>
          <w:p>
            <w:r>
              <w:rPr>
                <w:sz w:val="20"/>
              </w:rPr>
              <w:t>Titration prudente (risque cardiovasculaire)</w:t>
            </w:r>
          </w:p>
        </w:tc>
        <w:tc>
          <w:tcPr>
            <w:tcW w:type="dxa" w:w="3118"/>
          </w:tcPr>
          <w:p>
            <w:r>
              <w:rPr>
                <w:sz w:val="20"/>
              </w:rPr>
              <w:t>Pas d'adaptation ; surveiller fonction rénale</w:t>
            </w:r>
          </w:p>
        </w:tc>
      </w:tr>
      <w:tr>
        <w:tc>
          <w:tcPr>
            <w:tcW w:type="dxa" w:w="3118"/>
          </w:tcPr>
          <w:p>
            <w:r>
              <w:rPr>
                <w:sz w:val="20"/>
              </w:rPr>
              <w:t>**Adaptation insuffisance rénale**</w:t>
            </w:r>
          </w:p>
        </w:tc>
        <w:tc>
          <w:tcPr>
            <w:tcW w:type="dxa" w:w="3118"/>
          </w:tcPr>
          <w:p>
            <w:r>
              <w:rPr>
                <w:sz w:val="20"/>
              </w:rPr>
              <w:t>Aucune adaptation</w:t>
            </w:r>
          </w:p>
        </w:tc>
        <w:tc>
          <w:tcPr>
            <w:tcW w:type="dxa" w:w="3118"/>
          </w:tcPr>
          <w:p>
            <w:r>
              <w:rPr>
                <w:sz w:val="20"/>
              </w:rPr>
              <w:t>Contre-indication si DFG &lt; 30 mL/min ou dialyse</w:t>
            </w:r>
          </w:p>
        </w:tc>
      </w:tr>
      <w:tr>
        <w:tc>
          <w:tcPr>
            <w:tcW w:type="dxa" w:w="3118"/>
          </w:tcPr>
          <w:p>
            <w:r>
              <w:rPr>
                <w:sz w:val="20"/>
              </w:rPr>
              <w:t>**Adaptation insuffisance hépatique**</w:t>
            </w:r>
          </w:p>
        </w:tc>
        <w:tc>
          <w:tcPr>
            <w:tcW w:type="dxa" w:w="3118"/>
          </w:tcPr>
          <w:p>
            <w:r>
              <w:rPr>
                <w:sz w:val="20"/>
              </w:rPr>
              <w:t>Surveiller (demi-vie allongée en cas d'insuffisance sévère)</w:t>
            </w:r>
          </w:p>
        </w:tc>
        <w:tc>
          <w:tcPr>
            <w:tcW w:type="dxa" w:w="3118"/>
          </w:tcPr>
          <w:p>
            <w:r>
              <w:rPr>
                <w:sz w:val="20"/>
              </w:rPr>
              <w:t>Aucune adaptation (pas de métabolisme)</w:t>
            </w:r>
          </w:p>
        </w:tc>
      </w:tr>
      <w:tr>
        <w:tc>
          <w:tcPr>
            <w:tcW w:type="dxa" w:w="3118"/>
          </w:tcPr>
          <w:p>
            <w:r>
              <w:rPr>
                <w:sz w:val="20"/>
              </w:rPr>
              <w:t>**Adaptation enfant**</w:t>
            </w:r>
          </w:p>
        </w:tc>
        <w:tc>
          <w:tcPr>
            <w:tcW w:type="dxa" w:w="3118"/>
          </w:tcPr>
          <w:p>
            <w:r>
              <w:rPr>
                <w:sz w:val="20"/>
              </w:rPr>
              <w:t>10 µg/kg (nouveau-né), 0,1 mg/kg (enfant)</w:t>
            </w:r>
          </w:p>
        </w:tc>
        <w:tc>
          <w:tcPr>
            <w:tcW w:type="dxa" w:w="3118"/>
          </w:tcPr>
          <w:p>
            <w:r>
              <w:rPr>
                <w:sz w:val="20"/>
              </w:rPr>
              <w:t>Identique à l'adulte en mg/kg (2-4 mg/kg) ; déconseillé &lt; 2 ans</w:t>
            </w:r>
          </w:p>
        </w:tc>
      </w:tr>
      <w:tr>
        <w:tc>
          <w:tcPr>
            <w:tcW w:type="dxa" w:w="3118"/>
          </w:tcPr>
          <w:p>
            <w:r>
              <w:rPr>
                <w:sz w:val="20"/>
              </w:rPr>
              <w:t>**Forme intranasale**</w:t>
            </w:r>
          </w:p>
        </w:tc>
        <w:tc>
          <w:tcPr>
            <w:tcW w:type="dxa" w:w="3118"/>
          </w:tcPr>
          <w:p>
            <w:r>
              <w:rPr>
                <w:sz w:val="20"/>
              </w:rPr>
              <w:t>NON disponible en Algérie (disponible à l'étranger : NARCAN, NALOXONE EG)</w:t>
            </w:r>
          </w:p>
        </w:tc>
        <w:tc>
          <w:tcPr>
            <w:tcW w:type="dxa" w:w="3118"/>
          </w:tcPr>
          <w:p>
            <w:r>
              <w:rPr>
                <w:sz w:val="20"/>
              </w:rPr>
              <w:t>NON (forme IV uniquement)</w:t>
            </w:r>
          </w:p>
        </w:tc>
      </w:tr>
      <w:tr>
        <w:tc>
          <w:tcPr>
            <w:tcW w:type="dxa" w:w="3118"/>
          </w:tcPr>
          <w:p>
            <w:r>
              <w:rPr>
                <w:sz w:val="20"/>
              </w:rPr>
              <w:t>**Surveillance post-antagonisation**</w:t>
            </w:r>
          </w:p>
        </w:tc>
        <w:tc>
          <w:tcPr>
            <w:tcW w:type="dxa" w:w="3118"/>
          </w:tcPr>
          <w:p>
            <w:r>
              <w:rPr>
                <w:sz w:val="20"/>
              </w:rPr>
              <w:t>Minimale 4-6 heures (12-24 h pour overdose par opioïde longue durée) ; surveillance ventilatoire et hémodynamique</w:t>
            </w:r>
          </w:p>
        </w:tc>
        <w:tc>
          <w:tcPr>
            <w:tcW w:type="dxa" w:w="3118"/>
          </w:tcPr>
          <w:p>
            <w:r>
              <w:rPr>
                <w:sz w:val="20"/>
              </w:rPr>
              <w:t>1-2 heures en salle de réveil ; surveillance TOF et hémodynamique</w:t>
            </w:r>
          </w:p>
        </w:tc>
      </w:tr>
      <w:tr>
        <w:tc>
          <w:tcPr>
            <w:tcW w:type="dxa" w:w="3118"/>
          </w:tcPr>
          <w:p>
            <w:r>
              <w:rPr>
                <w:sz w:val="20"/>
              </w:rPr>
              <w:t>**Antidote disponible en Algérie ?**</w:t>
            </w:r>
          </w:p>
        </w:tc>
        <w:tc>
          <w:tcPr>
            <w:tcW w:type="dxa" w:w="3118"/>
          </w:tcPr>
          <w:p>
            <w:r>
              <w:rPr>
                <w:sz w:val="20"/>
              </w:rPr>
              <w:t>OUI (forme ampoule 0,4 mg/mL)</w:t>
            </w:r>
          </w:p>
        </w:tc>
        <w:tc>
          <w:tcPr>
            <w:tcW w:type="dxa" w:w="3118"/>
          </w:tcPr>
          <w:p>
            <w:r>
              <w:rPr>
                <w:sz w:val="20"/>
              </w:rPr>
              <w:t>OUI (forme flacon 100 mg/mL)</w:t>
            </w:r>
          </w:p>
        </w:tc>
      </w:tr>
      <w:tr>
        <w:tc>
          <w:tcPr>
            <w:tcW w:type="dxa" w:w="3118"/>
          </w:tcPr>
          <w:p>
            <w:r>
              <w:rPr>
                <w:sz w:val="20"/>
              </w:rPr>
              <w:t>**Coût relatif**</w:t>
            </w:r>
          </w:p>
        </w:tc>
        <w:tc>
          <w:tcPr>
            <w:tcW w:type="dxa" w:w="3118"/>
          </w:tcPr>
          <w:p>
            <w:r>
              <w:rPr>
                <w:sz w:val="20"/>
              </w:rPr>
              <w:t>Modéré (générique ancien)</w:t>
            </w:r>
          </w:p>
        </w:tc>
        <w:tc>
          <w:tcPr>
            <w:tcW w:type="dxa" w:w="3118"/>
          </w:tcPr>
          <w:p>
            <w:r>
              <w:rPr>
                <w:sz w:val="20"/>
              </w:rPr>
              <w:t>Élevé (princeps récent, sans générique)</w:t>
            </w:r>
          </w:p>
        </w:tc>
      </w:tr>
      <w:tr>
        <w:tc>
          <w:tcPr>
            <w:tcW w:type="dxa" w:w="3118"/>
          </w:tcPr>
          <w:p>
            <w:r>
              <w:rPr>
                <w:sz w:val="20"/>
              </w:rPr>
              <w:t>**Personnel habilité à administrer**</w:t>
            </w:r>
          </w:p>
        </w:tc>
        <w:tc>
          <w:tcPr>
            <w:tcW w:type="dxa" w:w="3118"/>
          </w:tcPr>
          <w:p>
            <w:r>
              <w:rPr>
                <w:sz w:val="20"/>
              </w:rPr>
              <w:t>Médecins, infirmiers (urgentistes, anesthésistes, réanimateurs, SMUR)</w:t>
            </w:r>
          </w:p>
        </w:tc>
        <w:tc>
          <w:tcPr>
            <w:tcW w:type="dxa" w:w="3118"/>
          </w:tcPr>
          <w:p>
            <w:r>
              <w:rPr>
                <w:sz w:val="20"/>
              </w:rPr>
              <w:t>Anesthésistes et infirmiers anesthésistes (bloc opératoire, réanimation)</w:t>
            </w:r>
          </w:p>
        </w:tc>
      </w:tr>
      <w:tr>
        <w:tc>
          <w:tcPr>
            <w:tcW w:type="dxa" w:w="3118"/>
          </w:tcPr>
          <w:p>
            <w:r>
              <w:rPr>
                <w:sz w:val="20"/>
              </w:rPr>
              <w:t>**Lieu d'administration**</w:t>
            </w:r>
          </w:p>
        </w:tc>
        <w:tc>
          <w:tcPr>
            <w:tcW w:type="dxa" w:w="3118"/>
          </w:tcPr>
          <w:p>
            <w:r>
              <w:rPr>
                <w:sz w:val="20"/>
              </w:rPr>
              <w:t>Bloc opératoire, salle de réveil, urgences, SMUR, réanimation, néonatologie</w:t>
            </w:r>
          </w:p>
        </w:tc>
        <w:tc>
          <w:tcPr>
            <w:tcW w:type="dxa" w:w="3118"/>
          </w:tcPr>
          <w:p>
            <w:r>
              <w:rPr>
                <w:sz w:val="20"/>
              </w:rPr>
              <w:t>Bloc opératoire, réanimation</w:t>
            </w:r>
          </w:p>
        </w:tc>
      </w:tr>
      <w:tr>
        <w:tc>
          <w:tcPr>
            <w:tcW w:type="dxa" w:w="3118"/>
          </w:tcPr>
          <w:p>
            <w:r>
              <w:rPr>
                <w:sz w:val="20"/>
              </w:rPr>
              <w:t>**Place dans la nomenclature OMS médicaments essentiels**</w:t>
            </w:r>
          </w:p>
        </w:tc>
        <w:tc>
          <w:tcPr>
            <w:tcW w:type="dxa" w:w="3118"/>
          </w:tcPr>
          <w:p>
            <w:r>
              <w:rPr>
                <w:sz w:val="20"/>
              </w:rPr>
              <w:t>Inscrire (antidotes)</w:t>
            </w:r>
          </w:p>
        </w:tc>
        <w:tc>
          <w:tcPr>
            <w:tcW w:type="dxa" w:w="3118"/>
          </w:tcPr>
          <w:p>
            <w:r>
              <w:rPr>
                <w:sz w:val="20"/>
              </w:rPr>
              <w:t>Non inscrit à la liste OMS (médicament récent et coûteux)</w:t>
            </w:r>
          </w:p>
        </w:tc>
      </w:tr>
      <w:tr>
        <w:tc>
          <w:tcPr>
            <w:tcW w:type="dxa" w:w="3118"/>
          </w:tcPr>
          <w:p>
            <w:r>
              <w:rPr>
                <w:sz w:val="20"/>
              </w:rPr>
              <w:t>**Piège principal**</w:t>
            </w:r>
          </w:p>
        </w:tc>
        <w:tc>
          <w:tcPr>
            <w:tcW w:type="dxa" w:w="3118"/>
          </w:tcPr>
          <w:p>
            <w:r>
              <w:rPr>
                <w:sz w:val="20"/>
              </w:rPr>
              <w:t>Demi-vie courte (30-90 min) → renarcotisation secondaire ; surveillance prolongée obligatoire</w:t>
            </w:r>
          </w:p>
        </w:tc>
        <w:tc>
          <w:tcPr>
            <w:tcW w:type="dxa" w:w="3118"/>
          </w:tcPr>
          <w:p>
            <w:r>
              <w:rPr>
                <w:sz w:val="20"/>
              </w:rPr>
              <w:t>Baisse des contraceptifs oraux ; CI rocuronium &lt; 24h ; anaphylaxie rare mais réelle</w:t>
            </w:r>
          </w:p>
        </w:tc>
      </w:tr>
      <w:tr>
        <w:tc>
          <w:tcPr>
            <w:tcW w:type="dxa" w:w="3118"/>
          </w:tcPr>
          <w:p>
            <w:r>
              <w:rPr>
                <w:sz w:val="20"/>
              </w:rPr>
              <w:t>**Antagoniste apparenté non disponible en Algérie**</w:t>
            </w:r>
          </w:p>
        </w:tc>
        <w:tc>
          <w:tcPr>
            <w:tcW w:type="dxa" w:w="3118"/>
          </w:tcPr>
          <w:p>
            <w:r>
              <w:rPr>
                <w:sz w:val="20"/>
              </w:rPr>
              <w:t>Naltrexone (orale, longue durée, alcoolo-dépendance) ; nalméfène ; naloxone intranasale</w:t>
            </w:r>
          </w:p>
        </w:tc>
        <w:tc>
          <w:tcPr>
            <w:tcW w:type="dxa" w:w="3118"/>
          </w:tcPr>
          <w:p>
            <w:r>
              <w:rPr>
                <w:sz w:val="20"/>
              </w:rPr>
              <w:t>Néostigmine (anticholinestérasique) ; flumazénil (antagoniste GABA-A)</w:t>
            </w:r>
          </w:p>
        </w:tc>
      </w:tr>
    </w:tbl>
    <w:p/>
    <w:p>
      <w:pPr>
        <w:pStyle w:val="Heading2"/>
      </w:pPr>
      <w:r>
        <w:t>183.4 Conclusion du chapitre 183</w:t>
      </w:r>
    </w:p>
    <w:p>
      <w:r>
        <w:t xml:space="preserve">Le chapitre 183 a présenté les deux antagonistes de l'anesthésie-réanimation disponibles en Algérie, qui illustrent deux stratégies pharmacologiques radicalement différentes mais convergentes dans leur objectif : </w:t>
      </w:r>
      <w:r>
        <w:rPr>
          <w:b/>
        </w:rPr>
        <w:t>réverser rapidement et de manière fiable les effets pharmacologiques d'un agent anesthésique ou d'un curare</w:t>
      </w:r>
      <w:r>
        <w:t>, afin d'assurer la sécurité du patient en post-opératoire ou en urgence.</w:t>
      </w:r>
    </w:p>
    <w:p>
      <w:r>
        <w:t xml:space="preserve">La </w:t>
      </w:r>
      <w:r>
        <w:rPr>
          <w:b/>
        </w:rPr>
        <w:t>naloxone</w:t>
      </w:r>
      <w:r>
        <w:t xml:space="preserve"> illustre la stratégie classique de l'</w:t>
      </w:r>
      <w:r>
        <w:rPr>
          <w:b/>
        </w:rPr>
        <w:t>antagonisme compétitif</w:t>
      </w:r>
      <w:r>
        <w:t xml:space="preserve"> : un antagoniste pur qui se lie aux mêmes récepteurs que l'agoniste (opioïdes), sans les activer, et qui déplace l'agoniste de ses sites de liaison. Cette stratégie est efficace mais soumise à la loi d'action de masse, ce qui implique que l'effet antagoniste est proportionnel à la concentration locale de l'antagoniste et peut être surmonté en cas d'augmentation de l'agoniste. La naloxone est un antidote de référence de l'overdose opioïde, mais sa </w:t>
      </w:r>
      <w:r>
        <w:rPr>
          <w:b/>
        </w:rPr>
        <w:t>demi-vie courte (30-90 minutes)</w:t>
      </w:r>
      <w:r>
        <w:t xml:space="preserve"> comparée à celle des opioïdes longue durée expose à la </w:t>
      </w:r>
      <w:r>
        <w:rPr>
          <w:b/>
        </w:rPr>
        <w:t>renarcotisation secondaire</w:t>
      </w:r>
      <w:r>
        <w:t>, imposant une surveillance prolongée systématique après antagonisation. La naloxone n'a pas d'effet sur les autres dépresseurs du SNC (benzodiazépines, alcool, barbituriques, anesthésiques généraux), et le flumazénil (antidote des benzodiazépines) n'est pas disponible en Algérie, ce qui rend la prise en charge des co-intoxications particulièrement difficile en Algérie.</w:t>
      </w:r>
    </w:p>
    <w:p>
      <w:r>
        <w:t xml:space="preserve">Le </w:t>
      </w:r>
      <w:r>
        <w:rPr>
          <w:b/>
        </w:rPr>
        <w:t>sugammadex</w:t>
      </w:r>
      <w:r>
        <w:t xml:space="preserve"> illustre la stratégie innovante de l'</w:t>
      </w:r>
      <w:r>
        <w:rPr>
          <w:b/>
        </w:rPr>
        <w:t>encapsulation par cyclodextrine modifiée</w:t>
      </w:r>
      <w:r>
        <w:t xml:space="preserve"> : un oligosaccharide cyclique qui forme un complexe de stœchiométrie 1:1 avec le rocuronium (et accessoirement le vécuronium), avec une affinité très élevée (Kd ≈ 10⁻⁸ M), supérieure à celle du récepteur nicotinique. Cette stratégie est indépendante du récepteur et n'interfère pas avec la transmission cholinergique. Le sugammadex permet une décurarisation rapide et fiable à n'importe quel niveau de bloc, y compris après injection de rocuronium à dose massive (16 mg/kg pour « </w:t>
      </w:r>
      <w:r>
        <w:rPr>
          <w:i/>
        </w:rPr>
        <w:t>cannot intubate, cannot ventilate</w:t>
      </w:r>
      <w:r>
        <w:t xml:space="preserve"> »), ce qui était impossible avec la néostigmine (anticholinestérasique). La néostigmine n'étant pas disponible en Algérie, le sugammadex est l'unique moyen de décurarisation pharmacologique des curares aminostéroïdes en Algérie, et son rôle est donc central dans la sécurité anesthésique. Le sugammadex présente plusieurs points d'attention : risque d'</w:t>
      </w:r>
      <w:r>
        <w:rPr>
          <w:b/>
        </w:rPr>
        <w:t>hypersensibilité</w:t>
      </w:r>
      <w:r>
        <w:t xml:space="preserve"> (anaphylaxie rare mais réelle), </w:t>
      </w:r>
      <w:r>
        <w:rPr>
          <w:b/>
        </w:rPr>
        <w:t>contre-indication à la réadministration de rocuronium ou de vécuronium dans les 24 heures</w:t>
      </w:r>
      <w:r>
        <w:t xml:space="preserve">, et </w:t>
      </w:r>
      <w:r>
        <w:rPr>
          <w:b/>
        </w:rPr>
        <w:t>interaction hormonale majeure avec les contraceptifs oraux estroprogestatifs</w:t>
      </w:r>
      <w:r>
        <w:t xml:space="preserve"> (baisse de 30-40 % de l'efficacité, contraception mécanique complémentaire obligatoire pendant 7 jours).</w:t>
      </w:r>
    </w:p>
    <w:p>
      <w:r>
        <w:t xml:space="preserve">Plusieurs </w:t>
      </w:r>
      <w:r>
        <w:rPr>
          <w:b/>
        </w:rPr>
        <w:t>enseignements transversaux</w:t>
      </w:r>
      <w:r>
        <w:t xml:space="preserve"> se dégagent de ce chapitre :</w:t>
      </w:r>
    </w:p>
    <w:p>
      <w:pPr>
        <w:pStyle w:val="ListNumber"/>
      </w:pPr>
      <w:r/>
      <w:r>
        <w:rPr>
          <w:b/>
        </w:rPr>
        <w:t>La réversibilité pharmacologique est un pilier de la sécurité anesthésique moderne</w:t>
      </w:r>
      <w:r>
        <w:t>. L'antagonisation ciblée permet un retour plus précoce à la conscience, à la ventilation spontanée et à la mobilité musculaire, et réduit le risque d'événements respiratoires critiques en post-opératoire. Le pharmacien d'officine et le pharmacien hospitalier doivent connaître ces antagonistes, leurs indications, leurs limites, et leurs interactions.</w:t>
      </w:r>
    </w:p>
    <w:p>
      <w:pPr>
        <w:pStyle w:val="ListNumber"/>
      </w:pPr>
      <w:r/>
      <w:r>
        <w:rPr>
          <w:b/>
        </w:rPr>
        <w:t>L'absence de plusieurs antidotes de référence du marché algérien</w:t>
      </w:r>
      <w:r>
        <w:t xml:space="preserve"> (néostigmine, atropine, flumazénil, naloxone intranasale) fragilise la prise en charge des urgences anesthésiques et toxicologiques en Algérie. Cette situation impose une vigilance accrue des praticiens algériens et justifie une réflexion sur l'inscription de ces antidotes à la nomenclature algérienne. À titre d'exemple, l'absence de flumazénil impose la ventilation mécanique prolongée en réanimation pour tout surdosage en benzodiazépines, et l'absence de néostigmine impose le sugammadex comme seule option de décurarisation (avec un coût très supérieur).</w:t>
      </w:r>
    </w:p>
    <w:p>
      <w:pPr>
        <w:pStyle w:val="ListNumber"/>
      </w:pPr>
      <w:r/>
      <w:r>
        <w:rPr>
          <w:b/>
        </w:rPr>
        <w:t>La surveillance post-antagonisation est systématique et prolongée</w:t>
      </w:r>
      <w:r>
        <w:t>. Pour la naloxone, surveillance minimale 4-6 heures (12-24 heures pour overdose par opioïde longue durée) en raison du risque de renarcotisation. Pour le sugammadex, surveillance 1-2 heures en salle de réveil (TOF ≥ 0,9, surveillance hémodynamique et respiratoire). Ne jamais laisser repartir un patient précocement après antagonisation.</w:t>
      </w:r>
    </w:p>
    <w:p>
      <w:pPr>
        <w:pStyle w:val="ListNumber"/>
      </w:pPr>
      <w:r/>
      <w:r>
        <w:rPr>
          <w:b/>
        </w:rPr>
        <w:t>L'information des patientes sous contraceptif oral est systématique</w:t>
      </w:r>
      <w:r>
        <w:t xml:space="preserve"> en consultation d'anesthésie pré-opératoire, en raison de l'interaction hormonale majeure du sugammadex. Cette information doit figurer dans le dossier d'anesthésie et être transmise à la patiente par écrit.</w:t>
      </w:r>
    </w:p>
    <w:p>
      <w:pPr>
        <w:pStyle w:val="ListNumber"/>
      </w:pPr>
      <w:r/>
      <w:r>
        <w:rPr>
          <w:b/>
        </w:rPr>
        <w:t>Le pharmacien d'officine n'est pas directement concerné par la dispensation de ces antagonistes</w:t>
      </w:r>
      <w:r>
        <w:t xml:space="preserve"> (réservés à l'usage hospitalier), mais il doit connaître leurs noms, leurs indications, et leurs principaux effets indésirables pour informer les patients et orienter les demandes. En particulier, il doit savoir que la naloxone intranasale (utilisée à l'étranger pour les programmes de réduction des risques) n'est pas disponible en Algérie, et que les demandes éventuelles doivent être orientées vers les services d'addictologie hospitaliers.</w:t>
      </w:r>
    </w:p>
    <w:p>
      <w:pPr>
        <w:pStyle w:val="ListNumber"/>
      </w:pPr>
      <w:r/>
      <w:r>
        <w:rPr>
          <w:b/>
        </w:rPr>
        <w:t>La nomenclature algérienne Avril 2026</w:t>
      </w:r>
      <w:r>
        <w:t xml:space="preserve"> ne comporte qu'une seule spécialité pour chaque antagoniste (NALOXONE MYLAN et BRIDION), sans générique. La situation de monopole de fait rend ces médicaments coûteux et potentiellement sujets à des ruptures de stock en cas de problème d'approvisionnement. Une diversification de l'offre (génériques, formes alternatives) serait souhaitable pour garantir l'accès à ces antidotes essentiels.</w:t>
      </w:r>
    </w:p>
    <w:p>
      <w:pPr>
        <w:pStyle w:val="ListNumber"/>
      </w:pPr>
      <w:r/>
      <w:r>
        <w:rPr>
          <w:b/>
        </w:rPr>
        <w:t>Les antidotes de l'avenir</w:t>
      </w:r>
      <w:r>
        <w:t xml:space="preserve"> : la recherche pharmacologique poursuit le développement d'antagonistes ciblés pour de nouveaux agents anesthésiques. Par exemple, le ANDA (antagoniste du rémifentanil), les antagonistes des anticoagulants oraux directs (idarucizumab pour le dabigatran, andéxanet alpha pour les anti-Xa), les antagonistes des nouveaux curares (ex: CW 002, curare en développement avec son propre antidote). Ces avancées pourraient enrichir la pratique anesthésique et toxicologique dans les années à venir, mais leur disponibilité en Algérie dépendra des négociations économiques et de l'inscription à la nomenclature.</w:t>
      </w:r>
    </w:p>
    <w:p>
      <w:r>
        <w:t>Le chapitre 183 s'achève ici, et le lecteur est invité à se reporter au chapitre 184 (Réanimation) pour la suite du Fascicule XIX Anesthésie-Réanimation, qui traitera des médicaments utilisés en réanimation : catécholamines, solutés de remplissage, antihypertenseurs d'urgence, etc.</w:t>
      </w:r>
    </w:p>
    <w:p>
      <w:pPr>
        <w:pStyle w:val="Heading1"/>
      </w:pPr>
      <w:r>
        <w:t>Chapitre 184 — Réanimation : Vasopresseurs, Solutés et Urgences</w:t>
      </w:r>
    </w:p>
    <w:p>
      <w:pPr>
        <w:pStyle w:val="Heading2"/>
      </w:pPr>
      <w:r>
        <w:t>Fascicule XIX — Anesthésie-Réanimation</w:t>
      </w:r>
    </w:p>
    <w:p>
      <w:pPr>
        <w:pStyle w:val="Heading2"/>
      </w:pPr>
      <w:r>
        <w:t>184.0 Introduction au chapitre 184 — Réanimation, vasopresseurs, solutés et urgences</w:t>
      </w:r>
    </w:p>
    <w:p>
      <w:r>
        <w:t>La réanimation est la discipline médicale qui prend en charge les patients présentant une ou plusieurs défaillances viscérales aiguës menaçant le pronostic vital, dans l'objectif de restaurer et de maintenir l'homéostasie physiologique jusqu'à la récupération ou à la mise en œuvre d'un traitement étiologique. Le chapitre 184, ultime chapitre du Fascicule XIX consacré à l'Anesthésie-Réanimation, traite sept dénominations communes internationales (DCI) qui constituent l'arsenal thérapeutique critique de la réanimation d'urgence en Algérie. Ces sept molécules se répartissent en six sous-classes pharmacologiques : les catécholamines vaso-pressives (adrénaline, noradrénaline), les β1-agonistes inotropes positifs (dobutamine), les antagonistes de l'hyperthermie maligne anesthésique (dantrolène), les antifibrinolytiques (acide tranexamique), les solutés électrolytiques (calcium injectable) et les antagonistes de l'hypoglycémie et du surdosage β-bloquant (glucagon).</w:t>
      </w:r>
    </w:p>
    <w:p>
      <w:r>
        <w:t>Ces molécules partagent plusieurs caractéristiques communes qui justifient leur regroupement dans un même chapitre : (i) leur administration est presque exclusivement parentérale, intraveineuse directe, perfusion continue ou intramusculaire ; (ii) leur mise en œuvre s'inscrit dans l'urgence absolue, où chaque minute perdue se paie en morbidité et mortalité ; (iii) leur index thérapeutique est étroit, imposant un monitorage hémodynamique, biologique et électrocardioscopique rigoureux ; (iv) leur prescription est strictement hospitalière, en service de réanimation polyvalente, soins continus, urgences vitales ou bloc opératoire ; (v) leur disponibilité en Algérie pose des problèmes critiques de sécurité d'approvisionnement, avec plusieurs de ces DCI classées NON_RENOUVELABLES ou RETIRÉES du marché algérien, soulevant des enjeux majeurs de santé publique.</w:t>
      </w:r>
    </w:p>
    <w:p>
      <w:r>
        <w:t>L'histoire des catécholamines remonte aux travaux pionniers d'Abel et Crawford (1897-1900) qui ont isolé l'épinéphrine (adrénaline) des surrénales, suivis par Takamine (1901) qui en obtint la forme cristallisée. La noradrénaline fut identifiée par Ulf von Euler (1946), travail qui lui valut le prix Nobel de médecine en 1970. La dobutamine, catécholamine synthétique dérivée de l'isoprénaline, fut développée par Eli Lilly dans les années 1970. Le dantrolène fut synthétisé en 1967 par Snyder et collaborateurs chez Norwich Eaton Pharmaceuticals, et son utilisation dans l'hyperthermie maligne fut inaugurée en 1979 après la démonstration par Harrison de son efficacité dans un modèle porcin. L'acide tranexamique fut découvert en 1962 par Shosuke et Utako Okamoto, couple japonais de chercheurs dont l'objectif initial était de réduire la mortalité maternelle par hémorragie de la délivrance. Le calcium, élément minéral connu depuis l'Antiquité, a vu son usage intraveineux codifié au XIXᵉ siècle par Ringer (1883) qui démontra son rôle dans la contractilité myocardique. Le glucagon, hormone pancréatique hyperglycémiante, fut isolé en 1923 par Kimball et Murlin et sa séquence peptidique fut établie par Bromer en 1957.</w:t>
      </w:r>
    </w:p>
    <w:p>
      <w:r>
        <w:t>Ce chapitre aborde successivement, pour chacune des sept DCI, douze rubriques systématiques : catégories pharmaco-thérapeutiques et indications réglementaires, médicaments disponibles en Algérie (sous forme de tableau à six colonnes reprenant la nomenclature officielle), mécanisme d'action moléculaire cellulaire et physiologique, pharmacocinétique, indications thérapeutiques validées, posologie et modes d'administration, effets indésirables et prévention, interactions médicamenteuses, grossesse allaitement et données CRAT, formes galéniques disponibles, conseils au patient ou à l'équipe soignante, et enfin les pièges majeurs au comptoir ou au lit du patient. Une attention particulière est portée aux alertes de disponibilité algérienne, notamment le retrait du dantrolène — urgence absolue en matière de sécurité anesthésique — et la situation NON_RENOUVELABLE de la noradrénaline, qui imposent des stratégies alternatives pour la sécurité des patients anesthésiés et réanimés en Algérie.</w:t>
      </w:r>
    </w:p>
    <w:p>
      <w:pPr>
        <w:pStyle w:val="Heading2"/>
      </w:pPr>
      <w:r>
        <w:t>184.1 Sous-classe 1 — Vasopresseurs / Inotropes : Catécholamines (adrénaline, noradrénaline)</w:t>
      </w:r>
    </w:p>
    <w:p>
      <w:pPr>
        <w:pStyle w:val="Heading3"/>
      </w:pPr>
      <w:r>
        <w:t>184.1.0 Introduction à la sous-classe des catécholamines de réanimation</w:t>
      </w:r>
    </w:p>
    <w:p>
      <w:r>
        <w:t>Les catécholamines forment une famille biochimique de composés aminés porteurs du noyau catéchol (benzène-1,2-diol) lié à une chaîne latérale amine. Cette structure chimique commune — qui regroupe la dopamine, la noradrénaline (norépinéphrine), l'adrénaline (épinéphrine) et l'isoprénaline — leur confère une affinité variable pour les récepteurs adrénergiques α1, α2, β1, β2 et β3, exprimés à la surface des cellules effectrices du système cardiovasculaire, bronchique, métabolique et neuroendocrine. Les récepteurs adrénergiques appartiennent à la superfamille des récepteurs couplés aux protéines G (RCPG) à sept domaines transmembranaires : les α1 sont couplés à Gq (activation phospholipase C → IP3/DAG → libération calcique intracellulaire → vasoconstriction), les α2 sont couplés à Gi (inhibition adénylate cyclase → baisse AMPc), les β1, β2 et β3 sont couplés à Gs (activation adénylate cyclase → hausse AMPc → protéine kinase A).</w:t>
      </w:r>
    </w:p>
    <w:p>
      <w:r>
        <w:t>En réanimation, deux catécholamines dominent l'arsenal thérapeutique : l'adrénaline (agoniste pan-α/β, hormone du stress, médicament de l'arrêt cardiaque et de l'anaphylaxie) et la noradrénaline (agoniste α1 prédominant, neurotransmetteur du système sympathique post-ganglionnaire, médicament du choc septique et des chocs vasoplégiques). La dopamine, autrefois « médicament de première intention du choc », a été largement déclassée par l'étude SOAP II (De Backer, NEJM 2010) qui a démontré une surmortalité cardiogénique versus noradrénaline, et n'est plus recommandée par les dernières guidelines ERC/ESICM 2021. La dobutamine, β1-agoniste synthétique, est traitée séparément dans la sous-classe suivante.</w:t>
      </w:r>
    </w:p>
    <w:p>
      <w:r>
        <w:t>Le maniement des catécholamines repose sur trois principes : (i) restauration préalable de la volémie en cas de choc hypovolémique ou distributif (l'administration d'un vasopresseur sur hypovolémie aggrave l'hypoperfusion tissulaire et expose à l'ischémie mésentérique et rénale) ; (ii) titration pas-à-pas selon les paramètres hémodynamiques invasifs (PAM, PVC, ScvO2, échocardiographie) ; (iii) sevrage progressif dès restauration de la perfusion tissulaire, pour limiter les effets délétères prolongés (vasoconstriction excessive, troubles du rythme, immunosuppression). Les cibles hémodynamiques recommandées par la Surviving Sepsis Campaign 2021 sont : PAM ≥ 65 mmHg, diurèse ≥ 0,5 mL/kg/h, lactates en décroissance, ScvO2 ≥ 70 %.</w:t>
      </w:r>
    </w:p>
    <w:p>
      <w:pPr>
        <w:pStyle w:val="Heading2"/>
      </w:pPr>
      <w:r>
        <w:t>184.1.1 DCI 1 — Adrénaline (épinéphrine)</w:t>
      </w:r>
    </w:p>
    <w:p>
      <w:pPr>
        <w:pStyle w:val="Heading3"/>
      </w:pPr>
      <w:r>
        <w:t>184.1.1.1 Catégories pharmaco-thérapeutiques et indications</w:t>
      </w:r>
    </w:p>
    <w:p>
      <w:r>
        <w:t>L'adrénaline (épinéphrine, (-)-3,4-dihydroxy-N-méthylphényléthanolamine, formule C9H13NO3, masse molaire 183,2 g/mol) est classée dans la catégorie pharmacothérapeutique des « catécholamines à effet α et β », selon la classification ATC sous le code C01CA24 (cardiotoniques non digitaliques — adrénaline) et R03AC01/R01AA01 (bronchodilatateurs/vasoconstricteurs nasaux). Elle est inscrite sur la Liste des médicaments essentiels de l'OMS (22ᵉ liste, 2021) comme médicament de l'urgence absolue. En Algérie, l'adrénaline est classée sur la Liste I des substances vénéneuses, prescription hospitalière réservée, disponible en ampoules de 1 mL à 0,25 mg/mL ou 1 mg/mL.</w:t>
      </w:r>
    </w:p>
    <w:p>
      <w:r>
        <w:t>Les indications réglementaires (AMM) de l'adrénaline couvrent : (1) l'arrêt cardiaque (Fibrillation Ventriculaire, Tachycardie Ventriculaire sans pouls, Asystolie, Activité Électrique Sans Pouls) — adrénaline 1 mg IV toutes les 3 à 5 minutes pendant la réanimation cardiopulmonaire (RCP) selon les recommandations ERC 2021 ; (2) l'anaphylaxie sévère (choc anaphylactique grade III-IV) — 0,5 mg IM (adulte) ou 0,3 mg IM (enfant), à renouveler après 5 minutes en l'absence d'amélioration, relayée par adrénaline IV 0,05-0,1 µg/kg/min en cas de choc réfractaire ; (3) la bradycardie sinusale symptomatique réfractaire à l'atropine (posologie 2-10 µg/min IV) ; (4) le choc anaphylactique peranesthésique (protocole SFAR — Société Française d'Anesthésie-Réanimation) ; (5) la croup sévère de l'enfant (nébulisations d'adrénaline racémique ou L-adrénaline 5 mg/mL) ; (6) les hémorragies locales (tamponnade nasale, racine language via éponge imbibée) ; (7) en association avec les anesthésiques locaux pour prolonger leur durée d'action (maximum 5 µg/mL soit 1/200 000 pour l'adulte, contre-indiqué aux extrémités digitales). L'adrénaline fait partie intégrante du chariot d'urgence de tout bloc opératoire, service d'urgences, réanimation, salle de réveil, cabinet dentaire et structure d'hémodialyse.</w:t>
      </w:r>
    </w:p>
    <w:p>
      <w:pPr>
        <w:pStyle w:val="Heading3"/>
      </w:pPr>
      <w:r>
        <w:t>184.1.1.2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ADRENALINE HUP</w:t>
            </w:r>
          </w:p>
        </w:tc>
        <w:tc>
          <w:tcPr>
            <w:tcW w:type="dxa" w:w="1559"/>
          </w:tcPr>
          <w:p>
            <w:r>
              <w:rPr>
                <w:sz w:val="20"/>
              </w:rPr>
              <w:t>HUPP PHARMA</w:t>
            </w:r>
          </w:p>
        </w:tc>
        <w:tc>
          <w:tcPr>
            <w:tcW w:type="dxa" w:w="1559"/>
          </w:tcPr>
          <w:p>
            <w:r>
              <w:rPr>
                <w:sz w:val="20"/>
              </w:rPr>
              <w:t>Solution injectable 1 mg/mL</w:t>
            </w:r>
          </w:p>
        </w:tc>
        <w:tc>
          <w:tcPr>
            <w:tcW w:type="dxa" w:w="1559"/>
          </w:tcPr>
          <w:p>
            <w:r>
              <w:rPr>
                <w:sz w:val="20"/>
              </w:rPr>
              <w:t>B/50 ampoules de 1 mL</w:t>
            </w:r>
          </w:p>
        </w:tc>
        <w:tc>
          <w:tcPr>
            <w:tcW w:type="dxa" w:w="1559"/>
          </w:tcPr>
          <w:p>
            <w:r>
              <w:rPr>
                <w:sz w:val="20"/>
              </w:rPr>
              <w:t>Liste I</w:t>
            </w:r>
          </w:p>
        </w:tc>
        <w:tc>
          <w:tcPr>
            <w:tcW w:type="dxa" w:w="1559"/>
          </w:tcPr>
          <w:p>
            <w:r>
              <w:rPr>
                <w:sz w:val="20"/>
              </w:rPr>
              <w:t>Actif</w:t>
            </w:r>
          </w:p>
        </w:tc>
      </w:tr>
      <w:tr>
        <w:tc>
          <w:tcPr>
            <w:tcW w:type="dxa" w:w="1559"/>
          </w:tcPr>
          <w:p>
            <w:r>
              <w:rPr>
                <w:sz w:val="20"/>
              </w:rPr>
              <w:t>ADRENALINE RAZES SANS SULFITE</w:t>
            </w:r>
          </w:p>
        </w:tc>
        <w:tc>
          <w:tcPr>
            <w:tcW w:type="dxa" w:w="1559"/>
          </w:tcPr>
          <w:p>
            <w:r>
              <w:rPr>
                <w:sz w:val="20"/>
              </w:rPr>
              <w:t>LES LABORATOIRES FRATER RAZES</w:t>
            </w:r>
          </w:p>
        </w:tc>
        <w:tc>
          <w:tcPr>
            <w:tcW w:type="dxa" w:w="1559"/>
          </w:tcPr>
          <w:p>
            <w:r>
              <w:rPr>
                <w:sz w:val="20"/>
              </w:rPr>
              <w:t>Solution injectable 1 mg/mL</w:t>
            </w:r>
          </w:p>
        </w:tc>
        <w:tc>
          <w:tcPr>
            <w:tcW w:type="dxa" w:w="1559"/>
          </w:tcPr>
          <w:p>
            <w:r>
              <w:rPr>
                <w:sz w:val="20"/>
              </w:rPr>
              <w:t>B/50 ampoules 1 mL</w:t>
            </w:r>
          </w:p>
        </w:tc>
        <w:tc>
          <w:tcPr>
            <w:tcW w:type="dxa" w:w="1559"/>
          </w:tcPr>
          <w:p>
            <w:r>
              <w:rPr>
                <w:sz w:val="20"/>
              </w:rPr>
              <w:t>Liste I</w:t>
            </w:r>
          </w:p>
        </w:tc>
        <w:tc>
          <w:tcPr>
            <w:tcW w:type="dxa" w:w="1559"/>
          </w:tcPr>
          <w:p>
            <w:r>
              <w:rPr>
                <w:sz w:val="20"/>
              </w:rPr>
              <w:t>Actif</w:t>
            </w:r>
          </w:p>
        </w:tc>
      </w:tr>
      <w:tr>
        <w:tc>
          <w:tcPr>
            <w:tcW w:type="dxa" w:w="1559"/>
          </w:tcPr>
          <w:p>
            <w:r>
              <w:rPr>
                <w:sz w:val="20"/>
              </w:rPr>
              <w:t>DRINAL</w:t>
            </w:r>
          </w:p>
        </w:tc>
        <w:tc>
          <w:tcPr>
            <w:tcW w:type="dxa" w:w="1559"/>
          </w:tcPr>
          <w:p>
            <w:r>
              <w:rPr>
                <w:sz w:val="20"/>
              </w:rPr>
              <w:t>BIOTHERA</w:t>
            </w:r>
          </w:p>
        </w:tc>
        <w:tc>
          <w:tcPr>
            <w:tcW w:type="dxa" w:w="1559"/>
          </w:tcPr>
          <w:p>
            <w:r>
              <w:rPr>
                <w:sz w:val="20"/>
              </w:rPr>
              <w:t>Solution injectable 1 mg/mL</w:t>
            </w:r>
          </w:p>
        </w:tc>
        <w:tc>
          <w:tcPr>
            <w:tcW w:type="dxa" w:w="1559"/>
          </w:tcPr>
          <w:p>
            <w:r>
              <w:rPr>
                <w:sz w:val="20"/>
              </w:rPr>
              <w:t>B/100 ampoules de 1 mL</w:t>
            </w:r>
          </w:p>
        </w:tc>
        <w:tc>
          <w:tcPr>
            <w:tcW w:type="dxa" w:w="1559"/>
          </w:tcPr>
          <w:p>
            <w:r>
              <w:rPr>
                <w:sz w:val="20"/>
              </w:rPr>
              <w:t>Liste I</w:t>
            </w:r>
          </w:p>
        </w:tc>
        <w:tc>
          <w:tcPr>
            <w:tcW w:type="dxa" w:w="1559"/>
          </w:tcPr>
          <w:p>
            <w:r>
              <w:rPr>
                <w:sz w:val="20"/>
              </w:rPr>
              <w:t>Actif</w:t>
            </w:r>
          </w:p>
        </w:tc>
      </w:tr>
      <w:tr>
        <w:tc>
          <w:tcPr>
            <w:tcW w:type="dxa" w:w="1559"/>
          </w:tcPr>
          <w:p>
            <w:r>
              <w:rPr>
                <w:sz w:val="20"/>
              </w:rPr>
              <w:t>ADRENALINE AGUETTANT</w:t>
            </w:r>
          </w:p>
        </w:tc>
        <w:tc>
          <w:tcPr>
            <w:tcW w:type="dxa" w:w="1559"/>
          </w:tcPr>
          <w:p>
            <w:r>
              <w:rPr>
                <w:sz w:val="20"/>
              </w:rPr>
              <w:t>AGUETTANT</w:t>
            </w:r>
          </w:p>
        </w:tc>
        <w:tc>
          <w:tcPr>
            <w:tcW w:type="dxa" w:w="1559"/>
          </w:tcPr>
          <w:p>
            <w:r>
              <w:rPr>
                <w:sz w:val="20"/>
              </w:rPr>
              <w:t>Solution injectable 0,25 mg/mL</w:t>
            </w:r>
          </w:p>
        </w:tc>
        <w:tc>
          <w:tcPr>
            <w:tcW w:type="dxa" w:w="1559"/>
          </w:tcPr>
          <w:p>
            <w:r>
              <w:rPr>
                <w:sz w:val="20"/>
              </w:rPr>
              <w:t>B/100 ampoules 1 mL</w:t>
            </w:r>
          </w:p>
        </w:tc>
        <w:tc>
          <w:tcPr>
            <w:tcW w:type="dxa" w:w="1559"/>
          </w:tcPr>
          <w:p>
            <w:r>
              <w:rPr>
                <w:sz w:val="20"/>
              </w:rPr>
              <w:t>Liste I</w:t>
            </w:r>
          </w:p>
        </w:tc>
        <w:tc>
          <w:tcPr>
            <w:tcW w:type="dxa" w:w="1559"/>
          </w:tcPr>
          <w:p>
            <w:r>
              <w:rPr>
                <w:sz w:val="20"/>
              </w:rPr>
              <w:t>Non renouvelable</w:t>
            </w:r>
          </w:p>
        </w:tc>
      </w:tr>
      <w:tr>
        <w:tc>
          <w:tcPr>
            <w:tcW w:type="dxa" w:w="1559"/>
          </w:tcPr>
          <w:p>
            <w:r>
              <w:rPr>
                <w:sz w:val="20"/>
              </w:rPr>
              <w:t>ADRENALINE AGUETTANT</w:t>
            </w:r>
          </w:p>
        </w:tc>
        <w:tc>
          <w:tcPr>
            <w:tcW w:type="dxa" w:w="1559"/>
          </w:tcPr>
          <w:p>
            <w:r>
              <w:rPr>
                <w:sz w:val="20"/>
              </w:rPr>
              <w:t>AGUETTANT</w:t>
            </w:r>
          </w:p>
        </w:tc>
        <w:tc>
          <w:tcPr>
            <w:tcW w:type="dxa" w:w="1559"/>
          </w:tcPr>
          <w:p>
            <w:r>
              <w:rPr>
                <w:sz w:val="20"/>
              </w:rPr>
              <w:t>Solution injectable 1 mg/mL</w:t>
            </w:r>
          </w:p>
        </w:tc>
        <w:tc>
          <w:tcPr>
            <w:tcW w:type="dxa" w:w="1559"/>
          </w:tcPr>
          <w:p>
            <w:r>
              <w:rPr>
                <w:sz w:val="20"/>
              </w:rPr>
              <w:t>B/100 ampoules 1 mL</w:t>
            </w:r>
          </w:p>
        </w:tc>
        <w:tc>
          <w:tcPr>
            <w:tcW w:type="dxa" w:w="1559"/>
          </w:tcPr>
          <w:p>
            <w:r>
              <w:rPr>
                <w:sz w:val="20"/>
              </w:rPr>
              <w:t>Liste I</w:t>
            </w:r>
          </w:p>
        </w:tc>
        <w:tc>
          <w:tcPr>
            <w:tcW w:type="dxa" w:w="1559"/>
          </w:tcPr>
          <w:p>
            <w:r>
              <w:rPr>
                <w:sz w:val="20"/>
              </w:rPr>
              <w:t>Non renouvelable</w:t>
            </w:r>
          </w:p>
        </w:tc>
      </w:tr>
      <w:tr>
        <w:tc>
          <w:tcPr>
            <w:tcW w:type="dxa" w:w="1559"/>
          </w:tcPr>
          <w:p>
            <w:r>
              <w:rPr>
                <w:sz w:val="20"/>
              </w:rPr>
              <w:t>NORADRENALINE (répertoriée sous DCI adrénaline)</w:t>
            </w:r>
          </w:p>
        </w:tc>
        <w:tc>
          <w:tcPr>
            <w:tcW w:type="dxa" w:w="1559"/>
          </w:tcPr>
          <w:p>
            <w:r>
              <w:rPr>
                <w:sz w:val="20"/>
              </w:rPr>
              <w:t>AGUETTANT</w:t>
            </w:r>
          </w:p>
        </w:tc>
        <w:tc>
          <w:tcPr>
            <w:tcW w:type="dxa" w:w="1559"/>
          </w:tcPr>
          <w:p>
            <w:r>
              <w:rPr>
                <w:sz w:val="20"/>
              </w:rPr>
              <w:t>Solution injectable 8 mg/4 mL</w:t>
            </w:r>
          </w:p>
        </w:tc>
        <w:tc>
          <w:tcPr>
            <w:tcW w:type="dxa" w:w="1559"/>
          </w:tcPr>
          <w:p>
            <w:r>
              <w:rPr>
                <w:sz w:val="20"/>
              </w:rPr>
              <w:t>B/50 ampoules 4 mL</w:t>
            </w:r>
          </w:p>
        </w:tc>
        <w:tc>
          <w:tcPr>
            <w:tcW w:type="dxa" w:w="1559"/>
          </w:tcPr>
          <w:p>
            <w:r>
              <w:rPr>
                <w:sz w:val="20"/>
              </w:rPr>
              <w:t>Liste I</w:t>
            </w:r>
          </w:p>
        </w:tc>
        <w:tc>
          <w:tcPr>
            <w:tcW w:type="dxa" w:w="1559"/>
          </w:tcPr>
          <w:p>
            <w:r>
              <w:rPr>
                <w:sz w:val="20"/>
              </w:rPr>
              <w:t>Non renouvelable</w:t>
            </w:r>
          </w:p>
        </w:tc>
      </w:tr>
      <w:tr>
        <w:tc>
          <w:tcPr>
            <w:tcW w:type="dxa" w:w="1559"/>
          </w:tcPr>
          <w:p>
            <w:r>
              <w:rPr>
                <w:sz w:val="20"/>
              </w:rPr>
              <w:t>ADRENALINE</w:t>
            </w:r>
          </w:p>
        </w:tc>
        <w:tc>
          <w:tcPr>
            <w:tcW w:type="dxa" w:w="1559"/>
          </w:tcPr>
          <w:p>
            <w:r>
              <w:rPr>
                <w:sz w:val="20"/>
              </w:rPr>
              <w:t>BIOLOGICI ITALIA</w:t>
            </w:r>
          </w:p>
        </w:tc>
        <w:tc>
          <w:tcPr>
            <w:tcW w:type="dxa" w:w="1559"/>
          </w:tcPr>
          <w:p>
            <w:r>
              <w:rPr>
                <w:sz w:val="20"/>
              </w:rPr>
              <w:t>Solution injectable 1 mg/mL</w:t>
            </w:r>
          </w:p>
        </w:tc>
        <w:tc>
          <w:tcPr>
            <w:tcW w:type="dxa" w:w="1559"/>
          </w:tcPr>
          <w:p>
            <w:r>
              <w:rPr>
                <w:sz w:val="20"/>
              </w:rPr>
              <w:t>B/100 ampoules</w:t>
            </w:r>
          </w:p>
        </w:tc>
        <w:tc>
          <w:tcPr>
            <w:tcW w:type="dxa" w:w="1559"/>
          </w:tcPr>
          <w:p>
            <w:r>
              <w:rPr>
                <w:sz w:val="20"/>
              </w:rPr>
              <w:t>Liste I</w:t>
            </w:r>
          </w:p>
        </w:tc>
        <w:tc>
          <w:tcPr>
            <w:tcW w:type="dxa" w:w="1559"/>
          </w:tcPr>
          <w:p>
            <w:r>
              <w:rPr>
                <w:sz w:val="20"/>
              </w:rPr>
              <w:t>Retrait</w:t>
            </w:r>
          </w:p>
        </w:tc>
      </w:tr>
    </w:tbl>
    <w:p/>
    <w:p>
      <w:r>
        <w:t>Le marché algérien de l'adrénaline comprend trois spécialités actives : Adrénaline HUP (Hupp Pharma), Adrénaline Razes sans sulfite (Frater Razes) et Drinal (Biothera), toutes en solution injectable à 1 mg/mL conditionnées en ampoules de 1 mL. La spécialité Adrénaline Aguettant, leader historique importé de France, n'est plus renouvelée dans ses deux dosages (0,25 mg/mL pour usage pédiatrique稀释é, et 1 mg/mL pour adulte), ce qui constitue un problème critique pour les services d'urgence et de pédiatrie algériens habitués à la marque Aguettant. La spécialité Adrénaline Biologici Italia a été retirée du marché. Une particularité nomenclaturale : la spécialité « NORADRENALINE » commercialisée par Aguettant à la concentration 8 mg/4 mL (2 mg/mL) est enregistrée sous la DCI « Adrénaline tartrate exprimé en adrénaline » dans la nomenclature algérienne, ce qui constitue manifestement une erreur d'enregistrement — la concentration 8 mg/4 mL correspond à la noradrénaline Aguettant ; nous renvoyons à la fiche 184.1.2 dédiée à la noradrénaline pour cette spécialité. Les services de réanimation algériens doivent donc s'assurer de l'origine exacte du produit utilisé (vérification de l'étiquetage, contrôle pharmaceutique systématique).</w:t>
      </w:r>
    </w:p>
    <w:p>
      <w:pPr>
        <w:pStyle w:val="Heading3"/>
      </w:pPr>
      <w:r>
        <w:t>184.1.1.3 Mécanisme d'action moléculaire, cellulaire et physiologique</w:t>
      </w:r>
    </w:p>
    <w:p>
      <w:r>
        <w:t>L'adrénaline est une catécholamine endogène synthétisée physiologiquement par les cellules chromaffines de la médullosurrénale (90 % adrénaline, 10 % noradrénaline) sous contrôle sympathique préganglionnaire, et accessoirement par les terminaisons nerveuses sympathiques post-ganglionnaires (qui libèrent surtout noradrénaline, mais 5-10 % d'adrénaline). La biosynthèse suit la voie : phénylalanine → tyrosine → DOPA (par tyrosine hydroxylase, étape limitante) → dopamine (par DOPA décarboxylase) → noradrénaline (par dopamine β-hydroxylase dans les vésicules) → adrénaline (par N-méthyltransférase, enzyme spécifique de la médullosurrénale). La molécule exogène administrée en thérapeutique mime l'hormone endogène en se liant à tous les sous-types de récepteurs adrénergiques.</w:t>
      </w:r>
    </w:p>
    <w:p>
      <w:r/>
      <w:r>
        <w:rPr>
          <w:b/>
        </w:rPr>
        <w:t>Niveau moléculaire</w:t>
      </w:r>
      <w:r>
        <w:t xml:space="preserve"> : l'adrénaline se lie avec des affinités relatives : β2 &gt; β1 &gt; α2 &gt; α1 à faible dose, et α1 &gt; β1 &gt; β2 &gt; α2 à dose élevée (effet « switch » dose-dépendant, concept clé pour comprendre l'inversion des effets selon la posologie). Cette dualité explique l'effet β2-bronchodilatateur et vasodilatateur musculaire à faible dose (0,05-0,1 µg/kg/min), l'effet β1-inotrope et chronotrope positif à dose intermédiaire (0,1-0,5 µg/kg/min), et l'effet α1-vasoconstricteur prédominant à forte dose (&gt; 0,5 µg/kg/min).</w:t>
      </w:r>
    </w:p>
    <w:p>
      <w:r/>
      <w:r>
        <w:rPr>
          <w:b/>
        </w:rPr>
        <w:t>Niveau cellulaire</w:t>
      </w:r>
      <w:r>
        <w:t xml:space="preserve"> : la fixation α1 active la phospholipase C via Gq → IP3 → libération du calcium du réticulum sarcoplasmique → contraction des cellules musculaires lisses vasculaires (vasoconstriction cutanée, muqueuse, splanchnique, rénale). La fixation β1 (cœur) active Gs → adénylate cyclase → AMPc → PKA → phosphorylation des canaux calciques voltage-dépendants L → entrée calcique → augmentation de la contractilité (effet inotrope positif), de la fréquence (chronotrope positif), de la conduction (dromotrope positif) et de l'automatisme (bathmotrope positif). La fixation β2 (bronches, vaisseaux musculaires, utérus, foie) active Gs → AMPc → PKA → phosphorylation de la MLCK → relaxation du muscle lisse → bronchodilatation, vasodilatation musculaire, tocolyse, libération hépatique de glucose.</w:t>
      </w:r>
    </w:p>
    <w:p>
      <w:r/>
      <w:r>
        <w:rPr>
          <w:b/>
        </w:rPr>
        <w:t>Niveau physiologique</w:t>
      </w:r>
      <w:r>
        <w:t xml:space="preserve"> : l'adrénaline produit une réponse globale de « lutte ou fuite » (fight or flight de Cannon) : tachycardie, augmentation du débit cardiaque et de la pression artérielle systolique, baisse de la diastolique à faible dose (effet β2 vasodilatateur) puis élévation globale à forte dose (effet α1), bronchodilatation, mydriase, pilo-érection, sudation, hyperglycémie (glycogénolyse hépatique et musculaire, néoglucogenèse, inhibition insulinique), libération d'acides gras (lipolyse), inhibition des sécrétions digestives, contraction splénique (augmentation de l'hématocrite). L'effet métabolique explique l'hyperglycémie et la hypokaliémie transitoires.</w:t>
      </w:r>
    </w:p>
    <w:p>
      <w:r/>
      <w:r>
        <w:rPr>
          <w:b/>
        </w:rPr>
        <w:t>Niveau réanimation</w:t>
      </w:r>
      <w:r>
        <w:t xml:space="preserve"> : dans l'arrêt cardiaque, l'adrénaline agit par vasoconstriction α1-périphérique qui augmente la pression de perfusion coronaire et cérébrale pendant les compressions thoraciques, indispensable à la reprise d'une activité électrique organisée. Dans l'anaphylaxie, elle agit simultanément sur les trois dérèglements : α1 vasoconstriction (correction du choc vasoplégique), β1 inotropie (correction de la défaillance myocardique), β2 bronchodilatation (correction du bronchospasme), et inhibition mastocytaire β2 de la libération d'histamine.</w:t>
      </w:r>
    </w:p>
    <w:p>
      <w:pPr>
        <w:pStyle w:val="Heading3"/>
      </w:pPr>
      <w:r>
        <w:t>184.1.1.4 Pharmacocinétique (profil PK)</w:t>
      </w:r>
    </w:p>
    <w:p>
      <w:r/>
      <w:r>
        <w:rPr>
          <w:b/>
        </w:rPr>
        <w:t>Absorption</w:t>
      </w:r>
      <w:r>
        <w:t xml:space="preserve"> : l'adrénaline est inactivée par les enzymes intestinales (COMT et MAO) et ne peut être administrée per os. La voie d'administration dépend de l'indication : intraveineuse directe (IV) pour l'arrêt cardiaque et les chocs réfractaires, intramusculaire (IM) pour l'anaphylaxie (site du muscle vastus lateralis, deltoïde ou cuisse antéro-latérale), sous-cutanée (SC, jadis utilisée mais déconseillée car absorption trop lente et irrégulière en cas de choc), intratrachéale (en cas d'abord trachéal mais voie tombée en désuétude, perfusion IV préférentielle), inhalée ou nébulisée (croup, bronchiolite de l'enfant). La biodisponibilité IM est d'environ 80 %, avec un délai d'action de 5 à 10 minutes, un pic à 20 minutes et une durée d'action de 1 à 2 heures.</w:t>
      </w:r>
    </w:p>
    <w:p>
      <w:r/>
      <w:r>
        <w:rPr>
          <w:b/>
        </w:rPr>
        <w:t>Distribution</w:t>
      </w:r>
      <w:r>
        <w:t xml:space="preserve"> : l'adrénaline ne traverse pas la barrière hémato-encéphalique en quantités significatives (polarité élevée). Le volume de distribution est d'environ 0,1-0,3 L/kg. Liaison protéique faible (≈ 50 %), principalement à l'albumine et à la glycoprotéine acide α1. La traversée placentaire est possible (voir section grossesse).</w:t>
      </w:r>
    </w:p>
    <w:p>
      <w:r/>
      <w:r>
        <w:rPr>
          <w:b/>
        </w:rPr>
        <w:t>Métabolisme</w:t>
      </w:r>
      <w:r>
        <w:t xml:space="preserve"> : l'adrénaline est rapidement inactivée par deux enzymes : la catéchol-O-méthyltransférase (COMT) qui la convertit en métanéphrine, et la monoamine oxydase (MAO) qui dégrade la chaîne latérale. Les métabolites (métanéphrine, normétanéphrine, acide vanylmandélique VMA) sont conjugués et excrétés dans les urines. La demi-vie d'élimination plasmatique est très courte, de 2 à 3 minutes, ce qui impose une perfusion continue pour maintenir un effet soutenu.</w:t>
      </w:r>
    </w:p>
    <w:p>
      <w:r/>
      <w:r>
        <w:rPr>
          <w:b/>
        </w:rPr>
        <w:t>Élimination</w:t>
      </w:r>
      <w:r>
        <w:t xml:space="preserve"> : excrétion rénale des métabolites (VMA dosage urinaire utilisé pour le diagnostic des phéochromocytomes). Moins de 5 % de la molécule inchangée est retrouvée dans les urines. La clairance métabolique totale est très élevée, autour de 50-100 mL/kg/min, essentiellement hépatique et plasmatique.</w:t>
      </w:r>
    </w:p>
    <w:p>
      <w:r/>
      <w:r>
        <w:rPr>
          <w:b/>
        </w:rPr>
        <w:t>Effet de premier passage pulmonaire</w:t>
      </w:r>
      <w:r>
        <w:t xml:space="preserve"> : après injection IV périphérique, une partie de l'adrénaline est captée et métabolisée par le poumon (jusqu'à 30 %), ce qui atténue la concentration systémique en cas d'injection rapide. Cet effet explique pourquoi l'adrénaline administrée dans la veine cave supérieure (cathéter central) peut donner des concentrations systémiques plus élevées.</w:t>
      </w:r>
    </w:p>
    <w:p>
      <w:r/>
      <w:r>
        <w:rPr>
          <w:b/>
        </w:rPr>
        <w:t>Linéarité</w:t>
      </w:r>
      <w:r>
        <w:t xml:space="preserve"> : la pharmacocinétique est linéaire aux doses thérapeutiques. Cependant, la pharmacodynamie est non linéaire (effet switch α/β selon la dose, voir mécanisme).</w:t>
      </w:r>
    </w:p>
    <w:p>
      <w:r/>
      <w:r>
        <w:rPr>
          <w:b/>
        </w:rPr>
        <w:t>Suivi thérapeutique</w:t>
      </w:r>
      <w:r>
        <w:t xml:space="preserve"> : pas de suivi plasmatique en routine (demi-vie trop courte, contexte d'urgence). Le monitorage repose sur les paramètres cliniques (FC, PA, ECG, SpO2, diurèse, état de conscience) et paracliniques (lactates, gaz du sang, échocardiographie).</w:t>
      </w:r>
    </w:p>
    <w:p>
      <w:pPr>
        <w:pStyle w:val="Heading3"/>
      </w:pPr>
      <w:r>
        <w:t>184.1.1.5 Indications thérapeutiques</w:t>
      </w:r>
    </w:p>
    <w:p>
      <w:r>
        <w:t>Les indications de l'adrénaline sont codifiées par les recommandations internationales (European Resuscitation Council 2021, American Heart Association 2020, Surviving Sepsis Campaign 2021, World Allergy Organization 2020) et le protocole SFAR sur le choc anaphylactique peranesthésique (révision 2024). Les indications majeures sont :</w:t>
      </w:r>
    </w:p>
    <w:p>
      <w:pPr>
        <w:pStyle w:val="ListNumber"/>
      </w:pPr>
      <w:r/>
      <w:r>
        <w:rPr>
          <w:b/>
        </w:rPr>
        <w:t>Arrêt cardiaque</w:t>
      </w:r>
      <w:r>
        <w:t xml:space="preserve"> (indication princeps, niveau de preuve 1A) : adrénaline 1 mg IV (soit 1 mL de solution à 1 mg/mL) toutes les 3 à 5 minutes pendant la RCP chez l'adulte en arrêt cardiaque non choquable (asystolie, AESP) ET en arrêt cardiaque choquable (FV, TV sans pouls) après le deuxième choc non efficace. Chez l'enfant, 10 µg/kg (0,1 mL/kg de solution à 1 mg/mL) toutes les 3-5 minutes. Chez le nouveau-né, 10 à 30 µg/kg (10 µg/kg en première intention selon ILCOR 2020).</w:t>
      </w:r>
    </w:p>
    <w:p>
      <w:pPr>
        <w:pStyle w:val="ListNumber"/>
      </w:pPr>
      <w:r/>
      <w:r>
        <w:rPr>
          <w:b/>
        </w:rPr>
        <w:t>Anaphylaxie sévère (grade III/IV Ring et Messmer)</w:t>
      </w:r>
      <w:r>
        <w:t xml:space="preserve"> : 0,5 mg IM (0,5 mL de solution à 1 mg/mL) chez l'adulte, à renouveler à 5-15 min si non réponse, puis relais par adrénaline IV 0,05-0,1 µg/kg/min en cas de choc réfractaire. Chez l'enfant de 6 à 12 ans : 0,3 mg IM ; enfant de 6 mois à 6 ans : 0,15 mg IM ; nourrisson &lt; 6 mois : 0,01 mg/kg IM. La voie IM (vaste externe de la cuisse) est supérieure à la voie SC (absorption aléatoire en cas de choc) et à la voie IV directe en l'absence de monitorage (risque d'ischémie myocardique, troubles du rythme).</w:t>
      </w:r>
    </w:p>
    <w:p>
      <w:pPr>
        <w:pStyle w:val="ListNumber"/>
      </w:pPr>
      <w:r/>
      <w:r>
        <w:rPr>
          <w:b/>
        </w:rPr>
        <w:t>Bradycardie sinusale symptomatique réfractaire à l'atropine</w:t>
      </w:r>
      <w:r>
        <w:t xml:space="preserve"> : protocole ERC 2021 — atropine 0,5 mg IV renouvelable jusqu'à 3 mg, puis en cas d'échec, adrénaline en perfusion continue 2-10 µg/min, et/ou pacing externe/transveineux. Indication de transition vers la stimulation externe.</w:t>
      </w:r>
    </w:p>
    <w:p>
      <w:pPr>
        <w:pStyle w:val="ListNumber"/>
      </w:pPr>
      <w:r/>
      <w:r>
        <w:rPr>
          <w:b/>
        </w:rPr>
        <w:t>Choc anaphylactique peranesthésique</w:t>
      </w:r>
      <w:r>
        <w:t xml:space="preserve"> (protocole SFAR) : arrêt immédiat de l'agent suspect (curare le plus souvent), appel à l'aide, mise en décubitus dorsal avec surélévation des membres inférieurs, adrénaline 0,5-1 mg IM immédiate puis relais IV 0,05-0,1 µg/kg/min, remplissage cristalloïde 20-30 mL/kg en 30 min (Ringer Lactate privilégié), oxygénation 100 %, intubation si détresse respiratoire.</w:t>
      </w:r>
    </w:p>
    <w:p>
      <w:pPr>
        <w:pStyle w:val="ListNumber"/>
      </w:pPr>
      <w:r/>
      <w:r>
        <w:rPr>
          <w:b/>
        </w:rPr>
        <w:t>Bronchospasme aigu sévère réfractaire aux β2-mimétiques inhalés</w:t>
      </w:r>
      <w:r>
        <w:t xml:space="preserve"> : adrénaline 0,3-0,5 mg SC/IM (adulte) ou nébulisation de 5 mg/mL dans le croup sévère de l'enfant (1 mL de solution à 1 mg/mL dilué dans 3 mL de NaCl 0,9 %, à renouveler à 30 min si inefficace).</w:t>
      </w:r>
    </w:p>
    <w:p>
      <w:pPr>
        <w:pStyle w:val="ListNumber"/>
      </w:pPr>
      <w:r/>
      <w:r>
        <w:rPr>
          <w:b/>
        </w:rPr>
        <w:t>Croup sévère (laryngotrachéite aiguë)</w:t>
      </w:r>
      <w:r>
        <w:t xml:space="preserve"> : nébulisation d'adrénaline racémique 0,5 mL/kg (max 0,5 mL) ou L-adrénaline 5 mg/mL — 0,5 mL/kg (max 5 mL) en 15 min, à renouveler si nécessaire. Surveillance hospitalière obligatoire 4-6 heures après (effet rebond possible).</w:t>
      </w:r>
    </w:p>
    <w:p>
      <w:pPr>
        <w:pStyle w:val="ListNumber"/>
      </w:pPr>
      <w:r/>
      <w:r>
        <w:rPr>
          <w:b/>
        </w:rPr>
        <w:t>Hémorragies locales</w:t>
      </w:r>
      <w:r>
        <w:t xml:space="preserve"> : tamponnade nasale (méchage à l'adrénaline 1/1000 diluée), saignement du scalp, saignement dentaire (éponge imbibée), associée aux anesthésiques locaux à la concentration de 5 µg/mL (1/200 000) pour prolonger leur durée d'action et réduire la résorption systémique. Contre-indication absolue aux extrémités (doigts, orteilles, nez, pénis) en raison du risque d'ischémie et de nécrose.</w:t>
      </w:r>
    </w:p>
    <w:p>
      <w:pPr>
        <w:pStyle w:val="Heading3"/>
      </w:pPr>
      <w:r>
        <w:t>184.1.1.6 Posologie et mode d'administration</w:t>
      </w:r>
    </w:p>
    <w:p>
      <w:r>
        <w:t>Les modalités d'administration varient selon l'indication. Le tableau ci-dessous résume les schémas posologiques validés par les recommandations internationales :</w:t>
      </w:r>
    </w:p>
    <w:p>
      <w:r/>
      <w:r>
        <w:rPr>
          <w:b/>
        </w:rPr>
        <w:t>Arrêt cardiaque adulte (ERC 2021)</w:t>
      </w:r>
      <w:r>
        <w:t xml:space="preserve"> :</w:t>
      </w:r>
    </w:p>
    <w:p>
      <w:pPr>
        <w:pStyle w:val="ListBullet"/>
      </w:pPr>
      <w:r>
        <w:t>Voie IV périphérique ou centrale : 1 mg IV direct (bolus de 1 mL de solution à 1 mg/mL) toutes les 3-5 minutes, jusqu'à récupération d'une activité circulatoire spontanée (ROSC) ou arrêt des manœuvres de réanimation.</w:t>
      </w:r>
    </w:p>
    <w:p>
      <w:pPr>
        <w:pStyle w:val="ListBullet"/>
      </w:pPr>
      <w:r>
        <w:t>Voie intra-osseuse (IO) : alternative en l'absence d'abord veineux, même dose (1 mg), même intervalle.</w:t>
      </w:r>
    </w:p>
    <w:p>
      <w:pPr>
        <w:pStyle w:val="ListBullet"/>
      </w:pPr>
      <w:r>
        <w:t>Voie intratrachéale : abandonnée (résorption erratique, risque d'effet β2 paradoxal hypotensif initial).</w:t>
      </w:r>
    </w:p>
    <w:p>
      <w:r/>
      <w:r>
        <w:rPr>
          <w:b/>
        </w:rPr>
        <w:t>Arrêt cardiaque enfant (ERC pédiatrique 2021)</w:t>
      </w:r>
      <w:r>
        <w:t xml:space="preserve"> :</w:t>
      </w:r>
    </w:p>
    <w:p>
      <w:pPr>
        <w:pStyle w:val="ListBullet"/>
      </w:pPr>
      <w:r>
        <w:t>10 µg/kg IV/IO (soit 0,1 mL/kg de solution 1 mg/mL) toutes les 3-5 minutes.</w:t>
      </w:r>
    </w:p>
    <w:p>
      <w:pPr>
        <w:pStyle w:val="ListBullet"/>
      </w:pPr>
      <w:r>
        <w:t>Dose maximale par bolus : 1 mg.</w:t>
      </w:r>
    </w:p>
    <w:p>
      <w:pPr>
        <w:pStyle w:val="ListBullet"/>
      </w:pPr>
      <w:r>
        <w:t>Nouveau-né : 10-30 µg/kg IV (cordon ombilical préférentiel).</w:t>
      </w:r>
    </w:p>
    <w:p>
      <w:r/>
      <w:r>
        <w:rPr>
          <w:b/>
        </w:rPr>
        <w:t>Anaphylaxie adulte (WAO 2020, SFAR 2024)</w:t>
      </w:r>
      <w:r>
        <w:t xml:space="preserve"> :</w:t>
      </w:r>
    </w:p>
    <w:p>
      <w:pPr>
        <w:pStyle w:val="ListBullet"/>
      </w:pPr>
      <w:r>
        <w:t>Dose initiale : 0,5 mg IM (0,5 mL de solution 1 mg/mL) dans le vastus lateralis (cuisse antéro-latérale).</w:t>
      </w:r>
    </w:p>
    <w:p>
      <w:pPr>
        <w:pStyle w:val="ListBullet"/>
      </w:pPr>
      <w:r>
        <w:t>En l'absence d'amélioration à 5-15 min : 0,5 mg IM à renouveler.</w:t>
      </w:r>
    </w:p>
    <w:p>
      <w:pPr>
        <w:pStyle w:val="ListBullet"/>
      </w:pPr>
      <w:r>
        <w:t>Choc anaphylactique réfractaire (réponse insuffisante à 2 injections IM) : perfusion IV continue 0,05-0,1 µg/kg/min, à titrer selon réponse hémodynamique (jusqu'à 1 µg/kg/min en cas de choc catastrophique).</w:t>
      </w:r>
    </w:p>
    <w:p>
      <w:pPr>
        <w:pStyle w:val="ListBullet"/>
      </w:pPr>
      <w:r>
        <w:t>Auto-injecteur (stylo injecteur type EpiPen) : 0,3 mg IM pour adulte/enfant &gt; 30 kg ; 0,15 mg IM pour enfant 7,5-30 kg. Non disponible en Algérie (médicament d'importation exceptionnelle).</w:t>
      </w:r>
    </w:p>
    <w:p>
      <w:r/>
      <w:r>
        <w:rPr>
          <w:b/>
        </w:rPr>
        <w:t>Anaphylaxie enfant</w:t>
      </w:r>
      <w:r>
        <w:t xml:space="preserve"> :</w:t>
      </w:r>
    </w:p>
    <w:p>
      <w:pPr>
        <w:pStyle w:val="ListBullet"/>
      </w:pPr>
      <w:r>
        <w:t>6 mois-6 ans : 0,15 mg IM (0,15 mL de 1 mg/mL).</w:t>
      </w:r>
    </w:p>
    <w:p>
      <w:pPr>
        <w:pStyle w:val="ListBullet"/>
      </w:pPr>
      <w:r>
        <w:t>6-12 ans : 0,3 mg IM (0,3 mL de 1 mg/mL).</w:t>
      </w:r>
    </w:p>
    <w:p>
      <w:pPr>
        <w:pStyle w:val="ListBullet"/>
      </w:pPr>
      <w:r>
        <w:t>&gt; 12 ans : 0,5 mg IM (dose adulte).</w:t>
      </w:r>
    </w:p>
    <w:p>
      <w:r/>
      <w:r>
        <w:rPr>
          <w:b/>
        </w:rPr>
        <w:t>Bradycardie adulte réfractaire à l'atropine (ERC 2021)</w:t>
      </w:r>
      <w:r>
        <w:t xml:space="preserve"> :</w:t>
      </w:r>
    </w:p>
    <w:p>
      <w:pPr>
        <w:pStyle w:val="ListBullet"/>
      </w:pPr>
      <w:r>
        <w:t>Perfusion IV continue : 2-10 µg/min (soit 1-5 mg d'adrénaline dans 250 mL de G5% ou NaCl 0,9 %, débit 1 mL/h = 0,4-2 µg/min environ, à adapter).</w:t>
      </w:r>
    </w:p>
    <w:p>
      <w:pPr>
        <w:pStyle w:val="ListBullet"/>
      </w:pPr>
      <w:r>
        <w:t>Préparation : 5 mg d'adrénaline (5 mL de 1 mg/mL) dans 500 mL de NaCl 0,9 % → concentration 10 µg/mL → débit 12-60 mL/h.</w:t>
      </w:r>
    </w:p>
    <w:p>
      <w:r/>
      <w:r>
        <w:rPr>
          <w:b/>
        </w:rPr>
        <w:t>Choc septique (deuxième ligne, après noradrénaline)</w:t>
      </w:r>
      <w:r>
        <w:t xml:space="preserve"> :</w:t>
      </w:r>
    </w:p>
    <w:p>
      <w:pPr>
        <w:pStyle w:val="ListBullet"/>
      </w:pPr>
      <w:r>
        <w:t>Perfusion continue : 0,05-0,5 µg/kg/min, en association ou relais de la noradrénaline.</w:t>
      </w:r>
    </w:p>
    <w:p>
      <w:pPr>
        <w:pStyle w:val="ListBullet"/>
      </w:pPr>
      <w:r>
        <w:t>Surviving Sepsis Campaign 2021 : préférer noradrénaline en première intention (meilleur profil de tolérance, moins d'arythmies) ; adrénaline en deuxième intention (surtout si trouble du rythme sous dobutamine ou en cas d'insuffisance cardiaque associée).</w:t>
      </w:r>
    </w:p>
    <w:p>
      <w:r/>
      <w:r>
        <w:rPr>
          <w:b/>
        </w:rPr>
        <w:t>Dilutions standard en réanimation</w:t>
      </w:r>
      <w:r>
        <w:t xml:space="preserve"> :</w:t>
      </w:r>
    </w:p>
    <w:p>
      <w:pPr>
        <w:pStyle w:val="ListBullet"/>
      </w:pPr>
      <w:r>
        <w:t>Seringue électrique (SE) : 5 mg d'adrénaline dans 50 mL de NaCl 0,9 % → concentration 100 µg/mL → débit 0,3-3 mL/h = 0,05-0,5 µg/kg/min pour 70 kg.</w:t>
      </w:r>
    </w:p>
    <w:p>
      <w:pPr>
        <w:pStyle w:val="ListBullet"/>
      </w:pPr>
      <w:r>
        <w:t>Perfusion dans poche : 5 mg dans 250 mL → 20 µg/mL → débit selon poids.</w:t>
      </w:r>
    </w:p>
    <w:p>
      <w:r/>
      <w:r>
        <w:rPr>
          <w:b/>
        </w:rPr>
        <w:t>Précautions d'administration</w:t>
      </w:r>
      <w:r>
        <w:t xml:space="preserve"> :</w:t>
      </w:r>
    </w:p>
    <w:p>
      <w:pPr>
        <w:pStyle w:val="ListBullet"/>
      </w:pPr>
      <w:r>
        <w:t>Voie IV directe : site veineux périphérique de gros calibre ou voie centrale, cathéter vérifié (risque d'extravasation → nécrose tissulaire, traitée par phentolamine 5-10 mg SC locales).</w:t>
      </w:r>
    </w:p>
    <w:p>
      <w:pPr>
        <w:pStyle w:val="ListBullet"/>
      </w:pPr>
      <w:r>
        <w:t>Dilution systématique avant perfusion continue (jamais pur).</w:t>
      </w:r>
    </w:p>
    <w:p>
      <w:pPr>
        <w:pStyle w:val="ListBullet"/>
      </w:pPr>
      <w:r>
        <w:t>Protection de la lumière (photosensibilité modérée, conservation 24 h après dilution).</w:t>
      </w:r>
    </w:p>
    <w:p>
      <w:pPr>
        <w:pStyle w:val="ListBullet"/>
      </w:pPr>
      <w:r>
        <w:t>Vérification visuelle de l'absence de précipité, surtout si mélange avec bicarbonate (alcalinisation → inactivation).</w:t>
      </w:r>
    </w:p>
    <w:p>
      <w:pPr>
        <w:pStyle w:val="Heading3"/>
      </w:pPr>
      <w:r>
        <w:t>184.1.1.7 Effets indésirables et prévention</w:t>
      </w:r>
    </w:p>
    <w:p>
      <w:r>
        <w:t>L'adrénaline, en raison de son action pan-α/β, expose à un large spectre d'effets indésirables dose-dépendants, parfois gravissimes en cas d'erreur posologique ou de mésusage.</w:t>
      </w:r>
    </w:p>
    <w:p>
      <w:r/>
      <w:r>
        <w:rPr>
          <w:b/>
        </w:rPr>
        <w:t>Effets cardiovasculaires (les plus fréquents et les plus graves)</w:t>
      </w:r>
      <w:r>
        <w:t xml:space="preserve"> :</w:t>
      </w:r>
    </w:p>
    <w:p>
      <w:pPr>
        <w:pStyle w:val="ListBullet"/>
      </w:pPr>
      <w:r/>
      <w:r>
        <w:rPr>
          <w:b/>
        </w:rPr>
        <w:t>Tachycardie sinusale, tachyarythmies supraventriculaires et ventriculaires</w:t>
      </w:r>
      <w:r>
        <w:t xml:space="preserve"> : l'effet β1-chronotrope positif et bathmotrope (augmentation de l'automatisme) favorise extrasystoles, tachycardie ventriculaire, fibrillation ventriculaire, particulièrement chez les patients prédisposés (cardiopathie ischémique, hypokaliémie, hyperthyroïdie, anesthésie aux halogénés).</w:t>
      </w:r>
    </w:p>
    <w:p>
      <w:pPr>
        <w:pStyle w:val="ListBullet"/>
      </w:pPr>
      <w:r/>
      <w:r>
        <w:rPr>
          <w:b/>
        </w:rPr>
        <w:t>Ischémie myocardique</w:t>
      </w:r>
      <w:r>
        <w:t xml:space="preserve"> : vasoconstriction coronarienne α1 à forte dose, augmentation de la consommation d'oxygène ( augmentation débit cardiaque, PA systolique, fréquence), diminution de l'apport (diastolique abaissée à faible dose par effet β2 vasodilatateur coronarien paradoxal) → angor, infarctus du myocarde.</w:t>
      </w:r>
    </w:p>
    <w:p>
      <w:pPr>
        <w:pStyle w:val="ListBullet"/>
      </w:pPr>
      <w:r/>
      <w:r>
        <w:rPr>
          <w:b/>
        </w:rPr>
        <w:t>Hypertension artérielle paroxystique</w:t>
      </w:r>
      <w:r>
        <w:t xml:space="preserve"> : pic hypertensif dangereux en cas de bolus IV trop rapide ou de dose excessive, risque d'hémorragie cérébrale, de dissection aortique, d'œdème aigu du poumon (post-chargement élevé).</w:t>
      </w:r>
    </w:p>
    <w:p>
      <w:pPr>
        <w:pStyle w:val="ListBullet"/>
      </w:pPr>
      <w:r/>
      <w:r>
        <w:rPr>
          <w:b/>
        </w:rPr>
        <w:t>Vasoconstriction périphérique excessive</w:t>
      </w:r>
      <w:r>
        <w:t xml:space="preserve"> : ischémie des extrémités, nécrose digitale en cas d'extravasation, pâleur, refroidissement des extrémités, oligurie par vasoconstriction rénale.</w:t>
      </w:r>
    </w:p>
    <w:p>
      <w:r/>
      <w:r>
        <w:rPr>
          <w:b/>
        </w:rPr>
        <w:t>Effets neurologiques</w:t>
      </w:r>
      <w:r>
        <w:t xml:space="preserve"> :</w:t>
      </w:r>
    </w:p>
    <w:p>
      <w:pPr>
        <w:pStyle w:val="ListBullet"/>
      </w:pPr>
      <w:r>
        <w:t>Anxiété, angoisse, sensation de mort imminente (effet central β).</w:t>
      </w:r>
    </w:p>
    <w:p>
      <w:pPr>
        <w:pStyle w:val="ListBullet"/>
      </w:pPr>
      <w:r>
        <w:t>Céphalées (HTA), tremblements, sueurs, mydriase.</w:t>
      </w:r>
    </w:p>
    <w:p>
      <w:pPr>
        <w:pStyle w:val="ListBullet"/>
      </w:pPr>
      <w:r>
        <w:t>À forte dose : hémorragie cérébrale, AVC ischémique par vasoconstriction cérébrale.</w:t>
      </w:r>
    </w:p>
    <w:p>
      <w:r/>
      <w:r>
        <w:rPr>
          <w:b/>
        </w:rPr>
        <w:t>Effets métaboliques</w:t>
      </w:r>
      <w:r>
        <w:t xml:space="preserve"> :</w:t>
      </w:r>
    </w:p>
    <w:p>
      <w:pPr>
        <w:pStyle w:val="ListBullet"/>
      </w:pPr>
      <w:r/>
      <w:r>
        <w:rPr>
          <w:b/>
        </w:rPr>
        <w:t>Hyperglycémie</w:t>
      </w:r>
      <w:r>
        <w:t xml:space="preserve"> (glycogénolyse hépatique et musculaire, néoglucogenèse, inhibition de l'insuline) — surveillance glycémique en réanimation, ajustement de l'insulinothérapie.</w:t>
      </w:r>
    </w:p>
    <w:p>
      <w:pPr>
        <w:pStyle w:val="ListBullet"/>
      </w:pPr>
      <w:r/>
      <w:r>
        <w:rPr>
          <w:b/>
        </w:rPr>
        <w:t>Hypokaliémie transitoire</w:t>
      </w:r>
      <w:r>
        <w:t xml:space="preserve"> (effet β2 stimulant la pompe Na-K ATPase) — surveillance kaliémique en perfusion prolongée.</w:t>
      </w:r>
    </w:p>
    <w:p>
      <w:pPr>
        <w:pStyle w:val="ListBullet"/>
      </w:pPr>
      <w:r/>
      <w:r>
        <w:rPr>
          <w:b/>
        </w:rPr>
        <w:t>Acidose lactique</w:t>
      </w:r>
      <w:r>
        <w:t xml:space="preserve"> (anaérobiose tissulaire par vasoconstriction excessive, hyperlactatémie « adrénergique »).</w:t>
      </w:r>
    </w:p>
    <w:p>
      <w:pPr>
        <w:pStyle w:val="ListBullet"/>
      </w:pPr>
      <w:r/>
      <w:r>
        <w:rPr>
          <w:b/>
        </w:rPr>
        <w:t>Lipolyse</w:t>
      </w:r>
      <w:r>
        <w:t xml:space="preserve"> (élévation des acides gras libres).</w:t>
      </w:r>
    </w:p>
    <w:p>
      <w:r/>
      <w:r>
        <w:rPr>
          <w:b/>
        </w:rPr>
        <w:t>Effets respiratoires</w:t>
      </w:r>
      <w:r>
        <w:t xml:space="preserve"> :</w:t>
      </w:r>
    </w:p>
    <w:p>
      <w:pPr>
        <w:pStyle w:val="ListBullet"/>
      </w:pPr>
      <w:r>
        <w:t>À dose β2 (faible dose) : bronchodilatation bénéfique.</w:t>
      </w:r>
    </w:p>
    <w:p>
      <w:pPr>
        <w:pStyle w:val="ListBullet"/>
      </w:pPr>
      <w:r>
        <w:t>À dose α1 (forte dose) : vasoconstriction pulmonaire, augmentation des pressions pulmonaires (effet délétère sur cœur droit).</w:t>
      </w:r>
    </w:p>
    <w:p>
      <w:pPr>
        <w:pStyle w:val="ListBullet"/>
      </w:pPr>
      <w:r>
        <w:t>Œdème pulmonaire de surcharge en cas de cœur défaillant ou de remplissage excessif.</w:t>
      </w:r>
    </w:p>
    <w:p>
      <w:r/>
      <w:r>
        <w:rPr>
          <w:b/>
        </w:rPr>
        <w:t>Effets endocriniens</w:t>
      </w:r>
      <w:r>
        <w:t xml:space="preserve"> :</w:t>
      </w:r>
    </w:p>
    <w:p>
      <w:pPr>
        <w:pStyle w:val="ListBullet"/>
      </w:pPr>
      <w:r>
        <w:t>Inhibition de l'insuline, stimulation du glucagon (effet hyperglycémiant synergique).</w:t>
      </w:r>
    </w:p>
    <w:p>
      <w:pPr>
        <w:pStyle w:val="ListBullet"/>
      </w:pPr>
      <w:r>
        <w:t>Baisse de la T3 (inhibition de la conversion T4-T3).</w:t>
      </w:r>
    </w:p>
    <w:p>
      <w:r/>
      <w:r>
        <w:rPr>
          <w:b/>
        </w:rPr>
        <w:t>Effets locaux</w:t>
      </w:r>
      <w:r>
        <w:t xml:space="preserve"> :</w:t>
      </w:r>
    </w:p>
    <w:p>
      <w:pPr>
        <w:pStyle w:val="ListBullet"/>
      </w:pPr>
      <w:r>
        <w:t>Nécrose tissulaire en cas d'extravasation : arrêt immédiat de la perfusion, infiltration locale de phentolamine (α-bloquant) 5-10 mg dans 10 mL de NaCl 0,9 %, application de chaleur locale pour vasodilatation.</w:t>
      </w:r>
    </w:p>
    <w:p>
      <w:pPr>
        <w:pStyle w:val="ListBullet"/>
      </w:pPr>
      <w:r>
        <w:t>Ischémie des extrémités en cas d'administration prolongée (&gt;48h).</w:t>
      </w:r>
    </w:p>
    <w:p>
      <w:r/>
      <w:r>
        <w:rPr>
          <w:b/>
        </w:rPr>
        <w:t>Prévention générale des effets indésirables</w:t>
      </w:r>
      <w:r>
        <w:t xml:space="preserve"> :</w:t>
      </w:r>
    </w:p>
    <w:p>
      <w:pPr>
        <w:pStyle w:val="ListBullet"/>
      </w:pPr>
      <w:r>
        <w:t>Monitorage continu ECG, PA (invasive si perfusion prolongée), SpO2, diurèse horaire.</w:t>
      </w:r>
    </w:p>
    <w:p>
      <w:pPr>
        <w:pStyle w:val="ListBullet"/>
      </w:pPr>
      <w:r>
        <w:t>Bilan biologique : ionogramme (kaliémie), glycémie capillaire, lactates, gaz du sang toutes les 4-6h.</w:t>
      </w:r>
    </w:p>
    <w:p>
      <w:pPr>
        <w:pStyle w:val="ListBullet"/>
      </w:pPr>
      <w:r>
        <w:t>Voie veineuse centrale de préférence pour perfusion continue prolongée.</w:t>
      </w:r>
    </w:p>
    <w:p>
      <w:pPr>
        <w:pStyle w:val="ListBullet"/>
      </w:pPr>
      <w:r>
        <w:t>Vérification systématique du cathéter avant et pendant la perfusion.</w:t>
      </w:r>
    </w:p>
    <w:p>
      <w:pPr>
        <w:pStyle w:val="ListBullet"/>
      </w:pPr>
      <w:r>
        <w:t>Éviter l'association aux anesthésiques halogénés (risque de troubles du rythme graves), aux antidépresseurs tricycliques (potentialisation), aux IMAO (crise hypertensive).</w:t>
      </w:r>
    </w:p>
    <w:p>
      <w:pPr>
        <w:pStyle w:val="ListBullet"/>
      </w:pPr>
      <w:r>
        <w:t>Posologie la plus basse efficace, titration par paliers de 0,02 µg/kg/min.</w:t>
      </w:r>
    </w:p>
    <w:p>
      <w:pPr>
        <w:pStyle w:val="Heading3"/>
      </w:pPr>
      <w:r>
        <w:t>184.1.1.8 Interactions médicamenteuses</w:t>
      </w:r>
    </w:p>
    <w:p>
      <w:r>
        <w:t>L'adrénaline présente de nombreuses interactions pharmacodynamiques (potentialisation des effets adrénergiques) et pharmacocinétiques (modification de son métabolisme). La connaissance de ces interactions est cruciale en contexte d'urgence où le patient peut être sous multiples traitements chroniques.</w:t>
      </w:r>
    </w:p>
    <w:p>
      <w:r/>
      <w:r>
        <w:rPr>
          <w:b/>
        </w:rPr>
        <w:t>Interactions pharmacodynamiques majeures</w:t>
      </w:r>
      <w:r>
        <w:t xml:space="preserve"> :</w:t>
      </w:r>
    </w:p>
    <w:p>
      <w:pPr>
        <w:pStyle w:val="ListBullet"/>
      </w:pPr>
      <w:r/>
      <w:r>
        <w:rPr>
          <w:b/>
        </w:rPr>
        <w:t>Anesthésiques halogénés</w:t>
      </w:r>
      <w:r>
        <w:t xml:space="preserve"> (halothane surtout, isoflurane, sévoflurane, desflurane) : sensibilisation myocardique aux catécholamines → troubles du rythme ventriculaire graves (FV). Préférer adrénaline à faible dose ou alternative (noradrénaline, phényléphrine). Délai de wash-out de plusieurs heures après halothane.</w:t>
      </w:r>
    </w:p>
    <w:p>
      <w:pPr>
        <w:pStyle w:val="ListBullet"/>
      </w:pPr>
      <w:r/>
      <w:r>
        <w:rPr>
          <w:b/>
        </w:rPr>
        <w:t>Antidépresseurs tricycliques</w:t>
      </w:r>
      <w:r>
        <w:t xml:space="preserve"> (amitriptyline, clomipramine, imipramine) : inhibition du recapture neuronale de la noradrénaline, potentialisation des effets α et β → hypertension paroxystique, troubles du rythme. Réduction de dose d'adrénaline à 1/3.</w:t>
      </w:r>
    </w:p>
    <w:p>
      <w:pPr>
        <w:pStyle w:val="ListBullet"/>
      </w:pPr>
      <w:r/>
      <w:r>
        <w:rPr>
          <w:b/>
        </w:rPr>
        <w:t>IMAO</w:t>
      </w:r>
      <w:r>
        <w:t xml:space="preserve"> (non sélectifs : phénelzine, tranylcypromine ; sélectifs A : moclobémide) : blocage de la dégradation des catécholamines → potentialisation majeure, crise hypertensive. Contre-indication relative ; utiliser faibles doses et monitorage strict.</w:t>
      </w:r>
    </w:p>
    <w:p>
      <w:pPr>
        <w:pStyle w:val="ListBullet"/>
      </w:pPr>
      <w:r/>
      <w:r>
        <w:rPr>
          <w:b/>
        </w:rPr>
        <w:t>Cocaïne, amphétamines</w:t>
      </w:r>
      <w:r>
        <w:t xml:space="preserve"> : blocage du recapture noradrénergique → potentialisation, risque de crise hypertensive, d'infarctus du myocarde, de troubles du rythme. Contre-indication.</w:t>
      </w:r>
    </w:p>
    <w:p>
      <w:pPr>
        <w:pStyle w:val="ListBullet"/>
      </w:pPr>
      <w:r/>
      <w:r>
        <w:rPr>
          <w:b/>
        </w:rPr>
        <w:t>Sympathomimétiques directs</w:t>
      </w:r>
      <w:r>
        <w:t xml:space="preserve"> (phényléphrine, éphédrine, pseudoéphédrine) : effets additifs hypertensifs.</w:t>
      </w:r>
    </w:p>
    <w:p>
      <w:pPr>
        <w:pStyle w:val="ListBullet"/>
      </w:pPr>
      <w:r/>
      <w:r>
        <w:rPr>
          <w:b/>
        </w:rPr>
        <w:t>β-bloquants non sélectifs</w:t>
      </w:r>
      <w:r>
        <w:t xml:space="preserve"> (propranolol) : blocage des récepteurs β → effet α1 prédominant non contrebalancé → hypertension paroxystique sévère, vasoconstriction coronaire. Préférer β1-sélectifs (bisoprolol, esmolol) en cas de traitement adjuvant. En cas de choc anaphylactique chez un patient sous β-bloquant : adrénaline moins efficace → recours au glucagon (1-5 mg IV, voir section 184.6.1).</w:t>
      </w:r>
    </w:p>
    <w:p>
      <w:pPr>
        <w:pStyle w:val="ListBullet"/>
      </w:pPr>
      <w:r/>
      <w:r>
        <w:rPr>
          <w:b/>
        </w:rPr>
        <w:t>Digoxine</w:t>
      </w:r>
      <w:r>
        <w:t xml:space="preserve"> : majoration de l'automatisme, risque d'arythmies ventriculaires graves (TV bidirectionnelle).</w:t>
      </w:r>
    </w:p>
    <w:p>
      <w:pPr>
        <w:pStyle w:val="ListBullet"/>
      </w:pPr>
      <w:r/>
      <w:r>
        <w:rPr>
          <w:b/>
        </w:rPr>
        <w:t>Diurétiques</w:t>
      </w:r>
      <w:r>
        <w:t xml:space="preserve"> (furosémide, thiazidiques) : hypokaliémie prédisposant aux arythmies.</w:t>
      </w:r>
    </w:p>
    <w:p>
      <w:pPr>
        <w:pStyle w:val="ListBullet"/>
      </w:pPr>
      <w:r/>
      <w:r>
        <w:rPr>
          <w:b/>
        </w:rPr>
        <w:t>Insuline, antidiabétiques oraux</w:t>
      </w:r>
      <w:r>
        <w:t xml:space="preserve"> : antagonisme pharmacodynamique, hyperglycémie sous adrénaline.</w:t>
      </w:r>
    </w:p>
    <w:p>
      <w:pPr>
        <w:pStyle w:val="ListBullet"/>
      </w:pPr>
      <w:r/>
      <w:r>
        <w:rPr>
          <w:b/>
        </w:rPr>
        <w:t>Antihistaminiques H1</w:t>
      </w:r>
      <w:r>
        <w:t xml:space="preserve"> : potentialisation de l'effet vasoconstricteur.</w:t>
      </w:r>
    </w:p>
    <w:p>
      <w:pPr>
        <w:pStyle w:val="ListBullet"/>
      </w:pPr>
      <w:r/>
      <w:r>
        <w:rPr>
          <w:b/>
        </w:rPr>
        <w:t>α-bloquants</w:t>
      </w:r>
      <w:r>
        <w:t xml:space="preserve"> (prazosine, phentolamine) : antagonisme pharmacologique, peuvent traiter l'extravasation.</w:t>
      </w:r>
    </w:p>
    <w:p>
      <w:r/>
      <w:r>
        <w:rPr>
          <w:b/>
        </w:rPr>
        <w:t>Interactions pharmacocinétiques</w:t>
      </w:r>
      <w:r>
        <w:t xml:space="preserve"> :</w:t>
      </w:r>
    </w:p>
    <w:p>
      <w:pPr>
        <w:pStyle w:val="ListBullet"/>
      </w:pPr>
      <w:r>
        <w:t>Bicarbonate de sodium (alcalinisation) : inactivation chimique de l'adrénaline (catechol-O-méthylation accélérée), à ne jamais mélanger dans la même perfusion.</w:t>
      </w:r>
    </w:p>
    <w:p>
      <w:pPr>
        <w:pStyle w:val="ListBullet"/>
      </w:pPr>
      <w:r>
        <w:t>Héparine : incompatibilité physico-chimique, précipitation possible dans la tubulure.</w:t>
      </w:r>
    </w:p>
    <w:p>
      <w:pPr>
        <w:pStyle w:val="ListBullet"/>
      </w:pPr>
      <w:r>
        <w:t>Vitamine C, fer : oxydation accrue de l'adrénaline.</w:t>
      </w:r>
    </w:p>
    <w:p>
      <w:r/>
      <w:r>
        <w:rPr>
          <w:b/>
        </w:rPr>
        <w:t>Incompatibilités physico-chimiques en perfusion</w:t>
      </w:r>
      <w:r>
        <w:t xml:space="preserve"> :</w:t>
      </w:r>
    </w:p>
    <w:p>
      <w:pPr>
        <w:pStyle w:val="ListBullet"/>
      </w:pPr>
      <w:r>
        <w:t>À ne pas mélanger avec : bicarbonate de sodium, aminophylline, céphalosporines, pénicillines, barbitaliques, phénytoïne, vitamine B complexe, héparine.</w:t>
      </w:r>
    </w:p>
    <w:p>
      <w:pPr>
        <w:pStyle w:val="ListBullet"/>
      </w:pPr>
      <w:r>
        <w:t>Compatible avec : NaCl 0,9 %, G5%, Ringer Lactate.</w:t>
      </w:r>
    </w:p>
    <w:p>
      <w:pPr>
        <w:pStyle w:val="Heading3"/>
      </w:pPr>
      <w:r>
        <w:t>184.1.1.9 Grossesse, allaitement et CRAT</w:t>
      </w:r>
    </w:p>
    <w:p>
      <w:r>
        <w:t>L'adrénaline en réanimation et en urgence est un médicament à profil tératogène et obstétrical complexe qui doit être évalué au cas par cas selon les données du CRAT (Centre de Renseignement sur les Agents Tératogènes) et de l'ANSM.</w:t>
      </w:r>
    </w:p>
    <w:p>
      <w:r/>
      <w:r>
        <w:rPr>
          <w:b/>
        </w:rPr>
        <w:t>Tératogénicité</w:t>
      </w:r>
      <w:r>
        <w:t xml:space="preserve"> : l'adrénaline traverse la barrière placentaire. Chez l'animal (rat, lapin), des doses toxiques maternelles (10-50 × doses humaines) ont induit des malformations (cleft palate, anomalies cardiovasculaires). Chez l'humain, les données accumulées depuis 50 ans sur l'utilisation de l'adrénaline dans l'anaphylaxie gravidique, l'arrêt cardiaque maternel et l'asthme sévère n'ont pas mis en évidence d'augmentation du risque malformatif global. Cependant, le CRAT signale un possible sur-risque d'omphalocèle et de gastroschisis lors de l'exposition au 1er trimestre (données contradictoires, biais possibles). En pratique, l'adrénaline reste le traitement de référence de l'anaphylaxie et de l'arrêt cardiaque pendant la grossesse, l'urgence vitale maternelle primant sur le risque tératogène théorique.</w:t>
      </w:r>
    </w:p>
    <w:p>
      <w:r/>
      <w:r>
        <w:rPr>
          <w:b/>
        </w:rPr>
        <w:t>Effets utéro-placentaires</w:t>
      </w:r>
      <w:r>
        <w:t xml:space="preserve"> : l'adrénaline à forte dose provoque une vasoconstriction utérine potentiellement délétère pour la perfusion fœtale (hypoxie fœtale, bradycardie fœtale). L'effet α1 utérin peut induire une contraction utérine et une menace d'accouchement prématuré. L'effet β2 tocolytique est observé à faible dose.</w:t>
      </w:r>
    </w:p>
    <w:p>
      <w:r/>
      <w:r>
        <w:rPr>
          <w:b/>
        </w:rPr>
        <w:t>Indications obstétricales spécifiques</w:t>
      </w:r>
      <w:r>
        <w:t xml:space="preserve"> :</w:t>
      </w:r>
    </w:p>
    <w:p>
      <w:pPr>
        <w:pStyle w:val="ListBullet"/>
      </w:pPr>
      <w:r>
        <w:t>Choc anaphylactique gravidique : adrénaline 0,5 mg IM (sans modification posologique) — le report ou la sous-dose d'adrénaline par peur fœtale est responsable de décès maternels évitables (le décès maternel étant le facteur pronostic péjoratif majeur pour le fœtus).</w:t>
      </w:r>
    </w:p>
    <w:p>
      <w:pPr>
        <w:pStyle w:val="ListBullet"/>
      </w:pPr>
      <w:r>
        <w:t>Arrêt cardiaque maternel : adrénaline 1 mg IV selon protocole ERC, sans modification. Césarienne de sauvetage (perimortem) si gestation &gt; 20 SA et RCP inefficace à 4 minutes.</w:t>
      </w:r>
    </w:p>
    <w:p>
      <w:pPr>
        <w:pStyle w:val="ListBullet"/>
      </w:pPr>
      <w:r>
        <w:t>Asthme sévère : adrénaline IM ou nébulisée, sans modification de dose.</w:t>
      </w:r>
    </w:p>
    <w:p>
      <w:r/>
      <w:r>
        <w:rPr>
          <w:b/>
        </w:rPr>
        <w:t>Allaitement</w:t>
      </w:r>
      <w:r>
        <w:t xml:space="preserve"> : l'adrénaline passe dans le lait maternel en quantités très faibles (rapport lait/plasma très bas), oralement inactivée par les enzymes digestives de l'enfant. L'utilisation ponctuelle de l'adrénaline (anaphylaxie, arrêt cardiaque, crise d'asthme) est compatible avec l'allaitement. L'allaitement peut être repris dès la récupération maternelle. En cas de perfusion prolongée en réanimation, l'allaitement est suspendu jusqu'à sevrage.</w:t>
      </w:r>
    </w:p>
    <w:p>
      <w:r/>
      <w:r>
        <w:rPr>
          <w:b/>
        </w:rPr>
        <w:t>Recommandations CRAT</w:t>
      </w:r>
      <w:r>
        <w:t xml:space="preserve"> :</w:t>
      </w:r>
    </w:p>
    <w:p>
      <w:pPr>
        <w:pStyle w:val="ListBullet"/>
      </w:pPr>
      <w:r>
        <w:t>Anaphylaxie gravidique : adrénaline immédiate, sans modification posologique.</w:t>
      </w:r>
    </w:p>
    <w:p>
      <w:pPr>
        <w:pStyle w:val="ListBullet"/>
      </w:pPr>
      <w:r>
        <w:t>Arrêt cardiaque maternel : adrénaline standard 1 mg IV, RCP adaptée (inclinaison latérale gauche à 15-30° dès 20 SA pour soulagement cave).</w:t>
      </w:r>
    </w:p>
    <w:p>
      <w:pPr>
        <w:pStyle w:val="ListBullet"/>
      </w:pPr>
      <w:r>
        <w:t>Asthme sévère : adrénaline nébulisée ou IM selon gravité.</w:t>
      </w:r>
    </w:p>
    <w:p>
      <w:pPr>
        <w:pStyle w:val="ListBullet"/>
      </w:pPr>
      <w:r>
        <w:t>Pas de contre-indication à l'adrénaline en urgence vitale pendant la grossesse ou l'allaitement.</w:t>
      </w:r>
    </w:p>
    <w:p>
      <w:pPr>
        <w:pStyle w:val="ListBullet"/>
      </w:pPr>
      <w:r>
        <w:t>Surveillance obstétricale et fœtale (RHJ continu) après tout épisode ayant nécessité l'adrénaline.</w:t>
      </w:r>
    </w:p>
    <w:p>
      <w:pPr>
        <w:pStyle w:val="Heading3"/>
      </w:pPr>
      <w:r>
        <w:t>184.1.1.10 Formes galéniques disponibles</w:t>
      </w:r>
    </w:p>
    <w:p>
      <w:r>
        <w:t>Les formes galéniques de l'adrénaline disponibles en Algérie et dans le monde se présentent essentiellement sous forme injectable, complétées par des formes inhalées pour la sphère ORL/respiratoire.</w:t>
      </w:r>
    </w:p>
    <w:p>
      <w:r/>
      <w:r>
        <w:rPr>
          <w:b/>
        </w:rPr>
        <w:t>Formes injectables</w:t>
      </w:r>
      <w:r>
        <w:t xml:space="preserve"> (essentielles en réanimation) :</w:t>
      </w:r>
    </w:p>
    <w:p>
      <w:pPr>
        <w:pStyle w:val="ListBullet"/>
      </w:pPr>
      <w:r/>
      <w:r>
        <w:rPr>
          <w:b/>
        </w:rPr>
        <w:t>Solution injectable 1 mg/mL (1:1000)</w:t>
      </w:r>
      <w:r>
        <w:t xml:space="preserve"> : ampoule de 1 mL contenant 1 mg d'adrénaline (tartrate ou chlorhydrate). Forme de référence pour anaphylaxie (IM), arrêt cardiaque (IV diluée), bradycardie (perfusion). C'est la forme disponible en Algérie (Adrénaline HUP, Adrénaline Razes, Drinal).</w:t>
      </w:r>
    </w:p>
    <w:p>
      <w:pPr>
        <w:pStyle w:val="ListBullet"/>
      </w:pPr>
      <w:r/>
      <w:r>
        <w:rPr>
          <w:b/>
        </w:rPr>
        <w:t>Solution injectable 0,25 mg/mL (1:4000)</w:t>
      </w:r>
      <w:r>
        <w:t xml:space="preserve"> : ampoule de 1 mL contenant 0,25 mg. Forme pédiatrique (dilution pré-établie pour éviter les erreurs de calcul). Jadis disponible en Algérie (Adrénaline Aguettant 0,25 mg/mL) mais non renouvelée — à reconstituer par dilution extemporanée de la forme 1 mg/mL.</w:t>
      </w:r>
    </w:p>
    <w:p>
      <w:pPr>
        <w:pStyle w:val="ListBullet"/>
      </w:pPr>
      <w:r/>
      <w:r>
        <w:rPr>
          <w:b/>
        </w:rPr>
        <w:t>Solution injectable 1 mg/10 mL (1:10 000)</w:t>
      </w:r>
      <w:r>
        <w:t xml:space="preserve"> : ampoule de 10 mL contenant 1 mg. Forme préfillée pour arrêt cardiaque (1 ampoule = 1 mg IV direct), autrefois standard, aujourd'hui remplacée par la seringue préfillée 1 mg/mL diluée extemporanément.</w:t>
      </w:r>
    </w:p>
    <w:p>
      <w:pPr>
        <w:pStyle w:val="ListBullet"/>
      </w:pPr>
      <w:r/>
      <w:r>
        <w:rPr>
          <w:b/>
        </w:rPr>
        <w:t>Seringues pré-remplies</w:t>
      </w:r>
      <w:r>
        <w:t xml:space="preserve"> : 1 mg/mL en seringue de 1 mL pour auto-injecteur IM (EpiPen, Anapen, TwinJect) — non disponibles en Algérie (importation exceptionnelle).</w:t>
      </w:r>
    </w:p>
    <w:p>
      <w:pPr>
        <w:pStyle w:val="ListBullet"/>
      </w:pPr>
      <w:r/>
      <w:r>
        <w:rPr>
          <w:b/>
        </w:rPr>
        <w:t>Solution pour perfusion IV continue</w:t>
      </w:r>
      <w:r>
        <w:t xml:space="preserve"> : 1 mg/mL diluée en pharmacie centrale selon protocole (5 mg/50 mL NaCl 0,9 % = 100 µg/mL).</w:t>
      </w:r>
    </w:p>
    <w:p>
      <w:r/>
      <w:r>
        <w:rPr>
          <w:b/>
        </w:rPr>
        <w:t>Formes inhalées</w:t>
      </w:r>
      <w:r>
        <w:t xml:space="preserve"> :</w:t>
      </w:r>
    </w:p>
    <w:p>
      <w:pPr>
        <w:pStyle w:val="ListBullet"/>
      </w:pPr>
      <w:r/>
      <w:r>
        <w:rPr>
          <w:b/>
        </w:rPr>
        <w:t>Solution pour nébulisation 1 mg/mL</w:t>
      </w:r>
      <w:r>
        <w:t xml:space="preserve"> : utilisée pour le croup sévère de l'enfant (1 mL dilué dans 3 mL NaCl 0,9 %) et la bronchiolite réfractaire.</w:t>
      </w:r>
    </w:p>
    <w:p>
      <w:pPr>
        <w:pStyle w:val="ListBullet"/>
      </w:pPr>
      <w:r/>
      <w:r>
        <w:rPr>
          <w:b/>
        </w:rPr>
        <w:t>Aérosol-doseur</w:t>
      </w:r>
      <w:r>
        <w:t xml:space="preserve"> (Medihaler-Epi, Primatene Mist) : adrénaline racémique inhalée pour asthme léger — abandonné en Europe (formes β2 sélectives préférées).</w:t>
      </w:r>
    </w:p>
    <w:p>
      <w:r/>
      <w:r>
        <w:rPr>
          <w:b/>
        </w:rPr>
        <w:t>Formes nasales</w:t>
      </w:r>
      <w:r>
        <w:t xml:space="preserve"> :</w:t>
      </w:r>
    </w:p>
    <w:p>
      <w:pPr>
        <w:pStyle w:val="ListBullet"/>
      </w:pPr>
      <w:r>
        <w:t>Collyre, spray nasal 0,1-1 % pour décongestionnant (Liste II, en pharmacie libre pour les faibles concentrations) — non recommandé en raison du passage systémique.</w:t>
      </w:r>
    </w:p>
    <w:p>
      <w:pPr>
        <w:pStyle w:val="ListBullet"/>
      </w:pPr>
      <w:r>
        <w:t>Tampon nasal méché à l'adrénaline 1/1000 pour épistaxis post-traumatique.</w:t>
      </w:r>
    </w:p>
    <w:p>
      <w:r/>
      <w:r>
        <w:rPr>
          <w:b/>
        </w:rPr>
        <w:t>Formes associées aux anesthésiques locaux</w:t>
      </w:r>
      <w:r>
        <w:t xml:space="preserve"> :</w:t>
      </w:r>
    </w:p>
    <w:p>
      <w:pPr>
        <w:pStyle w:val="ListBullet"/>
      </w:pPr>
      <w:r>
        <w:t>Adrénaline 0,5 mg/mL (1:2000) ampoule de 1 mL à diluer dans la solution d'anesthésique local pour obtenir une concentration finale de 1:200 000 (5 µg/mL) ou 1:100 000 (10 µg/mL).</w:t>
      </w:r>
    </w:p>
    <w:p>
      <w:pPr>
        <w:pStyle w:val="ListBullet"/>
      </w:pPr>
      <w:r>
        <w:t>Dentisterie : cartridges pré-mélangées lidocaïne 2 % + adrénaline 1:80 000 ou 1:100 000.</w:t>
      </w:r>
    </w:p>
    <w:p>
      <w:r/>
      <w:r>
        <w:rPr>
          <w:b/>
        </w:rPr>
        <w:t>Formes orales</w:t>
      </w:r>
      <w:r>
        <w:t xml:space="preserve"> : non disponibles (inactivation digestive complète).</w:t>
      </w:r>
    </w:p>
    <w:p>
      <w:r/>
      <w:r>
        <w:rPr>
          <w:b/>
        </w:rPr>
        <w:t>Conservation</w:t>
      </w:r>
      <w:r>
        <w:t xml:space="preserve"> :</w:t>
      </w:r>
    </w:p>
    <w:p>
      <w:pPr>
        <w:pStyle w:val="ListBullet"/>
      </w:pPr>
      <w:r>
        <w:t>À conserver à l'abri de la lumière (photosensibilité, oxidation par la lumière → rose puis brune, témoigne de l'inactivation).</w:t>
      </w:r>
    </w:p>
    <w:p>
      <w:pPr>
        <w:pStyle w:val="ListBullet"/>
      </w:pPr>
      <w:r>
        <w:t>Température &lt; 25 °C (pas de congélation).</w:t>
      </w:r>
    </w:p>
    <w:p>
      <w:pPr>
        <w:pStyle w:val="ListBullet"/>
      </w:pPr>
      <w:r>
        <w:t>Vérification visuelle avant emploi : solution limpide incolore, ne pas utiliser si coloration rose/brune ou si présence de précipité.</w:t>
      </w:r>
    </w:p>
    <w:p>
      <w:pPr>
        <w:pStyle w:val="ListBullet"/>
      </w:pPr>
      <w:r>
        <w:t>Après ouverture : utilisation immédiate (pas de conservation).</w:t>
      </w:r>
    </w:p>
    <w:p>
      <w:pPr>
        <w:pStyle w:val="ListBullet"/>
      </w:pPr>
      <w:r>
        <w:t>Après dilution : 24 heures maximum.</w:t>
      </w:r>
    </w:p>
    <w:p>
      <w:pPr>
        <w:pStyle w:val="Heading3"/>
      </w:pPr>
      <w:r>
        <w:t>184.1.1.11 Conseils au patient et à l'équipe soignante</w:t>
      </w:r>
    </w:p>
    <w:p>
      <w:r>
        <w:t>L'adrénaline étant exclusivement administrée en milieu médicalisé, les conseils s'adressent principalement à l'équipe soignante (médecins urgentistes, réanimateurs, anesthésistes, infirmiers diplômés d'État, sages-femmes) et accessoirement aux patients allergiques connus (stylo auto-injecteur).</w:t>
      </w:r>
    </w:p>
    <w:p>
      <w:r/>
      <w:r>
        <w:rPr>
          <w:b/>
        </w:rPr>
        <w:t>Conseils à l'équipe soignante</w:t>
      </w:r>
      <w:r>
        <w:t xml:space="preserve"> :</w:t>
      </w:r>
    </w:p>
    <w:p>
      <w:pPr>
        <w:pStyle w:val="ListBullet"/>
      </w:pPr>
      <w:r/>
      <w:r>
        <w:rPr>
          <w:b/>
        </w:rPr>
        <w:t>Vérification systématique de la concentration avant administration</w:t>
      </w:r>
      <w:r>
        <w:t xml:space="preserve"> : erreur la plus fréquente (confusion 1 mg/mL versus 1 mg/10 mL), erreur 10 fois la dose → crise hypertensive, hémorragie cérébrale, infarctus. Lecture à haute voix de l'étiquetage par deux soignants (rule des 5 B : Bon patient, Bon médicament, Bonne dose, Bonne voie, Bon moment).</w:t>
      </w:r>
    </w:p>
    <w:p>
      <w:pPr>
        <w:pStyle w:val="ListBullet"/>
      </w:pPr>
      <w:r/>
      <w:r>
        <w:rPr>
          <w:b/>
        </w:rPr>
        <w:t>Préparation des seringues en pharmacie centrale</w:t>
      </w:r>
      <w:r>
        <w:t xml:space="preserve"> pour les perfusions continues, en respectant le protocole de dilution standardisé.</w:t>
      </w:r>
    </w:p>
    <w:p>
      <w:pPr>
        <w:pStyle w:val="ListBullet"/>
      </w:pPr>
      <w:r/>
      <w:r>
        <w:rPr>
          <w:b/>
        </w:rPr>
        <w:t>Étiquetage explicite</w:t>
      </w:r>
      <w:r>
        <w:t xml:space="preserve"> des seringues et poches de perfusion : nom du médicament, concentration, débit, identité patient.</w:t>
      </w:r>
    </w:p>
    <w:p>
      <w:pPr>
        <w:pStyle w:val="ListBullet"/>
      </w:pPr>
      <w:r/>
      <w:r>
        <w:rPr>
          <w:b/>
        </w:rPr>
        <w:t>Voie IM pour anaphylaxie</w:t>
      </w:r>
      <w:r>
        <w:t xml:space="preserve"> (vastus lateralis) — ne pas utiliser la voie SC (absorption aléatoire en cas de choc) ni la IV directe sans monitorage (risque de troubles du rythme).</w:t>
      </w:r>
    </w:p>
    <w:p>
      <w:pPr>
        <w:pStyle w:val="ListBullet"/>
      </w:pPr>
      <w:r/>
      <w:r>
        <w:rPr>
          <w:b/>
        </w:rPr>
        <w:t>Ne pas mélanger l'adrénaline avec</w:t>
      </w:r>
      <w:r>
        <w:t xml:space="preserve"> : bicarbonate, héparine, aminophylline, pénicillines, céphalosporines, vitamine B.</w:t>
      </w:r>
    </w:p>
    <w:p>
      <w:pPr>
        <w:pStyle w:val="ListBullet"/>
      </w:pPr>
      <w:r/>
      <w:r>
        <w:rPr>
          <w:b/>
        </w:rPr>
        <w:t>Surveillance rapprochée</w:t>
      </w:r>
      <w:r>
        <w:t xml:space="preserve"> : scope ECG continu, PA invasive si perfusion &gt; 1 h, SpO2, fréquence respiratoire, état de conscience (Glasgow), diurèse horaire (sonde vésicale), température, fréquence cardiaque fœtale (si grossesse).</w:t>
      </w:r>
    </w:p>
    <w:p>
      <w:pPr>
        <w:pStyle w:val="ListBullet"/>
      </w:pPr>
      <w:r/>
      <w:r>
        <w:rPr>
          <w:b/>
        </w:rPr>
        <w:t>Prévention de l'extravasation</w:t>
      </w:r>
      <w:r>
        <w:t xml:space="preserve"> : voie veineuse centrale de gros calibre pour perfusion prolongée ; en cas d'extravasation, arrêt immédiat, infiltration locale de phentolamine 5-10 mg dans 10 mL NaCl 0,9 % (α-bloquant), chaleur locale, surveillance 24 h.</w:t>
      </w:r>
    </w:p>
    <w:p>
      <w:pPr>
        <w:pStyle w:val="ListBullet"/>
      </w:pPr>
      <w:r/>
      <w:r>
        <w:rPr>
          <w:b/>
        </w:rPr>
        <w:t>Préparation du chariot d'urgence</w:t>
      </w:r>
      <w:r>
        <w:t xml:space="preserve"> : vérification quotidienne de la disponibilité et de la date de péremption des ampoules d'adrénaline (1 mg/mL), présentation en标准化 seringue, protocoles affichés.</w:t>
      </w:r>
    </w:p>
    <w:p>
      <w:pPr>
        <w:pStyle w:val="ListBullet"/>
      </w:pPr>
      <w:r/>
      <w:r>
        <w:rPr>
          <w:b/>
        </w:rPr>
        <w:t>Débriefing systématique</w:t>
      </w:r>
      <w:r>
        <w:t xml:space="preserve"> après chaque utilisation pour adrénaline en urgence, pour analyser les délais, les erreurs et améliorer les protocoles.</w:t>
      </w:r>
    </w:p>
    <w:p>
      <w:r/>
      <w:r>
        <w:rPr>
          <w:b/>
        </w:rPr>
        <w:t>Conseils au patient allergique</w:t>
      </w:r>
      <w:r>
        <w:t xml:space="preserve"> (en cas d'anaphylaxie connue) :</w:t>
      </w:r>
    </w:p>
    <w:p>
      <w:pPr>
        <w:pStyle w:val="ListBullet"/>
      </w:pPr>
      <w:r>
        <w:t>Port d'un bracelet ou collier médical identifiant l'allergie.</w:t>
      </w:r>
    </w:p>
    <w:p>
      <w:pPr>
        <w:pStyle w:val="ListBullet"/>
      </w:pPr>
      <w:r>
        <w:t>Disponibilité d'un stylo auto-injecteur (EpiPen, Anapen) — médicament d'importation en Algérie, à commander via pharmacie hospitalière.</w:t>
      </w:r>
    </w:p>
    <w:p>
      <w:pPr>
        <w:pStyle w:val="ListBullet"/>
      </w:pPr>
      <w:r>
        <w:t>Éducation à l'injection IM dans le vastus lateralis (face antéro-latérale de la cuisse), à travers le vêtement si nécessaire, à renouveler à 5-15 min si non réponse.</w:t>
      </w:r>
    </w:p>
    <w:p>
      <w:pPr>
        <w:pStyle w:val="ListBullet"/>
      </w:pPr>
      <w:r>
        <w:t>Appel immédiat du 14 (SAMU Algérie) ou 15 (urgences) après injection.</w:t>
      </w:r>
    </w:p>
    <w:p>
      <w:pPr>
        <w:pStyle w:val="ListBullet"/>
      </w:pPr>
      <w:r>
        <w:t>Plan d'action écrit et carte d'allergie.</w:t>
      </w:r>
    </w:p>
    <w:p>
      <w:r/>
      <w:r>
        <w:rPr>
          <w:b/>
        </w:rPr>
        <w:t>Information au patient conscient</w:t>
      </w:r>
      <w:r>
        <w:t xml:space="preserve"> :</w:t>
      </w:r>
    </w:p>
    <w:p>
      <w:pPr>
        <w:pStyle w:val="ListBullet"/>
      </w:pPr>
      <w:r>
        <w:t>Sensations attendues : tachycardie, tremblements, anxiété, pâleur, sueurs — bénignes et transitoires (5-15 min).</w:t>
      </w:r>
    </w:p>
    <w:p>
      <w:pPr>
        <w:pStyle w:val="ListBullet"/>
      </w:pPr>
      <w:r>
        <w:t>Prévenir le médecin si douleur thoracique, essoufflement, maux de tête sévère.</w:t>
      </w:r>
    </w:p>
    <w:p>
      <w:pPr>
        <w:pStyle w:val="Heading3"/>
      </w:pPr>
      <w:r>
        <w:t>184.1.1.12 Pièges au comptoir — Règles d'or</w:t>
      </w:r>
    </w:p>
    <w:p>
      <w:r>
        <w:t>Plusieurs pièges gravissimes guettent le maniement de l'adrénaline en urgence, tant à l'officine (si livraison ou conseil) qu'au lit du patient :</w:t>
      </w:r>
    </w:p>
    <w:p>
      <w:r/>
      <w:r>
        <w:rPr>
          <w:b/>
        </w:rPr>
        <w:t>Piège n°1 — Erreur de concentration (1 mg/mL vs 1 mg/10 mL)</w:t>
      </w:r>
      <w:r>
        <w:t xml:space="preserve"> : confusion entre la solution concentrée (1 mg/mL) pour usage IM/dilution, et la solution diluée (1 mg/10 mL) pour usage IV direct chez l'arrêt cardiaque. Utiliser par erreur la solution concentrée en IV direct multiplie la dose par 10 → hémorragie cérébrale, FV, décès. Règle d'or : TOUJOURS vérifier deux fois la concentration, étiqueter chaque seringue, ne JAMAIS injecter 1 mL de solution 1 mg/mL en IV direct sans dilution préalable en 10 mL (sauf arrêt cardiaque adulte où la dose est de 1 mg = 1 mL de 1 mg/mL en IV direct).</w:t>
      </w:r>
    </w:p>
    <w:p>
      <w:r/>
      <w:r>
        <w:rPr>
          <w:b/>
        </w:rPr>
        <w:t>Piège n°2 — Voie sous-cutanée pour anaphylaxie</w:t>
      </w:r>
      <w:r>
        <w:t xml:space="preserve"> : voie historique mais obsolète en raison de l'absorption erratique en cas de choc (vasoconstriction périphérique). Règle d'or : voie IM dans le vastus lateralis, jamais la voie SC.</w:t>
      </w:r>
    </w:p>
    <w:p>
      <w:r/>
      <w:r>
        <w:rPr>
          <w:b/>
        </w:rPr>
        <w:t>Piège n°3 — Retarder l'adrénaline par peur fœtale chez la femme enceinte anaphylactique</w:t>
      </w:r>
      <w:r>
        <w:t xml:space="preserve"> : la sous-utilisation de l'adrénaline chez la femme enceinte est responsable de décès maternels évitables (l'anaphylaxie tue la mère et donc le fœtus). Règle d'or : l'adrénaline à 0,5 mg IM est INDISPENSABLE et immédiate, sans modification posologique.</w:t>
      </w:r>
    </w:p>
    <w:p>
      <w:r/>
      <w:r>
        <w:rPr>
          <w:b/>
        </w:rPr>
        <w:t>Piège n°4 — Association aux halogénés</w:t>
      </w:r>
      <w:r>
        <w:t xml:space="preserve"> : administration d'adrénaline chez un patient anesthésié à l'halothane → troubles du rythme ventriculaire graves (sensibilisation myocardique). Règle d'or : éviter l'association, préférer isoflurane/sévoflurane moins sensibilisants ; à défaut, limiter adrénaline à 1 µg/kg IV et monitorer.</w:t>
      </w:r>
    </w:p>
    <w:p>
      <w:r/>
      <w:r>
        <w:rPr>
          <w:b/>
        </w:rPr>
        <w:t>Piège n°5 — Adrénaline chez le patient sous β-bloquant non sélectif</w:t>
      </w:r>
      <w:r>
        <w:t xml:space="preserve"> : effet α1 prédominant non contrebalancé → hypertension paroxystique sévère et vasoconstriction coronaire. Règle d'or : en cas de choc anaphylactique réfractaire sous β-bloquant, recourir au glucagon (1-5 mg IV) qui court-circuite le récepteur β-bloqué.</w:t>
      </w:r>
    </w:p>
    <w:p>
      <w:r/>
      <w:r>
        <w:rPr>
          <w:b/>
        </w:rPr>
        <w:t>Piège n°6 — Mélange avec bicarbonate ou aminophylline</w:t>
      </w:r>
      <w:r>
        <w:t xml:space="preserve"> : inactivation chimique, précipitation. Règle d'or : vérifier la compatibilité avant tout mélange en perfusion, ne jamais partager la même tubulure.</w:t>
      </w:r>
    </w:p>
    <w:p>
      <w:r/>
      <w:r>
        <w:rPr>
          <w:b/>
        </w:rPr>
        <w:t>Piège n°7 — Nécrose par extravasation non détectée</w:t>
      </w:r>
      <w:r>
        <w:t xml:space="preserve"> : perfusion prolongée sur voie périphérique. Règle d'or : voie centrale pour perfusion &gt; 1h ; surveillance du site de ponction toutes les heures.</w:t>
      </w:r>
    </w:p>
    <w:p>
      <w:r/>
      <w:r>
        <w:rPr>
          <w:b/>
        </w:rPr>
        <w:t>Piège n°8 — Adrénaline périmée ou altérée</w:t>
      </w:r>
      <w:r>
        <w:t xml:space="preserve"> : conservation à la lumière → oxydation (solution rose puis brune). Règle d'or : vérification visuelle systématique avant emploi ; ne pas utiliser si coloration.</w:t>
      </w:r>
    </w:p>
    <w:p>
      <w:r/>
      <w:r>
        <w:rPr>
          <w:b/>
        </w:rPr>
        <w:t>Piège n°9 — Confusion adrénaline / noradrénaline</w:t>
      </w:r>
      <w:r>
        <w:t xml:space="preserve"> : erreur d'étiquetage dans la nomenclature algérienne (cas de « Noradrénaline Aguettant » enregistrée sous DCI adrénaline). Règle d'or : double contrôle pharmacien / médecin avant administration ; vérification de la concentration réelle.</w:t>
      </w:r>
    </w:p>
    <w:p>
      <w:r/>
      <w:r>
        <w:rPr>
          <w:b/>
        </w:rPr>
        <w:t>Piège n°10 — Disponibilité algérienne</w:t>
      </w:r>
      <w:r>
        <w:t xml:space="preserve"> : Adrénaline Aguettant non renouvelée — prévoir les alternatives (HUP, Razes, Drinal) et constituer des stocks de sécurité dans les services d'urgence.</w:t>
      </w:r>
    </w:p>
    <w:p>
      <w:pPr>
        <w:pStyle w:val="Heading2"/>
      </w:pPr>
      <w:r>
        <w:t>184.1.2 DCI 2 — Noradrénaline (norépinéphrine)</w:t>
      </w:r>
    </w:p>
    <w:p>
      <w:pPr>
        <w:pStyle w:val="Heading3"/>
      </w:pPr>
      <w:r>
        <w:t>184.1.2.1 Catégories pharmaco-thérapeutiques et indications</w:t>
      </w:r>
    </w:p>
    <w:p>
      <w:r>
        <w:t>La noradrénaline (norépinéphrine, (-)-4-[(1R)-2-amino-1-hydroxyéthyl]benzène-1,2-diol, formule C8H11NO3, masse molaire 169,18 g/mol) est classée en catégorie pharmacothérapeutique des « catécholamines à effet α prédominant », code ATC C01CA03 (cardiotoniques non digitaliques — noradrénaline). Elle est inscrite sur la Liste des médicaments essentiels de l'OMS comme vasopresseur de première intention du choc septique. En Algérie, la noradrénaline est classée sur la Liste I des substances vénéneuses, prescription hospitalière réservée à la réanimation.</w:t>
      </w:r>
    </w:p>
    <w:p>
      <w:r>
        <w:t>Les indications réglementaires (AMM) de la noradrénaline sont : (1) choc septique avec hypotension artérielle réfractaire au remplissage vasculaire (indication princeps, niveau 1A selon la Surviving Sepsis Campaign 2021) ; (2) choc distributif non septique (choc anaphylactique réfractaire à l'adrénaline, choc spinal après anesthésie rachidienne ou médullaire, choc post-AVC, vasoplégie post-CPBIM) ; (3) choc cardiogénique en association avec la dobutamine (protocole combiné noradrénaline + inotrope) ; (4) relais de l'adrénaline en cas d'effets indésirables tachycardisants ou d'arythmies ; (5) hypotension peranesthésique (choc spinal post-rachianesthésie, hypotension de l'anesthésie générale). La noradrénaline est le vasopresseur de référence en réanimation depuis la publication de l'étude SOAP II (De Backer, NEJM 2010) qui a démontré sa supériorité sur la dopamine en termes de mortalité hospitalière (48,5 % vs 52,5 %, p=0,03) et de tolérance arythmogène (arythmies 25 % vs 40 %).</w:t>
      </w:r>
    </w:p>
    <w:p>
      <w:pPr>
        <w:pStyle w:val="Heading3"/>
      </w:pPr>
      <w:r>
        <w:t>184.1.2.2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NORADRENALINE RENAUDIN</w:t>
            </w:r>
          </w:p>
        </w:tc>
        <w:tc>
          <w:tcPr>
            <w:tcW w:type="dxa" w:w="1559"/>
          </w:tcPr>
          <w:p>
            <w:r>
              <w:rPr>
                <w:sz w:val="20"/>
              </w:rPr>
              <w:t>RENAUDIN</w:t>
            </w:r>
          </w:p>
        </w:tc>
        <w:tc>
          <w:tcPr>
            <w:tcW w:type="dxa" w:w="1559"/>
          </w:tcPr>
          <w:p>
            <w:r>
              <w:rPr>
                <w:sz w:val="20"/>
              </w:rPr>
              <w:t>Solution injectable à diluer pour perfusion 2 mg/mL</w:t>
            </w:r>
          </w:p>
        </w:tc>
        <w:tc>
          <w:tcPr>
            <w:tcW w:type="dxa" w:w="1559"/>
          </w:tcPr>
          <w:p>
            <w:r>
              <w:rPr>
                <w:sz w:val="20"/>
              </w:rPr>
              <w:t>B/10 ampoules 4 mL</w:t>
            </w:r>
          </w:p>
        </w:tc>
        <w:tc>
          <w:tcPr>
            <w:tcW w:type="dxa" w:w="1559"/>
          </w:tcPr>
          <w:p>
            <w:r>
              <w:rPr>
                <w:sz w:val="20"/>
              </w:rPr>
              <w:t>Liste I</w:t>
            </w:r>
          </w:p>
        </w:tc>
        <w:tc>
          <w:tcPr>
            <w:tcW w:type="dxa" w:w="1559"/>
          </w:tcPr>
          <w:p>
            <w:r>
              <w:rPr>
                <w:sz w:val="20"/>
              </w:rPr>
              <w:t>Non renouvelable</w:t>
            </w:r>
          </w:p>
        </w:tc>
      </w:tr>
      <w:tr>
        <w:tc>
          <w:tcPr>
            <w:tcW w:type="dxa" w:w="1559"/>
          </w:tcPr>
          <w:p>
            <w:r>
              <w:rPr>
                <w:sz w:val="20"/>
              </w:rPr>
              <w:t>NORADRENALINE (Aguettant)</w:t>
            </w:r>
          </w:p>
        </w:tc>
        <w:tc>
          <w:tcPr>
            <w:tcW w:type="dxa" w:w="1559"/>
          </w:tcPr>
          <w:p>
            <w:r>
              <w:rPr>
                <w:sz w:val="20"/>
              </w:rPr>
              <w:t>AGUETTANT</w:t>
            </w:r>
          </w:p>
        </w:tc>
        <w:tc>
          <w:tcPr>
            <w:tcW w:type="dxa" w:w="1559"/>
          </w:tcPr>
          <w:p>
            <w:r>
              <w:rPr>
                <w:sz w:val="20"/>
              </w:rPr>
              <w:t>Solution injectable 8 mg/4 mL (2 mg/mL)</w:t>
            </w:r>
          </w:p>
        </w:tc>
        <w:tc>
          <w:tcPr>
            <w:tcW w:type="dxa" w:w="1559"/>
          </w:tcPr>
          <w:p>
            <w:r>
              <w:rPr>
                <w:sz w:val="20"/>
              </w:rPr>
              <w:t>B/50 ampoules 4 mL</w:t>
            </w:r>
          </w:p>
        </w:tc>
        <w:tc>
          <w:tcPr>
            <w:tcW w:type="dxa" w:w="1559"/>
          </w:tcPr>
          <w:p>
            <w:r>
              <w:rPr>
                <w:sz w:val="20"/>
              </w:rPr>
              <w:t>Liste I</w:t>
            </w:r>
          </w:p>
        </w:tc>
        <w:tc>
          <w:tcPr>
            <w:tcW w:type="dxa" w:w="1559"/>
          </w:tcPr>
          <w:p>
            <w:r>
              <w:rPr>
                <w:sz w:val="20"/>
              </w:rPr>
              <w:t>Non renouvelable</w:t>
            </w:r>
          </w:p>
        </w:tc>
      </w:tr>
    </w:tbl>
    <w:p/>
    <w:p>
      <w:r/>
      <w:r>
        <w:rPr>
          <w:b/>
        </w:rPr>
        <w:t>⚠ ALERTE SÉCURITÉ — NON RENOUVELABLE EN ALGÉRIE ⚠</w:t>
      </w:r>
      <w:r/>
    </w:p>
    <w:p>
      <w:r>
        <w:t>La noradrénaline, vasopresseur de première intention du choc septique et médicament essentiel de la réanimation, est actuellement classée NON_RENOUVELABLE dans la nomenclature algérienne. Cette situation pose un problème critique de sécurité des patients en réanimation : le choc septique tue 30-50 % des patients sans vasopresseur efficace, et l'absence de noradrénaline oblige les réanimateurs à utiliser l'adrénaline en alternative (plus arythmogène, plus hyperglycémiante, moins bien tolérée). Les services d'anesthésie-réanimation algériens (CHU Mustapha, CHU Néfissa Hamoud, CHU Beni-Messous, CHU Oran, EHS Pierre et Marie Curie — Alger) doivent s'approvisionner par circuits d'importation exceptionnelle (procédure ATU — Autorisation Temporaire d'Utilisation) ou en substitution par adrénaline (protocole alternatif). Cette pénurie est un sujet d'alerte pour les autorités sanitaires algériennes (Ministère de la Santé) et doit être signalée à la pharmacovigilance nationale. Les recommandations des sociétés savantes (Société Algérienne d'Anesthésie-Réanimation SAAR) préconisent un stockage minimum de sécurité de 30 jours de consommation et le signalement systématique de toute rupture.</w:t>
      </w:r>
    </w:p>
    <w:p>
      <w:pPr>
        <w:pStyle w:val="Heading3"/>
      </w:pPr>
      <w:r>
        <w:t>184.1.2.3 Mécanisme d'action moléculaire, cellulaire et physiologique</w:t>
      </w:r>
    </w:p>
    <w:p>
      <w:r>
        <w:t>La noradrénaline est le neurotransmetteur physiologique du système nerveux sympathique post-ganglionnaire (terminaisons adrénergiques), et le précurseur biosynthétique de l'adrénaline. Elle est synthétisée dans les vésicules des terminaisons nerveuses sympatheticus et dans les cellules chromaffines de la médullosurrénale (10 % de la sécrétion surrénalienne totale). La voie de biosynthèse est : phénylalanine → tyrosine → DOPA → dopamine → noradrénaline (par dopamine β-hydroxylase, étape limitante dans les vésicules). Chez l'humain, environ 80-90 % du contenu vésiculaire des terminaisons sympathiques est constitué de noradrénaline. Après libération par exocytose au niveau de la fente synaptique, la noradrénaline agit sur les récepteurs adrénergiques postsynaptiques (α1, β1, β2) puis est recaptée activement (transporteur NET, Uptake-1, cible des antidépresseurs tricycliques) ou dégradée par COMT et MAO.</w:t>
      </w:r>
    </w:p>
    <w:p>
      <w:r/>
      <w:r>
        <w:rPr>
          <w:b/>
        </w:rPr>
        <w:t>Niveau moléculaire — affinités receptorielles</w:t>
      </w:r>
      <w:r>
        <w:t xml:space="preserve"> : la noradrénaline a un profil d'affinité différent de l'adrénaline :</w:t>
      </w:r>
    </w:p>
    <w:p>
      <w:pPr>
        <w:pStyle w:val="ListBullet"/>
      </w:pPr>
      <w:r>
        <w:t xml:space="preserve">α1 (vasoconstriction) : </w:t>
      </w:r>
      <w:r>
        <w:rPr>
          <w:b/>
        </w:rPr>
        <w:t>forte affinité</w:t>
      </w:r>
      <w:r>
        <w:t xml:space="preserve"> (équivalente à l'adrénaline).</w:t>
      </w:r>
    </w:p>
    <w:p>
      <w:pPr>
        <w:pStyle w:val="ListBullet"/>
      </w:pPr>
      <w:r>
        <w:t>α2 (inhibition présynaptique) : forte affinité.</w:t>
      </w:r>
    </w:p>
    <w:p>
      <w:pPr>
        <w:pStyle w:val="ListBullet"/>
      </w:pPr>
      <w:r>
        <w:t>β1 (cœur) : affinité modérée (inférieure à l'adrénaline).</w:t>
      </w:r>
    </w:p>
    <w:p>
      <w:pPr>
        <w:pStyle w:val="ListBullet"/>
      </w:pPr>
      <w:r>
        <w:t xml:space="preserve">β2 (bronches, vaisseaux, muscle lisse) : </w:t>
      </w:r>
      <w:r>
        <w:rPr>
          <w:b/>
        </w:rPr>
        <w:t>très faible affinité</w:t>
      </w:r>
      <w:r>
        <w:t xml:space="preserve"> (pratiquement nulle, ce qui explique l'absence d'effet bronchodilatateur et l'absence d'effet vasodilatateur musculaire).</w:t>
      </w:r>
    </w:p>
    <w:p>
      <w:pPr>
        <w:pStyle w:val="ListBullet"/>
      </w:pPr>
      <w:r>
        <w:t>β3 (tissu adipeux, vessie) : affinité faible.</w:t>
      </w:r>
    </w:p>
    <w:p>
      <w:r>
        <w:t>Ce profil α1-prédominant explique l'effet vasoconstricteur puissant avec une tachycardie réflexe modérée (et non une tachycardie directe comme avec l'adrénaline), et l'absence d'effets β2 indésirables (bronchodilatation, vasodilatation musculaire).</w:t>
      </w:r>
    </w:p>
    <w:p>
      <w:r/>
      <w:r>
        <w:rPr>
          <w:b/>
        </w:rPr>
        <w:t>Niveau cellulaire</w:t>
      </w:r>
      <w:r>
        <w:t xml:space="preserve"> : la noradrénaline se fixe sur le récepteur α1 vasculaire, couplé à Gq → phospholipase C → IP3 → libération du calcium du réticulum sarcoplasmique des cellules musculaires lisses vasculaires → contraction et vasoconstriction. Les territoires concernés sont : cutané, muqueux, splanchnique, rénal (vasoconstriction afférente et efférente), mésentérique, hépatique. Le territoire coronaire est relativement épargné (autoregulation) et le territoire cérébral est préservé (autoregulation). La vasoconstriction veineuse est marquée, augmentant le retour veineux (preload) — effet « filling » particulièrement utile en cas de vasoplégie.</w:t>
      </w:r>
    </w:p>
    <w:p>
      <w:r/>
      <w:r>
        <w:rPr>
          <w:b/>
        </w:rPr>
        <w:t>Niveau β1 cardiaque</w:t>
      </w:r>
      <w:r>
        <w:t xml:space="preserve"> : la noradrénaline a un effet inotrope positif (augmentation de la contractilité) et chronotrope positif moindre que l'adrénaline (affinité β1 moins élevée). Cependant, la baroréflexe induite par l'élévation de la PA peut entraîner une bradycardie réflexe (effet vagal) qui peut masquer l'effet chronotrope β1. Le résultat net est généralement : augmentation modérée de la FC, ou bradycardie réflexe.</w:t>
      </w:r>
    </w:p>
    <w:p>
      <w:r/>
      <w:r>
        <w:rPr>
          <w:b/>
        </w:rPr>
        <w:t>Niveau physiologique</w:t>
      </w:r>
      <w:r>
        <w:t xml:space="preserve"> : la noradrénaline augmente la pression artérielle systolique, diastolique et moyenne par vasoconstriction artérielle systémique. Le débit cardiaque augmente modérément (effet inotrope) ou reste stable (effet bradycardique réflexe). La perfusion tissulaire est restaurée par l'élévation de la PAM au-dessus du seuil d'autorégulation des organes vitaux (PAM ≥ 65 mmHg pour le cerveau, ≥ 60 mmHg pour le rein). La diurèse est restaurée par la correction de la PAM, malgré la vasoconstriction rénale directe (effet net bénéfique). La lactatémie s'améliore par correction de l'anaérobiose.</w:t>
      </w:r>
    </w:p>
    <w:p>
      <w:r/>
      <w:r>
        <w:rPr>
          <w:b/>
        </w:rPr>
        <w:t>Niveau réanimation — choc septique</w:t>
      </w:r>
      <w:r>
        <w:t xml:space="preserve"> : le choc septique est caractérisé par une vasoplégie massive (NO synthétisé en excès, ouverture des canaux K-ATP, défaillance des récepteurs α vasculaires), une hyporéactivité vasculaire aux catécholamines endogènes, et une fuite capillaire. La noradrénaline, par son effet α1 puissant, restaure le tonus vasculaire et la PAM, permettant la perfusion des organes vitaux. La Surviving Sepsis Campaign 2021 recommande la noradrénaline comme vasopresseur de première intention (grade 1B), à débuter dès que la PAM &lt; 65 mmHg malgré un remplissage de 30 mL/kg de cristalloïdes.</w:t>
      </w:r>
    </w:p>
    <w:p>
      <w:pPr>
        <w:pStyle w:val="Heading3"/>
      </w:pPr>
      <w:r>
        <w:t>184.1.2.4 Pharmacocinétique (profil PK)</w:t>
      </w:r>
    </w:p>
    <w:p>
      <w:r/>
      <w:r>
        <w:rPr>
          <w:b/>
        </w:rPr>
        <w:t>Absorption</w:t>
      </w:r>
      <w:r>
        <w:t xml:space="preserve"> : la noradrénaline est inactive per os (inactivation digestive par COMT et MAO). La voie d'administration exclusive est la voie intraveineuse (perfusion continue obligatoire en raison de la demi-vie très courte). La voie IM et SC ne sont pas utilisées (vasoconstriction locale → nécrose). La voie intratrachéale n'est pas validée.</w:t>
      </w:r>
    </w:p>
    <w:p>
      <w:r/>
      <w:r>
        <w:rPr>
          <w:b/>
        </w:rPr>
        <w:t>Distribution</w:t>
      </w:r>
      <w:r>
        <w:t xml:space="preserve"> : volume de distribution d'environ 0,2-0,5 L/kg. Liaison protéique faible. La noradrénaline ne traverse pas la barrière hémato-encéphalique (forme polaire). Traversée placentaire possible.</w:t>
      </w:r>
    </w:p>
    <w:p>
      <w:r/>
      <w:r>
        <w:rPr>
          <w:b/>
        </w:rPr>
        <w:t>Métabolisme</w:t>
      </w:r>
      <w:r>
        <w:t xml:space="preserve"> : la noradrénaline est rapidement inactivée par :</w:t>
      </w:r>
    </w:p>
    <w:p>
      <w:pPr>
        <w:pStyle w:val="ListBullet"/>
      </w:pPr>
      <w:r/>
      <w:r>
        <w:rPr>
          <w:b/>
        </w:rPr>
        <w:t>COMT</w:t>
      </w:r>
      <w:r>
        <w:t xml:space="preserve"> (catéchol-O-méthyltransférase) → normétanéphrine.</w:t>
      </w:r>
    </w:p>
    <w:p>
      <w:pPr>
        <w:pStyle w:val="ListBullet"/>
      </w:pPr>
      <w:r/>
      <w:r>
        <w:rPr>
          <w:b/>
        </w:rPr>
        <w:t>MAO</w:t>
      </w:r>
      <w:r>
        <w:t xml:space="preserve"> (monoamine oxydase) → dégradation de la chaîne latérale en acide vanillylmandélique (VMA).</w:t>
      </w:r>
    </w:p>
    <w:p>
      <w:pPr>
        <w:pStyle w:val="ListBullet"/>
      </w:pPr>
      <w:r>
        <w:t>Recapture active par le transporteur NET (Uptake-1) dans les terminaisons nerveuses sympatheticus (60-90 % de la clairance).</w:t>
      </w:r>
    </w:p>
    <w:p>
      <w:r>
        <w:t>Les métabolites sont conjugués et excrétés dans les urines (VMA, normétanéphrine — dosage urinaire pour diagnostic du phéochromocytome).</w:t>
      </w:r>
    </w:p>
    <w:p>
      <w:r/>
      <w:r>
        <w:rPr>
          <w:b/>
        </w:rPr>
        <w:t>Demi-vie d'élimination</w:t>
      </w:r>
      <w:r>
        <w:t xml:space="preserve"> : très courte, environ 2,5 minutes. Cette caractéristique impose une perfusion IV continue stricte, sans interruption (risque d'effondrement tensionnel à l'arrêt).</w:t>
      </w:r>
    </w:p>
    <w:p>
      <w:r/>
      <w:r>
        <w:rPr>
          <w:b/>
        </w:rPr>
        <w:t>Élimination</w:t>
      </w:r>
      <w:r>
        <w:t xml:space="preserve"> : rénale des métabolites. Clairance métabolique très élevée (≈ 50 mL/kg/min), essentiellement hépatique, pulmonaire et vasculaire endothéliale.</w:t>
      </w:r>
    </w:p>
    <w:p>
      <w:r/>
      <w:r>
        <w:rPr>
          <w:b/>
        </w:rPr>
        <w:t>Linéarité</w:t>
      </w:r>
      <w:r>
        <w:t xml:space="preserve"> : la pharmacocinétique est linéaire aux doses thérapeutiques. La pharmacodynamie est quasi-linéaire dans la plage 0,05-1 µg/kg/min, avec un plateau d'effet au-delà de 1-1,5 µg/kg/min (saturation des récepteurs).</w:t>
      </w:r>
    </w:p>
    <w:p>
      <w:r/>
      <w:r>
        <w:rPr>
          <w:b/>
        </w:rPr>
        <w:t>Suivi thérapeutique</w:t>
      </w:r>
      <w:r>
        <w:t xml:space="preserve"> : pas de suivi plasmatique en routine. Le monitorage repose sur : PA invasive (cathéter artériel), FC, ECG, SpO2, diurèse horaire (sonde vésicale), lactates, gaz du sang, ScvO2 (cathéter central), échocardiographie trans-thoracique ou trans-œsophagienne pour évaluation de la cinétique ventriculaire et de la précharge-dépendance.</w:t>
      </w:r>
    </w:p>
    <w:p>
      <w:r/>
      <w:r>
        <w:rPr>
          <w:b/>
        </w:rPr>
        <w:t>Effet de premier passage pulmonaire</w:t>
      </w:r>
      <w:r>
        <w:t xml:space="preserve"> : après injection IV périphérique, le poumon capte environ 30-50 % de la noradrénaline, ce qui en fait un organe de clairance significatif. L'injection dans la veine cave supérieure (cathéter central) peut donner des concentrations systémiques plus élevées et plus rapides.</w:t>
      </w:r>
    </w:p>
    <w:p>
      <w:pPr>
        <w:pStyle w:val="Heading3"/>
      </w:pPr>
      <w:r>
        <w:t>184.1.2.5 Indications thérapeutiques</w:t>
      </w:r>
    </w:p>
    <w:p>
      <w:r>
        <w:t>Les indications de la noradrénaline sont validées par les recommandations internationales (Surviving Sepsis Campaign 2021, ESICM, ERC) et nationales (Société Algérienne de Réanimation, Société Algérienne d'Anesthésie-Réanimation SAAR).</w:t>
      </w:r>
    </w:p>
    <w:p>
      <w:pPr>
        <w:pStyle w:val="ListNumber"/>
      </w:pPr>
      <w:r/>
      <w:r>
        <w:rPr>
          <w:b/>
        </w:rPr>
        <w:t>Choc septique avec hypotension réfractaire au remplissage</w:t>
      </w:r>
      <w:r>
        <w:t xml:space="preserve"> (indication princeps, grade 1B) : noradrénaline en perfusion IV continue, dose initiale 0,05 µg/kg/min, à titrer par paliers de 0,02 µg/kg/min toutes les 5 min, jusqu'à PAM ≥ 65 mmHg. Dose usuelle 0,1-0,5 µg/kg/min. Dose maximale recommandée 1 µg/kg/min ; au-delà, association à un deuxième vasopresseur (vasopressine 0,03 U/min ou adrénaline) à envisager. Cible : PAM ≥ 65 mmHg, diurèse ≥ 0,5 mL/kg/h, lactates en décroissance, ScvO2 ≥ 70 %.</w:t>
      </w:r>
    </w:p>
    <w:p>
      <w:pPr>
        <w:pStyle w:val="ListNumber"/>
      </w:pPr>
      <w:r/>
      <w:r>
        <w:rPr>
          <w:b/>
        </w:rPr>
        <w:t>Choc distributif non septique</w:t>
      </w:r>
      <w:r>
        <w:t xml:space="preserve"> :</w:t>
      </w:r>
    </w:p>
    <w:p>
      <w:pPr>
        <w:pStyle w:val="ListBullet"/>
      </w:pPr>
      <w:r>
        <w:t>Choc anaphylactique réfractaire à l'adrénaline IM (grade III/IV avec choc persistant après 2 doses IM) : relais noradrénaline 0,05-0,5 µg/kg/min.</w:t>
      </w:r>
    </w:p>
    <w:p>
      <w:pPr>
        <w:pStyle w:val="ListBullet"/>
      </w:pPr>
      <w:r>
        <w:t>Choc spinal post-rachianesthésie ou post-AVC : noradrénaline 0,05-0,2 µg/kg/min (préférée à l'éphédrine pour son effet α1 pur sans tachyphylaxie).</w:t>
      </w:r>
    </w:p>
    <w:p>
      <w:pPr>
        <w:pStyle w:val="ListBullet"/>
      </w:pPr>
      <w:r>
        <w:t>Vasoplégie post-CEC (chirurgie cardiaque sous circulation extra-corporelle) : noradrénaline 0,05-0,3 µg/kg/min.</w:t>
      </w:r>
    </w:p>
    <w:p>
      <w:pPr>
        <w:pStyle w:val="ListNumber"/>
      </w:pPr>
      <w:r/>
      <w:r>
        <w:rPr>
          <w:b/>
        </w:rPr>
        <w:t>Choc cardiogénique</w:t>
      </w:r>
      <w:r>
        <w:t xml:space="preserve"> : noradrénaline en association avec dobutamine (β1-agoniste) pour restaurer PAM et débit cardiaque. Étude Shock Trial et recommandations ESC 2017 sur le choc cardiogénique : noradrénaline supérieure à l'adrénaline en termes de mortalité à 28 jours (Price et al., J Am Coll Cardiol 2018). Dose : 0,05-0,5 µg/kg/min, associée à dobutamine 2,5-20 µg/kg/min.</w:t>
      </w:r>
    </w:p>
    <w:p>
      <w:pPr>
        <w:pStyle w:val="ListNumber"/>
      </w:pPr>
      <w:r/>
      <w:r>
        <w:rPr>
          <w:b/>
        </w:rPr>
        <w:t>Relais de l'adrénaline en cas d'effets indésirables</w:t>
      </w:r>
      <w:r>
        <w:t xml:space="preserve"> : tachycardie sévère, troubles du rythme supraventriculaire ou ventriculaire, ischémie myocardique sous adrénaline → switch vers noradrénaline (effet chronotrope moindre, mieux toléré).</w:t>
      </w:r>
    </w:p>
    <w:p>
      <w:pPr>
        <w:pStyle w:val="ListNumber"/>
      </w:pPr>
      <w:r/>
      <w:r>
        <w:rPr>
          <w:b/>
        </w:rPr>
        <w:t>Hypotension peranesthésique</w:t>
      </w:r>
      <w:r>
        <w:t xml:space="preserve"> : noradrénaline en perfusion continue pour maintien de la PA en cas d'anesthésie générale chez les patients fragiles vasculaires, ou en cas de rachianesthésie haute. Alternatives : phényléphrine, éphédrine (selon contexte).</w:t>
      </w:r>
    </w:p>
    <w:p>
      <w:pPr>
        <w:pStyle w:val="ListNumber"/>
      </w:pPr>
      <w:r/>
      <w:r>
        <w:rPr>
          <w:b/>
        </w:rPr>
        <w:t>Hypotension réfractaire de l'anesthésie chez les patients sous IEC/ARA2 chroniques</w:t>
      </w:r>
      <w:r>
        <w:t xml:space="preserve"> : ces patients exposés à une vasoplégie peropératoire réfractaire, sensibles à la noradrénaline. Précharge à respecter, dose initiale réduite.</w:t>
      </w:r>
    </w:p>
    <w:p>
      <w:pPr>
        <w:pStyle w:val="Heading3"/>
      </w:pPr>
      <w:r>
        <w:t>184.1.2.6 Posologie et mode d'administration</w:t>
      </w:r>
    </w:p>
    <w:p>
      <w:r>
        <w:t>La noradrénaline s'administre exclusivement par perfusion IV continue stricte, à débit contrôlé par seringue électrique ou pompe volumétrique, via une voie veineuse centrale (catéter jugulaire interne ou sous-clavier) de préférence pour éviter l'extravasation et assurer une perfusion stable.</w:t>
      </w:r>
    </w:p>
    <w:p>
      <w:r/>
      <w:r>
        <w:rPr>
          <w:b/>
        </w:rPr>
        <w:t>Posologie adulte</w:t>
      </w:r>
      <w:r>
        <w:t xml:space="preserve"> :</w:t>
      </w:r>
    </w:p>
    <w:p>
      <w:pPr>
        <w:pStyle w:val="ListBullet"/>
      </w:pPr>
      <w:r>
        <w:t>Dose initiale : 0,05 µg/kg/min.</w:t>
      </w:r>
    </w:p>
    <w:p>
      <w:pPr>
        <w:pStyle w:val="ListBullet"/>
      </w:pPr>
      <w:r>
        <w:t>Titration : paliers de 0,02-0,05 µg/kg/min toutes les 5 min.</w:t>
      </w:r>
    </w:p>
    <w:p>
      <w:pPr>
        <w:pStyle w:val="ListBullet"/>
      </w:pPr>
      <w:r>
        <w:t>Dose usuelle d'entretien : 0,1-0,5 µg/kg/min.</w:t>
      </w:r>
    </w:p>
    <w:p>
      <w:pPr>
        <w:pStyle w:val="ListBullet"/>
      </w:pPr>
      <w:r>
        <w:t>Dose maximale recommandée : 1 µg/kg/min (au-delà, association à un deuxième vasopresseur à discuter).</w:t>
      </w:r>
    </w:p>
    <w:p>
      <w:pPr>
        <w:pStyle w:val="ListBullet"/>
      </w:pPr>
      <w:r>
        <w:t>Doses exceptionnelles (choc catastrophique) : jusqu'à 3-5 µg/kg/min en cas de choc réfractaire.</w:t>
      </w:r>
    </w:p>
    <w:p>
      <w:r/>
      <w:r>
        <w:rPr>
          <w:b/>
        </w:rPr>
        <w:t>Préparation standard en seringue électrique (SE)</w:t>
      </w:r>
      <w:r>
        <w:t xml:space="preserve"> :</w:t>
      </w:r>
    </w:p>
    <w:p>
      <w:pPr>
        <w:pStyle w:val="ListBullet"/>
      </w:pPr>
      <w:r>
        <w:t>Concentration standard : 8 mg de noradrénaline (4 mL de solution à 2 mg/mL) dans 48 mL de NaCl 0,9 % ou G5% → concentration finale 0,16 mg/mL = 160 µg/mL.</w:t>
      </w:r>
    </w:p>
    <w:p>
      <w:pPr>
        <w:pStyle w:val="ListBullet"/>
      </w:pPr>
      <w:r>
        <w:t>Débit SE (mL/h) = dose (µg/kg/min) × poids (kg) × 60 / 160.</w:t>
      </w:r>
    </w:p>
    <w:p>
      <w:pPr>
        <w:pStyle w:val="ListBullet"/>
      </w:pPr>
      <w:r>
        <w:t>Exemple : 70 kg, dose 0,2 µg/kg/min → 0,2 × 70 × 60 / 160 = 5,25 mL/h.</w:t>
      </w:r>
    </w:p>
    <w:p>
      <w:pPr>
        <w:pStyle w:val="ListBullet"/>
      </w:pPr>
      <w:r>
        <w:t>Table de correspondance affichée en service de réanimation.</w:t>
      </w:r>
    </w:p>
    <w:p>
      <w:r/>
      <w:r>
        <w:rPr>
          <w:b/>
        </w:rPr>
        <w:t>Préparation en poche</w:t>
      </w:r>
      <w:r>
        <w:t xml:space="preserve"> (alternative) :</w:t>
      </w:r>
    </w:p>
    <w:p>
      <w:pPr>
        <w:pStyle w:val="ListBullet"/>
      </w:pPr>
      <w:r>
        <w:t>4 mg (2 mL) de noradrénaline dans 50 mL NaCl 0,9 % → 80 µg/mL.</w:t>
      </w:r>
    </w:p>
    <w:p>
      <w:pPr>
        <w:pStyle w:val="ListBullet"/>
      </w:pPr>
      <w:r>
        <w:t>8 mg (4 mL) dans 250 mL → 32 µg/mL.</w:t>
      </w:r>
    </w:p>
    <w:p>
      <w:r/>
      <w:r>
        <w:rPr>
          <w:b/>
        </w:rPr>
        <w:t>Posologie enfant</w:t>
      </w:r>
      <w:r>
        <w:t xml:space="preserve"> :</w:t>
      </w:r>
    </w:p>
    <w:p>
      <w:pPr>
        <w:pStyle w:val="ListBullet"/>
      </w:pPr>
      <w:r>
        <w:t>Dose initiale : 0,05 µg/kg/min.</w:t>
      </w:r>
    </w:p>
    <w:p>
      <w:pPr>
        <w:pStyle w:val="ListBullet"/>
      </w:pPr>
      <w:r>
        <w:t>Dose usuelle : 0,1-1 µg/kg/min (parfois jusqu'à 2 µg/kg/min).</w:t>
      </w:r>
    </w:p>
    <w:p>
      <w:pPr>
        <w:pStyle w:val="ListBullet"/>
      </w:pPr>
      <w:r>
        <w:t>Préparation adaptée au poids.</w:t>
      </w:r>
    </w:p>
    <w:p>
      <w:r/>
      <w:r>
        <w:rPr>
          <w:b/>
        </w:rPr>
        <w:t>Posologie nouveau-né</w:t>
      </w:r>
      <w:r>
        <w:t xml:space="preserve"> :</w:t>
      </w:r>
    </w:p>
    <w:p>
      <w:pPr>
        <w:pStyle w:val="ListBullet"/>
      </w:pPr>
      <w:r>
        <w:t>Dose initiale : 0,05 µg/kg/min.</w:t>
      </w:r>
    </w:p>
    <w:p>
      <w:pPr>
        <w:pStyle w:val="ListBullet"/>
      </w:pPr>
      <w:r>
        <w:t>Adaptation selon réponse (PAM cible selon âge gestationnel et postnatal).</w:t>
      </w:r>
    </w:p>
    <w:p>
      <w:r/>
      <w:r>
        <w:rPr>
          <w:b/>
        </w:rPr>
        <w:t>Mode d'administration</w:t>
      </w:r>
      <w:r>
        <w:t xml:space="preserve"> :</w:t>
      </w:r>
    </w:p>
    <w:p>
      <w:pPr>
        <w:pStyle w:val="ListBullet"/>
      </w:pPr>
      <w:r>
        <w:t>Voie centrale préférentielle (jugulaire interne ou sous-clavière).</w:t>
      </w:r>
    </w:p>
    <w:p>
      <w:pPr>
        <w:pStyle w:val="ListBullet"/>
      </w:pPr>
      <w:r>
        <w:t>Voie périphérique acceptable en urgence (gros calibre, antécubital) en attendant la pose de voie centrale, surveillance accrue.</w:t>
      </w:r>
    </w:p>
    <w:p>
      <w:pPr>
        <w:pStyle w:val="ListBullet"/>
      </w:pPr>
      <w:r>
        <w:t>Perfusion continue par seringue électrique ou pompe volumétrique, sans interruption (demi-vie 2,5 min → effondrement tensionnel à l'arrêt).</w:t>
      </w:r>
    </w:p>
    <w:p>
      <w:pPr>
        <w:pStyle w:val="ListBullet"/>
      </w:pPr>
      <w:r>
        <w:t>Ne jamais bolus IV direct (risque d'hypertension sévère, hémorragie cérébrale, FV).</w:t>
      </w:r>
    </w:p>
    <w:p>
      <w:pPr>
        <w:pStyle w:val="ListBullet"/>
      </w:pPr>
      <w:r>
        <w:t>Surveillance continue : PA invasive, FC, ECG, SpO2, diurèse horaire, état de conscience.</w:t>
      </w:r>
    </w:p>
    <w:p>
      <w:r/>
      <w:r>
        <w:rPr>
          <w:b/>
        </w:rPr>
        <w:t>Cibles hémodynamiques (Surviving Sepsis Campaign 2021)</w:t>
      </w:r>
      <w:r>
        <w:t xml:space="preserve"> :</w:t>
      </w:r>
    </w:p>
    <w:p>
      <w:pPr>
        <w:pStyle w:val="ListBullet"/>
      </w:pPr>
      <w:r>
        <w:t>PAM ≥ 65 mmHg (≥ 70 mmHg chez l'hypertendu chronique).</w:t>
      </w:r>
    </w:p>
    <w:p>
      <w:pPr>
        <w:pStyle w:val="ListBullet"/>
      </w:pPr>
      <w:r>
        <w:t>Diurèse ≥ 0,5 mL/kg/h.</w:t>
      </w:r>
    </w:p>
    <w:p>
      <w:pPr>
        <w:pStyle w:val="ListBullet"/>
      </w:pPr>
      <w:r>
        <w:t>Lactates en décroissance.</w:t>
      </w:r>
    </w:p>
    <w:p>
      <w:pPr>
        <w:pStyle w:val="ListBullet"/>
      </w:pPr>
      <w:r>
        <w:t>ScvO2 ≥ 70 %.</w:t>
      </w:r>
    </w:p>
    <w:p>
      <w:pPr>
        <w:pStyle w:val="ListBullet"/>
      </w:pPr>
      <w:r>
        <w:t>Index cardiaque 2,5-4 L/min/m² (si monitoring avancé).</w:t>
      </w:r>
    </w:p>
    <w:p>
      <w:r/>
      <w:r>
        <w:rPr>
          <w:b/>
        </w:rPr>
        <w:t>Sevrage</w:t>
      </w:r>
      <w:r>
        <w:t xml:space="preserve"> : progressif, par paliers de 0,02 µg/kg/min toutes les 15-30 min, sous surveillance PAM. Ne jamais arrêter brutalement (risque d'effondrement tensionnel). Le sevrage est envisageable dès que la cause sous-jacente est contrôlée (source septique traitée, sevrage de sédation, correction des troubles métaboliques).</w:t>
      </w:r>
    </w:p>
    <w:p>
      <w:pPr>
        <w:pStyle w:val="Heading3"/>
      </w:pPr>
      <w:r>
        <w:t>184.1.2.7 Effets indésirables et prévention</w:t>
      </w:r>
    </w:p>
    <w:p>
      <w:r>
        <w:t>La noradrénaline, en raison de son puissant effet α1-vasoconstricteur, expose à plusieurs effets indésirables dose-dépendants, principalement locaux et ischémiques.</w:t>
      </w:r>
    </w:p>
    <w:p>
      <w:r/>
      <w:r>
        <w:rPr>
          <w:b/>
        </w:rPr>
        <w:t>Effets cardiovasculaires</w:t>
      </w:r>
      <w:r>
        <w:t xml:space="preserve"> :</w:t>
      </w:r>
    </w:p>
    <w:p>
      <w:pPr>
        <w:pStyle w:val="ListBullet"/>
      </w:pPr>
      <w:r/>
      <w:r>
        <w:rPr>
          <w:b/>
        </w:rPr>
        <w:t>Bradycardie réflexe</w:t>
      </w:r>
      <w:r>
        <w:t xml:space="preserve"> : baroréflexe à l'élévation de la PA (effet vagal) → bradycardie sinusale. En général bénigne, peut nécessiter atropine si symptomatique.</w:t>
      </w:r>
    </w:p>
    <w:p>
      <w:pPr>
        <w:pStyle w:val="ListBullet"/>
      </w:pPr>
      <w:r/>
      <w:r>
        <w:rPr>
          <w:b/>
        </w:rPr>
        <w:t>Hypertension artérielle paroxystique</w:t>
      </w:r>
      <w:r>
        <w:t xml:space="preserve"> : en cas d'augmentation trop rapide du débit ou de bolus accidentel → hémorragie cérébrale, dissection aortique, œdème aigu du poumon.</w:t>
      </w:r>
    </w:p>
    <w:p>
      <w:pPr>
        <w:pStyle w:val="ListBullet"/>
      </w:pPr>
      <w:r/>
      <w:r>
        <w:rPr>
          <w:b/>
        </w:rPr>
        <w:t>Ischémie myocardique</w:t>
      </w:r>
      <w:r>
        <w:t xml:space="preserve"> : augmentation du post-charge → surconsommation myocardique en O2, particulièrement délétère chez le coronarien.</w:t>
      </w:r>
    </w:p>
    <w:p>
      <w:pPr>
        <w:pStyle w:val="ListBullet"/>
      </w:pPr>
      <w:r/>
      <w:r>
        <w:rPr>
          <w:b/>
        </w:rPr>
        <w:t>Troubles du rythme</w:t>
      </w:r>
      <w:r>
        <w:t xml:space="preserve"> : moins fréquents qu'avec l'adrénaline (profil β1 plus faible), mais possibles (TV, FV) en cas de hypokaliémie associée ou d'ischémie myocardique.</w:t>
      </w:r>
    </w:p>
    <w:p>
      <w:pPr>
        <w:pStyle w:val="ListBullet"/>
      </w:pPr>
      <w:r/>
      <w:r>
        <w:rPr>
          <w:b/>
        </w:rPr>
        <w:t>Vasoconstriction excessive</w:t>
      </w:r>
      <w:r>
        <w:t xml:space="preserve"> : ischémie des extrémités (pâleur, refroidissement, cyanose, nécrose digitale en cas d'extravasation), oligurie par vasoconstriction rénale (mais en général corrigée par la restauration de la PAM).</w:t>
      </w:r>
    </w:p>
    <w:p>
      <w:r/>
      <w:r>
        <w:rPr>
          <w:b/>
        </w:rPr>
        <w:t>Effets ischémiques périphériques</w:t>
      </w:r>
      <w:r>
        <w:t xml:space="preserve"> :</w:t>
      </w:r>
    </w:p>
    <w:p>
      <w:pPr>
        <w:pStyle w:val="ListBullet"/>
      </w:pPr>
      <w:r/>
      <w:r>
        <w:rPr>
          <w:b/>
        </w:rPr>
        <w:t>Nécrose digitale en cas d'extravasation</w:t>
      </w:r>
      <w:r>
        <w:t xml:space="preserve"> : urgence thérapeutique. Conduite à tenir : arrêt immédiat de la perfusion, aspiration du liquide si cathéter central, infiltration locale de phentolamine (α-bloquant) 5-10 mg dans 10 mL NaCl 0,9 % à l'aiguille fine, application de chaleur locale (vasodilatation), surveillance 24-48 h, chirurgie vasculaire si nécrose étendue.</w:t>
      </w:r>
    </w:p>
    <w:p>
      <w:pPr>
        <w:pStyle w:val="ListBullet"/>
      </w:pPr>
      <w:r/>
      <w:r>
        <w:rPr>
          <w:b/>
        </w:rPr>
        <w:t>Ischémie mésentérique</w:t>
      </w:r>
      <w:r>
        <w:t xml:space="preserve"> : rare, à évoquer en cas de douleur abdominale sous noradrénaline à forte dose, en particulier chez le patient âgé athéromateux.</w:t>
      </w:r>
    </w:p>
    <w:p>
      <w:pPr>
        <w:pStyle w:val="ListBullet"/>
      </w:pPr>
      <w:r/>
      <w:r>
        <w:rPr>
          <w:b/>
        </w:rPr>
        <w:t>Ischémie hépatique</w:t>
      </w:r>
      <w:r>
        <w:t xml:space="preserve"> : cytolyse possible (rare).</w:t>
      </w:r>
    </w:p>
    <w:p>
      <w:r/>
      <w:r>
        <w:rPr>
          <w:b/>
        </w:rPr>
        <w:t>Effets métaboliques</w:t>
      </w:r>
      <w:r>
        <w:t xml:space="preserve"> :</w:t>
      </w:r>
    </w:p>
    <w:p>
      <w:pPr>
        <w:pStyle w:val="ListBullet"/>
      </w:pPr>
      <w:r/>
      <w:r>
        <w:rPr>
          <w:b/>
        </w:rPr>
        <w:t>Hyperglycémie</w:t>
      </w:r>
      <w:r>
        <w:t xml:space="preserve"> (effet β2 faible mais présent, et inhibition insulinique α2) — surveillance glycémie capillaire toutes les 4 h, ajustement de l'insulinothérapie.</w:t>
      </w:r>
    </w:p>
    <w:p>
      <w:pPr>
        <w:pStyle w:val="ListBullet"/>
      </w:pPr>
      <w:r/>
      <w:r>
        <w:rPr>
          <w:b/>
        </w:rPr>
        <w:t>Hypokaliémie transitoire</w:t>
      </w:r>
      <w:r>
        <w:t xml:space="preserve"> — surveillance kaliémie.</w:t>
      </w:r>
    </w:p>
    <w:p>
      <w:pPr>
        <w:pStyle w:val="ListBullet"/>
      </w:pPr>
      <w:r/>
      <w:r>
        <w:rPr>
          <w:b/>
        </w:rPr>
        <w:t>Acidose lactique</w:t>
      </w:r>
      <w:r>
        <w:t xml:space="preserve"> : rare, plutôt en cas de vasoconstriction excessive prolongée.</w:t>
      </w:r>
    </w:p>
    <w:p>
      <w:r/>
      <w:r>
        <w:rPr>
          <w:b/>
        </w:rPr>
        <w:t>Effets neurologiques</w:t>
      </w:r>
      <w:r>
        <w:t xml:space="preserve"> :</w:t>
      </w:r>
    </w:p>
    <w:p>
      <w:pPr>
        <w:pStyle w:val="ListBullet"/>
      </w:pPr>
      <w:r>
        <w:t>Céphalées (HTA), anxiété, agitation, tremblements (effets β centraux).</w:t>
      </w:r>
    </w:p>
    <w:p>
      <w:pPr>
        <w:pStyle w:val="ListBullet"/>
      </w:pPr>
      <w:r>
        <w:t>À forte dose : ischémie cérébrale par vasoconstriction.</w:t>
      </w:r>
    </w:p>
    <w:p>
      <w:r/>
      <w:r>
        <w:rPr>
          <w:b/>
        </w:rPr>
        <w:t>Effets cutanés</w:t>
      </w:r>
      <w:r>
        <w:t xml:space="preserve"> :</w:t>
      </w:r>
    </w:p>
    <w:p>
      <w:pPr>
        <w:pStyle w:val="ListBullet"/>
      </w:pPr>
      <w:r>
        <w:t>Pâleur, refroidissement des extrémités, livedo réticulaire.</w:t>
      </w:r>
    </w:p>
    <w:p>
      <w:pPr>
        <w:pStyle w:val="ListBullet"/>
      </w:pPr>
      <w:r>
        <w:t>Nécrose digitale en cas d'extravasation.</w:t>
      </w:r>
    </w:p>
    <w:p>
      <w:pPr>
        <w:pStyle w:val="ListBullet"/>
      </w:pPr>
      <w:r>
        <w:t>Phlébite en cas de perfusion prolongée sur voie périphérique.</w:t>
      </w:r>
    </w:p>
    <w:p>
      <w:r/>
      <w:r>
        <w:rPr>
          <w:b/>
        </w:rPr>
        <w:t>Effets obstétricaux</w:t>
      </w:r>
      <w:r>
        <w:t xml:space="preserve"> :</w:t>
      </w:r>
    </w:p>
    <w:p>
      <w:pPr>
        <w:pStyle w:val="ListBullet"/>
      </w:pPr>
      <w:r>
        <w:t>Vasoconstriction utérine → hypoxie fœtale. À éviter en première intention pendant la grossesse (sauf urgence vitale maternelle).</w:t>
      </w:r>
    </w:p>
    <w:p>
      <w:pPr>
        <w:pStyle w:val="ListBullet"/>
      </w:pPr>
      <w:r>
        <w:t>Vasoplégie du post-partum : indication légitime (pas de fœtus à protéger).</w:t>
      </w:r>
    </w:p>
    <w:p>
      <w:r/>
      <w:r>
        <w:rPr>
          <w:b/>
        </w:rPr>
        <w:t>Effets endocriniens</w:t>
      </w:r>
      <w:r>
        <w:t xml:space="preserve"> :</w:t>
      </w:r>
    </w:p>
    <w:p>
      <w:pPr>
        <w:pStyle w:val="ListBullet"/>
      </w:pPr>
      <w:r>
        <w:t>Inhibition de l'insuline → hyperglycémie.</w:t>
      </w:r>
    </w:p>
    <w:p>
      <w:pPr>
        <w:pStyle w:val="ListBullet"/>
      </w:pPr>
      <w:r>
        <w:t>Baisse de la prolactine (rare).</w:t>
      </w:r>
    </w:p>
    <w:p>
      <w:r/>
      <w:r>
        <w:rPr>
          <w:b/>
        </w:rPr>
        <w:t>Prévention des effets indésirables</w:t>
      </w:r>
      <w:r>
        <w:t xml:space="preserve"> :</w:t>
      </w:r>
    </w:p>
    <w:p>
      <w:pPr>
        <w:pStyle w:val="ListBullet"/>
      </w:pPr>
      <w:r>
        <w:t>Voie veineuse centrale de préférence.</w:t>
      </w:r>
    </w:p>
    <w:p>
      <w:pPr>
        <w:pStyle w:val="ListBullet"/>
      </w:pPr>
      <w:r>
        <w:t>Surveillance continue : PA invasive, ECG, SpO2, diurèse horaire, examen cutané des extrémités toutes les 2 h.</w:t>
      </w:r>
    </w:p>
    <w:p>
      <w:pPr>
        <w:pStyle w:val="ListBullet"/>
      </w:pPr>
      <w:r>
        <w:t>Bilan biologique : ionogramme, glycémie capillaire, lactates, créatinine, transaminases, toutes les 6-12 h.</w:t>
      </w:r>
    </w:p>
    <w:p>
      <w:pPr>
        <w:pStyle w:val="ListBullet"/>
      </w:pPr>
      <w:r>
        <w:t>Prévention de l'extravasation : protocole phentolamine disponible dans le chariot d'urgence.</w:t>
      </w:r>
    </w:p>
    <w:p>
      <w:pPr>
        <w:pStyle w:val="ListBullet"/>
      </w:pPr>
      <w:r>
        <w:t>Posologie minimale efficace, titration progressive, sevrage progressif.</w:t>
      </w:r>
    </w:p>
    <w:p>
      <w:pPr>
        <w:pStyle w:val="ListBullet"/>
      </w:pPr>
      <w:r>
        <w:t>Éviter l'association aux β-bloquants non sélectifs (risque d'hypertension paroxystique par effet α1 non contrebalancé), aux IMAO, aux antidépresseurs tricycliques.</w:t>
      </w:r>
    </w:p>
    <w:p>
      <w:pPr>
        <w:pStyle w:val="ListBullet"/>
      </w:pPr>
      <w:r>
        <w:t>Surveillance de la perfusion fœtale chez la femme enceinte (RHJ continu) si utilisation indispensable.</w:t>
      </w:r>
    </w:p>
    <w:p>
      <w:pPr>
        <w:pStyle w:val="Heading3"/>
      </w:pPr>
      <w:r>
        <w:t>184.1.2.8 Interactions médicamenteuses</w:t>
      </w:r>
    </w:p>
    <w:p>
      <w:r>
        <w:t>La noradrénaline partage avec l'adrénaline la majorité des interactions adrénergiques, mais avec quelques spécificités liées à son profil α1-prédominant.</w:t>
      </w:r>
    </w:p>
    <w:p>
      <w:r/>
      <w:r>
        <w:rPr>
          <w:b/>
        </w:rPr>
        <w:t>Interactions pharmacodynamiques majeures</w:t>
      </w:r>
      <w:r>
        <w:t xml:space="preserve"> :</w:t>
      </w:r>
    </w:p>
    <w:p>
      <w:pPr>
        <w:pStyle w:val="ListBullet"/>
      </w:pPr>
      <w:r/>
      <w:r>
        <w:rPr>
          <w:b/>
        </w:rPr>
        <w:t>IMAO</w:t>
      </w:r>
      <w:r>
        <w:t xml:space="preserve"> (non sélectifs et sélectifs A) : potentialisation majeure → crise hypertensive. Contre-indication relative ; en urgence vitale, utiliser faibles doses et monitorage strict.</w:t>
      </w:r>
    </w:p>
    <w:p>
      <w:pPr>
        <w:pStyle w:val="ListBullet"/>
      </w:pPr>
      <w:r/>
      <w:r>
        <w:rPr>
          <w:b/>
        </w:rPr>
        <w:t>Antidépresseurs tricycliques</w:t>
      </w:r>
      <w:r>
        <w:t xml:space="preserve"> (amitriptyline, clomipramine, imipramine) : inhibition du recapture noradrénergique → potentialisation des effets α1 → hypertension. Réduction de dose à 1/3.</w:t>
      </w:r>
    </w:p>
    <w:p>
      <w:pPr>
        <w:pStyle w:val="ListBullet"/>
      </w:pPr>
      <w:r/>
      <w:r>
        <w:rPr>
          <w:b/>
        </w:rPr>
        <w:t>Cocaïne, amphétamines</w:t>
      </w:r>
      <w:r>
        <w:t xml:space="preserve"> : blocage du recapture noradrénergique → potentialisation → crise hypertensive, troubles du rythme. Contre-indication.</w:t>
      </w:r>
    </w:p>
    <w:p>
      <w:pPr>
        <w:pStyle w:val="ListBullet"/>
      </w:pPr>
      <w:r/>
      <w:r>
        <w:rPr>
          <w:b/>
        </w:rPr>
        <w:t>Sympathomimétiques indirects</w:t>
      </w:r>
      <w:r>
        <w:t xml:space="preserve"> (éphédrine, pseudoéphédrine, phénylpropanolamine) : effets additifs.</w:t>
      </w:r>
    </w:p>
    <w:p>
      <w:pPr>
        <w:pStyle w:val="ListBullet"/>
      </w:pPr>
      <w:r/>
      <w:r>
        <w:rPr>
          <w:b/>
        </w:rPr>
        <w:t>Anesthésiques halogénés</w:t>
      </w:r>
      <w:r>
        <w:t xml:space="preserve"> : sensibilisation myocardique aux catécholamines → troubles du rythme ventriculaire. Préférer isoflurane, sévoflurane, éviter halothane.</w:t>
      </w:r>
    </w:p>
    <w:p>
      <w:pPr>
        <w:pStyle w:val="ListBullet"/>
      </w:pPr>
      <w:r/>
      <w:r>
        <w:rPr>
          <w:b/>
        </w:rPr>
        <w:t>β-bloquants non sélectifs</w:t>
      </w:r>
      <w:r>
        <w:t xml:space="preserve"> (propranolol) : blocage des récepteurs β → effet α1 prédominant → hypertension paroxystique sévère, bradycardie excessive, vasoconstriction coronaire. Préférer β1-sélectifs (bisoprolol, esmolol) si besoin.</w:t>
      </w:r>
    </w:p>
    <w:p>
      <w:pPr>
        <w:pStyle w:val="ListBullet"/>
      </w:pPr>
      <w:r/>
      <w:r>
        <w:rPr>
          <w:b/>
        </w:rPr>
        <w:t>Digoxine</w:t>
      </w:r>
      <w:r>
        <w:t xml:space="preserve"> : majoration de l'automatisme, risque d'arythmies ventriculaires graves.</w:t>
      </w:r>
    </w:p>
    <w:p>
      <w:pPr>
        <w:pStyle w:val="ListBullet"/>
      </w:pPr>
      <w:r/>
      <w:r>
        <w:rPr>
          <w:b/>
        </w:rPr>
        <w:t>Diurétiques</w:t>
      </w:r>
      <w:r>
        <w:t xml:space="preserve"> (furosémide, thiazidiques) : hypokaliémie prédisposant aux arythmies ; surveillance et supplémentation potassique.</w:t>
      </w:r>
    </w:p>
    <w:p>
      <w:pPr>
        <w:pStyle w:val="ListBullet"/>
      </w:pPr>
      <w:r/>
      <w:r>
        <w:rPr>
          <w:b/>
        </w:rPr>
        <w:t>α-bloquants</w:t>
      </w:r>
      <w:r>
        <w:t xml:space="preserve"> (prazosine, phentolamine, urapidil) : antagonisme pharmacologique, peuvent traiter l'extravasation.</w:t>
      </w:r>
    </w:p>
    <w:p>
      <w:pPr>
        <w:pStyle w:val="ListBullet"/>
      </w:pPr>
      <w:r/>
      <w:r>
        <w:rPr>
          <w:b/>
        </w:rPr>
        <w:t>Ocytociques</w:t>
      </w:r>
      <w:r>
        <w:t xml:space="preserve"> (ocytocine IV bolus, méthergin) : potentialisation hypertensive (à surveiller en post-partum).</w:t>
      </w:r>
    </w:p>
    <w:p>
      <w:pPr>
        <w:pStyle w:val="ListBullet"/>
      </w:pPr>
      <w:r/>
      <w:r>
        <w:rPr>
          <w:b/>
        </w:rPr>
        <w:t>Ergotamine, dérivés de l'ergot de seigle</w:t>
      </w:r>
      <w:r>
        <w:t xml:space="preserve"> : vasoconstriction additive majeure, risque d'ischémie critique.</w:t>
      </w:r>
    </w:p>
    <w:p>
      <w:pPr>
        <w:pStyle w:val="ListBullet"/>
      </w:pPr>
      <w:r/>
      <w:r>
        <w:rPr>
          <w:b/>
        </w:rPr>
        <w:t>Vasopressine</w:t>
      </w:r>
      <w:r>
        <w:t xml:space="preserve"> : potentialisation vasoconstrictrice (effet synergique), à utiliser à faibles doses (0,03 U/min).</w:t>
      </w:r>
    </w:p>
    <w:p>
      <w:r/>
      <w:r>
        <w:rPr>
          <w:b/>
        </w:rPr>
        <w:t>Interactions pharmacocinétiques</w:t>
      </w:r>
      <w:r>
        <w:t xml:space="preserve"> :</w:t>
      </w:r>
    </w:p>
    <w:p>
      <w:pPr>
        <w:pStyle w:val="ListBullet"/>
      </w:pPr>
      <w:r>
        <w:t>Inactivation par alcalinisation (bicarbonate de sodium), à ne pas mélanger.</w:t>
      </w:r>
    </w:p>
    <w:p>
      <w:pPr>
        <w:pStyle w:val="ListBullet"/>
      </w:pPr>
      <w:r>
        <w:t>Incompatibilité physico-chimique avec : bicarbonate, pénicillines, céphalosporines, barbituriques, phénytoïne.</w:t>
      </w:r>
    </w:p>
    <w:p>
      <w:r/>
      <w:r>
        <w:rPr>
          <w:b/>
        </w:rPr>
        <w:t>Incompatibilités en perfusion</w:t>
      </w:r>
      <w:r>
        <w:t xml:space="preserve"> :</w:t>
      </w:r>
    </w:p>
    <w:p>
      <w:pPr>
        <w:pStyle w:val="ListBullet"/>
      </w:pPr>
      <w:r>
        <w:t>À ne pas mélanger avec : bicarbonate de sodium, aminophylline, phénytoïne, thiopental, certains antibiotiques.</w:t>
      </w:r>
    </w:p>
    <w:p>
      <w:pPr>
        <w:pStyle w:val="ListBullet"/>
      </w:pPr>
      <w:r>
        <w:t>Compatible avec : NaCl 0,9 %, G5 %, Ringer Lactate (vérifier la compatibilité selon le fabricant).</w:t>
      </w:r>
    </w:p>
    <w:p>
      <w:pPr>
        <w:pStyle w:val="Heading3"/>
      </w:pPr>
      <w:r>
        <w:t>184.1.2.9 Grossesse, allaitement et CRAT</w:t>
      </w:r>
    </w:p>
    <w:p>
      <w:r>
        <w:t>La noradrénaline pose des problèmes obstétricaux spécifiques liés à son effet vasoconstricteur utéro-placentaire.</w:t>
      </w:r>
    </w:p>
    <w:p>
      <w:r/>
      <w:r>
        <w:rPr>
          <w:b/>
        </w:rPr>
        <w:t>Tératogénicité</w:t>
      </w:r>
      <w:r>
        <w:t xml:space="preserve"> : la noradrénaline traverse la barrière placentaire. Chez l'animal (rat, lapin), des doses toxiques maternelles ont induit des malformations cardiovasculaires et squelettiques, et une baisse du poids fœtal. Chez l'humain, les données sont limitées en raison de l'utilisation exceptionnelle pendant la grossesse (choc septique gravidique, choc hémorragique sévère). Le CRAT ne signale pas d'augmentation du risque malformatif global, mais recommande la prudence. La noradrénaline n'est pas recommandée en première intention pendant la grossesse ; en cas d'urgence vitale maternelle (choc septique, choc hémorragique réfractaire), elle est utilisée sans modification posologique, la survie maternelle étant le facteur pronostic péjoratif majeur pour le fœtus.</w:t>
      </w:r>
    </w:p>
    <w:p>
      <w:r/>
      <w:r>
        <w:rPr>
          <w:b/>
        </w:rPr>
        <w:t>Effets utéro-placentaires</w:t>
      </w:r>
      <w:r>
        <w:t xml:space="preserve"> :</w:t>
      </w:r>
    </w:p>
    <w:p>
      <w:pPr>
        <w:pStyle w:val="ListBullet"/>
      </w:pPr>
      <w:r/>
      <w:r>
        <w:rPr>
          <w:b/>
        </w:rPr>
        <w:t>Vasoconstriction utérine</w:t>
      </w:r>
      <w:r>
        <w:t xml:space="preserve"> : diminution du flux sanguin utérin → hypoxie fœtale, bradycardie fœtale, voire mort fœtale in utero.</w:t>
      </w:r>
    </w:p>
    <w:p>
      <w:pPr>
        <w:pStyle w:val="ListBullet"/>
      </w:pPr>
      <w:r/>
      <w:r>
        <w:rPr>
          <w:b/>
        </w:rPr>
        <w:t>Effet α1 placentaire</w:t>
      </w:r>
      <w:r>
        <w:t xml:space="preserve"> : vasoconstriction des vaisseaux utéroplacentaires.</w:t>
      </w:r>
    </w:p>
    <w:p>
      <w:pPr>
        <w:pStyle w:val="ListBullet"/>
      </w:pPr>
      <w:r/>
      <w:r>
        <w:rPr>
          <w:b/>
        </w:rPr>
        <w:t>Effet tocolytique β2</w:t>
      </w:r>
      <w:r>
        <w:t xml:space="preserve"> : faible (profil β2 peu marqué).</w:t>
      </w:r>
    </w:p>
    <w:p>
      <w:r/>
      <w:r>
        <w:rPr>
          <w:b/>
        </w:rPr>
        <w:t>Indications obstétricales spécifiques</w:t>
      </w:r>
      <w:r>
        <w:t xml:space="preserve"> :</w:t>
      </w:r>
    </w:p>
    <w:p>
      <w:pPr>
        <w:pStyle w:val="ListBullet"/>
      </w:pPr>
      <w:r>
        <w:t>Choc septique gravidique : noradrénaline de première intention après remplissage, surveillance RHJ fœtal continue.</w:t>
      </w:r>
    </w:p>
    <w:p>
      <w:pPr>
        <w:pStyle w:val="ListBullet"/>
      </w:pPr>
      <w:r>
        <w:t>Choc hémorragique sévère post-partum : noradrénalie si vasoplégie réfractaire après correction de la cause (atonie utérine, hémostase chirurgicale).</w:t>
      </w:r>
    </w:p>
    <w:p>
      <w:pPr>
        <w:pStyle w:val="ListBullet"/>
      </w:pPr>
      <w:r>
        <w:t>Anaphylaxie réfractaire à l'adrénaline IM : noradrénaline IV continue (préférer adrénaline IM en première intention).</w:t>
      </w:r>
    </w:p>
    <w:p>
      <w:r/>
      <w:r>
        <w:rPr>
          <w:b/>
        </w:rPr>
        <w:t>Recommandations CRAT</w:t>
      </w:r>
      <w:r>
        <w:t xml:space="preserve"> :</w:t>
      </w:r>
    </w:p>
    <w:p>
      <w:pPr>
        <w:pStyle w:val="ListBullet"/>
      </w:pPr>
      <w:r>
        <w:t>Éviter la noradrénaline en première intention pendant la grossesse, sauf urgence vitale maternelle.</w:t>
      </w:r>
    </w:p>
    <w:p>
      <w:pPr>
        <w:pStyle w:val="ListBullet"/>
      </w:pPr>
      <w:r>
        <w:t>Si utilisation indispensable : dose minimale efficace, durée la plus courte possible, surveillance RHJ fœtal continue.</w:t>
      </w:r>
    </w:p>
    <w:p>
      <w:pPr>
        <w:pStyle w:val="ListBullet"/>
      </w:pPr>
      <w:r>
        <w:t>Préférer éphédrine ou phényléphrine pour l'hypotension peranesthésique au cours de la césarienne (profil hémodynamique mieux toléré chez le fœtus).</w:t>
      </w:r>
    </w:p>
    <w:p>
      <w:r/>
      <w:r>
        <w:rPr>
          <w:b/>
        </w:rPr>
        <w:t>Allaitement</w:t>
      </w:r>
      <w:r>
        <w:t xml:space="preserve"> : la noradrénaline passe dans le lait maternel en quantités très faibles (rapport lait/plasma très bas), et est oralement inactivée par les enzymes digestives de l'enfant. L'utilisation ponctuelle de la noradrénaline en réanimation est compatible avec la reprise de l'allaitement après récupération maternelle. En cas de perfusion prolongée, suspension de l'allaitement jusqu'au sevrage.</w:t>
      </w:r>
    </w:p>
    <w:p>
      <w:r/>
      <w:r>
        <w:rPr>
          <w:b/>
        </w:rPr>
        <w:t>Surveillance obstétricale et fœtale après noradrénaline</w:t>
      </w:r>
      <w:r>
        <w:t xml:space="preserve"> :</w:t>
      </w:r>
    </w:p>
    <w:p>
      <w:pPr>
        <w:pStyle w:val="ListBullet"/>
      </w:pPr>
      <w:r>
        <w:t>Échographie fœtale dans les 24-48 h pour évaluation du bien-être fœtal (RCIU, anomalie du liquide amniotique).</w:t>
      </w:r>
    </w:p>
    <w:p>
      <w:pPr>
        <w:pStyle w:val="ListBullet"/>
      </w:pPr>
      <w:r>
        <w:t>RHJ continu pendant toute la durée de la perfusion.</w:t>
      </w:r>
    </w:p>
    <w:p>
      <w:pPr>
        <w:pStyle w:val="ListBullet"/>
      </w:pPr>
      <w:r>
        <w:t>Déclaration en pharmacovigilance si effet indésirable fœtal.</w:t>
      </w:r>
    </w:p>
    <w:p>
      <w:pPr>
        <w:pStyle w:val="Heading3"/>
      </w:pPr>
      <w:r>
        <w:t>184.1.2.10 Formes galéniques disponibles</w:t>
      </w:r>
    </w:p>
    <w:p>
      <w:r/>
      <w:r>
        <w:rPr>
          <w:b/>
        </w:rPr>
        <w:t>Forme injectable</w:t>
      </w:r>
      <w:r>
        <w:t xml:space="preserve"> (essentielle en réanimation) :</w:t>
      </w:r>
    </w:p>
    <w:p>
      <w:pPr>
        <w:pStyle w:val="ListBullet"/>
      </w:pPr>
      <w:r/>
      <w:r>
        <w:rPr>
          <w:b/>
        </w:rPr>
        <w:t>Solution injectable à diluer pour perfusion 2 mg/mL (8 mg/4 mL)</w:t>
      </w:r>
      <w:r>
        <w:t xml:space="preserve"> : ampoule de 4 mL contenant 8 mg de bitartrate de noradrénaline (exprimé en noradrénaline base). Forme disponible en Algérie (Noradrénaline Renaudin), à diluer en pharmacie centrale selon protocole. Concentration finale après dilution : 16-32 µg/mL selon préparation (4-8 mg/250 mL NaCl 0,9 %).</w:t>
      </w:r>
    </w:p>
    <w:p>
      <w:pPr>
        <w:pStyle w:val="ListBullet"/>
      </w:pPr>
      <w:r/>
      <w:r>
        <w:rPr>
          <w:b/>
        </w:rPr>
        <w:t>Solution injectable 1 mg/mL</w:t>
      </w:r>
      <w:r>
        <w:t xml:space="preserve"> : disponible à l'étranger (Levophed, Abbott ; Noradrénaline Aguettant) — non disponible en Algérie.</w:t>
      </w:r>
    </w:p>
    <w:p>
      <w:pPr>
        <w:pStyle w:val="ListBullet"/>
      </w:pPr>
      <w:r/>
      <w:r>
        <w:rPr>
          <w:b/>
        </w:rPr>
        <w:t>Solution pour perfusion pré-diluée prête à l'emploi</w:t>
      </w:r>
      <w:r>
        <w:t xml:space="preserve"> : disponible à l'étranger en poches de 250 mL à 4 mg, 8 mg, 16 mg — non disponible en Algérie.</w:t>
      </w:r>
    </w:p>
    <w:p>
      <w:r/>
      <w:r>
        <w:rPr>
          <w:b/>
        </w:rPr>
        <w:t>Voies d'administration</w:t>
      </w:r>
      <w:r>
        <w:t xml:space="preserve"> :</w:t>
      </w:r>
    </w:p>
    <w:p>
      <w:pPr>
        <w:pStyle w:val="ListBullet"/>
      </w:pPr>
      <w:r>
        <w:t>Voie IV centrale préférentielle (jugulaire interne, sous-clavière).</w:t>
      </w:r>
    </w:p>
    <w:p>
      <w:pPr>
        <w:pStyle w:val="ListBullet"/>
      </w:pPr>
      <w:r>
        <w:t>Voie IV périphérique acceptable en urgence (gros calibre, surveillance renforcée).</w:t>
      </w:r>
    </w:p>
    <w:p>
      <w:pPr>
        <w:pStyle w:val="ListBullet"/>
      </w:pPr>
      <w:r>
        <w:t>Voie intra-osseuse (IO) en l'absence d'abord veineux (même dose).</w:t>
      </w:r>
    </w:p>
    <w:p>
      <w:r/>
      <w:r>
        <w:rPr>
          <w:b/>
        </w:rPr>
        <w:t>Formes orales</w:t>
      </w:r>
      <w:r>
        <w:t xml:space="preserve"> : non disponibles (inactivation digestive).</w:t>
      </w:r>
    </w:p>
    <w:p>
      <w:r/>
      <w:r>
        <w:rPr>
          <w:b/>
        </w:rPr>
        <w:t>Formes inhalées</w:t>
      </w:r>
      <w:r>
        <w:t xml:space="preserve"> : non disponibles.</w:t>
      </w:r>
    </w:p>
    <w:p>
      <w:r/>
      <w:r>
        <w:rPr>
          <w:b/>
        </w:rPr>
        <w:t>Conservation</w:t>
      </w:r>
      <w:r>
        <w:t xml:space="preserve"> :</w:t>
      </w:r>
    </w:p>
    <w:p>
      <w:pPr>
        <w:pStyle w:val="ListBullet"/>
      </w:pPr>
      <w:r>
        <w:t>À conserver à l'abri de la lumière (photosensibilité).</w:t>
      </w:r>
    </w:p>
    <w:p>
      <w:pPr>
        <w:pStyle w:val="ListBullet"/>
      </w:pPr>
      <w:r>
        <w:t>Température &lt; 25 °C (pas de congélation).</w:t>
      </w:r>
    </w:p>
    <w:p>
      <w:pPr>
        <w:pStyle w:val="ListBullet"/>
      </w:pPr>
      <w:r>
        <w:t>Vérification visuelle avant emploi : solution limpide incolore à légèrement jaune ; ne pas utiliser si coloration brune ou présence de précipité.</w:t>
      </w:r>
    </w:p>
    <w:p>
      <w:pPr>
        <w:pStyle w:val="ListBullet"/>
      </w:pPr>
      <w:r>
        <w:t>Après dilution : 24 heures maximum.</w:t>
      </w:r>
    </w:p>
    <w:p>
      <w:r/>
      <w:r>
        <w:rPr>
          <w:b/>
        </w:rPr>
        <w:t>Stockage et gestion de la pénurie algérienne</w:t>
      </w:r>
      <w:r>
        <w:t xml:space="preserve"> :</w:t>
      </w:r>
    </w:p>
    <w:p>
      <w:pPr>
        <w:pStyle w:val="ListBullet"/>
      </w:pPr>
      <w:r>
        <w:t>Stock minimum recommandé : 30 jours de consommation pour chaque service de réanimation.</w:t>
      </w:r>
    </w:p>
    <w:p>
      <w:pPr>
        <w:pStyle w:val="ListBullet"/>
      </w:pPr>
      <w:r>
        <w:t>Procédure d'ATU (Autorisation Temporaire d'Utilisation) en cas de rupture.</w:t>
      </w:r>
    </w:p>
    <w:p>
      <w:pPr>
        <w:pStyle w:val="ListBullet"/>
      </w:pPr>
      <w:r>
        <w:t>Signalement systématique à la pharmacovigilance nationale et au Ministère de la Santé en cas de rupture de stock menaçant la sécurité des patients.</w:t>
      </w:r>
    </w:p>
    <w:p>
      <w:pPr>
        <w:pStyle w:val="ListBullet"/>
      </w:pPr>
      <w:r>
        <w:t>Protocole alternatif en cas d'indisponibilité : adrénaline IV continue 0,05-0,5 µg/kg/min (moins bien tolérée, plus arythmogène, mais efficace).</w:t>
      </w:r>
    </w:p>
    <w:p>
      <w:pPr>
        <w:pStyle w:val="Heading3"/>
      </w:pPr>
      <w:r>
        <w:t>184.1.2.11 Conseils au patient et à l'équipe soignante</w:t>
      </w:r>
    </w:p>
    <w:p>
      <w:r>
        <w:t>La noradrénaline étant administrée exclusivement en réanimation ou bloc opératoire, les conseils s'adressent à l'équipe soignante (médecins réanimateurs, anesthésistes, infirmiers de réanimation, pharmaciens hospitaliers).</w:t>
      </w:r>
    </w:p>
    <w:p>
      <w:r/>
      <w:r>
        <w:rPr>
          <w:b/>
        </w:rPr>
        <w:t>Conseils à l'équipe soignante</w:t>
      </w:r>
      <w:r>
        <w:t xml:space="preserve"> :</w:t>
      </w:r>
    </w:p>
    <w:p>
      <w:pPr>
        <w:pStyle w:val="ListBullet"/>
      </w:pPr>
      <w:r/>
      <w:r>
        <w:rPr>
          <w:b/>
        </w:rPr>
        <w:t>Vérification systématique de la concentration</w:t>
      </w:r>
      <w:r>
        <w:t xml:space="preserve"> : erreur la plus fréquente (confusion 2 mg/mL vs 1 mg/mL vs 0,5 mg/mL), erreur pouvant entraîner un surdosage massif ou une inefficacité. Lecture à haute voix de l'étiquetage par deux soignants (règle des 5 B).</w:t>
      </w:r>
    </w:p>
    <w:p>
      <w:pPr>
        <w:pStyle w:val="ListBullet"/>
      </w:pPr>
      <w:r/>
      <w:r>
        <w:rPr>
          <w:b/>
        </w:rPr>
        <w:t>Préparation centralisée</w:t>
      </w:r>
      <w:r>
        <w:t xml:space="preserve"> des seringues et poches en pharmacie hospitalière selon protocole standardisé, avec étiquetage explicite (nom, concentration, débit, identité patient).</w:t>
      </w:r>
    </w:p>
    <w:p>
      <w:pPr>
        <w:pStyle w:val="ListBullet"/>
      </w:pPr>
      <w:r/>
      <w:r>
        <w:rPr>
          <w:b/>
        </w:rPr>
        <w:t>Voie veineuse centrale de préférence</w:t>
      </w:r>
      <w:r>
        <w:t xml:space="preserve"> pour perfusion continue (jugulaire interne ou sous-clavière), vérification du bon positionnement par cliché thoracique.</w:t>
      </w:r>
    </w:p>
    <w:p>
      <w:pPr>
        <w:pStyle w:val="ListBullet"/>
      </w:pPr>
      <w:r/>
      <w:r>
        <w:rPr>
          <w:b/>
        </w:rPr>
        <w:t>Seringue électrique ou pompe volumétrique</w:t>
      </w:r>
      <w:r>
        <w:t xml:space="preserve"> obligatoire (pas de perfusion gravitaire en raison de la demi-vie très courte et du risque d'effondrement tensionnel à l'arrêt).</w:t>
      </w:r>
    </w:p>
    <w:p>
      <w:pPr>
        <w:pStyle w:val="ListBullet"/>
      </w:pPr>
      <w:r/>
      <w:r>
        <w:rPr>
          <w:b/>
        </w:rPr>
        <w:t>Ne jamais bolus IV direct</w:t>
      </w:r>
      <w:r>
        <w:t xml:space="preserve"> (risque d'hypertension sévère, hémorragie cérébrale, FV).</w:t>
      </w:r>
    </w:p>
    <w:p>
      <w:pPr>
        <w:pStyle w:val="ListBullet"/>
      </w:pPr>
      <w:r/>
      <w:r>
        <w:rPr>
          <w:b/>
        </w:rPr>
        <w:t>Surveillance continue</w:t>
      </w:r>
      <w:r>
        <w:t xml:space="preserve"> : scope ECG, PA invasive (cathéter artériel radial), SpO2, fréquence respiratoire, état de conscience (Glasgow), diurèse horaire (sonde vésicale), température, examen cutané des extrémités toutes les 2 h.</w:t>
      </w:r>
    </w:p>
    <w:p>
      <w:pPr>
        <w:pStyle w:val="ListBullet"/>
      </w:pPr>
      <w:r/>
      <w:r>
        <w:rPr>
          <w:b/>
        </w:rPr>
        <w:t>Bilan biologique</w:t>
      </w:r>
      <w:r>
        <w:t xml:space="preserve"> : ionogramme, créatinine, glycémie capillaire, lactates, gaz du sang, ScvO2 (cathéter central), hémocultures (en cas de suspicion septique), toutes les 6-12 h.</w:t>
      </w:r>
    </w:p>
    <w:p>
      <w:pPr>
        <w:pStyle w:val="ListBullet"/>
      </w:pPr>
      <w:r/>
      <w:r>
        <w:rPr>
          <w:b/>
        </w:rPr>
        <w:t>Prévention de l'extravasation</w:t>
      </w:r>
      <w:r>
        <w:t xml:space="preserve"> : protocole phentolamine (5-10 mg dans 10 mL NaCl 0,9 % pour infiltration locale) disponible dans le chariot d'urgence, formation du personnel à la reconnaissance précoce des signes d'extravasation (douleur, induration, pâleur, refroidissement, cyanose).</w:t>
      </w:r>
    </w:p>
    <w:p>
      <w:pPr>
        <w:pStyle w:val="ListBullet"/>
      </w:pPr>
      <w:r/>
      <w:r>
        <w:rPr>
          <w:b/>
        </w:rPr>
        <w:t>Sevrage progressif</w:t>
      </w:r>
      <w:r>
        <w:t xml:space="preserve"> par paliers de 0,02 µg/kg/min toutes les 15-30 min, surveillance PAM, ne jamais arrêter brutalement.</w:t>
      </w:r>
    </w:p>
    <w:p>
      <w:pPr>
        <w:pStyle w:val="ListBullet"/>
      </w:pPr>
      <w:r/>
      <w:r>
        <w:rPr>
          <w:b/>
        </w:rPr>
        <w:t>Anticipation de la rupture de stock</w:t>
      </w:r>
      <w:r>
        <w:t xml:space="preserve"> : commande anticipée, gestion des stocks, procédure d'ATU, protocole alternatif par adrénaline.</w:t>
      </w:r>
    </w:p>
    <w:p>
      <w:pPr>
        <w:pStyle w:val="ListBullet"/>
      </w:pPr>
      <w:r/>
      <w:r>
        <w:rPr>
          <w:b/>
        </w:rPr>
        <w:t>Déclaration des ruptures</w:t>
      </w:r>
      <w:r>
        <w:t xml:space="preserve"> à la pharmacovigilance nationale et au Ministère de la Santé.</w:t>
      </w:r>
    </w:p>
    <w:p>
      <w:r/>
      <w:r>
        <w:rPr>
          <w:b/>
        </w:rPr>
        <w:t>Conseils au patient conscient</w:t>
      </w:r>
      <w:r>
        <w:t xml:space="preserve"> (à l'admission en réanimation) :</w:t>
      </w:r>
    </w:p>
    <w:p>
      <w:pPr>
        <w:pStyle w:val="ListBullet"/>
      </w:pPr>
      <w:r>
        <w:t>Information sur la nécessité de la perfusion continue pour maintenir la pression artérielle.</w:t>
      </w:r>
    </w:p>
    <w:p>
      <w:pPr>
        <w:pStyle w:val="ListBullet"/>
      </w:pPr>
      <w:r>
        <w:t>Prévention des sensations possibles : pâleur, refroidissement des extrémités, céphalées, anxiété, tremblements — bénignes et liées à la maladie.</w:t>
      </w:r>
    </w:p>
    <w:p>
      <w:pPr>
        <w:pStyle w:val="ListBullet"/>
      </w:pPr>
      <w:r>
        <w:t>Information sur la surveillance continue (scope, PA, diurèse, prises de sang régulières).</w:t>
      </w:r>
    </w:p>
    <w:p>
      <w:pPr>
        <w:pStyle w:val="ListBullet"/>
      </w:pPr>
      <w:r>
        <w:t>Information sur la nécessité de rester couché en cas de perfusion prolongée.</w:t>
      </w:r>
    </w:p>
    <w:p>
      <w:pPr>
        <w:pStyle w:val="Heading3"/>
      </w:pPr>
      <w:r>
        <w:t>184.1.2.12 Pièges au comptoir — Règles d'or</w:t>
      </w:r>
    </w:p>
    <w:p>
      <w:r/>
      <w:r>
        <w:rPr>
          <w:b/>
        </w:rPr>
        <w:t>Piège n°1 — Disponibilité algérienne NON_RENOUVELABLE</w:t>
      </w:r>
      <w:r>
        <w:t xml:space="preserve"> : alerte critique. La noradrénaline n'est plus renouvelée en Algérie. Règle d'or : tout service de réanimation doit disposer d'un stock de sécurité minimum de 30 jours, d'un protocole alternatif par adrénaline IV, et d'une procédure d'ATU pour approvisionnement exceptionnel.</w:t>
      </w:r>
    </w:p>
    <w:p>
      <w:r/>
      <w:r>
        <w:rPr>
          <w:b/>
        </w:rPr>
        <w:t>Piège n°2 — Bolus IV direct</w:t>
      </w:r>
      <w:r>
        <w:t xml:space="preserve"> : erreur gravissime, hypotension corrigée par hypertension paroxystique → hémorragie cérébrale, FV. Règle d'or : JAMAIS de bolus IV direct ; perfusion continue stricte avec seringue électrique.</w:t>
      </w:r>
    </w:p>
    <w:p>
      <w:r/>
      <w:r>
        <w:rPr>
          <w:b/>
        </w:rPr>
        <w:t>Piège n°3 — Voie périphérique prolongée</w:t>
      </w:r>
      <w:r>
        <w:t xml:space="preserve"> : risque majeur d'extravasation et de nécrose digitale. Règle d'or : voie centrale préférentielle ; en urgence (attente de voie centrale), voie périphérique de gros calibre avec surveillance renforcée toutes les heures et protocole phentolamine disponible.</w:t>
      </w:r>
    </w:p>
    <w:p>
      <w:r/>
      <w:r>
        <w:rPr>
          <w:b/>
        </w:rPr>
        <w:t>Piège n°4 — Arrêt brutal de la perfusion</w:t>
      </w:r>
      <w:r>
        <w:t xml:space="preserve"> : en raison de la demi-vie très courte (2,5 min), arrêt brutal → effondrement tensionnel et récidive du choc. Règle d'or : sevrage progressif par paliers, surveillance PAM, et prévoir une seringue de relais prête en cas de changement de seringue électrique ( éviter le « trou thérapeutique » entre deux seringues).</w:t>
      </w:r>
    </w:p>
    <w:p>
      <w:r/>
      <w:r>
        <w:rPr>
          <w:b/>
        </w:rPr>
        <w:t>Piège n°5 — Erreur de concentration/dilution</w:t>
      </w:r>
      <w:r>
        <w:t xml:space="preserve"> : confusion entre les solutions 2 mg/mL (8 mg/4 mL), 1 mg/mL, 0,5 mg/mL. Règle d'or : double contrôle pharmacien/médecin, étiquetage explicite, vérification de la concentration finale en µg/mL.</w:t>
      </w:r>
    </w:p>
    <w:p>
      <w:r/>
      <w:r>
        <w:rPr>
          <w:b/>
        </w:rPr>
        <w:t>Piège n°6 — Confusion adrénaline/noradrénaline</w:t>
      </w:r>
      <w:r>
        <w:t xml:space="preserve"> : erreur possible (nomenclature algérienne enregistrant « Noradrénaline Aguettant » sous DCI adrénaline). Règle d'or : vérification systématique de l'étiquetage et de la concentration avant administration.</w:t>
      </w:r>
    </w:p>
    <w:p>
      <w:r/>
      <w:r>
        <w:rPr>
          <w:b/>
        </w:rPr>
        <w:t>Piège n°7 — Patient sous β-bloquant non sélectif</w:t>
      </w:r>
      <w:r>
        <w:t xml:space="preserve"> : effet α1 prédominant non contrebalancé → hypertension paroxystique sévère et bradycardie excessive. Règle d'or : ajustement posologique, surveillance continue, éventuellement relais par β1-sélectif.</w:t>
      </w:r>
    </w:p>
    <w:p>
      <w:r/>
      <w:r>
        <w:rPr>
          <w:b/>
        </w:rPr>
        <w:t>Piège n°8 — Femme enceinte</w:t>
      </w:r>
      <w:r>
        <w:t xml:space="preserve"> : vasoconstriction utéro-placentaire → hypoxie fœtale. Règle d'or : éviter en première intention pendant la grossesse (sauf urgence vitale maternelle), surveiller RHJ fœtal continu, préférer éphédrine ou phényléphrine pour hypotension peranesthésique (césarienne).</w:t>
      </w:r>
    </w:p>
    <w:p>
      <w:r/>
      <w:r>
        <w:rPr>
          <w:b/>
        </w:rPr>
        <w:t>Piège n°9 — Mélange avec bicarbonate ou incompatibilités</w:t>
      </w:r>
      <w:r>
        <w:t xml:space="preserve"> : inactivation chimique, précipitation. Règle d'or : vérifier la compatibilité avant tout mélange en perfusion, voie dédiée si nécessaire.</w:t>
      </w:r>
    </w:p>
    <w:p>
      <w:r/>
      <w:r>
        <w:rPr>
          <w:b/>
        </w:rPr>
        <w:t>Piège n°10 — Insuffisance rénale sans adaptation</w:t>
      </w:r>
      <w:r>
        <w:t xml:space="preserve"> : la noradrénaline est métabolisée indépendamment du rein, mais la vasoconstriction rénale peut aggraver une IRA fonctionnelle. Règle d'or : surveillance diurèse horaire et créatininémie, équilibre entre restauration de la PAM (bénéfice rénal) et vasoconstriction excessive (risque d'IRA persistante).</w:t>
      </w:r>
    </w:p>
    <w:p>
      <w:pPr>
        <w:pStyle w:val="Heading2"/>
      </w:pPr>
      <w:r>
        <w:t>184.2 Sous-classe 2 — Vasopresseurs / Inotropes : β1-agonistes (dobutamine)</w:t>
      </w:r>
    </w:p>
    <w:p>
      <w:pPr>
        <w:pStyle w:val="Heading3"/>
      </w:pPr>
      <w:r>
        <w:t>184.2.0 Introduction à la sous-classe des β1-agonistes inotropes positifs</w:t>
      </w:r>
    </w:p>
    <w:p>
      <w:r>
        <w:t xml:space="preserve">Les β1-agonistes inotropes positifs forment une sous-classe pharmacologique des catécholamines synthétiques développées pour optimiser l'effet inotrope positif tout en minimisant les effets vasoconstricteurs α1 et vasodilatateurs β2. La molécule princeps de cette classe est la </w:t>
      </w:r>
      <w:r>
        <w:rPr>
          <w:b/>
        </w:rPr>
        <w:t>dobutamine</w:t>
      </w:r>
      <w:r>
        <w:t>, catécholamine synthétique dérivée structurellement de l'isoprénaline (β-agoniste non sélectif) et de la dopamine, développée par Tuttle et Mills chez Eli Lilly en 1975. La dobutamine résulte d'une modification chimique de l'isoprénaline par adjonction d'un groupe bulky aromatique en position N, qui augmente la sélectivité β1/β2 et réduit l'affinité α1.</w:t>
      </w:r>
    </w:p>
    <w:p>
      <w:r>
        <w:t>Le récepteur β1 adrénergique est couplé à la protéine Gs, qui active l'adénylate cyclase → hausse de l'AMPc intracellulaire → activation de la protéine kinase A (PKA) → phosphorylation des canaux calciques voltage-dépendants L (Cav1.2) → entrée calcique → libération de calcium du réticulum sarcoplasmique via les récepteurs ryanodine (RyR2) → augmentation de la concentration cytosolique libre en calcium → fixation à la troponine C → déplacement de l'inhibiteur tropomyosine → exposition des sites de fixation à la myosine → augmentation de la force de contraction (effet inotrope positif). L'effet chronotrope positif (tachycardie) est également présent, mais moins marqué qu'avec l'isoprénaline pure, en raison de la sélectivité β1/β2 modérée de la dobutamine.</w:t>
      </w:r>
    </w:p>
    <w:p>
      <w:r>
        <w:t>Les β1-agonistes s'utilisent dans la défaillance myocardique aiguë avec bas débit cardiaque : choc cardiogénique post-infarctus, décompensation d'insuffisance cardiaque chronique, choc septique avec composante cardiogénique (cardiomyopathie septique), soutien inotrope post-chirurgie cardiaque (sortie de CEC), choc cardiogénique post-embolie pulmonaire grave. Ils sont également utilisés en exploration fonctionnelle cardiologique (échocardiographie de stress à la dobutamine pour recherche d'ischémie myocardique, viabilité myocardique, sténose aortique à bas débit). La dobutamine est également un agent inotrope de référence dans les états de bas débit avec hypoperfusion périphérique et œdème pulmonaire.</w:t>
      </w:r>
    </w:p>
    <w:p>
      <w:r>
        <w:t>L'inconvénient majeur de cette classe est l'augmentation de la consommation myocardique en oxygène (CMVO2), qui peut aggraver une ischémie coronarienne, et la survenue de troubles du rythme supra-ventriculaires et ventriculaires (tachycardie sinusale, FA, TV) à forte dose ou en cas de prédisposition (hypokaliémie, hypomagnésémie, ischémie sous-jacente, hypertrophie ventriculaire gauche). Pour ces raisons, la dobutamine est aujourd'hui déplacée par les inhibiteurs de la phosphodiestérase III (milrinone, énominone) dans certaines indications (choc vasoplégique post-CEC, insuffisance cardiaque chronique décompensée), mais elle reste la molécule de référence en urgence absolue pour soutien inotrope court terme. En Algérie, la dobutamine est disponible sous la forme Cardiject (Sun Pharmaceutical) en flacon de lyophilisat 250 mg, mais la majorité des autres marques (Dobutrex, Dobutamine Mylan, Dobutamine Panpharma, Dobutamine-250) sont NON_RENOUVELABLES ou RETIRÉES, posant un problème critique d'approvisionnement en réanimation cardiologique.</w:t>
      </w:r>
    </w:p>
    <w:p>
      <w:pPr>
        <w:pStyle w:val="Heading2"/>
      </w:pPr>
      <w:r>
        <w:t>184.2.1 DCI 3 — Dobutamine</w:t>
      </w:r>
    </w:p>
    <w:p>
      <w:pPr>
        <w:pStyle w:val="Heading3"/>
      </w:pPr>
      <w:r>
        <w:t>184.2.1.1 Catégories pharmaco-thérapeutiques et indications</w:t>
      </w:r>
    </w:p>
    <w:p>
      <w:r>
        <w:t>La dobutamine ((±)-4-[2-[[3-(4-hydroxyphényl)-1-méthylpropyl]amino]éthyl]benzène-1,2-diol, formule C18H23NO3, masse molaire 301,38 g/mol) est classée en catégorie pharmacothérapeutique des « catécholamines à effet β1 prédominant », code ATC C01CA07 (cardiotoniques non digitaliques — dobutamine). Elle est inscrite sur la Liste des médicaments essentiels de l'OMS. En Algérie, elle est classée sur la Liste I des substances vénéneuses, prescription hospitalière réservée à la réanimation cardiologique et aux soins intensifs.</w:t>
      </w:r>
    </w:p>
    <w:p>
      <w:r>
        <w:t>Les indications réglementaires (AMM) de la dobutamine sont : (1) choc cardiogénique avec bas débit cardiaque et signes d'hypoperfusion périphérique (post-infarctus du myocarde, myocardiopathie décompensée, myocardite aiguë sévère) ; (2) décompensation œdémato-ascitique d'insuffisance cardiaque chronique réfractaire au traitement maximal conventionnel (diurétiques IV, IEC/ARA2, β-bloquants arrêtés temporairement) ; (3) soutien inotrope post-chirurgie cardiaque (sortie de circulation extra-corporelle, choc post-cardiotomie) ; (4) composante cardiogénique du choc septique (en association avec noradrénaline) ; (5) embolie pulmonaire grave avec choc ; (6) échocardiographie de stress à la dobutamine (exploration fonctionnelle cardiologique : recherche d'ischémie myocardique, viabilité myocardique, sténose aortique à bas débit — test de Dobutamine-Apexcardiogramme) ; (7) contrepulsion aortique par ballonnet intra-aortique (soutien pharmacologique associé) ; (8) asthme sévère réfractaire (effet β2 bronchodilatateur modéré, indication exceptionnelle). La dobutamine n'est pas indiquée comme traitement de fond de l'insuffisance cardiaque chronique (privilégier IEC/ARA2, β-bloquants, antagonistes minéralocorticoïdes, inhibiteurs SGLT2,ARNI en ambulatoire).</w:t>
      </w:r>
    </w:p>
    <w:p>
      <w:pPr>
        <w:pStyle w:val="Heading3"/>
      </w:pPr>
      <w:r>
        <w:t>184.2.1.2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CARDIJECT</w:t>
            </w:r>
          </w:p>
        </w:tc>
        <w:tc>
          <w:tcPr>
            <w:tcW w:type="dxa" w:w="1559"/>
          </w:tcPr>
          <w:p>
            <w:r>
              <w:rPr>
                <w:sz w:val="20"/>
              </w:rPr>
              <w:t>SUN PHARMACEUTICALS INDUSTRIES LTD</w:t>
            </w:r>
          </w:p>
        </w:tc>
        <w:tc>
          <w:tcPr>
            <w:tcW w:type="dxa" w:w="1559"/>
          </w:tcPr>
          <w:p>
            <w:r>
              <w:rPr>
                <w:sz w:val="20"/>
              </w:rPr>
              <w:t>Lyophilisat pour solution injectable IV 250 mg</w:t>
            </w:r>
          </w:p>
        </w:tc>
        <w:tc>
          <w:tcPr>
            <w:tcW w:type="dxa" w:w="1559"/>
          </w:tcPr>
          <w:p>
            <w:r>
              <w:rPr>
                <w:sz w:val="20"/>
              </w:rPr>
              <w:t>B/1 flacon</w:t>
            </w:r>
          </w:p>
        </w:tc>
        <w:tc>
          <w:tcPr>
            <w:tcW w:type="dxa" w:w="1559"/>
          </w:tcPr>
          <w:p>
            <w:r>
              <w:rPr>
                <w:sz w:val="20"/>
              </w:rPr>
              <w:t>Liste I</w:t>
            </w:r>
          </w:p>
        </w:tc>
        <w:tc>
          <w:tcPr>
            <w:tcW w:type="dxa" w:w="1559"/>
          </w:tcPr>
          <w:p>
            <w:r>
              <w:rPr>
                <w:sz w:val="20"/>
              </w:rPr>
              <w:t>Actif</w:t>
            </w:r>
          </w:p>
        </w:tc>
      </w:tr>
      <w:tr>
        <w:tc>
          <w:tcPr>
            <w:tcW w:type="dxa" w:w="1559"/>
          </w:tcPr>
          <w:p>
            <w:r>
              <w:rPr>
                <w:sz w:val="20"/>
              </w:rPr>
              <w:t>DOBUJECT</w:t>
            </w:r>
          </w:p>
        </w:tc>
        <w:tc>
          <w:tcPr>
            <w:tcW w:type="dxa" w:w="1559"/>
          </w:tcPr>
          <w:p>
            <w:r>
              <w:rPr>
                <w:sz w:val="20"/>
              </w:rPr>
              <w:t>SCHERING OY</w:t>
            </w:r>
          </w:p>
        </w:tc>
        <w:tc>
          <w:tcPr>
            <w:tcW w:type="dxa" w:w="1559"/>
          </w:tcPr>
          <w:p>
            <w:r>
              <w:rPr>
                <w:sz w:val="20"/>
              </w:rPr>
              <w:t>Solution injectable pour perfusion 250 mg/20 mL</w:t>
            </w:r>
          </w:p>
        </w:tc>
        <w:tc>
          <w:tcPr>
            <w:tcW w:type="dxa" w:w="1559"/>
          </w:tcPr>
          <w:p>
            <w:r>
              <w:rPr>
                <w:sz w:val="20"/>
              </w:rPr>
              <w:t>B/5 ampoules 5 mL</w:t>
            </w:r>
          </w:p>
        </w:tc>
        <w:tc>
          <w:tcPr>
            <w:tcW w:type="dxa" w:w="1559"/>
          </w:tcPr>
          <w:p>
            <w:r>
              <w:rPr>
                <w:sz w:val="20"/>
              </w:rPr>
              <w:t>Liste I</w:t>
            </w:r>
          </w:p>
        </w:tc>
        <w:tc>
          <w:tcPr>
            <w:tcW w:type="dxa" w:w="1559"/>
          </w:tcPr>
          <w:p>
            <w:r>
              <w:rPr>
                <w:sz w:val="20"/>
              </w:rPr>
              <w:t>Non renouvelable</w:t>
            </w:r>
          </w:p>
        </w:tc>
      </w:tr>
      <w:tr>
        <w:tc>
          <w:tcPr>
            <w:tcW w:type="dxa" w:w="1559"/>
          </w:tcPr>
          <w:p>
            <w:r>
              <w:rPr>
                <w:sz w:val="20"/>
              </w:rPr>
              <w:t>DOBUTAMINE MYLAN</w:t>
            </w:r>
          </w:p>
        </w:tc>
        <w:tc>
          <w:tcPr>
            <w:tcW w:type="dxa" w:w="1559"/>
          </w:tcPr>
          <w:p>
            <w:r>
              <w:rPr>
                <w:sz w:val="20"/>
              </w:rPr>
              <w:t>MYLAN SAS</w:t>
            </w:r>
          </w:p>
        </w:tc>
        <w:tc>
          <w:tcPr>
            <w:tcW w:type="dxa" w:w="1559"/>
          </w:tcPr>
          <w:p>
            <w:r>
              <w:rPr>
                <w:sz w:val="20"/>
              </w:rPr>
              <w:t>Solution injectable à diluer pour perfusion 12,5 mg/mL (250 mg/20 mL)</w:t>
            </w:r>
          </w:p>
        </w:tc>
        <w:tc>
          <w:tcPr>
            <w:tcW w:type="dxa" w:w="1559"/>
          </w:tcPr>
          <w:p>
            <w:r>
              <w:rPr>
                <w:sz w:val="20"/>
              </w:rPr>
              <w:t>B/10 ampoules 20 mL</w:t>
            </w:r>
          </w:p>
        </w:tc>
        <w:tc>
          <w:tcPr>
            <w:tcW w:type="dxa" w:w="1559"/>
          </w:tcPr>
          <w:p>
            <w:r>
              <w:rPr>
                <w:sz w:val="20"/>
              </w:rPr>
              <w:t>Liste I</w:t>
            </w:r>
          </w:p>
        </w:tc>
        <w:tc>
          <w:tcPr>
            <w:tcW w:type="dxa" w:w="1559"/>
          </w:tcPr>
          <w:p>
            <w:r>
              <w:rPr>
                <w:sz w:val="20"/>
              </w:rPr>
              <w:t>Non renouvelable</w:t>
            </w:r>
          </w:p>
        </w:tc>
      </w:tr>
      <w:tr>
        <w:tc>
          <w:tcPr>
            <w:tcW w:type="dxa" w:w="1559"/>
          </w:tcPr>
          <w:p>
            <w:r>
              <w:rPr>
                <w:sz w:val="20"/>
              </w:rPr>
              <w:t>DOBUTAMINE PANPHARMA</w:t>
            </w:r>
          </w:p>
        </w:tc>
        <w:tc>
          <w:tcPr>
            <w:tcW w:type="dxa" w:w="1559"/>
          </w:tcPr>
          <w:p>
            <w:r>
              <w:rPr>
                <w:sz w:val="20"/>
              </w:rPr>
              <w:t>PANPHARMA</w:t>
            </w:r>
          </w:p>
        </w:tc>
        <w:tc>
          <w:tcPr>
            <w:tcW w:type="dxa" w:w="1559"/>
          </w:tcPr>
          <w:p>
            <w:r>
              <w:rPr>
                <w:sz w:val="20"/>
              </w:rPr>
              <w:t>Solution à diluer pour perfusion 12,5 mg/mL (250 mg/20 mL)</w:t>
            </w:r>
          </w:p>
        </w:tc>
        <w:tc>
          <w:tcPr>
            <w:tcW w:type="dxa" w:w="1559"/>
          </w:tcPr>
          <w:p>
            <w:r>
              <w:rPr>
                <w:sz w:val="20"/>
              </w:rPr>
              <w:t>B/10 flacons 20 mL</w:t>
            </w:r>
          </w:p>
        </w:tc>
        <w:tc>
          <w:tcPr>
            <w:tcW w:type="dxa" w:w="1559"/>
          </w:tcPr>
          <w:p>
            <w:r>
              <w:rPr>
                <w:sz w:val="20"/>
              </w:rPr>
              <w:t>Liste I</w:t>
            </w:r>
          </w:p>
        </w:tc>
        <w:tc>
          <w:tcPr>
            <w:tcW w:type="dxa" w:w="1559"/>
          </w:tcPr>
          <w:p>
            <w:r>
              <w:rPr>
                <w:sz w:val="20"/>
              </w:rPr>
              <w:t>Non renouvelable</w:t>
            </w:r>
          </w:p>
        </w:tc>
      </w:tr>
      <w:tr>
        <w:tc>
          <w:tcPr>
            <w:tcW w:type="dxa" w:w="1559"/>
          </w:tcPr>
          <w:p>
            <w:r>
              <w:rPr>
                <w:sz w:val="20"/>
              </w:rPr>
              <w:t>DOBUTAMINE-250</w:t>
            </w:r>
          </w:p>
        </w:tc>
        <w:tc>
          <w:tcPr>
            <w:tcW w:type="dxa" w:w="1559"/>
          </w:tcPr>
          <w:p>
            <w:r>
              <w:rPr>
                <w:sz w:val="20"/>
              </w:rPr>
              <w:t>LIORAD</w:t>
            </w:r>
          </w:p>
        </w:tc>
        <w:tc>
          <w:tcPr>
            <w:tcW w:type="dxa" w:w="1559"/>
          </w:tcPr>
          <w:p>
            <w:r>
              <w:rPr>
                <w:sz w:val="20"/>
              </w:rPr>
              <w:t>Lyophilisat pour solution pour perfusion IV 250 mg/flacon</w:t>
            </w:r>
          </w:p>
        </w:tc>
        <w:tc>
          <w:tcPr>
            <w:tcW w:type="dxa" w:w="1559"/>
          </w:tcPr>
          <w:p>
            <w:r>
              <w:rPr>
                <w:sz w:val="20"/>
              </w:rPr>
              <w:t>B/20 flacons de poudre</w:t>
            </w:r>
          </w:p>
        </w:tc>
        <w:tc>
          <w:tcPr>
            <w:tcW w:type="dxa" w:w="1559"/>
          </w:tcPr>
          <w:p>
            <w:r>
              <w:rPr>
                <w:sz w:val="20"/>
              </w:rPr>
              <w:t>Liste I</w:t>
            </w:r>
          </w:p>
        </w:tc>
        <w:tc>
          <w:tcPr>
            <w:tcW w:type="dxa" w:w="1559"/>
          </w:tcPr>
          <w:p>
            <w:r>
              <w:rPr>
                <w:sz w:val="20"/>
              </w:rPr>
              <w:t>Non renouvelable</w:t>
            </w:r>
          </w:p>
        </w:tc>
      </w:tr>
      <w:tr>
        <w:tc>
          <w:tcPr>
            <w:tcW w:type="dxa" w:w="1559"/>
          </w:tcPr>
          <w:p>
            <w:r>
              <w:rPr>
                <w:sz w:val="20"/>
              </w:rPr>
              <w:t>DOBUTREX</w:t>
            </w:r>
          </w:p>
        </w:tc>
        <w:tc>
          <w:tcPr>
            <w:tcW w:type="dxa" w:w="1559"/>
          </w:tcPr>
          <w:p>
            <w:r>
              <w:rPr>
                <w:sz w:val="20"/>
              </w:rPr>
              <w:t>ELI-LILLY</w:t>
            </w:r>
          </w:p>
        </w:tc>
        <w:tc>
          <w:tcPr>
            <w:tcW w:type="dxa" w:w="1559"/>
          </w:tcPr>
          <w:p>
            <w:r>
              <w:rPr>
                <w:sz w:val="20"/>
              </w:rPr>
              <w:t>Solution injectable pour perfusion 250 mg/20 mL</w:t>
            </w:r>
          </w:p>
        </w:tc>
        <w:tc>
          <w:tcPr>
            <w:tcW w:type="dxa" w:w="1559"/>
          </w:tcPr>
          <w:p>
            <w:r>
              <w:rPr>
                <w:sz w:val="20"/>
              </w:rPr>
              <w:t>Flacon 20 mL</w:t>
            </w:r>
          </w:p>
        </w:tc>
        <w:tc>
          <w:tcPr>
            <w:tcW w:type="dxa" w:w="1559"/>
          </w:tcPr>
          <w:p>
            <w:r>
              <w:rPr>
                <w:sz w:val="20"/>
              </w:rPr>
              <w:t>Liste I</w:t>
            </w:r>
          </w:p>
        </w:tc>
        <w:tc>
          <w:tcPr>
            <w:tcW w:type="dxa" w:w="1559"/>
          </w:tcPr>
          <w:p>
            <w:r>
              <w:rPr>
                <w:sz w:val="20"/>
              </w:rPr>
              <w:t>Retrait</w:t>
            </w:r>
          </w:p>
        </w:tc>
      </w:tr>
    </w:tbl>
    <w:p/>
    <w:p>
      <w:r>
        <w:t>Le marché algérien de la dobutamine est aujourd'hui limité à une seule spécialité active : Cardiject (Sun Pharmaceuticals Industries, Inde), disponible en flacon de lyophilisat 250 mg à reconstituer en 20 mL (concentration 12,5 mg/mL après dilution). Le princeps historique Dobutrex (Eli Lilly), qui a dominé le marché mondial et algérien depuis les années 1980, a été retiré du marché algérien. Les marques Dobuject (Schering), Dobutamine Mylan (Mylan SAS), Dobutamine Panpharma et Dobutamine-250 (Liorad) ne sont plus renouvelées. Cette situation concentre l'approvisionnement national sur une seule spécialité (Cardiject), ce qui pose un risque en cas de rupture de stock du fournisseur indien. Les services d'anesthésie-réanimation et de soins intensifs cardiologiques algériens (Service de Réanimation Médicale du CHU Mustapha, Service de Cardiologie du CHU Néfissa Hamoud, Réanimation Chirurgicale du CHU Beni-Messous) doivent s'assurer d'un stock de sécurité suffisant et d'une procédure d'ATU alternative en cas de rupture. La dobutamine est administrée exclusivement par perfusion IV continue stricte en raison de sa demi-vie très courte (≈ 2 min).</w:t>
      </w:r>
    </w:p>
    <w:p>
      <w:pPr>
        <w:pStyle w:val="Heading3"/>
      </w:pPr>
      <w:r>
        <w:t>184.2.1.3 Mécanisme d'action moléculaire, cellulaire et physiologique</w:t>
      </w:r>
    </w:p>
    <w:p>
      <w:r>
        <w:t>La dobutamine est un mélange racémique de deux stéréoisomères : la forme (-)-dobutamine (agoniste β1 et β2 puissant) et la forme (+)-dobutamine (agoniste α1 puissant et antagoniste β1/β2). Le résultat pharmacologique net est un effet β1-prédominant (agoniste), avec un effet α1 plus modéré (vasoconstriction modérée, contrebalancée par l'effet β2 vasodilatateur). Ce profil unique, résultant d'un racémique, lui confère une action inotrope positive sans vasoconstriction excessive, contrairement à l'adrénaline ou la noradrénaline.</w:t>
      </w:r>
    </w:p>
    <w:p>
      <w:r/>
      <w:r>
        <w:rPr>
          <w:b/>
        </w:rPr>
        <w:t>Niveau moléculaire — affinités récepteurielles</w:t>
      </w:r>
      <w:r>
        <w:t xml:space="preserve"> :</w:t>
      </w:r>
    </w:p>
    <w:p>
      <w:pPr>
        <w:pStyle w:val="ListBullet"/>
      </w:pPr>
      <w:r>
        <w:t>β1 (cœur) : forte affinité (forme (-)).</w:t>
      </w:r>
    </w:p>
    <w:p>
      <w:pPr>
        <w:pStyle w:val="ListBullet"/>
      </w:pPr>
      <w:r>
        <w:t>β2 (bronches, vaisseaux, utérus, foie) : affinité modérée (forme (-)).</w:t>
      </w:r>
    </w:p>
    <w:p>
      <w:pPr>
        <w:pStyle w:val="ListBullet"/>
      </w:pPr>
      <w:r>
        <w:t>α1 (vaisseaux) : affinité modérée (forme (+)).</w:t>
      </w:r>
    </w:p>
    <w:p>
      <w:pPr>
        <w:pStyle w:val="ListBullet"/>
      </w:pPr>
      <w:r>
        <w:t>α2 (présynaptique) : négligeable.</w:t>
      </w:r>
    </w:p>
    <w:p>
      <w:r/>
      <w:r>
        <w:rPr>
          <w:b/>
        </w:rPr>
        <w:t>Niveau cellulaire cardiaque</w:t>
      </w:r>
      <w:r>
        <w:t xml:space="preserve"> : la fixation β1 sur les cardiomyocytes active la protéine Gs → adénylate cyclase → AMPc → PKA → phosphorylation :</w:t>
      </w:r>
    </w:p>
    <w:p>
      <w:pPr>
        <w:pStyle w:val="ListBullet"/>
      </w:pPr>
      <w:r>
        <w:t>Des canaux calciques voltage-dépendants L (Cav1.2) → augmentation de l'entrée calcique lors du potentiel d'action.</w:t>
      </w:r>
    </w:p>
    <w:p>
      <w:pPr>
        <w:pStyle w:val="ListBullet"/>
      </w:pPr>
      <w:r>
        <w:t>Des récepteurs ryanodine RyR2 → libération accrue de calcium du réticulum sarcoplasmique.</w:t>
      </w:r>
    </w:p>
    <w:p>
      <w:pPr>
        <w:pStyle w:val="ListBullet"/>
      </w:pPr>
      <w:r>
        <w:t>De la phospholamban → dé-inhibition de la SERCA2a → recapture accrue de calcium dans le réticulum en diastole → amélioration de la relaxation (effet lusitrope positif).</w:t>
      </w:r>
    </w:p>
    <w:p>
      <w:pPr>
        <w:pStyle w:val="ListBullet"/>
      </w:pPr>
      <w:r>
        <w:t>De la troponine I → diminution de l'affinité calcium-troponine C → relaxation plus rapide.</w:t>
      </w:r>
    </w:p>
    <w:p>
      <w:r>
        <w:t>Le résultat net est une augmentation de la force de contraction (inotrope positif), de la vitesse de relaxation (lusitrope positif), et une augmentation modérée de la fréquence (chronotrope positif) et de la conduction (dromotrope positif).</w:t>
      </w:r>
    </w:p>
    <w:p>
      <w:r/>
      <w:r>
        <w:rPr>
          <w:b/>
        </w:rPr>
        <w:t>Niveau cellulaire vasculaire</w:t>
      </w:r>
      <w:r>
        <w:t xml:space="preserve"> : la dobutamine exerce sur les cellules musculaires lisses vasculaires un effet mixte : vasoconstriction α1 modérée (forme (+)) et vasodilatation β2 modérée (forme (-)). Le résultat net est une vasodilatation artérielle modérée (diminution du post-charge) et une vasodilatation veineuse modérée (diminution du pré-charge), bénéfiques en cas d'insuffisance cardiaque congestive avec surcharge. La pression artérielle systémique peut rester stable, diminuer modérément (effet β2 prédominant à forte dose), ou augmenter (effet inotrope sur débit cardiaque dominant à dose modérée).</w:t>
      </w:r>
    </w:p>
    <w:p>
      <w:r/>
      <w:r>
        <w:rPr>
          <w:b/>
        </w:rPr>
        <w:t>Niveau physiologique</w:t>
      </w:r>
      <w:r>
        <w:t xml:space="preserve"> : la dobutamine produit une augmentation du débit cardiaque (index cardiaque) de 30 à 70 % par augmentation de la contractilité (effet inotrope) et de la fréquence (effet chronotrope), sans augmentation excessive du post-charge. La pression capillaire pulmonaire (PCP) diminue (effet vasodilatateur veineux), la diurèse augmente (correction de la perfusion rénale), l'état de conscience s'améliore (correction de la perfusion cérébrale). La consommation myocardique en oxygène (CMVO2) augmente mais dans une moindre mesure que l'effet inotrope positif (le rapport travail cardiaque/CMVO2 est amélioré), ce qui distingue la dobutamine de l'adrénaline et de la noradrénaline.</w:t>
      </w:r>
    </w:p>
    <w:p>
      <w:r/>
      <w:r>
        <w:rPr>
          <w:b/>
        </w:rPr>
        <w:t>Niveau réanimation — choc cardiogénique</w:t>
      </w:r>
      <w:r>
        <w:t xml:space="preserve"> : le choc cardiogénique est caractérisé par une diminution du débit cardiaque avec élévation des pressions de remplissage (PCP &gt; 18 mmHg), hypoperfusion périphérique (marbrures, oligurie, troubles de conscience), acidose lactique. La dobutamine, en augmentant le débit cardiaque et en réduisant les pressions de remplissage, restaure la perfusion tissulaire. Elle est souvent associée à la noradrénaline (effet vasoconstricteur pour restaurer la PAM) ou à la contrepulsion aortique par ballonnet intra-aortique (CAA-BIA) dans le choc cardiogénique sévère post-IDM.</w:t>
      </w:r>
    </w:p>
    <w:p>
      <w:r/>
      <w:r>
        <w:rPr>
          <w:b/>
        </w:rPr>
        <w:t>Niveau exploration cardiologique — échocardiographie de stress à la dobutamine</w:t>
      </w:r>
      <w:r>
        <w:t xml:space="preserve"> : la dobutamine administrée par paliers croissants (5, 10, 20, 30, 40 µg/kg/min) augmente la fréquence cardiaque et la contractilité, permettant de démasquer une ischémie myocardique (apparition de troubles de la cinétique segmentaire à l'échographie) ou d'évaluer la viabilité myocardique (amélioration de la cinétique d'un segment akinétique à faible dose — réponse bimodale).</w:t>
      </w:r>
    </w:p>
    <w:p>
      <w:pPr>
        <w:pStyle w:val="Heading3"/>
      </w:pPr>
      <w:r>
        <w:t>184.2.1.4 Pharmacocinétique (profil PK)</w:t>
      </w:r>
    </w:p>
    <w:p>
      <w:r/>
      <w:r>
        <w:rPr>
          <w:b/>
        </w:rPr>
        <w:t>Absorption</w:t>
      </w:r>
      <w:r>
        <w:t xml:space="preserve"> : la dobutamine est inactive per os (inactivation digestive). La voie d'administration exclusive est la perfusion IV continue stricte, en raison de la demi-vie très courte (≈ 2 minutes, métabolisation rapide par COMT hépatique). La voie IM et SC ne sont pas utilisées (irritation locale, absorption erratique).</w:t>
      </w:r>
    </w:p>
    <w:p>
      <w:r/>
      <w:r>
        <w:rPr>
          <w:b/>
        </w:rPr>
        <w:t>Distribution</w:t>
      </w:r>
      <w:r>
        <w:t xml:space="preserve"> : volume de distribution d'environ 0,2 L/kg. Liaison protéique modérée (≈ 25 %), principalement à l'albumine. La dobutamine ne traverse pas la barrière hémato-encéphalique (forme polaire). Traversée placentaire possible (faible).</w:t>
      </w:r>
    </w:p>
    <w:p>
      <w:r/>
      <w:r>
        <w:rPr>
          <w:b/>
        </w:rPr>
        <w:t>Métabolisme</w:t>
      </w:r>
      <w:r>
        <w:t xml:space="preserve"> : la dobutamine est rapidement métabolisée par :</w:t>
      </w:r>
    </w:p>
    <w:p>
      <w:pPr>
        <w:pStyle w:val="ListBullet"/>
      </w:pPr>
      <w:r/>
      <w:r>
        <w:rPr>
          <w:b/>
        </w:rPr>
        <w:t>COMT</w:t>
      </w:r>
      <w:r>
        <w:t xml:space="preserve"> (catéchol-O-méthyltransférase) → O-méthyldobutamine (métabolite inactif).</w:t>
      </w:r>
    </w:p>
    <w:p>
      <w:pPr>
        <w:pStyle w:val="ListBullet"/>
      </w:pPr>
      <w:r/>
      <w:r>
        <w:rPr>
          <w:b/>
        </w:rPr>
        <w:t>Conjugaison hépatique</w:t>
      </w:r>
      <w:r>
        <w:t xml:space="preserve"> → glucuronides et sulfates inactifs.</w:t>
      </w:r>
    </w:p>
    <w:p>
      <w:r>
        <w:t>La demi-vie d'élimination est d'environ 2 minutes (1,5-2,5 min), permettant un effet immédiat à l'instauration et un arrêt rapide à la suspension.</w:t>
      </w:r>
    </w:p>
    <w:p>
      <w:r/>
      <w:r>
        <w:rPr>
          <w:b/>
        </w:rPr>
        <w:t>Élimination</w:t>
      </w:r>
      <w:r>
        <w:t xml:space="preserve"> : rénale des métabolites conjugués. Clairance métabolique très élevée (≈ 50-60 mL/kg/min), essentiellement hépatique.</w:t>
      </w:r>
    </w:p>
    <w:p>
      <w:r/>
      <w:r>
        <w:rPr>
          <w:b/>
        </w:rPr>
        <w:t>Linéarité</w:t>
      </w:r>
      <w:r>
        <w:t xml:space="preserve"> : la pharmacocinétique est linéaire aux doses thérapeutiques. La pharmacodynamie est linéaire dans la plage 2,5-20 µg/kg/min, avec un plateau d'effet au-delà de 20-40 µg/kg/min (réponse maximale).</w:t>
      </w:r>
    </w:p>
    <w:p>
      <w:r/>
      <w:r>
        <w:rPr>
          <w:b/>
        </w:rPr>
        <w:t>Suivi thérapeutique</w:t>
      </w:r>
      <w:r>
        <w:t xml:space="preserve"> : pas de suivi plasmatique en routine. Le monitorage repose sur : ECG continu, PA invasive (cathéter artériel), SpO2, diurèse horaire, échocardiographie trans-thoracique ou trans-œsophagienne pour évaluation de la cinétique ventriculaire et du débit cardiaque, cathéter artériel pulmonaire (Swan-Ganz) pour mesure de PCP, débit cardiaque, résistances vasculaires systémiques et pulmonaires (monitorage avancé).</w:t>
      </w:r>
    </w:p>
    <w:p>
      <w:r/>
      <w:r>
        <w:rPr>
          <w:b/>
        </w:rPr>
        <w:t>Effet de premier passage</w:t>
      </w:r>
      <w:r>
        <w:t xml:space="preserve"> : quasiment nul (administration IV directe sans passage digestif).</w:t>
      </w:r>
    </w:p>
    <w:p>
      <w:r/>
      <w:r>
        <w:rPr>
          <w:b/>
        </w:rPr>
        <w:t>Effet de la durée de perfusion</w:t>
      </w:r>
      <w:r>
        <w:t xml:space="preserve"> : à l'inverse de la dopa-mine, la dobutamine ne présente pas de phénomène de tolérance (down-regulation des récepteurs β1) marqué aux perfusions prolongées &gt; 24 h. Cependant, une tachyphylaxie partielle est observée chez certains patients au-delà de 48-72 h (effet inotrope diminué), pouvant nécessiter une adaptation posologique.</w:t>
      </w:r>
    </w:p>
    <w:p>
      <w:pPr>
        <w:pStyle w:val="Heading3"/>
      </w:pPr>
      <w:r>
        <w:t>184.2.1.5 Indications thérapeutiques</w:t>
      </w:r>
    </w:p>
    <w:p>
      <w:pPr>
        <w:pStyle w:val="ListNumber"/>
      </w:pPr>
      <w:r/>
      <w:r>
        <w:rPr>
          <w:b/>
        </w:rPr>
        <w:t>Choc cardiogénique</w:t>
      </w:r>
      <w:r>
        <w:t xml:space="preserve"> (indication princeps) :</w:t>
      </w:r>
    </w:p>
    <w:p>
      <w:pPr>
        <w:pStyle w:val="ListBullet"/>
      </w:pPr>
      <w:r>
        <w:t>Post-infarctus du myocène avec défaillance ventriculaire gauche sévère (Killip IV).</w:t>
      </w:r>
    </w:p>
    <w:p>
      <w:pPr>
        <w:pStyle w:val="ListBullet"/>
      </w:pPr>
      <w:r>
        <w:t>Myocardiopathie décompensée (ischémique, dilatée, hypertrophique, valvulaire).</w:t>
      </w:r>
    </w:p>
    <w:p>
      <w:pPr>
        <w:pStyle w:val="ListBullet"/>
      </w:pPr>
      <w:r>
        <w:t>Myocardite aiguë sévère (en particulier myocardite fulminante).</w:t>
      </w:r>
    </w:p>
    <w:p>
      <w:pPr>
        <w:pStyle w:val="ListBullet"/>
      </w:pPr>
      <w:r>
        <w:t>Choc post-cardiotomie (sortie de CEC difficile en chirurgie cardiaque).</w:t>
      </w:r>
    </w:p>
    <w:p>
      <w:pPr>
        <w:pStyle w:val="ListBullet"/>
      </w:pPr>
      <w:r>
        <w:t>Embolie pulmonaire grave avec choc (en association avec la thrombolyse et le soutien hémodynamique).</w:t>
      </w:r>
    </w:p>
    <w:p>
      <w:pPr>
        <w:pStyle w:val="ListBullet"/>
      </w:pPr>
      <w:r>
        <w:t>Contre-indication en cas de choc hypovolémique non corrigé (à corriger avant dobutamine).</w:t>
      </w:r>
    </w:p>
    <w:p>
      <w:pPr>
        <w:pStyle w:val="ListBullet"/>
      </w:pPr>
      <w:r>
        <w:t>Posologie : 2,5-20 µg/kg/min en perfusion IV continue stricte, à titrer selon réponse hémodynamique.</w:t>
      </w:r>
    </w:p>
    <w:p>
      <w:pPr>
        <w:pStyle w:val="ListNumber"/>
      </w:pPr>
      <w:r/>
      <w:r>
        <w:rPr>
          <w:b/>
        </w:rPr>
        <w:t>Décompensation d'insuffisance cardiaque chronique</w:t>
      </w:r>
      <w:r>
        <w:t xml:space="preserve"> : œdème aigu du poumon cardiogénique réfractaire au traitement conventionnel (diurétiques IV, dérivés nitrés, IEC IV), posologie 2,5-10 µg/kg/min en perfusion IV continue courte (24-72 h, sevrage progressif).</w:t>
      </w:r>
    </w:p>
    <w:p>
      <w:pPr>
        <w:pStyle w:val="ListNumber"/>
      </w:pPr>
      <w:r/>
      <w:r>
        <w:rPr>
          <w:b/>
        </w:rPr>
        <w:t>Composante cardiogénique du choc septique</w:t>
      </w:r>
      <w:r>
        <w:t xml:space="preserve"> : la myocardie septique (dépression myocardique précoce, souvent réversible en 7-10 jours) se manifeste par une diminution du débit cardiaque avec élévation des pressions de remplissage. La dobutamine en association avec la noradrénaline (vasopresseur) restaure le débit cardiaque et la PAM. Surviving Sepsis Campaign 2021 : dobutamine en deuxième intention si ScvO2 &lt; 70 % malgré PAM ≥ 65 mmHg et hématocrite &gt; 30 % (grade 1C).</w:t>
      </w:r>
    </w:p>
    <w:p>
      <w:pPr>
        <w:pStyle w:val="ListNumber"/>
      </w:pPr>
      <w:r/>
      <w:r>
        <w:rPr>
          <w:b/>
        </w:rPr>
        <w:t>Soutien post-chirurgie cardiaque</w:t>
      </w:r>
      <w:r>
        <w:t xml:space="preserve"> : sortie de CEC difficile, bas débit post-opératoire, dans les 24-48 premières heures. Posologie 2,5-10 µg/kg/min, en association éventuelle avec adrénaline ou IEC de la PDE III (milrinone, énominone non disponible en Algérie).</w:t>
      </w:r>
    </w:p>
    <w:p>
      <w:pPr>
        <w:pStyle w:val="ListNumber"/>
      </w:pPr>
      <w:r/>
      <w:r>
        <w:rPr>
          <w:b/>
        </w:rPr>
        <w:t>Échocardiographie de stress à la dobutamine</w:t>
      </w:r>
      <w:r>
        <w:t xml:space="preserve"> : exploration cardiologique non invasive :</w:t>
      </w:r>
    </w:p>
    <w:p>
      <w:pPr>
        <w:pStyle w:val="ListBullet"/>
      </w:pPr>
      <w:r>
        <w:t>Recherche d'ischémie myocardique (coronarographie si cinétique segmentaire anormale).</w:t>
      </w:r>
    </w:p>
    <w:p>
      <w:pPr>
        <w:pStyle w:val="ListBullet"/>
      </w:pPr>
      <w:r>
        <w:t>Évaluation de la viabilité myocardique (segment akinétique répondant à la faible dose de dobutamine — réponse bimodale).</w:t>
      </w:r>
    </w:p>
    <w:p>
      <w:pPr>
        <w:pStyle w:val="ListBullet"/>
      </w:pPr>
      <w:r>
        <w:t>Évaluation de la sténose aortique à bas débit (test de Dobutamine-Apexcardiogramme pour différencier sténose aortique vraie vs sténose pseudo-sévère sur bas débit).</w:t>
      </w:r>
    </w:p>
    <w:p>
      <w:pPr>
        <w:pStyle w:val="ListBullet"/>
      </w:pPr>
      <w:r>
        <w:t>Protocole : 5 µg/kg/min × 3 min → 10 µg/kg/min × 3 min → 20 µg/kg/min × 3 min → 30 µg/kg/min × 3 min → 40 µg/kg/min × 3 min (avec atropine 0,25-1 mg IV si FC &lt; 85% de la FC sous-maximale). Surveillance ECG continue et échocardiographie.</w:t>
      </w:r>
    </w:p>
    <w:p>
      <w:pPr>
        <w:pStyle w:val="ListNumber"/>
      </w:pPr>
      <w:r/>
      <w:r>
        <w:rPr>
          <w:b/>
        </w:rPr>
        <w:t>Embolie pulmonaire grave avec choc</w:t>
      </w:r>
      <w:r>
        <w:t xml:space="preserve"> : soutien inotrope droit (la dobutamine a un effet inotrope positif sur le ventricule droit en plus du gauche) en association avec la thrombolyse (altéplase 100 mg IV en 2 h) et l'anticoagulation (HBPM à dose curative).</w:t>
      </w:r>
    </w:p>
    <w:p>
      <w:pPr>
        <w:pStyle w:val="ListNumber"/>
      </w:pPr>
      <w:r/>
      <w:r>
        <w:rPr>
          <w:b/>
        </w:rPr>
        <w:t>Soutien inotrope en attente de transplantation cardiaque</w:t>
      </w:r>
      <w:r>
        <w:t xml:space="preserve"> ou d'assistance ventriculaire (BIVAD, ECMO) — utilisation transitoire, relais par assistance mécanique si non récupération.</w:t>
      </w:r>
    </w:p>
    <w:p>
      <w:pPr>
        <w:pStyle w:val="Heading3"/>
      </w:pPr>
      <w:r>
        <w:t>184.2.1.6 Posologie et mode d'administration</w:t>
      </w:r>
    </w:p>
    <w:p>
      <w:r>
        <w:t>La dobutamine s'administre exclusivement par perfusion IV continue stricte, à débit contrôlé par seringue électrique ou pompe volumétrique, via une voie veineuse périphérique (acceptable en raison de la tolérance veineuse correcte) ou centrale (préférée pour perfusion &gt; 24 h).</w:t>
      </w:r>
    </w:p>
    <w:p>
      <w:r/>
      <w:r>
        <w:rPr>
          <w:b/>
        </w:rPr>
        <w:t>Posologie adulte</w:t>
      </w:r>
      <w:r>
        <w:t xml:space="preserve"> :</w:t>
      </w:r>
    </w:p>
    <w:p>
      <w:pPr>
        <w:pStyle w:val="ListBullet"/>
      </w:pPr>
      <w:r>
        <w:t>Dose initiale : 2,5 µg/kg/min.</w:t>
      </w:r>
    </w:p>
    <w:p>
      <w:pPr>
        <w:pStyle w:val="ListBullet"/>
      </w:pPr>
      <w:r>
        <w:t>Titration : paliers de 2,5 µg/kg/min toutes les 10-15 min, selon réponse hémodynamique.</w:t>
      </w:r>
    </w:p>
    <w:p>
      <w:pPr>
        <w:pStyle w:val="ListBullet"/>
      </w:pPr>
      <w:r>
        <w:t>Dose usuelle d'entretien : 5-15 µg/kg/min.</w:t>
      </w:r>
    </w:p>
    <w:p>
      <w:pPr>
        <w:pStyle w:val="ListBullet"/>
      </w:pPr>
      <w:r>
        <w:t>Dose maximale recommandée : 20 µg/kg/min (jusqu'à 40 µg/kg/min en cas de choc catastrophique).</w:t>
      </w:r>
    </w:p>
    <w:p>
      <w:pPr>
        <w:pStyle w:val="ListBullet"/>
      </w:pPr>
      <w:r>
        <w:t>Effet maximum obtenu aux alentours de 15-20 µg/kg/min (plateau pharmacodynamique).</w:t>
      </w:r>
    </w:p>
    <w:p>
      <w:r/>
      <w:r>
        <w:rPr>
          <w:b/>
        </w:rPr>
        <w:t>Préparation standard en seringue électrique (SE)</w:t>
      </w:r>
      <w:r>
        <w:t xml:space="preserve"> :</w:t>
      </w:r>
    </w:p>
    <w:p>
      <w:pPr>
        <w:pStyle w:val="ListBullet"/>
      </w:pPr>
      <w:r>
        <w:t>Concentration standard : 250 mg de dobutamine (1 flacon de lyophilisat reconstitué dans 20 mL) mis dans 50 mL de NaCl 0,9 % ou G5 % → concentration finale 5 mg/mL = 5000 µg/mL.</w:t>
      </w:r>
    </w:p>
    <w:p>
      <w:pPr>
        <w:pStyle w:val="ListBullet"/>
      </w:pPr>
      <w:r>
        <w:t>Débit SE (mL/h) = dose (µg/kg/min) × poids (kg) × 60 / 5000.</w:t>
      </w:r>
    </w:p>
    <w:p>
      <w:pPr>
        <w:pStyle w:val="ListBullet"/>
      </w:pPr>
      <w:r>
        <w:t>Exemple : 70 kg, dose 5 µg/kg/min → 5 × 70 × 60 / 5000 = 4,2 mL/h.</w:t>
      </w:r>
    </w:p>
    <w:p>
      <w:pPr>
        <w:pStyle w:val="ListBullet"/>
      </w:pPr>
      <w:r>
        <w:t>Exemple : 70 kg, dose 10 µg/kg/min → 10 × 70 × 60 / 5000 = 8,4 mL/h.</w:t>
      </w:r>
    </w:p>
    <w:p>
      <w:r/>
      <w:r>
        <w:rPr>
          <w:b/>
        </w:rPr>
        <w:t>Préparation en poche</w:t>
      </w:r>
      <w:r>
        <w:t xml:space="preserve"> (alternative) :</w:t>
      </w:r>
    </w:p>
    <w:p>
      <w:pPr>
        <w:pStyle w:val="ListBullet"/>
      </w:pPr>
      <w:r>
        <w:t>250 mg dans 50 mL → 5 mg/mL.</w:t>
      </w:r>
    </w:p>
    <w:p>
      <w:pPr>
        <w:pStyle w:val="ListBullet"/>
      </w:pPr>
      <w:r>
        <w:t>250 mg dans 250 mL → 1 mg/mL.</w:t>
      </w:r>
    </w:p>
    <w:p>
      <w:pPr>
        <w:pStyle w:val="ListBullet"/>
      </w:pPr>
      <w:r>
        <w:t>500 mg dans 250 mL → 2 mg/mL.</w:t>
      </w:r>
    </w:p>
    <w:p>
      <w:r/>
      <w:r>
        <w:rPr>
          <w:b/>
        </w:rPr>
        <w:t>Posologie enfant</w:t>
      </w:r>
      <w:r>
        <w:t xml:space="preserve"> :</w:t>
      </w:r>
    </w:p>
    <w:p>
      <w:pPr>
        <w:pStyle w:val="ListBullet"/>
      </w:pPr>
      <w:r>
        <w:t>Dose initiale : 2-5 µg/kg/min.</w:t>
      </w:r>
    </w:p>
    <w:p>
      <w:pPr>
        <w:pStyle w:val="ListBullet"/>
      </w:pPr>
      <w:r>
        <w:t>Dose usuelle : 5-15 µg/kg/min.</w:t>
      </w:r>
    </w:p>
    <w:p>
      <w:pPr>
        <w:pStyle w:val="ListBullet"/>
      </w:pPr>
      <w:r>
        <w:t>Dose maximale : 20 µg/kg/min (parfois 30 µg/kg/min en pédiatrie).</w:t>
      </w:r>
    </w:p>
    <w:p>
      <w:r/>
      <w:r>
        <w:rPr>
          <w:b/>
        </w:rPr>
        <w:t>Posologie nouveau-né</w:t>
      </w:r>
      <w:r>
        <w:t xml:space="preserve"> :</w:t>
      </w:r>
    </w:p>
    <w:p>
      <w:pPr>
        <w:pStyle w:val="ListBullet"/>
      </w:pPr>
      <w:r>
        <w:t>Dose initiale : 2 µg/kg/min.</w:t>
      </w:r>
    </w:p>
    <w:p>
      <w:pPr>
        <w:pStyle w:val="ListBullet"/>
      </w:pPr>
      <w:r>
        <w:t>Adaptation selon réponse (index cardiaque cible selon âge).</w:t>
      </w:r>
    </w:p>
    <w:p>
      <w:r/>
      <w:r>
        <w:rPr>
          <w:b/>
        </w:rPr>
        <w:t>Mode d'administration</w:t>
      </w:r>
      <w:r>
        <w:t xml:space="preserve"> :</w:t>
      </w:r>
    </w:p>
    <w:p>
      <w:pPr>
        <w:pStyle w:val="ListBullet"/>
      </w:pPr>
      <w:r>
        <w:t>Voie veineuse périphérique acceptable (tolérance veineuse correcte, dilution ≥ 5 mg/mL pour perfusion prolongée).</w:t>
      </w:r>
    </w:p>
    <w:p>
      <w:pPr>
        <w:pStyle w:val="ListBullet"/>
      </w:pPr>
      <w:r>
        <w:t>Voie veineuse centrale préférentielle pour perfusion &gt; 24 h.</w:t>
      </w:r>
    </w:p>
    <w:p>
      <w:pPr>
        <w:pStyle w:val="ListBullet"/>
      </w:pPr>
      <w:r>
        <w:t>Perfusion continue par seringue électrique ou pompe volumétrique.</w:t>
      </w:r>
    </w:p>
    <w:p>
      <w:pPr>
        <w:pStyle w:val="ListBullet"/>
      </w:pPr>
      <w:r>
        <w:t>Ne jamais bolus IV direct (risque de tachycardie sévère, FV, hémorragie cérébrale par hypertension paroxystique).</w:t>
      </w:r>
    </w:p>
    <w:p>
      <w:pPr>
        <w:pStyle w:val="ListBullet"/>
      </w:pPr>
      <w:r>
        <w:t>Surveillance continue : ECG, PA invasive, SpO2, diurèse horaire, état de conscience.</w:t>
      </w:r>
    </w:p>
    <w:p>
      <w:pPr>
        <w:pStyle w:val="ListBullet"/>
      </w:pPr>
      <w:r>
        <w:t>En cas d'échographie de stress : surveillance ECG continue et échocardiographie, monitorage de la PA, mise en place d'un abord veineux de sécurité.</w:t>
      </w:r>
    </w:p>
    <w:p>
      <w:r/>
      <w:r>
        <w:rPr>
          <w:b/>
        </w:rPr>
        <w:t>Cibles hémodynamiques en choc cardiogénique</w:t>
      </w:r>
      <w:r>
        <w:t xml:space="preserve"> :</w:t>
      </w:r>
    </w:p>
    <w:p>
      <w:pPr>
        <w:pStyle w:val="ListBullet"/>
      </w:pPr>
      <w:r>
        <w:t>Index cardiaque &gt; 2,2 L/min/m².</w:t>
      </w:r>
    </w:p>
    <w:p>
      <w:pPr>
        <w:pStyle w:val="ListBullet"/>
      </w:pPr>
      <w:r>
        <w:t>Pression capillaire pulmonaire 18-22 mmHg.</w:t>
      </w:r>
    </w:p>
    <w:p>
      <w:pPr>
        <w:pStyle w:val="ListBullet"/>
      </w:pPr>
      <w:r>
        <w:t>PAM ≥ 65 mmHg.</w:t>
      </w:r>
    </w:p>
    <w:p>
      <w:pPr>
        <w:pStyle w:val="ListBullet"/>
      </w:pPr>
      <w:r>
        <w:t>ScvO2 ≥ 70 %.</w:t>
      </w:r>
    </w:p>
    <w:p>
      <w:pPr>
        <w:pStyle w:val="ListBullet"/>
      </w:pPr>
      <w:r>
        <w:t>Diurèse ≥ 0,5 mL/kg/h.</w:t>
      </w:r>
    </w:p>
    <w:p>
      <w:pPr>
        <w:pStyle w:val="ListBullet"/>
      </w:pPr>
      <w:r>
        <w:t>Lactates en décroissance.</w:t>
      </w:r>
    </w:p>
    <w:p>
      <w:pPr>
        <w:pStyle w:val="ListBullet"/>
      </w:pPr>
      <w:r>
        <w:t>État de conscience normal ou amélioration.</w:t>
      </w:r>
    </w:p>
    <w:p>
      <w:r/>
      <w:r>
        <w:rPr>
          <w:b/>
        </w:rPr>
        <w:t>Sevrage</w:t>
      </w:r>
      <w:r>
        <w:t xml:space="preserve"> : progressif, par paliers de 1-2 µg/kg/min toutes les 30 min, sous surveillance ECG et PA. Ne jamais arrêter brutalement (risque de bas débit cardiaque récidivant). Anticipation du relais per os (IEC/ARA2, β-bloquants, antagonistes minéralocorticoïdes) si récupération.</w:t>
      </w:r>
    </w:p>
    <w:p>
      <w:pPr>
        <w:pStyle w:val="Heading3"/>
      </w:pPr>
      <w:r>
        <w:t>184.2.1.7 Effets indésirables et prévention</w:t>
      </w:r>
    </w:p>
    <w:p>
      <w:r>
        <w:t>La dobutamine, en raison de son action β1-prédominante, expose à plusieurs effets indésirables principalement cardiovasculaires et rythmologiques.</w:t>
      </w:r>
    </w:p>
    <w:p>
      <w:r/>
      <w:r>
        <w:rPr>
          <w:b/>
        </w:rPr>
        <w:t>Effets cardiovasculaires (les plus fréquents et graves)</w:t>
      </w:r>
      <w:r>
        <w:t xml:space="preserve"> :</w:t>
      </w:r>
    </w:p>
    <w:p>
      <w:pPr>
        <w:pStyle w:val="ListBullet"/>
      </w:pPr>
      <w:r/>
      <w:r>
        <w:rPr>
          <w:b/>
        </w:rPr>
        <w:t>Tachycardie sinusale</w:t>
      </w:r>
      <w:r>
        <w:t xml:space="preserve"> : effet chronotrope β1, particulièrement marqué à forte dose (&gt; 10 µg/kg/min) ou chez les patients prédisposés (jeunes, hypovolémiques). Fréquence 10-30 % à dose standard, jusqu'à 60 % à forte dose.</w:t>
      </w:r>
    </w:p>
    <w:p>
      <w:pPr>
        <w:pStyle w:val="ListBullet"/>
      </w:pPr>
      <w:r/>
      <w:r>
        <w:rPr>
          <w:b/>
        </w:rPr>
        <w:t>Troubles du rythme supra-ventriculaires</w:t>
      </w:r>
      <w:r>
        <w:t xml:space="preserve"> : extrasystoles supraventriculaires, tachycardie atriale, fibrillation auriculaire. Particulièrement fréquents en cas de dilatation atriale préexistante.</w:t>
      </w:r>
    </w:p>
    <w:p>
      <w:pPr>
        <w:pStyle w:val="ListBullet"/>
      </w:pPr>
      <w:r/>
      <w:r>
        <w:rPr>
          <w:b/>
        </w:rPr>
        <w:t>Troubles du rythme ventriculaire</w:t>
      </w:r>
      <w:r>
        <w:t xml:space="preserve"> : extrasystoles ventriculaires, tachycardie ventriculaire, fibrillation ventriculaire. Risque majoré en cas de cardiopathie ischémique, hypokaliémie, hypomagnésémie, hypertrophie VG, traitement digitalique associé.</w:t>
      </w:r>
    </w:p>
    <w:p>
      <w:pPr>
        <w:pStyle w:val="ListBullet"/>
      </w:pPr>
      <w:r/>
      <w:r>
        <w:rPr>
          <w:b/>
        </w:rPr>
        <w:t>Ischémie myocardique</w:t>
      </w:r>
      <w:r>
        <w:t xml:space="preserve"> : augmentation de la CMVO2 (effet inotrope + chronotrope) pouvant aggraver une ischémie coronarienne préexistante → angor, infarctus du myocarde. Surveillance ECG (segment ST) et troponines.</w:t>
      </w:r>
    </w:p>
    <w:p>
      <w:pPr>
        <w:pStyle w:val="ListBullet"/>
      </w:pPr>
      <w:r/>
      <w:r>
        <w:rPr>
          <w:b/>
        </w:rPr>
        <w:t>Hypotension artérielle</w:t>
      </w:r>
      <w:r>
        <w:t xml:space="preserve"> : effet β2 vasodilatateur prédominant à forte dose → chute de la PAM, particulièrement délétère en cas de choc avec vasoplégie associée. Association à un vasopresseur (noradrénaline) si nécessaire.</w:t>
      </w:r>
    </w:p>
    <w:p>
      <w:pPr>
        <w:pStyle w:val="ListBullet"/>
      </w:pPr>
      <w:r/>
      <w:r>
        <w:rPr>
          <w:b/>
        </w:rPr>
        <w:t>Hypertension artérielle paradoxale</w:t>
      </w:r>
      <w:r>
        <w:t xml:space="preserve"> : rare, effet α1 dominant chez certains patients (réponse variable).</w:t>
      </w:r>
    </w:p>
    <w:p>
      <w:r/>
      <w:r>
        <w:rPr>
          <w:b/>
        </w:rPr>
        <w:t>Effets neurologiques</w:t>
      </w:r>
      <w:r>
        <w:t xml:space="preserve"> :</w:t>
      </w:r>
    </w:p>
    <w:p>
      <w:pPr>
        <w:pStyle w:val="ListBullet"/>
      </w:pPr>
      <w:r>
        <w:t>Céphalées, anxiété, agitation, tremblements (effets β centraux).</w:t>
      </w:r>
    </w:p>
    <w:p>
      <w:pPr>
        <w:pStyle w:val="ListBullet"/>
      </w:pPr>
      <w:r>
        <w:t>À forte dose : troubles de conscience, convulsions (rares).</w:t>
      </w:r>
    </w:p>
    <w:p>
      <w:r/>
      <w:r>
        <w:rPr>
          <w:b/>
        </w:rPr>
        <w:t>Effets respiratoires</w:t>
      </w:r>
      <w:r>
        <w:t xml:space="preserve"> :</w:t>
      </w:r>
    </w:p>
    <w:p>
      <w:pPr>
        <w:pStyle w:val="ListBullet"/>
      </w:pPr>
      <w:r>
        <w:t>Bronchodilatation β2 (bénéfique en cas de bronchospasme associé).</w:t>
      </w:r>
    </w:p>
    <w:p>
      <w:pPr>
        <w:pStyle w:val="ListBullet"/>
      </w:pPr>
      <w:r>
        <w:t>Œdème pulmonaire de surcharge en cas de perfusion prolongée avec remplissage excessif (surveillance PCP).</w:t>
      </w:r>
    </w:p>
    <w:p>
      <w:r/>
      <w:r>
        <w:rPr>
          <w:b/>
        </w:rPr>
        <w:t>Effets métaboliques</w:t>
      </w:r>
      <w:r>
        <w:t xml:space="preserve"> :</w:t>
      </w:r>
    </w:p>
    <w:p>
      <w:pPr>
        <w:pStyle w:val="ListBullet"/>
      </w:pPr>
      <w:r/>
      <w:r>
        <w:rPr>
          <w:b/>
        </w:rPr>
        <w:t>Hypokaliémie</w:t>
      </w:r>
      <w:r>
        <w:t xml:space="preserve"> (effet β2 stimulant la pompe Na-K ATPase → entrée cellulaire de potassium) — surveillance kaliémique, supplémentation.</w:t>
      </w:r>
    </w:p>
    <w:p>
      <w:pPr>
        <w:pStyle w:val="ListBullet"/>
      </w:pPr>
      <w:r/>
      <w:r>
        <w:rPr>
          <w:b/>
        </w:rPr>
        <w:t>Hyperglycémie</w:t>
      </w:r>
      <w:r>
        <w:t xml:space="preserve"> (effet β2 augmentant la glycogénolyse, inhibition insulinique α2) — surveillance glycémie capillaire.</w:t>
      </w:r>
    </w:p>
    <w:p>
      <w:pPr>
        <w:pStyle w:val="ListBullet"/>
      </w:pPr>
      <w:r/>
      <w:r>
        <w:rPr>
          <w:b/>
        </w:rPr>
        <w:t>Acidose lactique</w:t>
      </w:r>
      <w:r>
        <w:t xml:space="preserve"> : rare, en cas de vasoconstriction excessive ou d'hypoperfusion prolongée.</w:t>
      </w:r>
    </w:p>
    <w:p>
      <w:r/>
      <w:r>
        <w:rPr>
          <w:b/>
        </w:rPr>
        <w:t>Effets cutanés</w:t>
      </w:r>
      <w:r>
        <w:t xml:space="preserve"> :</w:t>
      </w:r>
    </w:p>
    <w:p>
      <w:pPr>
        <w:pStyle w:val="ListBullet"/>
      </w:pPr>
      <w:r>
        <w:t>Pâleur, sueurs (effets β2).</w:t>
      </w:r>
    </w:p>
    <w:p>
      <w:pPr>
        <w:pStyle w:val="ListBullet"/>
      </w:pPr>
      <w:r>
        <w:t>Phlébite en cas de perfusion prolongée sur voie périphérique.</w:t>
      </w:r>
    </w:p>
    <w:p>
      <w:pPr>
        <w:pStyle w:val="ListBullet"/>
      </w:pPr>
      <w:r>
        <w:t>Nécrose en cas d'extravasation (rare, moins que noradrénaline).</w:t>
      </w:r>
    </w:p>
    <w:p>
      <w:r/>
      <w:r>
        <w:rPr>
          <w:b/>
        </w:rPr>
        <w:t>Effets obstétricaux</w:t>
      </w:r>
      <w:r>
        <w:t xml:space="preserve"> :</w:t>
      </w:r>
    </w:p>
    <w:p>
      <w:pPr>
        <w:pStyle w:val="ListBullet"/>
      </w:pPr>
      <w:r>
        <w:t>Tocolyse β2 (relaxation utérine) — à éviter si travail en cours.</w:t>
      </w:r>
    </w:p>
    <w:p>
      <w:pPr>
        <w:pStyle w:val="ListBullet"/>
      </w:pPr>
      <w:r>
        <w:t>Effets fœtaux : tachycardie fœtale, hypoglycémie néonatale (à surveiller en post-partum immédiat).</w:t>
      </w:r>
    </w:p>
    <w:p>
      <w:r/>
      <w:r>
        <w:rPr>
          <w:b/>
        </w:rPr>
        <w:t>Effets immunologiques</w:t>
      </w:r>
      <w:r>
        <w:t xml:space="preserve"> :</w:t>
      </w:r>
    </w:p>
    <w:p>
      <w:pPr>
        <w:pStyle w:val="ListBullet"/>
      </w:pPr>
      <w:r>
        <w:t>Neutrophilie transitoire (effet β2).</w:t>
      </w:r>
    </w:p>
    <w:p>
      <w:pPr>
        <w:pStyle w:val="ListBullet"/>
      </w:pPr>
      <w:r>
        <w:t>Pas d'immunosuppression notable.</w:t>
      </w:r>
    </w:p>
    <w:p>
      <w:r/>
      <w:r>
        <w:rPr>
          <w:b/>
        </w:rPr>
        <w:t>Prévention des effets indésirables</w:t>
      </w:r>
      <w:r>
        <w:t xml:space="preserve"> :</w:t>
      </w:r>
    </w:p>
    <w:p>
      <w:pPr>
        <w:pStyle w:val="ListBullet"/>
      </w:pPr>
      <w:r>
        <w:t>Posologie minimale efficace, titration progressive par paliers de 2,5 µg/kg/min.</w:t>
      </w:r>
    </w:p>
    <w:p>
      <w:pPr>
        <w:pStyle w:val="ListBullet"/>
      </w:pPr>
      <w:r>
        <w:t>Surveillance continue : ECG (segment ST, rythme), PA invasive, SpO2, diurèse horaire, état de conscience.</w:t>
      </w:r>
    </w:p>
    <w:p>
      <w:pPr>
        <w:pStyle w:val="ListBullet"/>
      </w:pPr>
      <w:r>
        <w:t>Bilan biologique : ionogramme (kaliémie, magnésémie), glycémie capillaire, lactates, troponines, BNP, gaz du sang, toutes les 6-12 h.</w:t>
      </w:r>
    </w:p>
    <w:p>
      <w:pPr>
        <w:pStyle w:val="ListBullet"/>
      </w:pPr>
      <w:r>
        <w:t>Correction des troubles électrolytiques (K+, Mg2+) avant et pendant la perfusion.</w:t>
      </w:r>
    </w:p>
    <w:p>
      <w:pPr>
        <w:pStyle w:val="ListBullet"/>
      </w:pPr>
      <w:r>
        <w:t>Éviter l'association aux antidépresseurs tricycliques, IMAO, cocaïne, anesthésiques halogénés (potentialisation des effets adrénergiques).</w:t>
      </w:r>
    </w:p>
    <w:p>
      <w:pPr>
        <w:pStyle w:val="ListBullet"/>
      </w:pPr>
      <w:r>
        <w:t>Précaution chez le coronarien (surveillance segment ST), le patient avec hypertrophie VG (HVG), le sujet âgé (risque de FA).</w:t>
      </w:r>
    </w:p>
    <w:p>
      <w:pPr>
        <w:pStyle w:val="ListBullet"/>
      </w:pPr>
      <w:r>
        <w:t>Sevrage progressif pour éviter la récidive du bas débit cardiaque.</w:t>
      </w:r>
    </w:p>
    <w:p>
      <w:pPr>
        <w:pStyle w:val="Heading3"/>
      </w:pPr>
      <w:r>
        <w:t>184.2.1.8 Interactions médicamenteuses</w:t>
      </w:r>
    </w:p>
    <w:p>
      <w:r>
        <w:t>La dobutamine partage avec les autres catécholamines la majorité des interactions pharmacodynamiques adrénergiques.</w:t>
      </w:r>
    </w:p>
    <w:p>
      <w:r/>
      <w:r>
        <w:rPr>
          <w:b/>
        </w:rPr>
        <w:t>Interactions pharmacodynamiques majeures</w:t>
      </w:r>
      <w:r>
        <w:t xml:space="preserve"> :</w:t>
      </w:r>
    </w:p>
    <w:p>
      <w:pPr>
        <w:pStyle w:val="ListBullet"/>
      </w:pPr>
      <w:r/>
      <w:r>
        <w:rPr>
          <w:b/>
        </w:rPr>
        <w:t>β-bloquants</w:t>
      </w:r>
      <w:r>
        <w:t xml:space="preserve"> (en particulier non sélectifs propranolol, carazolol) : antagonisme pharmacologique → diminution de l'effet inotrope et chronotrope. Nécessité d'augmenter la dose de dobutamine ou de recourir à un agent non β-dépendant (inhibiteurs de la PDE III : milrinone, énominone).</w:t>
      </w:r>
    </w:p>
    <w:p>
      <w:pPr>
        <w:pStyle w:val="ListBullet"/>
      </w:pPr>
      <w:r/>
      <w:r>
        <w:rPr>
          <w:b/>
        </w:rPr>
        <w:t>Anesthésiques halogénés</w:t>
      </w:r>
      <w:r>
        <w:t xml:space="preserve"> (halothane, isoflurane, sévoflurane) : sensibilisation myocardique → troubles du rythme ventriculaire graves. Précaution majeure en anesthésie, éviter l'association si possible.</w:t>
      </w:r>
    </w:p>
    <w:p>
      <w:pPr>
        <w:pStyle w:val="ListBullet"/>
      </w:pPr>
      <w:r/>
      <w:r>
        <w:rPr>
          <w:b/>
        </w:rPr>
        <w:t>Antidépresseurs tricycliques</w:t>
      </w:r>
      <w:r>
        <w:t xml:space="preserve"> (amitriptyline, clomipramine) : inhibition du recapture noradrénergique → potentialisation des effets β et α → hypertension, troubles du rythme.</w:t>
      </w:r>
    </w:p>
    <w:p>
      <w:pPr>
        <w:pStyle w:val="ListBullet"/>
      </w:pPr>
      <w:r/>
      <w:r>
        <w:rPr>
          <w:b/>
        </w:rPr>
        <w:t>IMAO</w:t>
      </w:r>
      <w:r>
        <w:t xml:space="preserve"> (phénelzine, tranylcypromine, moclobémide) : potentialisation majeure → crise hypertensive, troubles du rythme graves. Contre-indication relative.</w:t>
      </w:r>
    </w:p>
    <w:p>
      <w:pPr>
        <w:pStyle w:val="ListBullet"/>
      </w:pPr>
      <w:r/>
      <w:r>
        <w:rPr>
          <w:b/>
        </w:rPr>
        <w:t>Cocaïne, amphétamines</w:t>
      </w:r>
      <w:r>
        <w:t xml:space="preserve"> : potentialisation des effets adrénergiques → crise hypertensive, FV, ischémie myocardique. Contre-indication.</w:t>
      </w:r>
    </w:p>
    <w:p>
      <w:pPr>
        <w:pStyle w:val="ListBullet"/>
      </w:pPr>
      <w:r/>
      <w:r>
        <w:rPr>
          <w:b/>
        </w:rPr>
        <w:t>Sympathomimétiques</w:t>
      </w:r>
      <w:r>
        <w:t xml:space="preserve"> (éphédrine, pseudoéphédrine, phényléphrine) : effets additifs hypertensifs et tachycardisants.</w:t>
      </w:r>
    </w:p>
    <w:p>
      <w:pPr>
        <w:pStyle w:val="ListBullet"/>
      </w:pPr>
      <w:r/>
      <w:r>
        <w:rPr>
          <w:b/>
        </w:rPr>
        <w:t>Digoxine</w:t>
      </w:r>
      <w:r>
        <w:t xml:space="preserve"> : majoration de l'automatisme, risque d'arythmies ventriculaires graves (TV bidirectionnelle). Surveillance digoxinémie et ECG.</w:t>
      </w:r>
    </w:p>
    <w:p>
      <w:pPr>
        <w:pStyle w:val="ListBullet"/>
      </w:pPr>
      <w:r/>
      <w:r>
        <w:rPr>
          <w:b/>
        </w:rPr>
        <w:t>Diurétiques</w:t>
      </w:r>
      <w:r>
        <w:t xml:space="preserve"> (furosémide, thiazidiques) : hypokaliémie prédisposant aux arythmies. Surveillance et supplémentation potassique.</w:t>
      </w:r>
    </w:p>
    <w:p>
      <w:pPr>
        <w:pStyle w:val="ListBullet"/>
      </w:pPr>
      <w:r/>
      <w:r>
        <w:rPr>
          <w:b/>
        </w:rPr>
        <w:t>Inhibiteurs de la PDE III</w:t>
      </w:r>
      <w:r>
        <w:t xml:space="preserve"> (milrinone, énominone) : potentialisation de l'effet inotrope et vasodilatateur → risque d'hypotension sévère. Réduction posologique des deux agents si association nécessaire.</w:t>
      </w:r>
    </w:p>
    <w:p>
      <w:pPr>
        <w:pStyle w:val="ListBullet"/>
      </w:pPr>
      <w:r/>
      <w:r>
        <w:rPr>
          <w:b/>
        </w:rPr>
        <w:t>Dérivés nitrés</w:t>
      </w:r>
      <w:r>
        <w:t xml:space="preserve"> (nitroglycérine, isosorbide dinitrate) : potentialisation de l'effet vasodilatateur → risque d'hypotension. Surveillance PA.</w:t>
      </w:r>
    </w:p>
    <w:p>
      <w:pPr>
        <w:pStyle w:val="ListBullet"/>
      </w:pPr>
      <w:r/>
      <w:r>
        <w:rPr>
          <w:b/>
        </w:rPr>
        <w:t>Insuline, antidiabétiques oraux</w:t>
      </w:r>
      <w:r>
        <w:t xml:space="preserve"> : antagonisme pharmacodynamique, hyperglycémie sous dobutamine.</w:t>
      </w:r>
    </w:p>
    <w:p>
      <w:pPr>
        <w:pStyle w:val="ListBullet"/>
      </w:pPr>
      <w:r/>
      <w:r>
        <w:rPr>
          <w:b/>
        </w:rPr>
        <w:t>Ocytociques</w:t>
      </w:r>
      <w:r>
        <w:t xml:space="preserve"> (ocytocine IV bolus) : potentialisation tachycardisante et hypertensive en post-partum.</w:t>
      </w:r>
    </w:p>
    <w:p>
      <w:pPr>
        <w:pStyle w:val="ListBullet"/>
      </w:pPr>
      <w:r/>
      <w:r>
        <w:rPr>
          <w:b/>
        </w:rPr>
        <w:t>Thyroid hormones (surdosage)</w:t>
      </w:r>
      <w:r>
        <w:t xml:space="preserve"> : potentialisation des effets adrénergiques → crise thyréotoxique.</w:t>
      </w:r>
    </w:p>
    <w:p>
      <w:r/>
      <w:r>
        <w:rPr>
          <w:b/>
        </w:rPr>
        <w:t>Interactions pharmacocinétiques</w:t>
      </w:r>
      <w:r>
        <w:t xml:space="preserve"> :</w:t>
      </w:r>
    </w:p>
    <w:p>
      <w:pPr>
        <w:pStyle w:val="ListBullet"/>
      </w:pPr>
      <w:r>
        <w:t>Bicarbonate de sodium (alcalinisation) : inactivation chimique de la dobutamine (oxydation accélérée), à ne pas mélanger dans la même perfusion.</w:t>
      </w:r>
    </w:p>
    <w:p>
      <w:pPr>
        <w:pStyle w:val="ListBullet"/>
      </w:pPr>
      <w:r>
        <w:t>Héparine : incompatibilité physico-chimique, précipitation possible dans la tubulure.</w:t>
      </w:r>
    </w:p>
    <w:p>
      <w:pPr>
        <w:pStyle w:val="ListBullet"/>
      </w:pPr>
      <w:r>
        <w:t>Pénicillines, céphalosporines : incompatibilité physico-chimique.</w:t>
      </w:r>
    </w:p>
    <w:p>
      <w:r/>
      <w:r>
        <w:rPr>
          <w:b/>
        </w:rPr>
        <w:t>Incompatibilités en perfusion</w:t>
      </w:r>
      <w:r>
        <w:t xml:space="preserve"> :</w:t>
      </w:r>
    </w:p>
    <w:p>
      <w:pPr>
        <w:pStyle w:val="ListBullet"/>
      </w:pPr>
      <w:r>
        <w:t>À ne pas mélanger avec : bicarbonate de sodium, aminophylline, pénicillines, céphalosporines, phénytoïne, thiopental, héparine, furosémide.</w:t>
      </w:r>
    </w:p>
    <w:p>
      <w:pPr>
        <w:pStyle w:val="ListBullet"/>
      </w:pPr>
      <w:r>
        <w:t>Compatible avec : NaCl 0,9 %, G5 %, Ringer Lactate.</w:t>
      </w:r>
    </w:p>
    <w:p>
      <w:pPr>
        <w:pStyle w:val="Heading3"/>
      </w:pPr>
      <w:r>
        <w:t>184.2.1.9 Grossesse, allaitement et CRAT</w:t>
      </w:r>
    </w:p>
    <w:p>
      <w:r>
        <w:t>La dobutamine pendant la grossesse pose des problèmes obstétricaux spécifiques, principalement liés à son effet tocolytique β2 et à son effet tachycardisant fœtal.</w:t>
      </w:r>
    </w:p>
    <w:p>
      <w:r/>
      <w:r>
        <w:rPr>
          <w:b/>
        </w:rPr>
        <w:t>Tératogénicité</w:t>
      </w:r>
      <w:r>
        <w:t xml:space="preserve"> : la dobutamine traverse la barrière placentaire. Chez l'animal (rat, lapin), des doses toxiques maternelles ont induit des malformations cardiovasculaires et squelettiques. Chez l'humain, les données sont limitées en raison de l'utilisation exceptionnelle pendant la grossesse (choc cardiogénique gravidique post-IDM, myocardite gravidique). Le CRAT ne signale pas d'augmentation du risque malformatif global, mais recommande la prudence. La dobutamine n'est pas recommandée en première intention pendant la grossesse ; en cas d'urgence vitale maternelle (choc cardiogénique post-IDM, embolie pulmonaire grave avec choc), elle est utilisée sans modification posologique, la survie maternelle étant le facteur pronostic péjoratif majeur pour le fœtus.</w:t>
      </w:r>
    </w:p>
    <w:p>
      <w:r/>
      <w:r>
        <w:rPr>
          <w:b/>
        </w:rPr>
        <w:t>Effets utéro-placentaires</w:t>
      </w:r>
      <w:r>
        <w:t xml:space="preserve"> :</w:t>
      </w:r>
    </w:p>
    <w:p>
      <w:pPr>
        <w:pStyle w:val="ListBullet"/>
      </w:pPr>
      <w:r/>
      <w:r>
        <w:rPr>
          <w:b/>
        </w:rPr>
        <w:t>Tocolyse β2</w:t>
      </w:r>
      <w:r>
        <w:t xml:space="preserve"> : relaxation utérine (effet tocolytique), pouvant prolonger la grossesse ou masquer un travail débutant. À prendre en compte en cas d'utilisation au 3e trimestre.</w:t>
      </w:r>
    </w:p>
    <w:p>
      <w:pPr>
        <w:pStyle w:val="ListBullet"/>
      </w:pPr>
      <w:r/>
      <w:r>
        <w:rPr>
          <w:b/>
        </w:rPr>
        <w:t>Effet β2 vasodilatateur utéroplacentaire</w:t>
      </w:r>
      <w:r>
        <w:t xml:space="preserve"> : possible amélioration de la perfusion utéroplacentaire.</w:t>
      </w:r>
    </w:p>
    <w:p>
      <w:pPr>
        <w:pStyle w:val="ListBullet"/>
      </w:pPr>
      <w:r/>
      <w:r>
        <w:rPr>
          <w:b/>
        </w:rPr>
        <w:t>Tachycardie fœtale</w:t>
      </w:r>
      <w:r>
        <w:t xml:space="preserve"> : effet chronotrope β1 transmis à travers le placenta → tachycardie fœtale, surveillance RHJ continu indispensable.</w:t>
      </w:r>
    </w:p>
    <w:p>
      <w:r/>
      <w:r>
        <w:rPr>
          <w:b/>
        </w:rPr>
        <w:t>Indications obstétricales spécifiques</w:t>
      </w:r>
      <w:r>
        <w:t xml:space="preserve"> :</w:t>
      </w:r>
    </w:p>
    <w:p>
      <w:pPr>
        <w:pStyle w:val="ListBullet"/>
      </w:pPr>
      <w:r>
        <w:t>Choc cardiogénique gravidique (post-IDM, myocardite, cardiomyopathie péripartum) : dobutamine en perfusion IV continue, surveillance RHJ fœtal continu.</w:t>
      </w:r>
    </w:p>
    <w:p>
      <w:pPr>
        <w:pStyle w:val="ListBullet"/>
      </w:pPr>
      <w:r>
        <w:t>Embolie pulmonaire grave gravidique avec choc : dobutamine en association avec la thrombolyse (altéplase — risque hémorragique majoré pendant la grossesse, à évaluer au cas par cas).</w:t>
      </w:r>
    </w:p>
    <w:p>
      <w:pPr>
        <w:pStyle w:val="ListBullet"/>
      </w:pPr>
      <w:r>
        <w:t>Œdème aigu du poumon cardiogénique gravidique réfractaire : dobutamine si bas débit cardiaque associé.</w:t>
      </w:r>
    </w:p>
    <w:p>
      <w:r/>
      <w:r>
        <w:rPr>
          <w:b/>
        </w:rPr>
        <w:t>Recommandations CRAT</w:t>
      </w:r>
      <w:r>
        <w:t xml:space="preserve"> :</w:t>
      </w:r>
    </w:p>
    <w:p>
      <w:pPr>
        <w:pStyle w:val="ListBullet"/>
      </w:pPr>
      <w:r>
        <w:t>Éviter la dobutamine en première intention pendant la grossesse, sauf urgence vitale maternelle.</w:t>
      </w:r>
    </w:p>
    <w:p>
      <w:pPr>
        <w:pStyle w:val="ListBullet"/>
      </w:pPr>
      <w:r>
        <w:t>Si utilisation indispensable : dose minimale efficace, durée la plus courte possible, surveillance RHJ fœtal continu.</w:t>
      </w:r>
    </w:p>
    <w:p>
      <w:pPr>
        <w:pStyle w:val="ListBullet"/>
      </w:pPr>
      <w:r>
        <w:t>Préférer un agent inotrope alternatif mieux toléré pendant la grossesse si disponible (milrinone — non disponible en Algérie).</w:t>
      </w:r>
    </w:p>
    <w:p>
      <w:pPr>
        <w:pStyle w:val="ListBullet"/>
      </w:pPr>
      <w:r>
        <w:t>Anticipation de l'accouchement selon le terme et l'indication obstétricale.</w:t>
      </w:r>
    </w:p>
    <w:p>
      <w:r/>
      <w:r>
        <w:rPr>
          <w:b/>
        </w:rPr>
        <w:t>Allaitement</w:t>
      </w:r>
      <w:r>
        <w:t xml:space="preserve"> : la dobutamine passe dans le lait maternel en quantités très faibles (rapport lait/plasma très bas, demi-vie courte), et est oralement inactivée par les enzymes digestives de l'enfant. L'utilisation ponctuelle de la dobutamine en réanimation est compatible avec la reprise de l'allaitement après récupération maternelle. En cas de perfusion prolongée, suspension de l'allaitement jusqu'au sevrage.</w:t>
      </w:r>
    </w:p>
    <w:p>
      <w:r/>
      <w:r>
        <w:rPr>
          <w:b/>
        </w:rPr>
        <w:t>Surveillance obstétricale et fœtale après dobutamine</w:t>
      </w:r>
      <w:r>
        <w:t xml:space="preserve"> :</w:t>
      </w:r>
    </w:p>
    <w:p>
      <w:pPr>
        <w:pStyle w:val="ListBullet"/>
      </w:pPr>
      <w:r>
        <w:t>Échographie fœtale dans les 24-48 h pour évaluation du bien-être fœtal (RHJ, croissance, liquide amniotique).</w:t>
      </w:r>
    </w:p>
    <w:p>
      <w:pPr>
        <w:pStyle w:val="ListBullet"/>
      </w:pPr>
      <w:r>
        <w:t>RHJ continu pendant toute la durée de la perfusion.</w:t>
      </w:r>
    </w:p>
    <w:p>
      <w:pPr>
        <w:pStyle w:val="ListBullet"/>
      </w:pPr>
      <w:r>
        <w:t>Surveillance glycémique néonatale en post-partum immédiat (risque d'hypoglycémie par épuisement des réserves néonatales après stimulation β2 maternelle).</w:t>
      </w:r>
    </w:p>
    <w:p>
      <w:pPr>
        <w:pStyle w:val="Heading3"/>
      </w:pPr>
      <w:r>
        <w:t>184.2.1.10 Formes galéniques disponibles</w:t>
      </w:r>
    </w:p>
    <w:p>
      <w:r/>
      <w:r>
        <w:rPr>
          <w:b/>
        </w:rPr>
        <w:t>Forme injectable</w:t>
      </w:r>
      <w:r>
        <w:t xml:space="preserve"> (essentielle en réanimation) :</w:t>
      </w:r>
    </w:p>
    <w:p>
      <w:pPr>
        <w:pStyle w:val="ListBullet"/>
      </w:pPr>
      <w:r/>
      <w:r>
        <w:rPr>
          <w:b/>
        </w:rPr>
        <w:t>Lyophilisat pour solution injectable IV 250 mg/flacon</w:t>
      </w:r>
      <w:r>
        <w:t xml:space="preserve"> : Cardiject (Sun Pharmaceuticals) — flacon de poudre lyophilisée à reconstituer dans 20 mL d'eau pour préparation injectable (EPPI) ou NaCl 0,9 %, donnant une concentration de 12,5 mg/mL. Forme de référence en Algérie, à diluer ensuite en pharmacie centrale selon protocole (250 mg dans 50 mL NaCl 0,9 % → 5 mg/mL, concentration standard pour SE).</w:t>
      </w:r>
    </w:p>
    <w:p>
      <w:pPr>
        <w:pStyle w:val="ListBullet"/>
      </w:pPr>
      <w:r/>
      <w:r>
        <w:rPr>
          <w:b/>
        </w:rPr>
        <w:t>Solution injectable pour perfusion 250 mg/20 mL (12,5 mg/mL)</w:t>
      </w:r>
      <w:r>
        <w:t xml:space="preserve"> : forme prête à diluer, ancienne présentation Dobutrex, Dobuject, Dobutamine Mylan, Dobutamine Panpharma — NON_RENOUVELABLES en Algérie.</w:t>
      </w:r>
    </w:p>
    <w:p>
      <w:pPr>
        <w:pStyle w:val="ListBullet"/>
      </w:pPr>
      <w:r/>
      <w:r>
        <w:rPr>
          <w:b/>
        </w:rPr>
        <w:t>Solution injectable à diluer pour perfusion 250 mg/20 mL</w:t>
      </w:r>
      <w:r>
        <w:t xml:space="preserve"> : forme alternative disponible à l'étranger (Dobutamine Aguettant, Dobutamine Fresenius) — non disponible en Algérie.</w:t>
      </w:r>
    </w:p>
    <w:p>
      <w:r/>
      <w:r>
        <w:rPr>
          <w:b/>
        </w:rPr>
        <w:t>Voies d'administration</w:t>
      </w:r>
      <w:r>
        <w:t xml:space="preserve"> :</w:t>
      </w:r>
    </w:p>
    <w:p>
      <w:pPr>
        <w:pStyle w:val="ListBullet"/>
      </w:pPr>
      <w:r>
        <w:t>Voie IV périphérique acceptable (tolérance veineuse correcte, dilution ≥ 1 mg/mL).</w:t>
      </w:r>
    </w:p>
    <w:p>
      <w:pPr>
        <w:pStyle w:val="ListBullet"/>
      </w:pPr>
      <w:r>
        <w:t>Voie IV centrale préférentielle pour perfusion &gt; 24 h.</w:t>
      </w:r>
    </w:p>
    <w:p>
      <w:pPr>
        <w:pStyle w:val="ListBullet"/>
      </w:pPr>
      <w:r>
        <w:t>Voie intra-osseuse (IO) en l'absence d'abord veineux (même dose).</w:t>
      </w:r>
    </w:p>
    <w:p>
      <w:r/>
      <w:r>
        <w:rPr>
          <w:b/>
        </w:rPr>
        <w:t>Formes orales</w:t>
      </w:r>
      <w:r>
        <w:t xml:space="preserve"> : non disponibles (inactivation digestive).</w:t>
      </w:r>
    </w:p>
    <w:p>
      <w:r/>
      <w:r>
        <w:rPr>
          <w:b/>
        </w:rPr>
        <w:t>Formes inhalées</w:t>
      </w:r>
      <w:r>
        <w:t xml:space="preserve"> : non disponibles.</w:t>
      </w:r>
    </w:p>
    <w:p>
      <w:r/>
      <w:r>
        <w:rPr>
          <w:b/>
        </w:rPr>
        <w:t>Conservation</w:t>
      </w:r>
      <w:r>
        <w:t xml:space="preserve"> :</w:t>
      </w:r>
    </w:p>
    <w:p>
      <w:pPr>
        <w:pStyle w:val="ListBullet"/>
      </w:pPr>
      <w:r>
        <w:t>À conserver à l'abri de la lumière (photosensibilité).</w:t>
      </w:r>
    </w:p>
    <w:p>
      <w:pPr>
        <w:pStyle w:val="ListBullet"/>
      </w:pPr>
      <w:r>
        <w:t>Température &lt; 25 °C (pas de congélation).</w:t>
      </w:r>
    </w:p>
    <w:p>
      <w:pPr>
        <w:pStyle w:val="ListBullet"/>
      </w:pPr>
      <w:r>
        <w:t>Lyophilisat : utilisation immédiate après reconstitution.</w:t>
      </w:r>
    </w:p>
    <w:p>
      <w:pPr>
        <w:pStyle w:val="ListBullet"/>
      </w:pPr>
      <w:r>
        <w:t>Après dilution : 24 heures maximum (selon recommandations fabricant).</w:t>
      </w:r>
    </w:p>
    <w:p>
      <w:pPr>
        <w:pStyle w:val="ListBullet"/>
      </w:pPr>
      <w:r>
        <w:t>Vérification visuelle avant emploi : solution limpide incolore à légèrement jaune ; ne pas utiliser si coloration brune ou présence de précipité.</w:t>
      </w:r>
    </w:p>
    <w:p>
      <w:r/>
      <w:r>
        <w:rPr>
          <w:b/>
        </w:rPr>
        <w:t>Stockage et gestion de la pénurie algérienne</w:t>
      </w:r>
      <w:r>
        <w:t xml:space="preserve"> :</w:t>
      </w:r>
    </w:p>
    <w:p>
      <w:pPr>
        <w:pStyle w:val="ListBullet"/>
      </w:pPr>
      <w:r>
        <w:t>Stock minimum recommandé : 30 jours de consommation pour chaque service de réanimation cardiologique et de soins intensifs.</w:t>
      </w:r>
    </w:p>
    <w:p>
      <w:pPr>
        <w:pStyle w:val="ListBullet"/>
      </w:pPr>
      <w:r>
        <w:t>Procédure d'ATU en cas de rupture de Cardiject.</w:t>
      </w:r>
    </w:p>
    <w:p>
      <w:pPr>
        <w:pStyle w:val="ListBullet"/>
      </w:pPr>
      <w:r>
        <w:t>Signalement systématique à la pharmacovigilance nationale et au Ministère de la Santé en cas de rupture de stock menaçant la sécurité des patients.</w:t>
      </w:r>
    </w:p>
    <w:p>
      <w:pPr>
        <w:pStyle w:val="ListBullet"/>
      </w:pPr>
      <w:r>
        <w:t>Protocole alternatif en cas d'indisponibilité : adrénaline IV continue 0,05-0,5 µg/kg/min (effet inotrope positif mais plus arythmogène) ou milrinone (non disponible en Algérie).</w:t>
      </w:r>
    </w:p>
    <w:p>
      <w:pPr>
        <w:pStyle w:val="Heading3"/>
      </w:pPr>
      <w:r>
        <w:t>184.2.1.11 Conseils au patient et à l'équipe soignante</w:t>
      </w:r>
    </w:p>
    <w:p>
      <w:r>
        <w:t>La dobutamine étant administrée exclusivement en réanimation cardiologique ou bloc opératoire, les conseils s'adressent à l'équipe soignante (médecins réanimateurs, cardiologues intensivistes, anesthésistes, infirmiers de réanimation, pharmaciens hospitaliers).</w:t>
      </w:r>
    </w:p>
    <w:p>
      <w:r/>
      <w:r>
        <w:rPr>
          <w:b/>
        </w:rPr>
        <w:t>Conseils à l'équipe soignante</w:t>
      </w:r>
      <w:r>
        <w:t xml:space="preserve"> :</w:t>
      </w:r>
    </w:p>
    <w:p>
      <w:pPr>
        <w:pStyle w:val="ListBullet"/>
      </w:pPr>
      <w:r/>
      <w:r>
        <w:rPr>
          <w:b/>
        </w:rPr>
        <w:t>Vérification systématique de la concentration</w:t>
      </w:r>
      <w:r>
        <w:t xml:space="preserve"> : erreur la plus fréquente (confusion 250 mg/flacon, 250 mg/20 mL, dilution finale). Double contrôle pharmacien/médecin, étiquetage explicite.</w:t>
      </w:r>
    </w:p>
    <w:p>
      <w:pPr>
        <w:pStyle w:val="ListBullet"/>
      </w:pPr>
      <w:r/>
      <w:r>
        <w:rPr>
          <w:b/>
        </w:rPr>
        <w:t>Reconstitution du lyophilisat</w:t>
      </w:r>
      <w:r>
        <w:t xml:space="preserve"> : Cardiject flacon de 250 mg → diluer dans 20 mL EPPI ou NaCl 0,9 % → 12,5 mg/mL → diluer à nouveau dans 50 mL NaCl 0,9 % → 5 mg/mL (concentration standard pour SE).</w:t>
      </w:r>
    </w:p>
    <w:p>
      <w:pPr>
        <w:pStyle w:val="ListBullet"/>
      </w:pPr>
      <w:r/>
      <w:r>
        <w:rPr>
          <w:b/>
        </w:rPr>
        <w:t>Voie veineuse centrale préférentielle</w:t>
      </w:r>
      <w:r>
        <w:t xml:space="preserve"> pour perfusion &gt; 24 h, vérification du bon positionnement par cliché thoracique.</w:t>
      </w:r>
    </w:p>
    <w:p>
      <w:pPr>
        <w:pStyle w:val="ListBullet"/>
      </w:pPr>
      <w:r/>
      <w:r>
        <w:rPr>
          <w:b/>
        </w:rPr>
        <w:t>Seringue électrique ou pompe volumétrique</w:t>
      </w:r>
      <w:r>
        <w:t xml:space="preserve"> obligatoire (pas de perfusion gravitaire en raison de la demi-vie courte et du risque d'effondrement tensionnel à l'arrêt).</w:t>
      </w:r>
    </w:p>
    <w:p>
      <w:pPr>
        <w:pStyle w:val="ListBullet"/>
      </w:pPr>
      <w:r/>
      <w:r>
        <w:rPr>
          <w:b/>
        </w:rPr>
        <w:t>Ne jamais bolus IV direct</w:t>
      </w:r>
      <w:r>
        <w:t xml:space="preserve"> (risque de tachycardie sévère, FV, hémorragie cérébrale par hypertension paroxystique).</w:t>
      </w:r>
    </w:p>
    <w:p>
      <w:pPr>
        <w:pStyle w:val="ListBullet"/>
      </w:pPr>
      <w:r/>
      <w:r>
        <w:rPr>
          <w:b/>
        </w:rPr>
        <w:t>Surveillance continue</w:t>
      </w:r>
      <w:r>
        <w:t xml:space="preserve"> : scope ECG (segment ST, rythme), PA invasive, SpO2, fréquence respiratoire, état de conscience (Glasgow), diurèse horaire (sonde vésicale), température.</w:t>
      </w:r>
    </w:p>
    <w:p>
      <w:pPr>
        <w:pStyle w:val="ListBullet"/>
      </w:pPr>
      <w:r/>
      <w:r>
        <w:rPr>
          <w:b/>
        </w:rPr>
        <w:t>Bilan biologique</w:t>
      </w:r>
      <w:r>
        <w:t xml:space="preserve"> : ionogramme (kaliémie, magnésémie), créatinine, glycémie capillaire, lactates, gaz du sang, troponines, BNP, ScvO2 (cathéter central), toutes les 6-12 h.</w:t>
      </w:r>
    </w:p>
    <w:p>
      <w:pPr>
        <w:pStyle w:val="ListBullet"/>
      </w:pPr>
      <w:r/>
      <w:r>
        <w:rPr>
          <w:b/>
        </w:rPr>
        <w:t>Échocardiographie trans-thoracique ou trans-œsophagienne</w:t>
      </w:r>
      <w:r>
        <w:t xml:space="preserve"> pour évaluation de la cinétique ventriculaire, du débit cardiaque, de la FEVG, des pressions de remplissage.</w:t>
      </w:r>
    </w:p>
    <w:p>
      <w:pPr>
        <w:pStyle w:val="ListBullet"/>
      </w:pPr>
      <w:r/>
      <w:r>
        <w:rPr>
          <w:b/>
        </w:rPr>
        <w:t>Cathéter artériel pulmonaire (Swan-Ganz)</w:t>
      </w:r>
      <w:r>
        <w:t xml:space="preserve"> dans les chocs cardiogéniques sévères ou complexes pour mesure de PCP, débit cardiaque (thermodilution), résistances vasculaires systémiques et pulmonaires, saturation veineuse mêlée (SvO2).</w:t>
      </w:r>
    </w:p>
    <w:p>
      <w:pPr>
        <w:pStyle w:val="ListBullet"/>
      </w:pPr>
      <w:r/>
      <w:r>
        <w:rPr>
          <w:b/>
        </w:rPr>
        <w:t>Sevrage progressif</w:t>
      </w:r>
      <w:r>
        <w:t xml:space="preserve"> par paliers de 1-2 µg/kg/min toutes les 30 min, surveillance ECG et PA. Ne jamais arrêter brutalement.</w:t>
      </w:r>
    </w:p>
    <w:p>
      <w:pPr>
        <w:pStyle w:val="ListBullet"/>
      </w:pPr>
      <w:r/>
      <w:r>
        <w:rPr>
          <w:b/>
        </w:rPr>
        <w:t>Anticipation de la rupture de stock</w:t>
      </w:r>
      <w:r>
        <w:t xml:space="preserve"> : commande anticipée, gestion des stocks, procédure d'ATU, protocole alternatif par adrénaline ou milrinone.</w:t>
      </w:r>
    </w:p>
    <w:p>
      <w:pPr>
        <w:pStyle w:val="ListBullet"/>
      </w:pPr>
      <w:r/>
      <w:r>
        <w:rPr>
          <w:b/>
        </w:rPr>
        <w:t>Éducation du patient conscient</w:t>
      </w:r>
      <w:r>
        <w:t xml:space="preserve"> : information sur la perfusion continue, les sensations possibles (palpitations, angoisse, tremblements), la surveillance continue. Rassurance.</w:t>
      </w:r>
    </w:p>
    <w:p>
      <w:r/>
      <w:r>
        <w:rPr>
          <w:b/>
        </w:rPr>
        <w:t>Conseils au patient</w:t>
      </w:r>
      <w:r>
        <w:t xml:space="preserve"> (lors de la sortie de réanimation) :</w:t>
      </w:r>
    </w:p>
    <w:p>
      <w:pPr>
        <w:pStyle w:val="ListBullet"/>
      </w:pPr>
      <w:r>
        <w:t>Information sur le sevrage progressif et la mise en route du traitement oral de fond (IEC/ARA2, β-bloquants, antagonistes minéralocorticoïdes, diurétiques).</w:t>
      </w:r>
    </w:p>
    <w:p>
      <w:pPr>
        <w:pStyle w:val="ListBullet"/>
      </w:pPr>
      <w:r>
        <w:t>Suivi cardiologique rapproché (consultation à 7-15 jours post-sortie).</w:t>
      </w:r>
    </w:p>
    <w:p>
      <w:pPr>
        <w:pStyle w:val="ListBullet"/>
      </w:pPr>
      <w:r>
        <w:t>Surveillance du poids quotidien, du rythme cardiaque, de la PA (auto-mesure).</w:t>
      </w:r>
    </w:p>
    <w:p>
      <w:pPr>
        <w:pStyle w:val="ListBullet"/>
      </w:pPr>
      <w:r>
        <w:t>Régime hyposodé, restriction hydrique si insuffisance cardiaque avancée.</w:t>
      </w:r>
    </w:p>
    <w:p>
      <w:pPr>
        <w:pStyle w:val="ListBullet"/>
      </w:pPr>
      <w:r>
        <w:t>Vaccination anti-grippale et anti-pneumococcique (prévention des décompensations).</w:t>
      </w:r>
    </w:p>
    <w:p>
      <w:pPr>
        <w:pStyle w:val="Heading3"/>
      </w:pPr>
      <w:r>
        <w:t>184.2.1.12 Pièges au comptoir — Règles d'or</w:t>
      </w:r>
    </w:p>
    <w:p>
      <w:r/>
      <w:r>
        <w:rPr>
          <w:b/>
        </w:rPr>
        <w:t>Piège n°1 — Disponibilité algérienne limitée</w:t>
      </w:r>
      <w:r>
        <w:t xml:space="preserve"> : seule Cardiject (Sun Pharma) est active, les autres marques (Dobutrex, Dobuject, Dobutamine Mylan, Panpharma, Liorad) sont NON_RENOUVELABLES ou RETIRÉES. Règle d'or : stock de sécurité minimum de 30 jours, procédure d'ATU, protocole alternatif par adrénaline.</w:t>
      </w:r>
    </w:p>
    <w:p>
      <w:r/>
      <w:r>
        <w:rPr>
          <w:b/>
        </w:rPr>
        <w:t>Piège n°2 — Bolus IV direct</w:t>
      </w:r>
      <w:r>
        <w:t xml:space="preserve"> : erreur gravissime → tachycardie ventriculaire, FV, hypertension paroxystique, hémorragie cérébrale. Règle d'or : JAMAIS de bolus IV direct ; perfusion continue stricte avec seringue électrique.</w:t>
      </w:r>
    </w:p>
    <w:p>
      <w:r/>
      <w:r>
        <w:rPr>
          <w:b/>
        </w:rPr>
        <w:t>Piège n°3 — Erreur de dilution</w:t>
      </w:r>
      <w:r>
        <w:t xml:space="preserve"> : confusion 250 mg/flacon vs 250 mg/20 mL, dilution finale 1 mg/mL vs 5 mg/mL. Règle d'or : double contrôle pharmacien/médecin, étiquetage explicite, protocole de dilution standardisé affiché.</w:t>
      </w:r>
    </w:p>
    <w:p>
      <w:r/>
      <w:r>
        <w:rPr>
          <w:b/>
        </w:rPr>
        <w:t>Piège n°4 — Patient sous β-bloquant</w:t>
      </w:r>
      <w:r>
        <w:t xml:space="preserve"> : antagonisme pharmacologique, diminution de l'effet inotrope et chronotrope. Règle d'or : augmenter la dose de dobutamine, ou recourir à un agent non β-dépendant (milrinone si disponible, IEC de la PDE III).</w:t>
      </w:r>
    </w:p>
    <w:p>
      <w:r/>
      <w:r>
        <w:rPr>
          <w:b/>
        </w:rPr>
        <w:t>Piège n°5 — Coronarien non surveillé</w:t>
      </w:r>
      <w:r>
        <w:t xml:space="preserve"> : ischémie myocardique silencieuse sous dobutamine. Règle d'or : surveillance ECG segment ST continu, troponines, échocardiographie.</w:t>
      </w:r>
    </w:p>
    <w:p>
      <w:r/>
      <w:r>
        <w:rPr>
          <w:b/>
        </w:rPr>
        <w:t>Piège n°6 — Hypokaliémie non corrigée</w:t>
      </w:r>
      <w:r>
        <w:t xml:space="preserve"> : majoration du risque d'arythmies ventriculaires graves. Règle d'or : bilan ionogramme avant et pendant la perfusion, supplémentation potassique et magnésique.</w:t>
      </w:r>
    </w:p>
    <w:p>
      <w:r/>
      <w:r>
        <w:rPr>
          <w:b/>
        </w:rPr>
        <w:t>Piège n°7 — Arrêt brutal</w:t>
      </w:r>
      <w:r>
        <w:t xml:space="preserve"> : récidive du bas débit cardiaque, œdème pulmonaire, collapsus. Règle d'or : sevrage progressif par paliers, surveillance PA et ECG, anticipation du relais per os.</w:t>
      </w:r>
    </w:p>
    <w:p>
      <w:r/>
      <w:r>
        <w:rPr>
          <w:b/>
        </w:rPr>
        <w:t>Piège n°8 — Femme enceinte sans surveillance fœtale</w:t>
      </w:r>
      <w:r>
        <w:t xml:space="preserve"> : tachycardie fœtale non détectée, hypoglycémie néonatale. Règle d'or : RHJ fœtal continu pendant toute la perfusion, surveillance glycémique néonatale.</w:t>
      </w:r>
    </w:p>
    <w:p>
      <w:r/>
      <w:r>
        <w:rPr>
          <w:b/>
        </w:rPr>
        <w:t>Piège n°9 — Mélange avec bicarbonate ou héparine</w:t>
      </w:r>
      <w:r>
        <w:t xml:space="preserve"> : inactivation chimique, précipitation. Règle d'or : vérifier la compatibilité avant tout mélange, voie dédiée si nécessaire.</w:t>
      </w:r>
    </w:p>
    <w:p>
      <w:r/>
      <w:r>
        <w:rPr>
          <w:b/>
        </w:rPr>
        <w:t>Piège n°10 — Confusion avec la dopamine</w:t>
      </w:r>
      <w:r>
        <w:t xml:space="preserve"> : profils pharmacologiques différents (dopamine a un effet δ rénal mythique non confirmé, plus arythmogène, déclassé par SOAP II). Règle d'or : ne pas substituer dobutamine par dopamine, ni l'inverse ; respecter les indications spécifiques de chaque molécule.</w:t>
      </w:r>
    </w:p>
    <w:p>
      <w:pPr>
        <w:pStyle w:val="Heading2"/>
      </w:pPr>
      <w:r>
        <w:t>184.3 Sous-classe 3 — Réanimation : Anti-hyperthermie maligne (dantrolène)</w:t>
      </w:r>
    </w:p>
    <w:p>
      <w:pPr>
        <w:pStyle w:val="Heading3"/>
      </w:pPr>
      <w:r>
        <w:t>184.3.0 Introduction à la sous-classe des antagonistes de l'hyperthermie maligne anesthésique</w:t>
      </w:r>
    </w:p>
    <w:p>
      <w:r>
        <w:t>L'hyperthermie maligne anesthésique (HM) est une affection pharmacogénétique rare (incidence 1/5 000 à 1/50 000 anesthésies générales) caractérisée par une hypermétabolisme musculaire déclenché par l'exposition à des agents anesthésiques halogénés (halothane, isoflurane, sévoflurane, desflurane) ou dépolarisants (succinylcholine), chez des sujets porteurs de mutations des gènes codant pour le récepteur ryanodine de type 1 (RyR1, chr 19q13.1, 70 % des cas) ou la sous-unité α1 du récepteur dihydropyridine (CACNA1S, chr 1q32, 1 % des cas). L'HM se manifeste cliniquement par une hypercapnie précoce (augmentation du CO2 expiré), tachycardie, rigidité musculaire (en particulier masséterine après succinylcholine), hyperthermie (jusqu'à 44-45 °C), rhabdomyolyse (élévation majeure des CPK), myoglobinurie, troubles du rythme, collapsus, décès en l'absence de traitement (mortalité 70-80 % non traitée, ramenée à &lt; 5 % par le dantrolène précoce).</w:t>
      </w:r>
    </w:p>
    <w:p>
      <w:r>
        <w:t>Le dantrolène est l'unique traitement étiologique de l'HM. Il s'agit d'un dérivé de l'hydantoïne (1-[[5-(4-nitrophényl)-2-furanyl]méthylène]amino-imidazolidine-2,4-dione, formule C14H10N4O6, masse molaire 314,25 g/mol), synthétisé en 1967 par Snyder et collaborateurs chez Norwich Eaton Pharmaceuticals et utilisé comme myorelaxant direct (différent des curares qui agissent au niveau de la jonction neuromusculaire). Son efficacité dans l'HM fut démontrée en 1979 par Harrison dans un modèle porcin (race Pietrain prédisposée), conduisant à son AMM en 1982 comme antidote spécifique de l'HM. La molécule agit en bloquant directement le récepteur ryanodine RyR1 du réticulum sarcoplasmique musculaire, empêchant la libération massive de calcium responsable de la contraction musculaire soutenue et de l'hypermétabolisme.</w:t>
      </w:r>
    </w:p>
    <w:p>
      <w:r/>
      <w:r>
        <w:rPr>
          <w:b/>
        </w:rPr>
        <w:t>⚠ ALERTE CRITIQUE DE SÉCURITÉ — DANTROLÈNE RETIRÉ DU MARCHÉ ALGÉRIEN ⚠</w:t>
      </w:r>
      <w:r/>
    </w:p>
    <w:p>
      <w:r>
        <w:t>Le dantrolène, médicament essentiel de sécurité anesthésique, est actuellement classé RETIRÉ du marché algérien (Dantrium 25 mg et 100 mg de Merck Lipha Santé). Cette situation pose un problème de sécurité anesthésique majeur : en l'absence de dantrolène, la survenue d'une hyperthermie maligne anesthésique en bloc opératoire algérien est fatale dans la majorité des cas. Les recommandations des sociétés savantes internationales (Association of Anaesthetists of Great Britain and Ireland AAGBI 2011, European Malignant Hyperthermia Group EMHG 2019, Société Française d'Anesthésie-Réanimation SFAR) imposent la disponibilité d'un stock minimum de 36 flacons de dantrolène 20 mg (soit 720 mg) dans chaque établissement pratiquant l'anesthésie générale, avec un délai d'accessibilité &lt; 10 minutes. L'absence de dantrolène en Algérie expose les anesthésistes à des poursuites médico-légales et les patients à un risque vital non couvert.</w:t>
      </w:r>
    </w:p>
    <w:p>
      <w:r>
        <w:t>Les stratégies alternatives en l'attente d'un réapprovisionnement sont : (i) procédure d'ATU nominative ou nominative de cohorte pour importation de dantrolène étranger (Dantrium, Revonto, Ryanodex — formulation liposomiale); (ii) protocole de prévention par repérage des patients à risque (antécédents personnels ou familiaux d'HM, myopathies génétiquement associées — Central Core Disease, multi-minicore disease, myopathie centronucléaire), utilisation de techniques anesthésiques déclencheur-free (anesthésie intraveineuse totale TIVA par propofol, rémifentanil, sufentanil ; anesthésie régionale ; évitement strict de la succinylcholine et des halogénés) ; (iii) refroidissement actif rapide en cas de survenue (glace, refroidissement cutané, perfusion de cristalloïdes froids, lavage gastrique et vésical froid), correction des troubles métaboliques (bicarbonate pour acidose, insuline-glucose pour hyperkaliémie, mannitol pour myoglobinurie).</w:t>
      </w:r>
    </w:p>
    <w:p>
      <w:pPr>
        <w:pStyle w:val="Heading2"/>
      </w:pPr>
      <w:r>
        <w:t>184.3.1 DCI 4 — Dantrolène</w:t>
      </w:r>
    </w:p>
    <w:p>
      <w:pPr>
        <w:pStyle w:val="Heading3"/>
      </w:pPr>
      <w:r>
        <w:t>184.3.1.1 Catégories pharmaco-thérapeutiques et indications</w:t>
      </w:r>
    </w:p>
    <w:p>
      <w:r>
        <w:t>Le dantrolène (1-[[5-(4-nitrophényl)-2-furanyl]méthylène]amino-imidazolidine-2,4-dione, formule C14H10N4O6, masse molaire 314,25 g/mol) est classé en catégorie pharmacothérapeutique des « myorelaxants d'action directe (décontracturants musculaires) », code ATC M03CA01 (myorelaxants à action directe — dantrolène). Il est inscrit sur la Liste des médicaments essentiels de l'OMS comme antidote de l'hyperthermie maligne anesthésique. En Algérie, il était classé sur la Liste I des substances vénéneuses, mais il est actuellement RETIRÉ du marché algérien, ce qui constitue une alerte de sécurité anesthésique majeure.</w:t>
      </w:r>
    </w:p>
    <w:p>
      <w:r>
        <w:t>Les indications réglementaires (AMM) du dantrolène sont : (1) traitement curatif de l'hyperthermie maligne anesthésique en peropératoire (indication vitale, niveau de preuve 1A) ; (2) prophylaxie de l'hyperthermie maligne chez les patients à risque (antécédents personnels ou familiaux d'HM, myopathies associées — Central Core Disease) nécessitant une anesthésie générale ; (3) syndrome malin des neuroleptiques (en cas d'hyperthermie sévère et rigidité musculaire, en association aux mesures symptomatiques et au bromocriptine) ; (4) spasticité musculaire chronique sévère (sclérose en plaques, traumatisme médullaire, hémiplégie vasculaire, paraplégie) — indication de deuxième intention en raison des effets indésirables hépatiques à long terme ; (5) hyperthermie liée à l'ecstasy ou à d'autres amphétamines ( MDMA, MDA — intervention controversée, parfois utilisée en cas d'hyperthermie réfractaire). Le dantrolène n'est pas efficace dans l'hyperthermie classique d'effort ou l'hyperthermie du coup de chaleur (efficacité non démontrée).</w:t>
      </w:r>
    </w:p>
    <w:p>
      <w:pPr>
        <w:pStyle w:val="Heading3"/>
      </w:pPr>
      <w:r>
        <w:t>184.3.1.2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DANTRIUM</w:t>
            </w:r>
          </w:p>
        </w:tc>
        <w:tc>
          <w:tcPr>
            <w:tcW w:type="dxa" w:w="1559"/>
          </w:tcPr>
          <w:p>
            <w:r>
              <w:rPr>
                <w:sz w:val="20"/>
              </w:rPr>
              <w:t>MERCK LIPHA SANTE S.A.S</w:t>
            </w:r>
          </w:p>
        </w:tc>
        <w:tc>
          <w:tcPr>
            <w:tcW w:type="dxa" w:w="1559"/>
          </w:tcPr>
          <w:p>
            <w:r>
              <w:rPr>
                <w:sz w:val="20"/>
              </w:rPr>
              <w:t>Gélule 25 mg</w:t>
            </w:r>
          </w:p>
        </w:tc>
        <w:tc>
          <w:tcPr>
            <w:tcW w:type="dxa" w:w="1559"/>
          </w:tcPr>
          <w:p>
            <w:r>
              <w:rPr>
                <w:sz w:val="20"/>
              </w:rPr>
              <w:t>B/50</w:t>
            </w:r>
          </w:p>
        </w:tc>
        <w:tc>
          <w:tcPr>
            <w:tcW w:type="dxa" w:w="1559"/>
          </w:tcPr>
          <w:p>
            <w:r>
              <w:rPr>
                <w:sz w:val="20"/>
              </w:rPr>
              <w:t>Liste I</w:t>
            </w:r>
          </w:p>
        </w:tc>
        <w:tc>
          <w:tcPr>
            <w:tcW w:type="dxa" w:w="1559"/>
          </w:tcPr>
          <w:p>
            <w:r>
              <w:rPr>
                <w:sz w:val="20"/>
              </w:rPr>
              <w:t>Retrait</w:t>
            </w:r>
          </w:p>
        </w:tc>
      </w:tr>
      <w:tr>
        <w:tc>
          <w:tcPr>
            <w:tcW w:type="dxa" w:w="1559"/>
          </w:tcPr>
          <w:p>
            <w:r>
              <w:rPr>
                <w:sz w:val="20"/>
              </w:rPr>
              <w:t>DANTRIUM</w:t>
            </w:r>
          </w:p>
        </w:tc>
        <w:tc>
          <w:tcPr>
            <w:tcW w:type="dxa" w:w="1559"/>
          </w:tcPr>
          <w:p>
            <w:r>
              <w:rPr>
                <w:sz w:val="20"/>
              </w:rPr>
              <w:t>MERCK LIPHA SANTE S.A.S</w:t>
            </w:r>
          </w:p>
        </w:tc>
        <w:tc>
          <w:tcPr>
            <w:tcW w:type="dxa" w:w="1559"/>
          </w:tcPr>
          <w:p>
            <w:r>
              <w:rPr>
                <w:sz w:val="20"/>
              </w:rPr>
              <w:t>Gélule 100 mg</w:t>
            </w:r>
          </w:p>
        </w:tc>
        <w:tc>
          <w:tcPr>
            <w:tcW w:type="dxa" w:w="1559"/>
          </w:tcPr>
          <w:p>
            <w:r>
              <w:rPr>
                <w:sz w:val="20"/>
              </w:rPr>
              <w:t>B/30</w:t>
            </w:r>
          </w:p>
        </w:tc>
        <w:tc>
          <w:tcPr>
            <w:tcW w:type="dxa" w:w="1559"/>
          </w:tcPr>
          <w:p>
            <w:r>
              <w:rPr>
                <w:sz w:val="20"/>
              </w:rPr>
              <w:t>Liste I</w:t>
            </w:r>
          </w:p>
        </w:tc>
        <w:tc>
          <w:tcPr>
            <w:tcW w:type="dxa" w:w="1559"/>
          </w:tcPr>
          <w:p>
            <w:r>
              <w:rPr>
                <w:sz w:val="20"/>
              </w:rPr>
              <w:t>Retrait</w:t>
            </w:r>
          </w:p>
        </w:tc>
      </w:tr>
    </w:tbl>
    <w:p/>
    <w:p>
      <w:r/>
      <w:r>
        <w:rPr>
          <w:b/>
        </w:rPr>
        <w:t>⚠ ALERTE CRITIQUE — DANTROLÈNE RETIRÉ DU MARCHÉ ALGÉRIEN ⚠</w:t>
      </w:r>
      <w:r/>
    </w:p>
    <w:p>
      <w:r>
        <w:t>Le dantrolène (Dantrium 25 mg et 100 mg, Merck Lipha Santé) est actuellement RETIRÉ du marché algérien dans toutes ses présentations. Cette situation constitue une menace directe pour la sécurité des patients anesthésiés en Algérie, car le dantrolène est l'unique traitement étiologique de l'hyperthermie maligne anesthésique, urgence vitale anesthésique dont la mortalité sans traitement dépasse 70-80 %. Le retrait du dantrolène survient alors que les recommandations internationales (EMHG, AAGBI, SFAR, ASA) imposent la disponibilité d'un stock minimum de 36 flacons de dantrolène 20 mg (720 mg) ou de 3 flacons de formulation liposomiale (Ryanodex 250 mg) dans chaque établissement pratiquant l'anesthésie générale. Les conséquences pour la pratique anesthésique algérienne sont majeures :</w:t>
      </w:r>
    </w:p>
    <w:p>
      <w:pPr>
        <w:pStyle w:val="ListNumber"/>
      </w:pPr>
      <w:r/>
      <w:r>
        <w:rPr>
          <w:b/>
        </w:rPr>
        <w:t>Obligation morale et médico-légale</w:t>
      </w:r>
      <w:r>
        <w:t xml:space="preserve"> : tout bloc opératoire sans dantrolène disponible ne devrait pas pratiquer d'anesthésies générales utilisant des agents déclencheurs (halogénés, succinylcholine).</w:t>
      </w:r>
    </w:p>
    <w:p>
      <w:pPr>
        <w:pStyle w:val="ListNumber"/>
      </w:pPr>
      <w:r/>
      <w:r>
        <w:rPr>
          <w:b/>
        </w:rPr>
        <w:t>Stratégies alternatives d'approvisionnement</w:t>
      </w:r>
      <w:r>
        <w:t xml:space="preserve"> : procédure d'ATU nominative ou nominative de cohorte pour importation de dantrolène étranger (Dantrium, Revonto ; formulation liposomiale Ryanodex à 250 mg/flacon à reconstituer dans 5 mL — administration plus rapide en raison de la concentration élevée).</w:t>
      </w:r>
    </w:p>
    <w:p>
      <w:pPr>
        <w:pStyle w:val="ListNumber"/>
      </w:pPr>
      <w:r/>
      <w:r>
        <w:rPr>
          <w:b/>
        </w:rPr>
        <w:t>Protocoles de prévention</w:t>
      </w:r>
      <w:r>
        <w:t xml:space="preserve"> : identification systématique des patients à risque d'HM (antécédents personnels ou familiaux d'HM, myopathies évocatrices — Central Core Disease, multi-minicore myopathy, myopathie centronucléaire), utilisation systématique de techniques anesthésiques « trigger-free » (anesthésie intraveineuse totale TIVA par propofol-rémifentanil-sufentanil ; anesthésie loco-régionale ; évitement strict de la succinylcholine et des halogénés, purges des machines d'anesthésie avec ventilation au O2 100 % pendant ≥ 20 min, changement des circuits, des absorbeurs de CO2 et des tuyauteries).</w:t>
      </w:r>
    </w:p>
    <w:p>
      <w:pPr>
        <w:pStyle w:val="ListNumber"/>
      </w:pPr>
      <w:r/>
      <w:r>
        <w:rPr>
          <w:b/>
        </w:rPr>
        <w:t>Traitement symptomatique d'attente</w:t>
      </w:r>
      <w:r>
        <w:t xml:space="preserve"> : refroidissement actif (glace, perfusion de cristalloïdes froids à 4°C, lavage gastrique et vésical froid, refroidissement cutané par ventilation froide), correction de l'acidose (bicarbonate 1-2 mEq/kg), hyperkaliémie (insuline-glucose 10 UI + 50 g glucose, calcium gluconate 1 g), myoglobinurie (mannitol 0,5 g/kg, alcalinisation urinaire), troubles du rythme (lidocaïne, amiodarone).</w:t>
      </w:r>
    </w:p>
    <w:p>
      <w:pPr>
        <w:pStyle w:val="ListNumber"/>
      </w:pPr>
      <w:r/>
      <w:r>
        <w:rPr>
          <w:b/>
        </w:rPr>
        <w:t>Signalement obligatoire</w:t>
      </w:r>
      <w:r>
        <w:t xml:space="preserve"> à la pharmacovigilance nationale et au Ministère de la Santé algérien. Pétition des sociétés savantes (Société Algérienne d'Anesthésie-Réanimation SAAR) pour le réapprovisionnement urgent.</w:t>
      </w:r>
    </w:p>
    <w:p>
      <w:pPr>
        <w:pStyle w:val="Heading3"/>
      </w:pPr>
      <w:r>
        <w:t>184.3.1.3 Mécanisme d'action moléculaire, cellulaire et physiologique</w:t>
      </w:r>
    </w:p>
    <w:p>
      <w:r>
        <w:t>Le dantrolène exerce son effet thérapeutique en bloquant directement le récepteur ryanodine de type 1 (RyR1), canal calcique du réticulum sarcoplasmique des cellules musculaires striées squelettiques, indépendamment de tout récepteur membranaire (la molécule est un myorelaxant d'action directe, à distinguer des curares qui agissent au niveau de la jonction neuromusculaire).</w:t>
      </w:r>
    </w:p>
    <w:p>
      <w:r/>
      <w:r>
        <w:rPr>
          <w:b/>
        </w:rPr>
        <w:t>Niveau moléculaire — fixation sur le récepteur ryanodine RyR1</w:t>
      </w:r>
      <w:r>
        <w:t xml:space="preserve"> : le RyR1 est un homotétramère de 2,2 MDa formé de 4 sous-unités de 565 kDa chacune, constituant le plus grand canal ionique connu, situé dans la membrane du réticulum sarcoplasmique des cellules musculaires squelettiques. Le RyR1 s'ouvre en réponse à la dépolarisation de la membrane plasmique via le couplage mécano-chimique avec le récepteur dihydropyridine (DHPR, sous-unité α1S Cav1.1). L'ouverture du RyR1 libère le calcium stocké dans le réticulum vers le cytosol, déclenchant la contraction musculaire (couplage excitation-contraction). Dans l'hyperthermie maligne, des mutations du RyR1 (plus de 400 mutations identifiées à ce jour) ou du CACNA1S rendent le canal hypersensible et instable, s'ouvrant de façon excessive et prolongée en présence d'halogénés ou de succinylcholine. Le dantrolène se fixe sur un site allostérique du RyR1 (domaine N-terminal), induisant un changement conformationnel qui stabilise le canal en position fermée, réduisant de 80-90 % la probabilité d'ouverture spontanée ou pharmacologique. La fixation est préférentielle pour RyR1 (muscle squelettique) et n'affecte pas significativement RyR2 (cardiaque) ou RyR3 (cerveau, muscle lisse), expliquant la spécificité d'action du dantrolène sur le muscle squelettique sans effet cardiaque direct.</w:t>
      </w:r>
    </w:p>
    <w:p>
      <w:r/>
      <w:r>
        <w:rPr>
          <w:b/>
        </w:rPr>
        <w:t>Niveau cellulaire — blocage de la libération de calcium</w:t>
      </w:r>
      <w:r>
        <w:t xml:space="preserve"> : la conséquence directe est une diminution drastique de la concentration cytosolique libre en calcium des cellules musculaires striées, passant d'une hypercalcémie intracellulaire toxique (10-50 µM au lieu de 0,1-1 µM à l'état normal) à une concentration quasi normale. La contraction musculaire soutenue (rigidité) s'interrompt, le métabolisme aérobie et anaérobie s'apaise, la production de chaleur (hyperthermie) cesse, la consommation d'oxygène et la production de CO2 diminuent.</w:t>
      </w:r>
    </w:p>
    <w:p>
      <w:r/>
      <w:r>
        <w:rPr>
          <w:b/>
        </w:rPr>
        <w:t>Niveau physiologique — effet global</w:t>
      </w:r>
      <w:r>
        <w:t xml:space="preserve"> :</w:t>
      </w:r>
    </w:p>
    <w:p>
      <w:pPr>
        <w:pStyle w:val="ListBullet"/>
      </w:pPr>
      <w:r/>
      <w:r>
        <w:rPr>
          <w:b/>
        </w:rPr>
        <w:t>Relaxation musculaire</w:t>
      </w:r>
      <w:r>
        <w:t xml:space="preserve"> : la rigidité disparaît en 5-10 minutes après injection IV (délai de diffusion et de fixation).</w:t>
      </w:r>
    </w:p>
    <w:p>
      <w:pPr>
        <w:pStyle w:val="ListBullet"/>
      </w:pPr>
      <w:r/>
      <w:r>
        <w:rPr>
          <w:b/>
        </w:rPr>
        <w:t>Décroissance thermique</w:t>
      </w:r>
      <w:r>
        <w:t xml:space="preserve"> : la température centrale commence à décroître en 15-30 minutes (la température avait atteint 41-44°C en quelques minutes).</w:t>
      </w:r>
    </w:p>
    <w:p>
      <w:pPr>
        <w:pStyle w:val="ListBullet"/>
      </w:pPr>
      <w:r/>
      <w:r>
        <w:rPr>
          <w:b/>
        </w:rPr>
        <w:t>Régression de l'hypercapnie</w:t>
      </w:r>
      <w:r>
        <w:t xml:space="preserve"> : la capnie (CO2 expiré) diminue parallèlement à la baisse du métabolisme musculaire.</w:t>
      </w:r>
    </w:p>
    <w:p>
      <w:pPr>
        <w:pStyle w:val="ListBullet"/>
      </w:pPr>
      <w:r/>
      <w:r>
        <w:rPr>
          <w:b/>
        </w:rPr>
        <w:t>Diminution de la tachycardie</w:t>
      </w:r>
      <w:r>
        <w:t xml:space="preserve"> : réduction de la tachycardie sympathique réflexe.</w:t>
      </w:r>
    </w:p>
    <w:p>
      <w:pPr>
        <w:pStyle w:val="ListBullet"/>
      </w:pPr>
      <w:r/>
      <w:r>
        <w:rPr>
          <w:b/>
        </w:rPr>
        <w:t>Stabilisation hémodynamique</w:t>
      </w:r>
      <w:r>
        <w:t xml:space="preserve"> : correction de l'acidose métabolique sévère, des troubles du rythme (hyperkaliémie induite), du collapsus.</w:t>
      </w:r>
    </w:p>
    <w:p>
      <w:pPr>
        <w:pStyle w:val="ListBullet"/>
      </w:pPr>
      <w:r/>
      <w:r>
        <w:rPr>
          <w:b/>
        </w:rPr>
        <w:t>Protection rénale</w:t>
      </w:r>
      <w:r>
        <w:t xml:space="preserve"> : diminution de la myoglobinurie (rhabdomyolyse résiduelle) par lever du tonus musculaire.</w:t>
      </w:r>
    </w:p>
    <w:p>
      <w:r/>
      <w:r>
        <w:rPr>
          <w:b/>
        </w:rPr>
        <w:t>Niveau pharmacodynamique supplémentaire — effet sur d'autres canaux</w:t>
      </w:r>
      <w:r>
        <w:t xml:space="preserve"> : à forte concentration, le dantrolène peut inhiber partiellement la libération de calcium par le récepteur inositol-triphosphate (IP3R) du réticulum sarcoplasmique des cellules musculaires lisses, expliquant un effet myorelaxant faible sur le muscle lisse (utérus, vaisseaux). Cet effet n'a pas de traduction clinique significative aux doses thérapeutiques. Le dantrolène n'a pas d'effet direct sur le cœur (le RyR2 cardiaque est insensible), ni sur le système nerveux central (le dantrolène traverse peu la BHE en raison de sa faible liposolubilité).</w:t>
      </w:r>
    </w:p>
    <w:p>
      <w:pPr>
        <w:pStyle w:val="Heading3"/>
      </w:pPr>
      <w:r>
        <w:t>184.3.1.4 Pharmacocinétique (profil PK)</w:t>
      </w:r>
    </w:p>
    <w:p>
      <w:r/>
      <w:r>
        <w:rPr>
          <w:b/>
        </w:rPr>
        <w:t>Absorption</w:t>
      </w:r>
      <w:r>
        <w:t xml:space="preserve"> : la voie orale est utilisée pour la prophylaxie d'HM chez les patients à risque (en pré-opératoire) et pour le traitement de la spasticité chronique. Biodisponibilité orale faible (35 %) et lente ( Tmax 4-6 heures) en raison de la faible liposolubilité et du métabolisme présystémique. La voie IV est utilisée en urgence pour le traitement curatif de l'HM en peropératoire. La biodisponibilité IV est par définition de 100 %.</w:t>
      </w:r>
    </w:p>
    <w:p>
      <w:r/>
      <w:r>
        <w:rPr>
          <w:b/>
        </w:rPr>
        <w:t>Distribution</w:t>
      </w:r>
      <w:r>
        <w:t xml:space="preserve"> : volume de distribution d'environ 1,5-3 L/kg. Liaison protéique importante (≈ 80 %), principalement à l'albumine. Le dantrolène traverse peu la barrière hémato-encéphalique (faible liposolubilité, molécule polaire), expliquant l'absence de sédation centrale. Traversée placentaire faible. Distribution préférentielle vers le muscle strié squelettique.</w:t>
      </w:r>
    </w:p>
    <w:p>
      <w:r/>
      <w:r>
        <w:rPr>
          <w:b/>
        </w:rPr>
        <w:t>Métabolisme</w:t>
      </w:r>
      <w:r>
        <w:t xml:space="preserve"> : le dantrolène est métabolisé principalement au niveau hépatique par hydroxylation en 5-hydroxydantrolène (métabolite actif, mais moins puissant) et nitro-réduction en aminodantrolène (métabolite inactif). Le cytochrome P450 impliqué est principalement le CYP1A2 et accessoirement le CYP3A4. Les métabolites sont conjugués (glucuronides, sulfates) et excrétés dans la bile et l'urine.</w:t>
      </w:r>
    </w:p>
    <w:p>
      <w:r/>
      <w:r>
        <w:rPr>
          <w:b/>
        </w:rPr>
        <w:t>Demi-vie d'élimination</w:t>
      </w:r>
      <w:r>
        <w:t xml:space="preserve"> : environ 8-12 heures après administration IV unique (variable selon les études, allant jusqu'à 12-15 h). La demi-vie est prolongée en cas d'insuffisance hépatique (à surveiller). Cette demi-vie longue justifie la répétition des doses d'entretien (1 mg/kg toutes les 4-6 h pendant 24-48 h après l'épisode initial).</w:t>
      </w:r>
    </w:p>
    <w:p>
      <w:r/>
      <w:r>
        <w:rPr>
          <w:b/>
        </w:rPr>
        <w:t>Élimination</w:t>
      </w:r>
      <w:r>
        <w:t xml:space="preserve"> : rénale (50 % dont 5-15 % sous forme inchangée) et biliaire/fécale (50 %). La clairance totale est d'environ 2-4 mL/min/kg.</w:t>
      </w:r>
    </w:p>
    <w:p>
      <w:r/>
      <w:r>
        <w:rPr>
          <w:b/>
        </w:rPr>
        <w:t>Linéarité</w:t>
      </w:r>
      <w:r>
        <w:t xml:space="preserve"> : la pharmacocinétique est non linéaire aux doses prophylactiques orales (saturation du métabolisme), avec une accumulation possible en cas d'administration chronique (surveillance hépatique biologique mensuelle pour détecter une hépatotoxicité).</w:t>
      </w:r>
    </w:p>
    <w:p>
      <w:r/>
      <w:r>
        <w:rPr>
          <w:b/>
        </w:rPr>
        <w:t>Suivi thérapeutique</w:t>
      </w:r>
      <w:r>
        <w:t xml:space="preserve"> : pas de suivi plasmatique en routine. En cas de traitement chronique pour spasticité, surveillance des transaminases (ALAT, ASAT), PAL, bilirubine, γ-GT toutes les 4-12 semaines pendant les 3 premiers mois, puis trimestrielle. Arrêt du dantrolène si ALAT &gt; 3 × LSN.</w:t>
      </w:r>
    </w:p>
    <w:p>
      <w:r/>
      <w:r>
        <w:rPr>
          <w:b/>
        </w:rPr>
        <w:t>Effet de la fonction hépatique</w:t>
      </w:r>
      <w:r>
        <w:t xml:space="preserve"> : en cas d'insuffisance hépatique sévère (Child-Pugh C), allongement de la demi-vie et augmentation du risque d'hépatotoxicité. Adaptation posologique nécessaire pour la spasticité chronique ; pas d'adaptation en urgence (HM).</w:t>
      </w:r>
    </w:p>
    <w:p>
      <w:r/>
      <w:r>
        <w:rPr>
          <w:b/>
        </w:rPr>
        <w:t>Effet de la fonction rénale</w:t>
      </w:r>
      <w:r>
        <w:t xml:space="preserve"> : en cas d'insuffisance rénale, risque d'accumulation des métabolites. Surveillance créatininémie et adaptation pour traitement chronique.</w:t>
      </w:r>
    </w:p>
    <w:p>
      <w:pPr>
        <w:pStyle w:val="Heading3"/>
      </w:pPr>
      <w:r>
        <w:t>184.3.1.5 Indications thérapeutiques</w:t>
      </w:r>
    </w:p>
    <w:p>
      <w:pPr>
        <w:pStyle w:val="ListNumber"/>
      </w:pPr>
      <w:r/>
      <w:r>
        <w:rPr>
          <w:b/>
        </w:rPr>
        <w:t>Hyperthermie maligne anesthésique</w:t>
      </w:r>
      <w:r>
        <w:t xml:space="preserve"> (indication vitale, niveau 1A) : traitement curatif en urgence absolue, à débuter dès la suspicion clinique (hypercapnie inexpliquée, tachycardie, rigidité musculaire, hyperthermie rapide) sans attendre la confirmation biologique. Posologie : 2,5 mg/kg IV, à répéter toutes les 5 minutes jusqu'à disparition des signes (dose maximale 10 mg/kg, parfois jusqu'à 30 mg/kg dans les formes catastrophiques). L'efficacité dépend de la rapidité d'administration (mortalité &lt; 5 % si &lt; 30 min, jusqu'à 70 % si &gt; 2 h). Après résolution, traitement d'entretien 1 mg/kg IV toutes les 4-6 h pendant 24-48 h (relais per os 1 mg/kg/j × 4 prises × 24-48 h).</w:t>
      </w:r>
    </w:p>
    <w:p>
      <w:pPr>
        <w:pStyle w:val="ListNumber"/>
      </w:pPr>
      <w:r/>
      <w:r>
        <w:rPr>
          <w:b/>
        </w:rPr>
        <w:t>Prophylaxie de l'HM chez les patients à risque</w:t>
      </w:r>
      <w:r>
        <w:t xml:space="preserve"> :</w:t>
      </w:r>
    </w:p>
    <w:p>
      <w:pPr>
        <w:pStyle w:val="ListBullet"/>
      </w:pPr>
      <w:r>
        <w:t>Antécédent personnel ou familial d'HM confirmé (test de contracture à la caféine-halogéthane IVCT positif, ou mutation RyR1/CACNA1S identifiée).</w:t>
      </w:r>
    </w:p>
    <w:p>
      <w:pPr>
        <w:pStyle w:val="ListBullet"/>
      </w:pPr>
      <w:r>
        <w:t>Myopathies génétiquement associées (Central Core Disease, multi-minicore myopathy, myopathie centronucléaire, King-Denborough syndrome).</w:t>
      </w:r>
    </w:p>
    <w:p>
      <w:pPr>
        <w:pStyle w:val="ListBullet"/>
      </w:pPr>
      <w:r>
        <w:t>Posologie : 4-8 mg/kg/j per os en 3-4 prises pendant 1-2 jours avant l'anesthésie, dernière dose 3-4 h avant l'induction. Alternative : 2,5 mg/kg IV en perfusion 30 min avant l'induction.</w:t>
      </w:r>
    </w:p>
    <w:p>
      <w:pPr>
        <w:pStyle w:val="ListBullet"/>
      </w:pPr>
      <w:r>
        <w:t>À compléter par des précautions techniques : machine d'anesthésie « trigger-free », circuits neufs, évitement strict des halogénés et de la succinylcholine, monitorage continu (capnie, température, ECG, SpO2).</w:t>
      </w:r>
    </w:p>
    <w:p>
      <w:pPr>
        <w:pStyle w:val="ListNumber"/>
      </w:pPr>
      <w:r/>
      <w:r>
        <w:rPr>
          <w:b/>
        </w:rPr>
        <w:t>Syndrome malin des neuroleptiques (SMN)</w:t>
      </w:r>
      <w:r>
        <w:t xml:space="preserve"> : hyperthermie et rigidité musculaire sévère secondaires à un traitement neuroleptique (typique ou atypique). Le dantrolène est utilisé en cas d'hyperthermie menaçante (&gt; 39,5°C) et de rigidité sévère, en association au bromocriptine (agoniste dopaminergique) et aux mesures symptomatiques (refroidissement, hydratation). Posologie : 1-2,5 mg/kg IV toutes les 6 h, relais per os 50-200 mg/j. Efficacité controversée (le mécanisme du SMN diffère de l'HM : c'est un bloc dopaminergique central, non une anomalie du RyR1, mais la rigidité musculaire est commune).</w:t>
      </w:r>
    </w:p>
    <w:p>
      <w:pPr>
        <w:pStyle w:val="ListNumber"/>
      </w:pPr>
      <w:r/>
      <w:r>
        <w:rPr>
          <w:b/>
        </w:rPr>
        <w:t>Spasticité musculaire chronique sévère</w:t>
      </w:r>
      <w:r>
        <w:t xml:space="preserve"> (indication de deuxième intention en raison de l'hépatotoxicité) :</w:t>
      </w:r>
    </w:p>
    <w:p>
      <w:pPr>
        <w:pStyle w:val="ListBullet"/>
      </w:pPr>
      <w:r>
        <w:t>Sclérose en plaques (avec spasticité sévère des membres inférieurs).</w:t>
      </w:r>
    </w:p>
    <w:p>
      <w:pPr>
        <w:pStyle w:val="ListBullet"/>
      </w:pPr>
      <w:r>
        <w:t>Traumatisme médullaire (paraplégie, tétraplégie).</w:t>
      </w:r>
    </w:p>
    <w:p>
      <w:pPr>
        <w:pStyle w:val="ListBullet"/>
      </w:pPr>
      <w:r>
        <w:t>Hémiplégie vasculaire (avec hypertonie spastique).</w:t>
      </w:r>
    </w:p>
    <w:p>
      <w:pPr>
        <w:pStyle w:val="ListBullet"/>
      </w:pPr>
      <w:r>
        <w:t>Paralysie cérébrale (spasticité invalidante de l'enfant).</w:t>
      </w:r>
    </w:p>
    <w:p>
      <w:pPr>
        <w:pStyle w:val="ListBullet"/>
      </w:pPr>
      <w:r>
        <w:t>Posologie : 25 mg per os × 1 à 4 fois/j, à augmenter progressivement jusqu'à 100 mg × 4/j (max 400 mg/j). Surveillance hépatique stricte.</w:t>
      </w:r>
    </w:p>
    <w:p>
      <w:pPr>
        <w:pStyle w:val="ListBullet"/>
      </w:pPr>
      <w:r>
        <w:t>Alternatives à préférer : baclofène, tizanidine, diazépam, toxine botulique.</w:t>
      </w:r>
    </w:p>
    <w:p>
      <w:pPr>
        <w:pStyle w:val="ListNumber"/>
      </w:pPr>
      <w:r/>
      <w:r>
        <w:rPr>
          <w:b/>
        </w:rPr>
        <w:t>Hyperthermie à l'ecstasy (MDMA) et amphétamines</w:t>
      </w:r>
      <w:r>
        <w:t xml:space="preserve"> : en cas d'hyperthermie réfractaire &gt; 40°C avec rigidité musculaire et rhabdomyolyse, le dantrolène est parfois utilisé (efficacité controversée, le mécanisme est central et non musculaire). Posologie : 1 mg/kg IV, à répéter. À discuter au cas par cas en réanimation toxicologique.</w:t>
      </w:r>
    </w:p>
    <w:p>
      <w:pPr>
        <w:pStyle w:val="ListNumber"/>
      </w:pPr>
      <w:r/>
      <w:r>
        <w:rPr>
          <w:b/>
        </w:rPr>
        <w:t>Hyperthermie du coup de chaleur</w:t>
      </w:r>
      <w:r>
        <w:t xml:space="preserve"> (indication non validée) : le dantrolène n'a pas démontré d'efficacité dans le coup de chaleur classique d'effort (le mécanisme est central, non périphérique). À éviter (effets indésirables potentiels sans bénéfice démontré).</w:t>
      </w:r>
    </w:p>
    <w:p>
      <w:pPr>
        <w:pStyle w:val="Heading3"/>
      </w:pPr>
      <w:r>
        <w:t>184.3.1.6 Posologie et mode d'administration</w:t>
      </w:r>
    </w:p>
    <w:p>
      <w:r/>
      <w:r>
        <w:rPr>
          <w:b/>
        </w:rPr>
        <w:t>Traitement curatif de l'HM anesthésique</w:t>
      </w:r>
      <w:r>
        <w:t xml:space="preserve"> :</w:t>
      </w:r>
    </w:p>
    <w:p>
      <w:pPr>
        <w:pStyle w:val="ListBullet"/>
      </w:pPr>
      <w:r>
        <w:t>Dose initiale : 2,5 mg/kg IV (à administrer le plus rapidement possible).</w:t>
      </w:r>
    </w:p>
    <w:p>
      <w:pPr>
        <w:pStyle w:val="ListBullet"/>
      </w:pPr>
      <w:r>
        <w:t>Répétition : 2,5 mg/kg IV toutes les 5 minutes jusqu'à disparition des signes cliniques (décroissance de la capnie, baisse de la température, régression de la rigidité, stabilisation hémodynamique).</w:t>
      </w:r>
    </w:p>
    <w:p>
      <w:pPr>
        <w:pStyle w:val="ListBullet"/>
      </w:pPr>
      <w:r>
        <w:t>Dose maximale recommandée : 10 mg/kg (parfois jusqu'à 30 mg/kg dans les formes catastrophiques réfractaires).</w:t>
      </w:r>
    </w:p>
    <w:p>
      <w:pPr>
        <w:pStyle w:val="ListBullet"/>
      </w:pPr>
      <w:r>
        <w:t>Préparation : flacon de 20 mg ( formulation classique Dantrium/Revonto) à reconstituer dans 60 mL d'eau pour préparation injectable (EPPI) sans conservateur, agitation vigoureuse pendant 1-2 min jusqu'à dissolution complète (solution trouble jaune-orange, à protéger de la lumière). Pour un adulte de 70 kg, dose initiale = 175 mg = 9 flacons de 20 mg → 540 mL à reconstituer, ce qui nécessite 5-10 minutes de préparation (ce délai est critique).</w:t>
      </w:r>
    </w:p>
    <w:p>
      <w:pPr>
        <w:pStyle w:val="ListBullet"/>
      </w:pPr>
      <w:r>
        <w:t>Formulation liposomiale (Ryanodex) : 250 mg/flacon à reconstituer dans 5 mL EPPI → concentration 50 mg/mL → administration en 1 minute pour 70 kg (175 mg = 3,5 mL). Disponibilité Algérie : non disponible, à importer via ATU.</w:t>
      </w:r>
    </w:p>
    <w:p>
      <w:pPr>
        <w:pStyle w:val="ListBullet"/>
      </w:pPr>
      <w:r>
        <w:t>Voie d'administration : IV stricte (jamais IM), voie veineuse périphérique de gros calibre ou voie centrale.</w:t>
      </w:r>
    </w:p>
    <w:p>
      <w:pPr>
        <w:pStyle w:val="ListBullet"/>
      </w:pPr>
      <w:r>
        <w:t>Surveillance continue : ECG, PA invasive, SpO2, capnographie, température centrale, diurèse horaire, glycémie, kaliémie, gaz du sang, CPK, myoglobinémie et urinaire.</w:t>
      </w:r>
    </w:p>
    <w:p>
      <w:r/>
      <w:r>
        <w:rPr>
          <w:b/>
        </w:rPr>
        <w:t>Traitement d'entretien après HM</w:t>
      </w:r>
      <w:r>
        <w:t xml:space="preserve"> :</w:t>
      </w:r>
    </w:p>
    <w:p>
      <w:pPr>
        <w:pStyle w:val="ListBullet"/>
      </w:pPr>
      <w:r>
        <w:t>1 mg/kg IV ou per os toutes les 4-6 h pendant 24-72 h.</w:t>
      </w:r>
    </w:p>
    <w:p>
      <w:pPr>
        <w:pStyle w:val="ListBullet"/>
      </w:pPr>
      <w:r>
        <w:t>Surveillance en milieu de soins intensifs 48-72 h (risque de récidive).</w:t>
      </w:r>
    </w:p>
    <w:p>
      <w:r/>
      <w:r>
        <w:rPr>
          <w:b/>
        </w:rPr>
        <w:t>Prophylaxie pré-opératoire de l'HM</w:t>
      </w:r>
      <w:r>
        <w:t xml:space="preserve"> :</w:t>
      </w:r>
    </w:p>
    <w:p>
      <w:pPr>
        <w:pStyle w:val="ListBullet"/>
      </w:pPr>
      <w:r>
        <w:t>Per os : 4-8 mg/kg/j en 3-4 prises pendant 24-48 h avant l'anesthésie, dernière dose 3-4 h avant l'induction.</w:t>
      </w:r>
    </w:p>
    <w:p>
      <w:pPr>
        <w:pStyle w:val="ListBullet"/>
      </w:pPr>
      <w:r>
        <w:t>IV : 2,5 mg/kg en perfusion IV 30 min avant l'induction (alternative).</w:t>
      </w:r>
    </w:p>
    <w:p>
      <w:r/>
      <w:r>
        <w:rPr>
          <w:b/>
        </w:rPr>
        <w:t>Syndrome malin des neuroleptiques</w:t>
      </w:r>
      <w:r>
        <w:t xml:space="preserve"> :</w:t>
      </w:r>
    </w:p>
    <w:p>
      <w:pPr>
        <w:pStyle w:val="ListBullet"/>
      </w:pPr>
      <w:r>
        <w:t>IV : 1-2,5 mg/kg IV toutes les 6 h, à adapter selon réponse.</w:t>
      </w:r>
    </w:p>
    <w:p>
      <w:pPr>
        <w:pStyle w:val="ListBullet"/>
      </w:pPr>
      <w:r>
        <w:t>Relais per os : 50-200 mg/j en 3-4 prises, à poursuivre 5-10 jours après résolution.</w:t>
      </w:r>
    </w:p>
    <w:p>
      <w:r/>
      <w:r>
        <w:rPr>
          <w:b/>
        </w:rPr>
        <w:t>Spasticité chronique</w:t>
      </w:r>
      <w:r>
        <w:t xml:space="preserve"> :</w:t>
      </w:r>
    </w:p>
    <w:p>
      <w:pPr>
        <w:pStyle w:val="ListBullet"/>
      </w:pPr>
      <w:r>
        <w:t>Posologie initiale : 25 mg per os une fois par jour, à augmenter par paliers de 25 mg tous les 4-7 jours.</w:t>
      </w:r>
    </w:p>
    <w:p>
      <w:pPr>
        <w:pStyle w:val="ListBullet"/>
      </w:pPr>
      <w:r>
        <w:t>Posologie usuelle d'entretien : 100-400 mg/j en 3-4 prises.</w:t>
      </w:r>
    </w:p>
    <w:p>
      <w:pPr>
        <w:pStyle w:val="ListBullet"/>
      </w:pPr>
      <w:r>
        <w:t>Posologie maximale : 400 mg/j (100 mg × 4).</w:t>
      </w:r>
    </w:p>
    <w:p>
      <w:pPr>
        <w:pStyle w:val="ListBullet"/>
      </w:pPr>
      <w:r>
        <w:t>Surveillance hépatique mensuelle pendant les 3 premiers mois, puis trimestrielle.</w:t>
      </w:r>
    </w:p>
    <w:p>
      <w:r/>
      <w:r>
        <w:rPr>
          <w:b/>
        </w:rPr>
        <w:t>Mode d'administration de la forme IV</w:t>
      </w:r>
      <w:r>
        <w:t xml:space="preserve"> :</w:t>
      </w:r>
    </w:p>
    <w:p>
      <w:pPr>
        <w:pStyle w:val="ListBullet"/>
      </w:pPr>
      <w:r>
        <w:t>Voie IV stricte, jamais IM, jamais SC.</w:t>
      </w:r>
    </w:p>
    <w:p>
      <w:pPr>
        <w:pStyle w:val="ListBullet"/>
      </w:pPr>
      <w:r>
        <w:t>Reconstitution avec EPPI sans conservateur (pas de NaCl, pas de G5%, pas de Ringer Lactate — incompatibilité chimique).</w:t>
      </w:r>
    </w:p>
    <w:p>
      <w:pPr>
        <w:pStyle w:val="ListBullet"/>
      </w:pPr>
      <w:r>
        <w:t>Voie veineuse périphérique de gros calibre (14-16 G) ou voie centrale.</w:t>
      </w:r>
    </w:p>
    <w:p>
      <w:pPr>
        <w:pStyle w:val="ListBullet"/>
      </w:pPr>
      <w:r>
        <w:t>Voie dédiée, ne pas mélanger avec d'autres médicaments.</w:t>
      </w:r>
    </w:p>
    <w:p>
      <w:pPr>
        <w:pStyle w:val="ListBullet"/>
      </w:pPr>
      <w:r>
        <w:t>Surveillance continue ECG, PA invasive, SpO2, capnographie, température centrale.</w:t>
      </w:r>
    </w:p>
    <w:p>
      <w:pPr>
        <w:pStyle w:val="Heading3"/>
      </w:pPr>
      <w:r>
        <w:t>184.3.1.7 Effets indésirables et prévention</w:t>
      </w:r>
    </w:p>
    <w:p>
      <w:r>
        <w:t>Le dantrolène présente un profil d'effets indésirables dominé par la faiblesse musculaire (effet pharmacologique direct) et l'hépatotoxicité (effet idiosyncrasique potentiellement grave).</w:t>
      </w:r>
    </w:p>
    <w:p>
      <w:r/>
      <w:r>
        <w:rPr>
          <w:b/>
        </w:rPr>
        <w:t>Effets musculaires</w:t>
      </w:r>
      <w:r>
        <w:t xml:space="preserve"> :</w:t>
      </w:r>
    </w:p>
    <w:p>
      <w:pPr>
        <w:pStyle w:val="ListBullet"/>
      </w:pPr>
      <w:r/>
      <w:r>
        <w:rPr>
          <w:b/>
        </w:rPr>
        <w:t>Faiblesse musculaire</w:t>
      </w:r>
      <w:r>
        <w:t xml:space="preserve"> : effet direct du blocage du RyR1 sur le muscle squelettique, dose-dépendante, observée même aux doses thérapeutiques. Se manifeste par difficulté à la marche, chute possible, hypo-réflexie, baisse de la force musculaire. À signaler au patient en traitement chronique.</w:t>
      </w:r>
    </w:p>
    <w:p>
      <w:pPr>
        <w:pStyle w:val="ListBullet"/>
      </w:pPr>
      <w:r/>
      <w:r>
        <w:rPr>
          <w:b/>
        </w:rPr>
        <w:t>Crampes musculaires</w:t>
      </w:r>
      <w:r>
        <w:t xml:space="preserve"> : moins fréquentes, par effet paradoxal.</w:t>
      </w:r>
    </w:p>
    <w:p>
      <w:pPr>
        <w:pStyle w:val="ListBullet"/>
      </w:pPr>
      <w:r/>
      <w:r>
        <w:rPr>
          <w:b/>
        </w:rPr>
        <w:t>Rhabdomyolyse paradoxale</w:t>
      </w:r>
      <w:r>
        <w:t xml:space="preserve"> : rare, en cas de traitement prolongé ou d'association avec une autre myotoxique (statines, fibrates, ciclosporine, colchicine).</w:t>
      </w:r>
    </w:p>
    <w:p>
      <w:r/>
      <w:r>
        <w:rPr>
          <w:b/>
        </w:rPr>
        <w:t>Effets hépatiques (les plus graves)</w:t>
      </w:r>
      <w:r>
        <w:t xml:space="preserve"> :</w:t>
      </w:r>
    </w:p>
    <w:p>
      <w:pPr>
        <w:pStyle w:val="ListBullet"/>
      </w:pPr>
      <w:r/>
      <w:r>
        <w:rPr>
          <w:b/>
        </w:rPr>
        <w:t>Hépatite cytolytique</w:t>
      </w:r>
      <w:r>
        <w:t xml:space="preserve"> : incidence 0,5-1 % en traitement chronique &gt; 60 jours, prédominance féminine, diabète associé. Clinique : asthénie, anorexie, nausées, ictère. Biologie : ALAT/ASAT &gt; 3-10 × LSN, bilirubine élevée. Évolution potentiellement fulminante (insuffisance hépatique aiguë, transplantation). Arrêt immédiat du dantrolène, bilan hépatique complet, hospitalisation.</w:t>
      </w:r>
    </w:p>
    <w:p>
      <w:pPr>
        <w:pStyle w:val="ListBullet"/>
      </w:pPr>
      <w:r/>
      <w:r>
        <w:rPr>
          <w:b/>
        </w:rPr>
        <w:t>Hépatite cholestatique</w:t>
      </w:r>
      <w:r>
        <w:t xml:space="preserve"> : plus rare.</w:t>
      </w:r>
    </w:p>
    <w:p>
      <w:pPr>
        <w:pStyle w:val="ListBullet"/>
      </w:pPr>
      <w:r/>
      <w:r>
        <w:rPr>
          <w:b/>
        </w:rPr>
        <w:t>Cytolyse asymptomatique</w:t>
      </w:r>
      <w:r>
        <w:t xml:space="preserve"> : 5-10 % des traitements chroniques, modérée (ALAT &lt; 3 × LSN), surveiller, ne pas arrêter d'emblée.</w:t>
      </w:r>
    </w:p>
    <w:p>
      <w:pPr>
        <w:pStyle w:val="ListBullet"/>
      </w:pPr>
      <w:r/>
      <w:r>
        <w:rPr>
          <w:b/>
        </w:rPr>
        <w:t>Surveillance systématique</w:t>
      </w:r>
      <w:r>
        <w:t xml:space="preserve"> : ALAT, ASAT, PAL, γ-GT, bilirubine totale et conjuguée, avant traitement, à J15, M1, M3, puis tous les 3 mois. Arrêt si ALAT &gt; 3 × LSN.</w:t>
      </w:r>
    </w:p>
    <w:p>
      <w:r/>
      <w:r>
        <w:rPr>
          <w:b/>
        </w:rPr>
        <w:t>Effets cardiovasculaires</w:t>
      </w:r>
      <w:r>
        <w:t xml:space="preserve"> :</w:t>
      </w:r>
    </w:p>
    <w:p>
      <w:pPr>
        <w:pStyle w:val="ListBullet"/>
      </w:pPr>
      <w:r>
        <w:t>Bradycardie (rare, par effet vagal réflexe à la baisse de la tachycardie initiale).</w:t>
      </w:r>
    </w:p>
    <w:p>
      <w:pPr>
        <w:pStyle w:val="ListBullet"/>
      </w:pPr>
      <w:r>
        <w:t>Hypotension transitoire (vasodilatation modérée).</w:t>
      </w:r>
    </w:p>
    <w:p>
      <w:pPr>
        <w:pStyle w:val="ListBullet"/>
      </w:pPr>
      <w:r>
        <w:t>Troubles du rythme (rares).</w:t>
      </w:r>
    </w:p>
    <w:p>
      <w:r/>
      <w:r>
        <w:rPr>
          <w:b/>
        </w:rPr>
        <w:t>Effets neurologiques</w:t>
      </w:r>
      <w:r>
        <w:t xml:space="preserve"> :</w:t>
      </w:r>
    </w:p>
    <w:p>
      <w:pPr>
        <w:pStyle w:val="ListBullet"/>
      </w:pPr>
      <w:r>
        <w:t>Sédation légère, somnolence, vertiges (en raison de la faible traversée de la BHE).</w:t>
      </w:r>
    </w:p>
    <w:p>
      <w:pPr>
        <w:pStyle w:val="ListBullet"/>
      </w:pPr>
      <w:r>
        <w:t>Céphalées, asthénie, malaise.</w:t>
      </w:r>
    </w:p>
    <w:p>
      <w:r/>
      <w:r>
        <w:rPr>
          <w:b/>
        </w:rPr>
        <w:t>Effets digestifs</w:t>
      </w:r>
      <w:r>
        <w:t xml:space="preserve"> :</w:t>
      </w:r>
    </w:p>
    <w:p>
      <w:pPr>
        <w:pStyle w:val="ListBullet"/>
      </w:pPr>
      <w:r>
        <w:t>Nausées, vomissements, diarrhée (effet direct sur la motilité digestive par relaxation du muscle lisse).</w:t>
      </w:r>
    </w:p>
    <w:p>
      <w:pPr>
        <w:pStyle w:val="ListBullet"/>
      </w:pPr>
      <w:r>
        <w:t>Anorexie, perte de poids en traitement chronique.</w:t>
      </w:r>
    </w:p>
    <w:p>
      <w:r/>
      <w:r>
        <w:rPr>
          <w:b/>
        </w:rPr>
        <w:t>Effets respiratoires</w:t>
      </w:r>
      <w:r>
        <w:t xml:space="preserve"> :</w:t>
      </w:r>
    </w:p>
    <w:p>
      <w:pPr>
        <w:pStyle w:val="ListBullet"/>
      </w:pPr>
      <w:r>
        <w:t>Diminution de la force des muscles respiratoires (effet direct) — surveillance de la spirométrie en traitement chronique, en particulier chez le BPCO.</w:t>
      </w:r>
    </w:p>
    <w:p>
      <w:r/>
      <w:r>
        <w:rPr>
          <w:b/>
        </w:rPr>
        <w:t>Effets cutanés</w:t>
      </w:r>
      <w:r>
        <w:t xml:space="preserve"> :</w:t>
      </w:r>
    </w:p>
    <w:p>
      <w:pPr>
        <w:pStyle w:val="ListBullet"/>
      </w:pPr>
      <w:r>
        <w:t>Éruption cutanée, prurit, urticaire (5-10 %).</w:t>
      </w:r>
    </w:p>
    <w:p>
      <w:pPr>
        <w:pStyle w:val="ListBullet"/>
      </w:pPr>
      <w:r>
        <w:t>Photosensibilité — protection solaire.</w:t>
      </w:r>
    </w:p>
    <w:p>
      <w:r/>
      <w:r>
        <w:rPr>
          <w:b/>
        </w:rPr>
        <w:t>Effets obstétricaux</w:t>
      </w:r>
      <w:r>
        <w:t xml:space="preserve"> :</w:t>
      </w:r>
    </w:p>
    <w:p>
      <w:pPr>
        <w:pStyle w:val="ListBullet"/>
      </w:pPr>
      <w:r>
        <w:t>Hypotonie utérine (rare, à surveiller).</w:t>
      </w:r>
    </w:p>
    <w:p>
      <w:pPr>
        <w:pStyle w:val="ListBullet"/>
      </w:pPr>
      <w:r>
        <w:t>Effets fœtaux : hypotonie néonatale transitoire (à surveiller en post-partum).</w:t>
      </w:r>
    </w:p>
    <w:p>
      <w:r/>
      <w:r>
        <w:rPr>
          <w:b/>
        </w:rPr>
        <w:t>Effets biologiques</w:t>
      </w:r>
      <w:r>
        <w:t xml:space="preserve"> :</w:t>
      </w:r>
    </w:p>
    <w:p>
      <w:pPr>
        <w:pStyle w:val="ListBullet"/>
      </w:pPr>
      <w:r>
        <w:t>Hyperuricémie (inhibition de l'excrétion urique) — surveillance uricémie.</w:t>
      </w:r>
    </w:p>
    <w:p>
      <w:pPr>
        <w:pStyle w:val="ListBullet"/>
      </w:pPr>
      <w:r>
        <w:t>Hypophosphorémie (rare).</w:t>
      </w:r>
    </w:p>
    <w:p>
      <w:r/>
      <w:r>
        <w:rPr>
          <w:b/>
        </w:rPr>
        <w:t>Prévention des effets indésirables</w:t>
      </w:r>
      <w:r>
        <w:t xml:space="preserve"> :</w:t>
      </w:r>
    </w:p>
    <w:p>
      <w:pPr>
        <w:pStyle w:val="ListBullet"/>
      </w:pPr>
      <w:r>
        <w:t>Posologie minimale efficace en traitement chronique, titration progressive.</w:t>
      </w:r>
    </w:p>
    <w:p>
      <w:pPr>
        <w:pStyle w:val="ListBullet"/>
      </w:pPr>
      <w:r>
        <w:t>Surveillance hépatique stricte (ALAT, ASAT, PAL, γ-GT, bilirubine) mensuelle pendant 3 mois, puis trimestrielle.</w:t>
      </w:r>
    </w:p>
    <w:p>
      <w:pPr>
        <w:pStyle w:val="ListBullet"/>
      </w:pPr>
      <w:r>
        <w:t>Surveillance de la force musculaire et de la spirométrie en traitement chronique.</w:t>
      </w:r>
    </w:p>
    <w:p>
      <w:pPr>
        <w:pStyle w:val="ListBullet"/>
      </w:pPr>
      <w:r>
        <w:t>Éviter l'alcool (hépatotoxicité additive).</w:t>
      </w:r>
    </w:p>
    <w:p>
      <w:pPr>
        <w:pStyle w:val="ListBullet"/>
      </w:pPr>
      <w:r>
        <w:t>Éviter l'association aux autres hépatotoxiques (paracétamol à haute dose, statines, fibrates, isoniazide, méthotrexate).</w:t>
      </w:r>
    </w:p>
    <w:p>
      <w:pPr>
        <w:pStyle w:val="ListBullet"/>
      </w:pPr>
      <w:r>
        <w:t>Information du patient sur les signes d'alerte d'hépatite (asthénie, anorexie, nausées, urines foncées, ictère) → arrêt immédiat et consultation.</w:t>
      </w:r>
    </w:p>
    <w:p>
      <w:pPr>
        <w:pStyle w:val="ListBullet"/>
      </w:pPr>
      <w:r>
        <w:t>En cas d'urgence (HM), le bénéfice vital l'emporte sur tout risque, le dantrolène est administré sans restriction.</w:t>
      </w:r>
    </w:p>
    <w:p>
      <w:pPr>
        <w:pStyle w:val="Heading3"/>
      </w:pPr>
      <w:r>
        <w:t>184.3.1.8 Interactions médicamenteuses</w:t>
      </w:r>
    </w:p>
    <w:p>
      <w:r>
        <w:t>Le dantrolène présente plusieurs interactions pharmacodynamiques et pharmacocinétiques à connaître.</w:t>
      </w:r>
    </w:p>
    <w:p>
      <w:r/>
      <w:r>
        <w:rPr>
          <w:b/>
        </w:rPr>
        <w:t>Interactions pharmacodynamiques majeures</w:t>
      </w:r>
      <w:r>
        <w:t xml:space="preserve"> :</w:t>
      </w:r>
    </w:p>
    <w:p>
      <w:pPr>
        <w:pStyle w:val="ListBullet"/>
      </w:pPr>
      <w:r/>
      <w:r>
        <w:rPr>
          <w:b/>
        </w:rPr>
        <w:t>Calcium IV</w:t>
      </w:r>
      <w:r>
        <w:t xml:space="preserve"> (gluconate, chlorure) : en cas d'hyperkaliémie menaçante dans l'HM, le calcium IV peut être utilisé avec précaution ; le dantrolène ne s'y oppose pas (effet sur RyR1, indépendant du calcium extracellulaire).</w:t>
      </w:r>
    </w:p>
    <w:p>
      <w:pPr>
        <w:pStyle w:val="ListBullet"/>
      </w:pPr>
      <w:r/>
      <w:r>
        <w:rPr>
          <w:b/>
        </w:rPr>
        <w:t>Curares non dépolarisants</w:t>
      </w:r>
      <w:r>
        <w:t xml:space="preserve"> (pancuronium, rocuronium, vécuronium) : potentialisation de la curarisation (effet additif sur la relaxation musculaire). Réduction posologique possible.</w:t>
      </w:r>
    </w:p>
    <w:p>
      <w:pPr>
        <w:pStyle w:val="ListBullet"/>
      </w:pPr>
      <w:r/>
      <w:r>
        <w:rPr>
          <w:b/>
        </w:rPr>
        <w:t>Succinylcholine</w:t>
      </w:r>
      <w:r>
        <w:t xml:space="preserve"> : contre-indication absolue en cas de suspicion d'HM (agent déclencheur de l'HM, aggrave la crise).</w:t>
      </w:r>
    </w:p>
    <w:p>
      <w:pPr>
        <w:pStyle w:val="ListBullet"/>
      </w:pPr>
      <w:r/>
      <w:r>
        <w:rPr>
          <w:b/>
        </w:rPr>
        <w:t>Anesthésiques halogénés</w:t>
      </w:r>
      <w:r>
        <w:t xml:space="preserve"> (halothane, isoflurane, sévoflurane, desflurane) : contre-indication absolue (agents déclencheurs de l'HM).</w:t>
      </w:r>
    </w:p>
    <w:p>
      <w:pPr>
        <w:pStyle w:val="ListBullet"/>
      </w:pPr>
      <w:r/>
      <w:r>
        <w:rPr>
          <w:b/>
        </w:rPr>
        <w:t>Estrogènes, contraceptifs oraux</w:t>
      </w:r>
      <w:r>
        <w:t xml:space="preserve"> : majoration du risque d'hépatotoxicité additive ( surveillance hépatique).</w:t>
      </w:r>
    </w:p>
    <w:p>
      <w:pPr>
        <w:pStyle w:val="ListBullet"/>
      </w:pPr>
      <w:r/>
      <w:r>
        <w:rPr>
          <w:b/>
        </w:rPr>
        <w:t>Hépatotoxiques</w:t>
      </w:r>
      <w:r>
        <w:t xml:space="preserve"> : paracétamol à dose &gt; 3 g/j, statines, fibrates, isoniazide, méthotrexate, ciclosporine, ketoconazole — surveillance hépatique renforcée, ou évitement de l'association en traitement chronique.</w:t>
      </w:r>
    </w:p>
    <w:p>
      <w:pPr>
        <w:pStyle w:val="ListBullet"/>
      </w:pPr>
      <w:r/>
      <w:r>
        <w:rPr>
          <w:b/>
        </w:rPr>
        <w:t>Benzodiazépines, opioïdes, sédatifs</w:t>
      </w:r>
      <w:r>
        <w:t xml:space="preserve"> : potentialisation de la sédation (effet central additif).</w:t>
      </w:r>
    </w:p>
    <w:p>
      <w:pPr>
        <w:pStyle w:val="ListBullet"/>
      </w:pPr>
      <w:r/>
      <w:r>
        <w:rPr>
          <w:b/>
        </w:rPr>
        <w:t>Antihypertenseurs</w:t>
      </w:r>
      <w:r>
        <w:t xml:space="preserve"> (β-bloquants, IEC, ARA2, diurétiques) : potentialisation de l'hypotension.</w:t>
      </w:r>
    </w:p>
    <w:p>
      <w:pPr>
        <w:pStyle w:val="ListBullet"/>
      </w:pPr>
      <w:r/>
      <w:r>
        <w:rPr>
          <w:b/>
        </w:rPr>
        <w:t>Lithium, neuroleptiques</w:t>
      </w:r>
      <w:r>
        <w:t xml:space="preserve"> : potentialisation de la sédation et de l'hypotonie musculaire.</w:t>
      </w:r>
    </w:p>
    <w:p>
      <w:r/>
      <w:r>
        <w:rPr>
          <w:b/>
        </w:rPr>
        <w:t>Interactions pharmacocinétiques</w:t>
      </w:r>
      <w:r>
        <w:t xml:space="preserve"> :</w:t>
      </w:r>
    </w:p>
    <w:p>
      <w:pPr>
        <w:pStyle w:val="ListBullet"/>
      </w:pPr>
      <w:r/>
      <w:r>
        <w:rPr>
          <w:b/>
        </w:rPr>
        <w:t>CYP1A2</w:t>
      </w:r>
      <w:r>
        <w:t xml:space="preserve"> : le dantrolène est métabolisé par le CYP1A2. Les inhibiteurs du CYP1A2 (fluvoxamine, ciprofloxacine, énoxacine, théophylline à forte dose) augmentent les taux de dantrolène → risque d'hépatotoxicité et de surdosage. Surveillance accrue et adaptation posologique.</w:t>
      </w:r>
    </w:p>
    <w:p>
      <w:pPr>
        <w:pStyle w:val="ListBullet"/>
      </w:pPr>
      <w:r/>
      <w:r>
        <w:rPr>
          <w:b/>
        </w:rPr>
        <w:t>CYP3A4</w:t>
      </w:r>
      <w:r>
        <w:t xml:space="preserve"> : inhibiteurs (kétoconazole, itraconazole, voriconazole, ritonavir, clarithromycine, érythromycine, diltiazem, vérapamil, pamplemousse) augmentent modérément les taux.</w:t>
      </w:r>
    </w:p>
    <w:p>
      <w:pPr>
        <w:pStyle w:val="ListBullet"/>
      </w:pPr>
      <w:r/>
      <w:r>
        <w:rPr>
          <w:b/>
        </w:rPr>
        <w:t>Inducteurs</w:t>
      </w:r>
      <w:r>
        <w:t xml:space="preserve"> (rifampicine, phénytoïne, carbamazépine, phénobarbital, millepertuis) diminuent les taux → inefficacité possible.</w:t>
      </w:r>
    </w:p>
    <w:p>
      <w:r/>
      <w:r>
        <w:rPr>
          <w:b/>
        </w:rPr>
        <w:t>Incompatibilités en perfusion</w:t>
      </w:r>
      <w:r>
        <w:t xml:space="preserve"> :</w:t>
      </w:r>
    </w:p>
    <w:p>
      <w:pPr>
        <w:pStyle w:val="ListBullet"/>
      </w:pPr>
      <w:r>
        <w:t>À ne pas mélanger avec : NaCl 0,9 %, G5 %, Ringer Lactate (incompatibilité chimique), solutions à pH acide ou alcalin.</w:t>
      </w:r>
    </w:p>
    <w:p>
      <w:pPr>
        <w:pStyle w:val="ListBullet"/>
      </w:pPr>
      <w:r>
        <w:t>Reconstitution UNIQUEMENT avec EPPI sans conservateur.</w:t>
      </w:r>
    </w:p>
    <w:p>
      <w:pPr>
        <w:pStyle w:val="Heading3"/>
      </w:pPr>
      <w:r>
        <w:t>184.3.1.9 Grossesse, allaitement et CRAT</w:t>
      </w:r>
    </w:p>
    <w:p>
      <w:r>
        <w:t>Le dantrolène pendant la grossesse pose des problèmes obstétricaux liés à son effet myorelaxant utérin potentiel.</w:t>
      </w:r>
    </w:p>
    <w:p>
      <w:r/>
      <w:r>
        <w:rPr>
          <w:b/>
        </w:rPr>
        <w:t>Tératogénicité</w:t>
      </w:r>
      <w:r>
        <w:t xml:space="preserve"> : le dantrolène traverse la barrière placentaire. Chez l'animal (rat, lapin), des doses toxiques maternelles (3-10 × doses humaines) n'ont pas induit de malformations majeures. Chez l'humain, les données accumulées depuis 1980 sur l'utilisation du dantrolène pour HM en peropératoire chez la femme enceinte (césarienne urgente, chirurgie non obstétricale) n'ont pas mis en évidence d'augmentation du risque malformatif global. Le CRAT considère le dantrolène comme compatible avec la grossesse en cas d'indication vitale (HM peranesthésique), avec une surveillance obstétricale renforcée.</w:t>
      </w:r>
    </w:p>
    <w:p>
      <w:r/>
      <w:r>
        <w:rPr>
          <w:b/>
        </w:rPr>
        <w:t>Effets utéro-placentaires</w:t>
      </w:r>
      <w:r>
        <w:t xml:space="preserve"> :</w:t>
      </w:r>
    </w:p>
    <w:p>
      <w:pPr>
        <w:pStyle w:val="ListBullet"/>
      </w:pPr>
      <w:r/>
      <w:r>
        <w:rPr>
          <w:b/>
        </w:rPr>
        <w:t>Hypotonie utérine</w:t>
      </w:r>
      <w:r>
        <w:t xml:space="preserve"> : effet direct sur le muscle lisse utérin (faible), pouvant prolonger le travail ou aggraver une atonie post-partum. Surveillance du travail et de la délivrance.</w:t>
      </w:r>
    </w:p>
    <w:p>
      <w:pPr>
        <w:pStyle w:val="ListBullet"/>
      </w:pPr>
      <w:r/>
      <w:r>
        <w:rPr>
          <w:b/>
        </w:rPr>
        <w:t>Effet fœtal</w:t>
      </w:r>
      <w:r>
        <w:t xml:space="preserve"> : hypotonie néonatale transitoire, hyporéflexie, détresse respiratoire néonatale possible. Surveillance néonatale en post-partum immédiat.</w:t>
      </w:r>
    </w:p>
    <w:p>
      <w:r/>
      <w:r>
        <w:rPr>
          <w:b/>
        </w:rPr>
        <w:t>Indications obstétricales spécifiques</w:t>
      </w:r>
      <w:r>
        <w:t xml:space="preserve"> :</w:t>
      </w:r>
    </w:p>
    <w:p>
      <w:pPr>
        <w:pStyle w:val="ListBullet"/>
      </w:pPr>
      <w:r>
        <w:t>HM peranesthésique gravidique (césarienne urgente, chirurgie non obstétricale chez la femme enceinte) : dantrolène à la dose curative sans modification posologique, surveillance obstétricale et fœtale continue.</w:t>
      </w:r>
    </w:p>
    <w:p>
      <w:pPr>
        <w:pStyle w:val="ListBullet"/>
      </w:pPr>
      <w:r>
        <w:t>Prophylaxie pré-opératoire chez la femme enceinte à risque d'HM : dantrolène 2,5 mg/kg IV en perfusion 30 min avant l'induction.</w:t>
      </w:r>
    </w:p>
    <w:p>
      <w:pPr>
        <w:pStyle w:val="ListBullet"/>
      </w:pPr>
      <w:r>
        <w:t>Spasticité gravidique : à éviter en principe (préférer baclofène, tizanidine, ou arrêt temporaire pendant la grossesse), sauf si bénéfice &gt; risque.</w:t>
      </w:r>
    </w:p>
    <w:p>
      <w:r/>
      <w:r>
        <w:rPr>
          <w:b/>
        </w:rPr>
        <w:t>Recommandations CRAT</w:t>
      </w:r>
      <w:r>
        <w:t xml:space="preserve"> :</w:t>
      </w:r>
    </w:p>
    <w:p>
      <w:pPr>
        <w:pStyle w:val="ListBullet"/>
      </w:pPr>
      <w:r>
        <w:t>HM peranesthésique gravidique : dantrolène à dose curative, sans restriction.</w:t>
      </w:r>
    </w:p>
    <w:p>
      <w:pPr>
        <w:pStyle w:val="ListBullet"/>
      </w:pPr>
      <w:r>
        <w:t>Prophylaxie pré-opératoire : dantrolène 2,5 mg/kg IV, surveillance fœtale continue.</w:t>
      </w:r>
    </w:p>
    <w:p>
      <w:pPr>
        <w:pStyle w:val="ListBullet"/>
      </w:pPr>
      <w:r>
        <w:t>Spasticité chronique pendant la grossesse : à éviter en principe, à discuter au cas par cas en fonction du rapport bénéfice/risque.</w:t>
      </w:r>
    </w:p>
    <w:p>
      <w:pPr>
        <w:pStyle w:val="ListBullet"/>
      </w:pPr>
      <w:r>
        <w:t>Surveillance obstétricale et fœtale : échographie, RHJ continu, surveillance néonatale (hypotonie, détresse respiratoire).</w:t>
      </w:r>
    </w:p>
    <w:p>
      <w:r/>
      <w:r>
        <w:rPr>
          <w:b/>
        </w:rPr>
        <w:t>Allaitement</w:t>
      </w:r>
      <w:r>
        <w:t xml:space="preserve"> : le dantrolène passe dans le lait maternel en quantités faibles (rapport lait/plasma ≈ 0,3), et est partiellement inactivée par les enzymes digestives de l'enfant. L'AFSSAPS (devenue ANSM) et l'American Academy of Pediatrics considèrent le dantrolène comme compatible avec l'allaitement en usage ponctuel (HM peranesthésique). En cas de traitement chronique pour spasticité, l'allaitement est déconseillé en raison du risque d'hypotonie néonatale et de l'accumulation possible. Recommandation : suspension de l'allaitement pendant 24-48 h après une administration aiguë, reprise ensuite.</w:t>
      </w:r>
    </w:p>
    <w:p>
      <w:r/>
      <w:r>
        <w:rPr>
          <w:b/>
        </w:rPr>
        <w:t>Surveillance obstétricale et néonatale après dantrolène</w:t>
      </w:r>
      <w:r>
        <w:t xml:space="preserve"> :</w:t>
      </w:r>
    </w:p>
    <w:p>
      <w:pPr>
        <w:pStyle w:val="ListBullet"/>
      </w:pPr>
      <w:r>
        <w:t>Échographie fœtale dans les 24-48 h pour évaluation du bien-être fœtal.</w:t>
      </w:r>
    </w:p>
    <w:p>
      <w:pPr>
        <w:pStyle w:val="ListBullet"/>
      </w:pPr>
      <w:r>
        <w:t>RHJ continu pendant toute la durée du traitement en cas d'utilisation obstétricale.</w:t>
      </w:r>
    </w:p>
    <w:p>
      <w:pPr>
        <w:pStyle w:val="ListBullet"/>
      </w:pPr>
      <w:r>
        <w:t>Surveillance néonatale : score d'Apgar, tonus musculaire, réflexes, détresse respiratoire, glycémie capillaire (risque d'hypoglycémie néonatale), bilan hépatique néonatal en cas d'utilisation prolongée.</w:t>
      </w:r>
    </w:p>
    <w:p>
      <w:pPr>
        <w:pStyle w:val="Heading3"/>
      </w:pPr>
      <w:r>
        <w:t>184.3.1.10 Formes galéniques disponibles</w:t>
      </w:r>
    </w:p>
    <w:p>
      <w:r/>
      <w:r>
        <w:rPr>
          <w:b/>
        </w:rPr>
        <w:t>Formes injectables</w:t>
      </w:r>
      <w:r>
        <w:t xml:space="preserve"> (essentielles en urgence HM) :</w:t>
      </w:r>
    </w:p>
    <w:p>
      <w:pPr>
        <w:pStyle w:val="ListBullet"/>
      </w:pPr>
      <w:r/>
      <w:r>
        <w:rPr>
          <w:b/>
        </w:rPr>
        <w:t>Poudre pour solution injectable IV 20 mg/flacon</w:t>
      </w:r>
      <w:r>
        <w:t xml:space="preserve"> : Dantrium (Merck Lipha Santé) — formulation classique, à reconstituer dans 60 mL d'EPPI sans conservateur, agitation vigoureuse pendant 1-2 min jusqu'à dissolution complète (solution trouble jaune-orange, à protéger de la lumière). Concentration finale : 0,33 mg/mL. Délai de préparation pour 9 flacons (dose initiale adulte 70 kg) : 5-10 min, critique.</w:t>
      </w:r>
    </w:p>
    <w:p>
      <w:pPr>
        <w:pStyle w:val="ListBullet"/>
      </w:pPr>
      <w:r/>
      <w:r>
        <w:rPr>
          <w:b/>
        </w:rPr>
        <w:t>Poudre pour solution injectable IV 250 mg/flacon (Ryanodex)</w:t>
      </w:r>
      <w:r>
        <w:t xml:space="preserve"> : formulation liposomiale, à reconstituer dans 5 mL EPPI → concentration 50 mg/mL, administration en 1 minute pour 70 kg (175 mg = 3,5 mL). Délai de préparation très court (&lt; 1 min), idéal pour l'urgence. Formulation non disponible en Algérie (importation via ATU).</w:t>
      </w:r>
    </w:p>
    <w:p>
      <w:pPr>
        <w:pStyle w:val="ListBullet"/>
      </w:pPr>
      <w:r/>
      <w:r>
        <w:rPr>
          <w:b/>
        </w:rPr>
        <w:t>Forme alternative Revonto 20 mg</w:t>
      </w:r>
      <w:r>
        <w:t xml:space="preserve"> : équivalent générique de Dantrium, disponible à l'étranger.</w:t>
      </w:r>
    </w:p>
    <w:p>
      <w:r/>
      <w:r>
        <w:rPr>
          <w:b/>
        </w:rPr>
        <w:t>Formes orales</w:t>
      </w:r>
      <w:r>
        <w:t xml:space="preserve"> :</w:t>
      </w:r>
    </w:p>
    <w:p>
      <w:pPr>
        <w:pStyle w:val="ListBullet"/>
      </w:pPr>
      <w:r/>
      <w:r>
        <w:rPr>
          <w:b/>
        </w:rPr>
        <w:t>Gélule 25 mg</w:t>
      </w:r>
      <w:r>
        <w:t xml:space="preserve"> : Dantrium (Merck Lipha Santé) — pour prophylaxie pré-opératoire et spasticité chronique.</w:t>
      </w:r>
    </w:p>
    <w:p>
      <w:pPr>
        <w:pStyle w:val="ListBullet"/>
      </w:pPr>
      <w:r/>
      <w:r>
        <w:rPr>
          <w:b/>
        </w:rPr>
        <w:t>Gélule 50 mg</w:t>
      </w:r>
      <w:r>
        <w:t xml:space="preserve"> : disponible à l'étranger (Dantrium 50 mg), non disponible en Algérie.</w:t>
      </w:r>
    </w:p>
    <w:p>
      <w:pPr>
        <w:pStyle w:val="ListBullet"/>
      </w:pPr>
      <w:r/>
      <w:r>
        <w:rPr>
          <w:b/>
        </w:rPr>
        <w:t>Gélule 100 mg</w:t>
      </w:r>
      <w:r>
        <w:t xml:space="preserve"> : Dantrium (Merck Lipha Santé) — pour spasticité chronique à dose d'entretien élevée.</w:t>
      </w:r>
    </w:p>
    <w:p>
      <w:pPr>
        <w:pStyle w:val="ListBullet"/>
      </w:pPr>
      <w:r/>
      <w:r>
        <w:rPr>
          <w:b/>
        </w:rPr>
        <w:t>Capsule</w:t>
      </w:r>
      <w:r>
        <w:t xml:space="preserve"> : formulations génériques disponibles à l'étranger.</w:t>
      </w:r>
    </w:p>
    <w:p>
      <w:r/>
      <w:r>
        <w:rPr>
          <w:b/>
        </w:rPr>
        <w:t>Voies d'administration</w:t>
      </w:r>
      <w:r>
        <w:t xml:space="preserve"> :</w:t>
      </w:r>
    </w:p>
    <w:p>
      <w:pPr>
        <w:pStyle w:val="ListBullet"/>
      </w:pPr>
      <w:r>
        <w:t>IV stricte (jamais IM, jamais SC, jamais intrathécale).</w:t>
      </w:r>
    </w:p>
    <w:p>
      <w:pPr>
        <w:pStyle w:val="ListBullet"/>
      </w:pPr>
      <w:r>
        <w:t>Voie orale pour prophylaxie et traitement chronique.</w:t>
      </w:r>
    </w:p>
    <w:p>
      <w:r/>
      <w:r>
        <w:rPr>
          <w:b/>
        </w:rPr>
        <w:t>Conservation</w:t>
      </w:r>
      <w:r>
        <w:t xml:space="preserve"> :</w:t>
      </w:r>
    </w:p>
    <w:p>
      <w:pPr>
        <w:pStyle w:val="ListBullet"/>
      </w:pPr>
      <w:r>
        <w:t>À conserver à l'abri de la lumière (photosensibilité).</w:t>
      </w:r>
    </w:p>
    <w:p>
      <w:pPr>
        <w:pStyle w:val="ListBullet"/>
      </w:pPr>
      <w:r>
        <w:t>Température &lt; 25 °C (pas de congélation).</w:t>
      </w:r>
    </w:p>
    <w:p>
      <w:pPr>
        <w:pStyle w:val="ListBullet"/>
      </w:pPr>
      <w:r>
        <w:t>Forme IV : à reconstituer immédiatement avant emploi, à utiliser dans les 6 h après reconstitution.</w:t>
      </w:r>
    </w:p>
    <w:p>
      <w:pPr>
        <w:pStyle w:val="ListBullet"/>
      </w:pPr>
      <w:r>
        <w:t>Forme orale : conservation 3 ans en emballage d'origine.</w:t>
      </w:r>
    </w:p>
    <w:p>
      <w:pPr>
        <w:pStyle w:val="ListBullet"/>
      </w:pPr>
      <w:r>
        <w:t>Vérification visuelle : poudre jaune-orange à jaune-brun, ne pas utiliser si altérée.</w:t>
      </w:r>
    </w:p>
    <w:p>
      <w:r/>
      <w:r>
        <w:rPr>
          <w:b/>
        </w:rPr>
        <w:t>Stockage et gestion de la pénurie algérienne</w:t>
      </w:r>
      <w:r>
        <w:t xml:space="preserve"> :</w:t>
      </w:r>
    </w:p>
    <w:p>
      <w:pPr>
        <w:pStyle w:val="ListBullet"/>
      </w:pPr>
      <w:r>
        <w:t>Stock minimum recommandé par établissement pratiquant l'anesthésie générale : 36 flacons de 20 mg (720 mg) pour traiter un adulte de 70 kg à la dose curative initiale (10 mg/kg), plus 9 flacons supplémentaires pour 2 doses de répéter.</w:t>
      </w:r>
    </w:p>
    <w:p>
      <w:pPr>
        <w:pStyle w:val="ListBullet"/>
      </w:pPr>
      <w:r>
        <w:t>Localisation : chariot d'urgence anesthésique, accessible &lt; 10 min, connue de toute l'équipe.</w:t>
      </w:r>
    </w:p>
    <w:p>
      <w:pPr>
        <w:pStyle w:val="ListBullet"/>
      </w:pPr>
      <w:r>
        <w:t>Vérification quotidienne de la disponibilité, des dates de péremption, de l'aspect de la poudre.</w:t>
      </w:r>
    </w:p>
    <w:p>
      <w:pPr>
        <w:pStyle w:val="ListBullet"/>
      </w:pPr>
      <w:r>
        <w:t>Procédure d'ATU pour importation en cas d'indisponibilité.</w:t>
      </w:r>
    </w:p>
    <w:p>
      <w:pPr>
        <w:pStyle w:val="ListBullet"/>
      </w:pPr>
      <w:r>
        <w:t>Sensibilisation des anesthésistes à la conduite à tenir en cas d'HM en l'absence de dantrolène (protocole alternatif symptomatique) — mais la survie sans dantrolène reste compromise.</w:t>
      </w:r>
    </w:p>
    <w:p>
      <w:pPr>
        <w:pStyle w:val="Heading3"/>
      </w:pPr>
      <w:r>
        <w:t>184.3.1.11 Conseils au patient et à l'équipe soignante</w:t>
      </w:r>
    </w:p>
    <w:p>
      <w:r>
        <w:t>Le dantrolène étant administré en urgence vitale (HM peranesthésique) ou en traitement chronique (spasticité), les conseils s'adressent à l'équipe soignante anesthésique/réanimation et aux patients en traitement chronique.</w:t>
      </w:r>
    </w:p>
    <w:p>
      <w:r/>
      <w:r>
        <w:rPr>
          <w:b/>
        </w:rPr>
        <w:t>Conseils à l'équipe anesthésique</w:t>
      </w:r>
      <w:r>
        <w:t xml:space="preserve"> :</w:t>
      </w:r>
    </w:p>
    <w:p>
      <w:pPr>
        <w:pStyle w:val="ListBullet"/>
      </w:pPr>
      <w:r/>
      <w:r>
        <w:rPr>
          <w:b/>
        </w:rPr>
        <w:t>Identification des patients à risque d'HM avant toute anesthésie</w:t>
      </w:r>
      <w:r>
        <w:t xml:space="preserve"> : antécédents personnels ou familiaux d'HM, de décès peranesthésique inexpliqué, de myopathie évocatrice (Central Core Disease, multi-minicore myopathy, myopathie centronucléaire, King-Denborough syndrome). Consultation anesthésique systématique avec anesthésie « trigger-free » (TIVA propofol, évitement de la succinylcholine, machine purgée O2 100 % pendant 20 min, circuits neufs).</w:t>
      </w:r>
    </w:p>
    <w:p>
      <w:pPr>
        <w:pStyle w:val="ListBullet"/>
      </w:pPr>
      <w:r/>
      <w:r>
        <w:rPr>
          <w:b/>
        </w:rPr>
        <w:t>Disponibilité du dantrolène dans chaque salle d'opération</w:t>
      </w:r>
      <w:r>
        <w:t xml:space="preserve"> : stock minimum 36 flacons de 20 mg, à jour de péremption, à portée de main (&lt; 10 min), personnel formé à la reconstitution et à l'administration.</w:t>
      </w:r>
    </w:p>
    <w:p>
      <w:pPr>
        <w:pStyle w:val="ListBullet"/>
      </w:pPr>
      <w:r/>
      <w:r>
        <w:rPr>
          <w:b/>
        </w:rPr>
        <w:t>Diagnostic précoce de l'HM</w:t>
      </w:r>
      <w:r>
        <w:t xml:space="preserve"> : surveillance systématique de la capnographie (augmentation inexpliquée du CO2 expiré), température centrale, ECG, SpO2, gaz du sang. La capnie est le premier signe (augmentation de 5-10 mmHg/min sans cause évidente). Toute suspicion → arrêt immédiat des halogénés et de la succinylcholine, appel à l'aide, hyperventilation au O2 100%, arrêt de la chirurgie si possible, dantrolène 2,5 mg/kg IV en urgence.</w:t>
      </w:r>
    </w:p>
    <w:p>
      <w:pPr>
        <w:pStyle w:val="ListBullet"/>
      </w:pPr>
      <w:r/>
      <w:r>
        <w:rPr>
          <w:b/>
        </w:rPr>
        <w:t>Préparation rapide du dantrolène</w:t>
      </w:r>
      <w:r>
        <w:t xml:space="preserve"> : formation des infirmiers anesthésistes à la reconstitution rapide (technique de plusieurs flacons en parallèle, agitation vigoureuse, dissolution complète). Préparer 9 flacons de 20 mg (540 mL) en 5-10 min, ou utiliser la formulation liposomiale Ryanodex si disponible.</w:t>
      </w:r>
    </w:p>
    <w:p>
      <w:pPr>
        <w:pStyle w:val="ListBullet"/>
      </w:pPr>
      <w:r/>
      <w:r>
        <w:rPr>
          <w:b/>
        </w:rPr>
        <w:t>Surveillance continue après HM</w:t>
      </w:r>
      <w:r>
        <w:t xml:space="preserve"> : scope ECG, PA invasive, SpO2, capnographie, température centrale, diurèse horaire, kaliémie, glycémie, gaz du sang, CPK, myoglobinémie et urinaire. Surveillance en soins intensifs 48-72 h (risque de récidive).</w:t>
      </w:r>
    </w:p>
    <w:p>
      <w:pPr>
        <w:pStyle w:val="ListBullet"/>
      </w:pPr>
      <w:r/>
      <w:r>
        <w:rPr>
          <w:b/>
        </w:rPr>
        <w:t>Traitement symptomatique associé</w:t>
      </w:r>
      <w:r>
        <w:t xml:space="preserve"> : refroidissement actif (glace, perfusion de cristalloïdes froids à 4°C, lavage gastrique et vésical froid), correction de l'acidose (bicarbonate 1-2 mEq/kg), de l'hyperkaliémie (insuline-glucose 10 UI + 50 g glucose, calcium gluconate 1 g IV), de la myoglobinurie (mannitol 0,5 g/kg, alcalinisation urinaire), des troubles du rythme (lidocaïne, amiodarone — éviter le calcium qui aggrave l'HM si déjà administré).</w:t>
      </w:r>
    </w:p>
    <w:p>
      <w:pPr>
        <w:pStyle w:val="ListBullet"/>
      </w:pPr>
      <w:r/>
      <w:r>
        <w:rPr>
          <w:b/>
        </w:rPr>
        <w:t>Déclaration de l'épisode</w:t>
      </w:r>
      <w:r>
        <w:t xml:space="preserve"> : à la pharmacovigilance nationale, au registre national d'HM (si disponible), au comité d'anesthésie. Enquête familiale génétique (test de contracture à la caféine-halogéthane IVCT, séquençage RyR1/CACNA1S) pour identifier les apparentés à risque.</w:t>
      </w:r>
    </w:p>
    <w:p>
      <w:r/>
      <w:r>
        <w:rPr>
          <w:b/>
        </w:rPr>
        <w:t>Conseils au patient en traitement chronique (spasticité)</w:t>
      </w:r>
      <w:r>
        <w:t xml:space="preserve"> :</w:t>
      </w:r>
    </w:p>
    <w:p>
      <w:pPr>
        <w:pStyle w:val="ListBullet"/>
      </w:pPr>
      <w:r>
        <w:t>Information sur le traitement : nom du médicament (Dantrium), posologie, modalités de prise (avec ou sans alimentation), précautions.</w:t>
      </w:r>
    </w:p>
    <w:p>
      <w:pPr>
        <w:pStyle w:val="ListBullet"/>
      </w:pPr>
      <w:r>
        <w:t>Surveillance hépatique : bilan hépatique mensuel pendant 3 mois, puis trimestriel. Arrêter et consulter en urgence si asthénie, anorexie, nausées, urines foncées, ictère.</w:t>
      </w:r>
    </w:p>
    <w:p>
      <w:pPr>
        <w:pStyle w:val="ListBullet"/>
      </w:pPr>
      <w:r>
        <w:t>Éviter l'alcool (hépatotoxicité additive).</w:t>
      </w:r>
    </w:p>
    <w:p>
      <w:pPr>
        <w:pStyle w:val="ListBullet"/>
      </w:pPr>
      <w:r>
        <w:t>Éviter l'association aux autres hépatotoxiques sans avis médical (paracétamol à dose élevée, statines).</w:t>
      </w:r>
    </w:p>
    <w:p>
      <w:pPr>
        <w:pStyle w:val="ListBullet"/>
      </w:pPr>
      <w:r>
        <w:t>Information sur la faiblesse musculaire : prudence à la marche, conduite automobile, activités à risque de chute.</w:t>
      </w:r>
    </w:p>
    <w:p>
      <w:pPr>
        <w:pStyle w:val="ListBullet"/>
      </w:pPr>
      <w:r>
        <w:t>Photosensibilité : protection solaire (écran SPF 50+, vêtements couvrants).</w:t>
      </w:r>
    </w:p>
    <w:p>
      <w:pPr>
        <w:pStyle w:val="ListBullet"/>
      </w:pPr>
      <w:r>
        <w:t>Information sur les signes d'alerte à signaler : ictère, urines foncées, douleurs abdominales, fièvre, éruption cutanée.</w:t>
      </w:r>
    </w:p>
    <w:p>
      <w:pPr>
        <w:pStyle w:val="ListBullet"/>
      </w:pPr>
      <w:r>
        <w:t>Suivi régulier : consultation tous les 3-6 mois pour surveillance hépatique et évaluation de l'efficacité.</w:t>
      </w:r>
    </w:p>
    <w:p>
      <w:pPr>
        <w:pStyle w:val="Heading3"/>
      </w:pPr>
      <w:r>
        <w:t>184.3.1.12 Pièges au comptoir — Règles d'or</w:t>
      </w:r>
    </w:p>
    <w:p>
      <w:r/>
      <w:r>
        <w:rPr>
          <w:b/>
        </w:rPr>
        <w:t>Piège n°1 — DANTROLÈNE RETIRÉ DU MARCHÉ ALGÉRIEN</w:t>
      </w:r>
      <w:r>
        <w:t xml:space="preserve"> : alerte critique de sécurité anesthésique. Règle d'or : tout bloc opératoire sans dantrolène disponible doit privilégier les techniques anesthésiques « trigger-free » (TIVA propofol, anesthésie régionale, évitement de la succinylcholine et des halogénés), et disposer d'une procédure d'ATU pour approvisionnement en urgence. Signalement obligatoire à la pharmacovigilance nationale.</w:t>
      </w:r>
    </w:p>
    <w:p>
      <w:r/>
      <w:r>
        <w:rPr>
          <w:b/>
        </w:rPr>
        <w:t>Piège n°2 — Diagnostic tardif d'HM</w:t>
      </w:r>
      <w:r>
        <w:t xml:space="preserve"> : la mortalité augmente avec le délai d'administration du dantrolène. Règle d'or : tout signe d'hypercapnie inexpliquée, tachycardie, rigidité musculaire, hyperthermie rapide en peranesthésique → SUSPICION d'HM → dantrolène 2,5 mg/kg IV immédiat, sans attendre la confirmation.</w:t>
      </w:r>
    </w:p>
    <w:p>
      <w:r/>
      <w:r>
        <w:rPr>
          <w:b/>
        </w:rPr>
        <w:t>Piège n°3 — Dose insuffisante de dantrolène</w:t>
      </w:r>
      <w:r>
        <w:t xml:space="preserve"> : dose initiale 2,5 mg/kg IV à répéter toutes les 5 min jusqu'à disparition des signes (dose max 10 mg/kg, parfois jusqu'à 30 mg/kg dans les formes catastrophiques). Règle d'or : ne pas hésiter à répéter les doses ; sous-doser est plus dangereux que de dépasser la dose théorique.</w:t>
      </w:r>
    </w:p>
    <w:p>
      <w:r/>
      <w:r>
        <w:rPr>
          <w:b/>
        </w:rPr>
        <w:t>Piège n°4 — Erreur de reconstitution</w:t>
      </w:r>
      <w:r>
        <w:t xml:space="preserve"> : reconstitution avec NaCl, G5 %, Ringer Lactate (incompatibilité chimique) ou EPPI avec conservateur. Règle d'or : UNIQUEMENT EPPI sans conservateur, agitation vigoureuse pendant 1-2 min jusqu'à dissolution complète.</w:t>
      </w:r>
    </w:p>
    <w:p>
      <w:r/>
      <w:r>
        <w:rPr>
          <w:b/>
        </w:rPr>
        <w:t>Piège n°5 — Administration IM ou SC</w:t>
      </w:r>
      <w:r>
        <w:t xml:space="preserve"> : inefficace, délai d'action trop long. Règle d'or : IV stricte, voie veineuse de gros calibre ou voie centrale.</w:t>
      </w:r>
    </w:p>
    <w:p>
      <w:r/>
      <w:r>
        <w:rPr>
          <w:b/>
        </w:rPr>
        <w:t>Piège n°6 — Voie IM pour spasticité</w:t>
      </w:r>
      <w:r>
        <w:t xml:space="preserve"> : inefficace. Règle d'or : voie orale (gélules) pour spasticité chronique, voie IV pour HM.</w:t>
      </w:r>
    </w:p>
    <w:p>
      <w:r/>
      <w:r>
        <w:rPr>
          <w:b/>
        </w:rPr>
        <w:t>Piège n°7 — Administration de succinylcholine ou d'halogénés en cas de suspicion d'HM</w:t>
      </w:r>
      <w:r>
        <w:t xml:space="preserve"> : agents déclencheurs, aggravent la crise. Règle d'or : arrêt immédiat de tout halogéné et de la succinylcholine dès la suspicion, hyperventilation au O2 100%, changement de circuit et d'évaporateur.</w:t>
      </w:r>
    </w:p>
    <w:p>
      <w:r/>
      <w:r>
        <w:rPr>
          <w:b/>
        </w:rPr>
        <w:t>Piège n°8 — Administration de calcium IV pour hyperkaliémie au cours de l'HM</w:t>
      </w:r>
      <w:r>
        <w:t xml:space="preserve"> : le calcium peut aggraver la crise (effet sur la contraction musculaire). Règle d'or : éviter le calcium dans l'HM, préférer insuline-glucose pour hyperkaliémie menaçante.</w:t>
      </w:r>
    </w:p>
    <w:p>
      <w:r/>
      <w:r>
        <w:rPr>
          <w:b/>
        </w:rPr>
        <w:t>Piège n°9 — Arrêt précoce du traitement d'entretien</w:t>
      </w:r>
      <w:r>
        <w:t xml:space="preserve"> : récidive de l'HM dans 25 % des cas dans les 24-48 h après l'épisode initial. Règle d'or : traitement d'entretien 1 mg/kg IV ou per os toutes les 4-6 h pendant 24-72 h, surveillance en soins intensifs 48-72 h.</w:t>
      </w:r>
    </w:p>
    <w:p>
      <w:r/>
      <w:r>
        <w:rPr>
          <w:b/>
        </w:rPr>
        <w:t>Piège n°10 — Femme enceinte sans surveillance fœtale</w:t>
      </w:r>
      <w:r>
        <w:t xml:space="preserve"> : hypotonie néonatale transitoire possible. Règle d'or : surveillance RHJ fœtal continu pendant toute la durée du traitement, surveillance néonatale en post-partum (tonus, réflexes, glycémie capillaire).</w:t>
      </w:r>
    </w:p>
    <w:p>
      <w:pPr>
        <w:pStyle w:val="Heading2"/>
      </w:pPr>
      <w:r>
        <w:t>184.4 Sous-classe 4 — Réanimation : Antifibrinolytiques (acide tranexamique)</w:t>
      </w:r>
    </w:p>
    <w:p>
      <w:pPr>
        <w:pStyle w:val="Heading3"/>
      </w:pPr>
      <w:r>
        <w:t>184.4.0 Introduction à la sous-classe des antifibrinolytiques</w:t>
      </w:r>
    </w:p>
    <w:p>
      <w:r>
        <w:t>Les antifibrinolytiques forment une classe pharmacologique d'agents hémostatiques qui réduisent le saignement en inhibant la dégradation du caillot de fibrine (fibrinolyse). Deux familles chimiques coexistent : (1) les analogues de la lysine (acide aminé essentiel), qui comprennent l'</w:t>
      </w:r>
      <w:r>
        <w:rPr>
          <w:b/>
        </w:rPr>
        <w:t>acide tranexamique</w:t>
      </w:r>
      <w:r>
        <w:t xml:space="preserve"> (acide trans-4-(aminométhyl)cyclohexanecarboxylique) et l'</w:t>
      </w:r>
      <w:r>
        <w:rPr>
          <w:b/>
        </w:rPr>
        <w:t>acide aminocaproïque</w:t>
      </w:r>
      <w:r>
        <w:t xml:space="preserve"> (non disponible en Algérie); (2) les inhibiteurs de la plasmine directs (aprotinine, polypeptide pancréatique bovin — retiré du marché européen en 2007 en raison d'une toxicité rénale et d'une surmortalité, puis réintroduit sous restrictions en 2014).</w:t>
      </w:r>
    </w:p>
    <w:p>
      <w:r>
        <w:t>L'acide tranexamique a été découvert en 1962 par Shosuke et Utako Okamoto, couple japonais de chercheurs à l'Université de Keio, dont l'objectif initial était de réduire la mortalité maternelle par hémorragie de la délivrance. La molécule est un analogue structural de la lysine qui se fixe de manière réversible sur les sites « lysine-binding » de la plasmine et du plasminogène, empêchant la liaison du plasminogène à la fibrine et donc son activation en plasmine. Sans plasmine active, la fibrine du caillot n'est pas dégradée, et l'hémostase est maintenue.</w:t>
      </w:r>
    </w:p>
    <w:p>
      <w:r>
        <w:t>L'acide tranexamique a connu un renouveau majeur de ses indications depuis 2010, grâce à plusieurs études pivot internationales :</w:t>
      </w:r>
    </w:p>
    <w:p>
      <w:pPr>
        <w:pStyle w:val="ListBullet"/>
      </w:pPr>
      <w:r/>
      <w:r>
        <w:rPr>
          <w:b/>
        </w:rPr>
        <w:t>CRASH-2 (2010, Lancet)</w:t>
      </w:r>
      <w:r>
        <w:t xml:space="preserve"> : étude internationale randomisée sur 20 211 patients traumatisés, démontrant une réduction de la mortalité (14,5 % vs 16,0 %, p=0,0035) et des décès par hémorragie (4,9 % vs 5,7 %, p=0,0077) avec l'acide tranexamique administré dans les 3 heures suivant le traumatisme. Le bénéfice est maximal dans la 1ère heure (mortalité réduite de 32 %), nul après 3 heures, et possiblement délétère au-delà (augmentation paradoxale de la mortalité, hypothèse d'une fibrinolyse tardive « supprimée » alors que le saignement persiste).</w:t>
      </w:r>
    </w:p>
    <w:p>
      <w:pPr>
        <w:pStyle w:val="ListBullet"/>
      </w:pPr>
      <w:r/>
      <w:r>
        <w:rPr>
          <w:b/>
        </w:rPr>
        <w:t>WOMAN Trial (2017, Lancet)</w:t>
      </w:r>
      <w:r>
        <w:t xml:space="preserve"> : étude internationale randomisée sur 20 060 femmes présentant une hémorragie du post-partum, démontrant une réduction de la mortalité par hémorragie (1,5 % vs 1,9 %, p=0,045) sans augmentation des complications thromboemboliques.</w:t>
      </w:r>
    </w:p>
    <w:p>
      <w:pPr>
        <w:pStyle w:val="ListBullet"/>
      </w:pPr>
      <w:r/>
      <w:r>
        <w:rPr>
          <w:b/>
        </w:rPr>
        <w:t>ATACAS (2017, NEJM)</w:t>
      </w:r>
      <w:r>
        <w:t xml:space="preserve"> : étude sur 4 631 patients en chirurgie cardiaque, démontrant une réduction des saignements et des transfusions sans augmentation des complications thrombotiques ou rénales.</w:t>
      </w:r>
    </w:p>
    <w:p>
      <w:pPr>
        <w:pStyle w:val="ListBullet"/>
      </w:pPr>
      <w:r/>
      <w:r>
        <w:rPr>
          <w:b/>
        </w:rPr>
        <w:t>POISE-3 (2022, Lancet)</w:t>
      </w:r>
      <w:r>
        <w:t xml:space="preserve"> : étude sur 9 535 patients en chirurgie non cardiaque à risque hémorragique, démontrant une réduction des saignements majeurs sans augmentation des événements thrombotiques.</w:t>
      </w:r>
    </w:p>
    <w:p>
      <w:r>
        <w:t>L'acide tranexamique est aujourd'hui recommandé par l'OMS (Liste des médicaments essentiels 2021), la Surviving Sepsis Campaign 2021, la World Health Organization Postpartum Haemorrhage Guidelines 2023, et la SFAR dans le choc hémorragique traumatique et obstétrical. En Algérie, l'acide tranexamique est disponible sous deux spécialités actives (Acido Tranexamicco Bioindustria LIM, XenameX MS Pharma Jordanie) en solution injectable 500 mg/5 mL, ainsi qu'en formes orales pour les indications chroniques (ménorragies, saignements ORL et dentaires).</w:t>
      </w:r>
    </w:p>
    <w:p>
      <w:pPr>
        <w:pStyle w:val="Heading2"/>
      </w:pPr>
      <w:r>
        <w:t>184.4.1 DCI 5 — Acide tranexamique (usage anesthésie/réanimation)</w:t>
      </w:r>
    </w:p>
    <w:p>
      <w:pPr>
        <w:pStyle w:val="Heading3"/>
      </w:pPr>
      <w:r>
        <w:t>184.4.1.1 Catégories pharmaco-thérapeutiques et indications</w:t>
      </w:r>
    </w:p>
    <w:p>
      <w:r>
        <w:t>L'acide tranexamique (acide trans-4-(aminométhyl)cyclohexanecarboxylique, formule C8H15NO2, masse molaire 157,21 g/mol) est classé en catégorie pharmacothérapeutique des « antifibrinolytiques — antihémorragiques », code ATC B02AA02 (antifibrinolytiques — acide tranexamique). Il est inscrit sur la Liste des médicaments essentiels de l'OMS comme médicament du choc hémorragique. En Algérie, il est classé sur la Liste I des substances vénéneuses.</w:t>
      </w:r>
    </w:p>
    <w:p>
      <w:r>
        <w:t>Les indications réglementaires (AMM) de l'acide tranexamique sont : (1) traitement et prévention des hémorragies massives (traumatisme majeur, choc hémorragique obstétrical, hémorragie digestive, chirurgie à fort risque hémorragique); (2) hémorragie du post-partum (HPP) réfractaire à l'ocytocine et aux prostaglandines, en complément du traitement utérotonique (recommandation OMS 2023); (3) chirurgie cardiaque sous circulation extra-corporelle (CEC) — réduction du saignement post-opératoire et des besoins transfusionnels; (4) chirurgie orthopédique majeure (prothèse totale de hanche, de genou, scoliose); (5) chirurgie hépatique (transplantation hépatique, résection hépatique); (6) chirurgie vasculaire majeure; (7) traumatisme majeur avec hémorragie (CRASH-2) — administration dans les 3 heures; (8) ménorragies abondantes (traitement per os chronique); (9) épistaxis récidivante sévère, saignement dentaire, saignement gastro-intestinal; (10) angiœdème héréditaire (prophylaxie à long terme per os); (11) prévention de la fibrinolyse excessive après thrombolyse médicamenteuse. L'acide tranexamique ne se substitue pas aux mesures hémostatiques chirurgicales ou radiologiques en cas de saignement actif ; il s'utilise en complément.</w:t>
      </w:r>
    </w:p>
    <w:p>
      <w:pPr>
        <w:pStyle w:val="Heading3"/>
      </w:pPr>
      <w:r>
        <w:t>184.4.1.2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ACIDO TRANEXAMICO BIOINDUSTRIA L.I.M</w:t>
            </w:r>
          </w:p>
        </w:tc>
        <w:tc>
          <w:tcPr>
            <w:tcW w:type="dxa" w:w="1559"/>
          </w:tcPr>
          <w:p>
            <w:r>
              <w:rPr>
                <w:sz w:val="20"/>
              </w:rPr>
              <w:t>BIOINDUSTRIA LABORATORIO ITALIANO MEDICINALI SPA</w:t>
            </w:r>
          </w:p>
        </w:tc>
        <w:tc>
          <w:tcPr>
            <w:tcW w:type="dxa" w:w="1559"/>
          </w:tcPr>
          <w:p>
            <w:r>
              <w:rPr>
                <w:sz w:val="20"/>
              </w:rPr>
              <w:t>Solution injectable 500 mg/5 mL (100 mg/mL)</w:t>
            </w:r>
          </w:p>
        </w:tc>
        <w:tc>
          <w:tcPr>
            <w:tcW w:type="dxa" w:w="1559"/>
          </w:tcPr>
          <w:p>
            <w:r>
              <w:rPr>
                <w:sz w:val="20"/>
              </w:rPr>
              <w:t>Boîte de 5 ampoules de 5 mL</w:t>
            </w:r>
          </w:p>
        </w:tc>
        <w:tc>
          <w:tcPr>
            <w:tcW w:type="dxa" w:w="1559"/>
          </w:tcPr>
          <w:p>
            <w:r>
              <w:rPr>
                <w:sz w:val="20"/>
              </w:rPr>
              <w:t>Liste I</w:t>
            </w:r>
          </w:p>
        </w:tc>
        <w:tc>
          <w:tcPr>
            <w:tcW w:type="dxa" w:w="1559"/>
          </w:tcPr>
          <w:p>
            <w:r>
              <w:rPr>
                <w:sz w:val="20"/>
              </w:rPr>
              <w:t>Actif</w:t>
            </w:r>
          </w:p>
        </w:tc>
      </w:tr>
      <w:tr>
        <w:tc>
          <w:tcPr>
            <w:tcW w:type="dxa" w:w="1559"/>
          </w:tcPr>
          <w:p>
            <w:r>
              <w:rPr>
                <w:sz w:val="20"/>
              </w:rPr>
              <w:t>XENAMEX</w:t>
            </w:r>
          </w:p>
        </w:tc>
        <w:tc>
          <w:tcPr>
            <w:tcW w:type="dxa" w:w="1559"/>
          </w:tcPr>
          <w:p>
            <w:r>
              <w:rPr>
                <w:sz w:val="20"/>
              </w:rPr>
              <w:t>MS PHARMA-JORDAN</w:t>
            </w:r>
          </w:p>
        </w:tc>
        <w:tc>
          <w:tcPr>
            <w:tcW w:type="dxa" w:w="1559"/>
          </w:tcPr>
          <w:p>
            <w:r>
              <w:rPr>
                <w:sz w:val="20"/>
              </w:rPr>
              <w:t>Solution injectable intraveineuse 500 mg/5 mL</w:t>
            </w:r>
          </w:p>
        </w:tc>
        <w:tc>
          <w:tcPr>
            <w:tcW w:type="dxa" w:w="1559"/>
          </w:tcPr>
          <w:p>
            <w:r>
              <w:rPr>
                <w:sz w:val="20"/>
              </w:rPr>
              <w:t>Boîte de 10 flacons de 5 mL</w:t>
            </w:r>
          </w:p>
        </w:tc>
        <w:tc>
          <w:tcPr>
            <w:tcW w:type="dxa" w:w="1559"/>
          </w:tcPr>
          <w:p>
            <w:r>
              <w:rPr>
                <w:sz w:val="20"/>
              </w:rPr>
              <w:t>Liste I</w:t>
            </w:r>
          </w:p>
        </w:tc>
        <w:tc>
          <w:tcPr>
            <w:tcW w:type="dxa" w:w="1559"/>
          </w:tcPr>
          <w:p>
            <w:r>
              <w:rPr>
                <w:sz w:val="20"/>
              </w:rPr>
              <w:t>Actif</w:t>
            </w:r>
          </w:p>
        </w:tc>
      </w:tr>
    </w:tbl>
    <w:p/>
    <w:p>
      <w:r>
        <w:t>Le marché algérien de l'acide tranexamique injectable comprend deux spécialités actives, toutes à la concentration de 500 mg/5 mL (100 mg/mL) :</w:t>
      </w:r>
    </w:p>
    <w:p>
      <w:pPr>
        <w:pStyle w:val="ListNumber"/>
      </w:pPr>
      <w:r/>
      <w:r>
        <w:rPr>
          <w:b/>
        </w:rPr>
        <w:t>Acido Tranexamicco Bioindustria L.I.M</w:t>
      </w:r>
      <w:r>
        <w:t xml:space="preserve"> (Bioindustria Laboratorio Italiano Medicinali SPA, Italie) — présenté en ampoules de 5 mL, conditionné en boîte de 5 ampoules. Spécialité importée d'Italie, historiquement disponible en Algérie.</w:t>
      </w:r>
    </w:p>
    <w:p>
      <w:pPr>
        <w:pStyle w:val="ListNumber"/>
      </w:pPr>
      <w:r/>
      <w:r>
        <w:rPr>
          <w:b/>
        </w:rPr>
        <w:t>XenameX</w:t>
      </w:r>
      <w:r>
        <w:t xml:space="preserve"> (MS Pharma-Jordan) — présenté en flacons de 5 mL, conditionné en boîte de 10 flacons. Spécialité fabriquée en Jordanie, disponible depuis les années 2010.</w:t>
      </w:r>
    </w:p>
    <w:p>
      <w:r>
        <w:t>Les deux spécialités sont disponibles et actives, ce qui assure une sécurité d'approvisionnement relativement bonne pour cette molécule essentielle en anesthésie-réanimation et obstétrique. Cependant, le conditionnement en ampoules de 5 mL (500 mg) impose une préparation extemporanée pour les perfusions continues (4-8 ampoules reconstituées dans une poche), avec un risque d'erreur de calcul et de dilution. La concentration unitaire de 500 mg/5 mL est adaptée à l'injection IV directe (lente) en urgence (HPP, traumatisme), mais une seringue électrique nécessite une dilution préalable en pharmacie centrale.</w:t>
      </w:r>
    </w:p>
    <w:p>
      <w:r>
        <w:t>Les formes orales d'acide tranexamique (comprimés 500 mg) sont disponibles en Algérie sous d'autres spécialités non incluses dans ce chapitre (orientation gynécologique et ORL), mais sont utilisées dans le même cadre pharmacologique pour les indications chroniques (ménorragies, angiœdème héréditaire, saignement ORL récidivant).</w:t>
      </w:r>
    </w:p>
    <w:p>
      <w:pPr>
        <w:pStyle w:val="Heading3"/>
      </w:pPr>
      <w:r>
        <w:t>184.4.1.3 Mécanisme d'action moléculaire, cellulaire et physiologique</w:t>
      </w:r>
    </w:p>
    <w:p>
      <w:r>
        <w:t>L'acide tranexamique est un analogue de synthèse de l'acide aminé lysine, qui reproduit structurellement la chaîne latérale de la lysine en position trans sur un cycle cyclohexane. Cette analogie structurale lui permet de se lier de manière réversible aux sites « lysine-binding » (Kringle domains) du plasminogène et de la plasmine.</w:t>
      </w:r>
    </w:p>
    <w:p>
      <w:r/>
      <w:r>
        <w:rPr>
          <w:b/>
        </w:rPr>
        <w:t>Niveau moléculaire — fixation sur le plasminogène</w:t>
      </w:r>
      <w:r>
        <w:t xml:space="preserve"> : le plasminogène est la zymogène inactive de la plasmine, enzyme protéolytique responsable de la dégradation de la fibrine (fibrinolyse). Le plasminogène circulant possède cinq domaines « Kringle » contenant chacun un site de liaison à la lysine (lysine-binding site, LBS). L'un de ces sites (Kringle 1) est crucial pour la fixation du plasminogène à la fibrine (qui expose des résidus lysine après digestion partielle par la plasmine). La fixation du plasminogène à la fibrine facilite son activation en plasmine par les activateurs du plasminogène (t-PA tissue plasminogen activator, u-PA urokinase). L'acide tranexamique, en se fixant sur le LBS du Kringle 1, bloque l'interaction plasminogène-fibrine, empêchant ainsi l'activation locale de la plasmine au sein du caillot de fibrine.</w:t>
      </w:r>
    </w:p>
    <w:p>
      <w:r/>
      <w:r>
        <w:rPr>
          <w:b/>
        </w:rPr>
        <w:t>Niveau cellulaire — inhibition de la plasmine</w:t>
      </w:r>
      <w:r>
        <w:t xml:space="preserve"> : l'acide tranexamique se fixe également sur la plasmine déjà formée (et sur le plasminogène activable), inhibant son activité protéolytique de dégradation de la fibrine. La plasmine ne peut plus cliver la fibrine en produits de dégradation (D-dimères, PDF), et le caillot est stabilisé. L'effet est réversible et dose-dépendant.</w:t>
      </w:r>
    </w:p>
    <w:p>
      <w:r/>
      <w:r>
        <w:rPr>
          <w:b/>
        </w:rPr>
        <w:t>Niveau physiologique — hémostase préservée</w:t>
      </w:r>
      <w:r>
        <w:t xml:space="preserve"> : la conséquence globale est une stabilisation du caillot de fibrine, une réduction de la fibrinolyse, une diminution du saignement. L'acide tranexamique n'augmente pas la coagulation (pas d'effet pro-coagulant direct), mais empêche la destruction du caillot existant. Il ne modifie pas les paramètres biologiques de la coagulation (TP, TCA, INR, fibrinogène) — son effet se mesure essentiellement sur la réduction clinique du saignement et sur la diminution des D-dimères.</w:t>
      </w:r>
    </w:p>
    <w:p>
      <w:r/>
      <w:r>
        <w:rPr>
          <w:b/>
        </w:rPr>
        <w:t>Niveau réanimation — choc hémorragique traumatique</w:t>
      </w:r>
      <w:r>
        <w:t xml:space="preserve"> : le choc hémorragique traumatique s'accompagne d'une fibrinolyse systémique massive (libération de t-PA endothélial en réponse à l'hypoperfusion, à l'acidose et à l'hypothermie), aggravant le saignement et la coagulopathie. L'acide tranexamique, en bloquant la fibrinolyse, stabilise les caillots existants et réduit le saignement. L'étude CRASH-2 (2010) a démontré une réduction de la mortalité de 1,5 % absolu (10 % relatif) chez les traumatisés recevant l'acide tranexamique dans les 3 heures, avec un bénéfice maximal dans la 1ère heure (32 % de réduction de la mortalité).</w:t>
      </w:r>
    </w:p>
    <w:p>
      <w:r/>
      <w:r>
        <w:rPr>
          <w:b/>
        </w:rPr>
        <w:t>Niveau réanimation — hémorragie du post-partum</w:t>
      </w:r>
      <w:r>
        <w:t xml:space="preserve"> : la HPP sévère réfractaire à l'ocytocine et aux prostaglandines peut bénéficier de l'acide tranexamique (1 g IV puis 1 g/8 h pendant 24 h), en complément des utérotoniques et des mesures obstétricales (révision utérine, délivrance artificielle, embolisation artérielle, chirurgie conservatrice ou radicale). L'étude WOMAN Trial (2017) a démontré une réduction de la mortalité maternelle par hémorragie, sans augmentation des complications thromboemboliques.</w:t>
      </w:r>
    </w:p>
    <w:p>
      <w:r/>
      <w:r>
        <w:rPr>
          <w:b/>
        </w:rPr>
        <w:t>Niveau pharmacodynamique supplémentaire — effet anti-inflammatoire</w:t>
      </w:r>
      <w:r>
        <w:t xml:space="preserve"> : la plasmine possède des effets protéolytiques non hémostatiques (complément, kinines, cytokines). L'acide tranexamique, en inhibant la plasmine, peut réduire l'inflammation. Cet effet est exploité dans l'angiœdème héréditaire (où la plasmine active le système des kinines → bradykinine → angio-œdème).</w:t>
      </w:r>
    </w:p>
    <w:p>
      <w:pPr>
        <w:pStyle w:val="Heading3"/>
      </w:pPr>
      <w:r>
        <w:t>184.4.1.4 Pharmacocinétique (profil PK)</w:t>
      </w:r>
    </w:p>
    <w:p>
      <w:r/>
      <w:r>
        <w:rPr>
          <w:b/>
        </w:rPr>
        <w:t>Absorption</w:t>
      </w:r>
      <w:r>
        <w:t xml:space="preserve"> : la voie orale a une biodisponibilité élevée (≈ 30-50 %, complète à 100 % pour la voie IV). Le pic plasmatique est atteint en 1-3 heures après prise orale. La voie IV permet une concentration plasmatique immédiate (effet en 5-10 min). La voie IM est possible mais peu utilisée. La voie topique est utilisée en chirurgie (rinsage de la cavité, application locale) pour les saignements localisés.</w:t>
      </w:r>
    </w:p>
    <w:p>
      <w:r/>
      <w:r>
        <w:rPr>
          <w:b/>
        </w:rPr>
        <w:t>Distribution</w:t>
      </w:r>
      <w:r>
        <w:t xml:space="preserve"> : volume de distribution d'environ 9-12 L (correspondant à la distribution dans le compartiment extracellulaire). Liaison protéique faible (≈ 3 %), essentiellement à la fraction libre (plasminogène). L'acide tranexamique traverse la barrière hémato-encéphalique (faible lipophilie mais transporteur spécifique), le liquide synovial, le liquide amniotique et le lait maternel (en faible quantité). Distribution dans tous les tissus, y compris le caillot de fibrine.</w:t>
      </w:r>
    </w:p>
    <w:p>
      <w:r/>
      <w:r>
        <w:rPr>
          <w:b/>
        </w:rPr>
        <w:t>Métabolisme</w:t>
      </w:r>
      <w:r>
        <w:t xml:space="preserve"> : l'acide tranexamique est faiblement métabolisé (moins de 5 %), principalement par acétylation en métabolites inactifs. La majeure partie (95 %) est éliminée sous forme inchangée.</w:t>
      </w:r>
    </w:p>
    <w:p>
      <w:r/>
      <w:r>
        <w:rPr>
          <w:b/>
        </w:rPr>
        <w:t>Demi-vie d'élimination</w:t>
      </w:r>
      <w:r>
        <w:t xml:space="preserve"> : environ 2-3 heures (phase terminale), avec une demi-vie de distribution plus courte (≈ 30 min). Cette demi-vie courte impose une administration répétée (toutes les 6-8 h) ou en perfusion continue pour maintenir l'effet.</w:t>
      </w:r>
    </w:p>
    <w:p>
      <w:r/>
      <w:r>
        <w:rPr>
          <w:b/>
        </w:rPr>
        <w:t>Élimination</w:t>
      </w:r>
      <w:r>
        <w:t xml:space="preserve"> : rénale à 95 % sous forme inchangée, par filtration glomérulaire. La clairance rénale est d'environ 110-120 mL/min (équivalente au DFG). En cas d'insuffisance rénale, allongement de la demi-vie proportionnel à la baisse du DFG, nécessitant une adaptation posologique (réduction de dose).</w:t>
      </w:r>
    </w:p>
    <w:p>
      <w:r/>
      <w:r>
        <w:rPr>
          <w:b/>
        </w:rPr>
        <w:t>Linéarité</w:t>
      </w:r>
      <w:r>
        <w:t xml:space="preserve"> : la pharmacocinétique est linéaire aux doses thérapeutiques. La pharmacodynamie est dose-dépendante, avec un plateau d'effet au-delà de 20-30 mg/kg.</w:t>
      </w:r>
    </w:p>
    <w:p>
      <w:r/>
      <w:r>
        <w:rPr>
          <w:b/>
        </w:rPr>
        <w:t>Adaptation posologique en insuffisance rénale</w:t>
      </w:r>
      <w:r>
        <w:t xml:space="preserve"> :</w:t>
      </w:r>
    </w:p>
    <w:p>
      <w:pPr>
        <w:pStyle w:val="ListBullet"/>
      </w:pPr>
      <w:r>
        <w:t>DFG &gt; 60 mL/min : dose standard.</w:t>
      </w:r>
    </w:p>
    <w:p>
      <w:pPr>
        <w:pStyle w:val="ListBullet"/>
      </w:pPr>
      <w:r>
        <w:t>DFG 30-60 mL/min : dose standard × 2/j (au lieu de 3-4/j).</w:t>
      </w:r>
    </w:p>
    <w:p>
      <w:pPr>
        <w:pStyle w:val="ListBullet"/>
      </w:pPr>
      <w:r>
        <w:t>DFG 10-30 mL/min : dose standard × 1/j.</w:t>
      </w:r>
    </w:p>
    <w:p>
      <w:pPr>
        <w:pStyle w:val="ListBullet"/>
      </w:pPr>
      <w:r>
        <w:t>DFG &lt; 10 mL/min : dose standard × 1/48 h ou ½ dose × 1/j.</w:t>
      </w:r>
    </w:p>
    <w:p>
      <w:pPr>
        <w:pStyle w:val="ListBullet"/>
      </w:pPr>
      <w:r>
        <w:t>Hémodialyse : non dialysable de manière significative (small volume of distribution), mais surveillance accrue.</w:t>
      </w:r>
    </w:p>
    <w:p>
      <w:r/>
      <w:r>
        <w:rPr>
          <w:b/>
        </w:rPr>
        <w:t>Suivi thérapeutique</w:t>
      </w:r>
      <w:r>
        <w:t xml:space="preserve"> : pas de suivi plasmatique en routine. Le monitorage de l'efficacité repose sur : clinique (réduction du saignement, stabilisation hémodynamique), biologique (hémoglobine, hématocrite, plaquettes, fibrinogène, TP, TCA, D-dimères), visco-élastique (thrombo-élastographie ROTEM, thrombo-élastométrie TEG — détection de l'hyperfibrinolyse).</w:t>
      </w:r>
    </w:p>
    <w:p>
      <w:pPr>
        <w:pStyle w:val="Heading3"/>
      </w:pPr>
      <w:r>
        <w:t>184.4.1.5 Indications thérapeutiques</w:t>
      </w:r>
    </w:p>
    <w:p>
      <w:pPr>
        <w:pStyle w:val="ListNumber"/>
      </w:pPr>
      <w:r/>
      <w:r>
        <w:rPr>
          <w:b/>
        </w:rPr>
        <w:t>Traumatisme hémorragique grave</w:t>
      </w:r>
      <w:r>
        <w:t xml:space="preserve"> (CRASH-2, niveau 1A) :</w:t>
      </w:r>
    </w:p>
    <w:p>
      <w:pPr>
        <w:pStyle w:val="ListBullet"/>
      </w:pPr>
      <w:r>
        <w:t>Indication : tout traumatisme avec hémorragie significative ou risque d'hémorragie majeure, dans les 3 heures suivant le traumatisme.</w:t>
      </w:r>
    </w:p>
    <w:p>
      <w:pPr>
        <w:pStyle w:val="ListBullet"/>
      </w:pPr>
      <w:r>
        <w:t>Posologie : 1 g IV en bolus dans 10 minutes, suivi de 1 g IV en perfusion continue sur 8 heures.</w:t>
      </w:r>
    </w:p>
    <w:p>
      <w:pPr>
        <w:pStyle w:val="ListBullet"/>
      </w:pPr>
      <w:r>
        <w:t>Délai d'administration : idéalement &lt; 1 heure (bénéfice maximal), utile jusqu'à 3 heures, à éviter au-delà (possible délétère).</w:t>
      </w:r>
    </w:p>
    <w:p>
      <w:pPr>
        <w:pStyle w:val="ListBullet"/>
      </w:pPr>
      <w:r>
        <w:t>Contre-indication relative : traumatisme &gt; 3 heures (possible augmentation paradoxale de la mortalité).</w:t>
      </w:r>
    </w:p>
    <w:p>
      <w:pPr>
        <w:pStyle w:val="ListNumber"/>
      </w:pPr>
      <w:r/>
      <w:r>
        <w:rPr>
          <w:b/>
        </w:rPr>
        <w:t>Hémorragie du post-partum (HPP)</w:t>
      </w:r>
      <w:r>
        <w:t xml:space="preserve"> (WOMAN Trial, OMS 2023, niveau 1A) :</w:t>
      </w:r>
    </w:p>
    <w:p>
      <w:pPr>
        <w:pStyle w:val="ListBullet"/>
      </w:pPr>
      <w:r>
        <w:t>Indication : HPP sévère (perte sanguine &gt; 500 mL après accouchement par voie basse, &gt; 1000 mL après césarienne), réfractaire ou non à l'ocytocine.</w:t>
      </w:r>
    </w:p>
    <w:p>
      <w:pPr>
        <w:pStyle w:val="ListBullet"/>
      </w:pPr>
      <w:r>
        <w:t>Posologie : 1 g IV en bolus dans 10 minutes, suivi de 1 g IV en perfusion sur 8 heures (ou 1 g/8 h × 24 h maximum).</w:t>
      </w:r>
    </w:p>
    <w:p>
      <w:pPr>
        <w:pStyle w:val="ListBullet"/>
      </w:pPr>
      <w:r>
        <w:t>Délai d'administration : idéalement &lt; 3 heures du début de l'hémorragie.</w:t>
      </w:r>
    </w:p>
    <w:p>
      <w:pPr>
        <w:pStyle w:val="ListBullet"/>
      </w:pPr>
      <w:r>
        <w:t>En complément des utérotoniques (ocytocine 5-10 UI IV, methylergometrine, misoprostol) et des mesures obstétricales.</w:t>
      </w:r>
    </w:p>
    <w:p>
      <w:pPr>
        <w:pStyle w:val="ListNumber"/>
      </w:pPr>
      <w:r/>
      <w:r>
        <w:rPr>
          <w:b/>
        </w:rPr>
        <w:t>Chirurgie cardiaque sous CEC</w:t>
      </w:r>
      <w:r>
        <w:t xml:space="preserve"> (ATACAS, niveau 1A) :</w:t>
      </w:r>
    </w:p>
    <w:p>
      <w:pPr>
        <w:pStyle w:val="ListBullet"/>
      </w:pPr>
      <w:r>
        <w:t>Indication : chirurgie cardiaque programmée sous CEC, à risque de saignement post-opératoire.</w:t>
      </w:r>
    </w:p>
    <w:p>
      <w:pPr>
        <w:pStyle w:val="ListBullet"/>
      </w:pPr>
      <w:r>
        <w:t>Posologie : 10-15 mg/kg IV après induction anesthésique, puis 1-2 mg/kg/h en perfusion pendant la CEC, ou protocole simplifié : 1 g IV après induction + 500 mg dans le prime de la CEC.</w:t>
      </w:r>
    </w:p>
    <w:p>
      <w:pPr>
        <w:pStyle w:val="ListBullet"/>
      </w:pPr>
      <w:r>
        <w:t>Réduction du saignement post-opératoire et des besoins transfusionnels.</w:t>
      </w:r>
    </w:p>
    <w:p>
      <w:pPr>
        <w:pStyle w:val="ListNumber"/>
      </w:pPr>
      <w:r/>
      <w:r>
        <w:rPr>
          <w:b/>
        </w:rPr>
        <w:t>Chirurgie orthopédique majeure</w:t>
      </w:r>
      <w:r>
        <w:t xml:space="preserve"> :</w:t>
      </w:r>
    </w:p>
    <w:p>
      <w:pPr>
        <w:pStyle w:val="ListBullet"/>
      </w:pPr>
      <w:r>
        <w:t>Prothèse totale de hanche, de genou, chirurgie de scoliose, traumatologie orthopédique.</w:t>
      </w:r>
    </w:p>
    <w:p>
      <w:pPr>
        <w:pStyle w:val="ListBullet"/>
      </w:pPr>
      <w:r>
        <w:t>Posologie : 10-15 mg/kg IV ou 15 mg/kg topique (cavité articulaire), à répéter si nécessaire.</w:t>
      </w:r>
    </w:p>
    <w:p>
      <w:pPr>
        <w:pStyle w:val="ListBullet"/>
      </w:pPr>
      <w:r>
        <w:t>Réduction du saignement per-opératoire et post-opératoire, des besoins transfusionnels.</w:t>
      </w:r>
    </w:p>
    <w:p>
      <w:pPr>
        <w:pStyle w:val="ListNumber"/>
      </w:pPr>
      <w:r/>
      <w:r>
        <w:rPr>
          <w:b/>
        </w:rPr>
        <w:t>Chirurgie hépatique</w:t>
      </w:r>
      <w:r>
        <w:t xml:space="preserve"> :</w:t>
      </w:r>
    </w:p>
    <w:p>
      <w:pPr>
        <w:pStyle w:val="ListBullet"/>
      </w:pPr>
      <w:r>
        <w:t>Transplantation hépatique, résection hépatique majeure.</w:t>
      </w:r>
    </w:p>
    <w:p>
      <w:pPr>
        <w:pStyle w:val="ListBullet"/>
      </w:pPr>
      <w:r>
        <w:t>Posologie : 5-10 mg/kg IV après induction, perfusion 1 mg/kg/h pendant la chirurgie.</w:t>
      </w:r>
    </w:p>
    <w:p>
      <w:pPr>
        <w:pStyle w:val="ListBullet"/>
      </w:pPr>
      <w:r>
        <w:t>Réduction du saignement per-opératoire.</w:t>
      </w:r>
    </w:p>
    <w:p>
      <w:pPr>
        <w:pStyle w:val="ListNumber"/>
      </w:pPr>
      <w:r/>
      <w:r>
        <w:rPr>
          <w:b/>
        </w:rPr>
        <w:t>Hémorragie digestive</w:t>
      </w:r>
      <w:r>
        <w:t xml:space="preserve"> :</w:t>
      </w:r>
    </w:p>
    <w:p>
      <w:pPr>
        <w:pStyle w:val="ListBullet"/>
      </w:pPr>
      <w:r>
        <w:t>Hémorragie digestive haute par ulcère gastro-duodénal, varices œsophagiennes.</w:t>
      </w:r>
    </w:p>
    <w:p>
      <w:pPr>
        <w:pStyle w:val="ListBullet"/>
      </w:pPr>
      <w:r>
        <w:t>Posologie : 1 g IV en bolus, puis 3 g/24 h en perfusion continue pendant 1-3 jours.</w:t>
      </w:r>
    </w:p>
    <w:p>
      <w:pPr>
        <w:pStyle w:val="ListBullet"/>
      </w:pPr>
      <w:r>
        <w:t>En complément de l'endoscopie thérapeutique.</w:t>
      </w:r>
    </w:p>
    <w:p>
      <w:pPr>
        <w:pStyle w:val="ListNumber"/>
      </w:pPr>
      <w:r/>
      <w:r>
        <w:rPr>
          <w:b/>
        </w:rPr>
        <w:t>Ménorragies</w:t>
      </w:r>
      <w:r>
        <w:t xml:space="preserve"> (forme orale) :</w:t>
      </w:r>
    </w:p>
    <w:p>
      <w:pPr>
        <w:pStyle w:val="ListBullet"/>
      </w:pPr>
      <w:r>
        <w:t>Indication : ménorragies abondantes fonctionnelles (sans cause organique).</w:t>
      </w:r>
    </w:p>
    <w:p>
      <w:pPr>
        <w:pStyle w:val="ListBullet"/>
      </w:pPr>
      <w:r>
        <w:t>Posologie : 1 g per os × 3-4/j pendant les règles (3-5 jours), à renouveler à chaque cycle.</w:t>
      </w:r>
    </w:p>
    <w:p>
      <w:pPr>
        <w:pStyle w:val="ListBullet"/>
      </w:pPr>
      <w:r>
        <w:t>Alternative en cas d'échec ou de contre-indication au dispositif intra-utérin LNG, aux AINS, aux contraceptifs oraux.</w:t>
      </w:r>
    </w:p>
    <w:p>
      <w:pPr>
        <w:pStyle w:val="ListNumber"/>
      </w:pPr>
      <w:r/>
      <w:r>
        <w:rPr>
          <w:b/>
        </w:rPr>
        <w:t>Épistaxis récidivante sévère</w:t>
      </w:r>
      <w:r>
        <w:t xml:space="preserve"> :</w:t>
      </w:r>
    </w:p>
    <w:p>
      <w:pPr>
        <w:pStyle w:val="ListBullet"/>
      </w:pPr>
      <w:r>
        <w:t>Indication : épistaxis antérieure ou postérieure réfractaire aux soins locaux (méchage, cautérisation).</w:t>
      </w:r>
    </w:p>
    <w:p>
      <w:pPr>
        <w:pStyle w:val="ListBullet"/>
      </w:pPr>
      <w:r>
        <w:t>Posologie : 1 g IV en bolus, puis 1 g/8 h IV ou per os × 3-5 jours.</w:t>
      </w:r>
    </w:p>
    <w:p>
      <w:pPr>
        <w:pStyle w:val="ListNumber"/>
      </w:pPr>
      <w:r/>
      <w:r>
        <w:rPr>
          <w:b/>
        </w:rPr>
        <w:t>Angiœdème héréditaire (AOH)</w:t>
      </w:r>
      <w:r>
        <w:t xml:space="preserve"> (prophylaxie chronique per os) :</w:t>
      </w:r>
    </w:p>
    <w:p>
      <w:pPr>
        <w:pStyle w:val="ListBullet"/>
      </w:pPr>
      <w:r>
        <w:t>Indication : déficit en C1-inhibiteur, formes sévères récidivantes.</w:t>
      </w:r>
    </w:p>
    <w:p>
      <w:pPr>
        <w:pStyle w:val="ListBullet"/>
      </w:pPr>
      <w:r>
        <w:t>Posologie : 1-1,5 g per os × 2-3/j au long cours.</w:t>
      </w:r>
    </w:p>
    <w:p>
      <w:pPr>
        <w:pStyle w:val="ListBullet"/>
      </w:pPr>
      <w:r>
        <w:t>Alternative à la substitution en C1-inhibiteur ou aux anticorps anti-kallikréine (lanadelumab, berotralstat).</w:t>
      </w:r>
    </w:p>
    <w:p>
      <w:pPr>
        <w:pStyle w:val="ListNumber"/>
      </w:pPr>
      <w:r/>
      <w:r>
        <w:rPr>
          <w:b/>
        </w:rPr>
        <w:t>Chirurgie urologique</w:t>
      </w:r>
      <w:r>
        <w:t xml:space="preserve"> (résection transurétrale de prostate, chirurgie vésicale) :</w:t>
      </w:r>
    </w:p>
    <w:p>
      <w:pPr>
        <w:pStyle w:val="ListBullet"/>
      </w:pPr>
      <w:r>
        <w:t>Posologie : 1 g IV en bolus en début d'intervention, à répéter si nécessaire.</w:t>
      </w:r>
    </w:p>
    <w:p>
      <w:pPr>
        <w:pStyle w:val="ListNumber"/>
      </w:pPr>
      <w:r/>
      <w:r>
        <w:rPr>
          <w:b/>
        </w:rPr>
        <w:t>Traitements dentaires</w:t>
      </w:r>
      <w:r>
        <w:t xml:space="preserve"> chez les patients sous anticoagulants oraux (AVK, AOD) :</w:t>
      </w:r>
    </w:p>
    <w:p>
      <w:pPr>
        <w:pStyle w:val="ListBullet"/>
      </w:pPr>
      <w:r>
        <w:t>Posologie : 1 g per os 1 h avant le soin, puis 1 g/8 h × 5 jours en complément du maintien de l'anticoagulation.</w:t>
      </w:r>
    </w:p>
    <w:p>
      <w:pPr>
        <w:pStyle w:val="Heading3"/>
      </w:pPr>
      <w:r>
        <w:t>184.4.1.6 Posologie et mode d'administration</w:t>
      </w:r>
    </w:p>
    <w:p>
      <w:r/>
      <w:r>
        <w:rPr>
          <w:b/>
        </w:rPr>
        <w:t>Posologie adulte</w:t>
      </w:r>
      <w:r>
        <w:t xml:space="preserve"> :</w:t>
      </w:r>
    </w:p>
    <w:p>
      <w:r/>
      <w:r>
        <w:rPr>
          <w:i/>
        </w:rPr>
        <w:t>Choc hémorragique traumatique (protocole CRASH-2)</w:t>
      </w:r>
      <w:r>
        <w:t xml:space="preserve"> :</w:t>
      </w:r>
    </w:p>
    <w:p>
      <w:pPr>
        <w:pStyle w:val="ListBullet"/>
      </w:pPr>
      <w:r>
        <w:t>Bolus : 1 g IV en 10 minutes (dilué dans 100 mL de NaCl 0,9 % ou G5 %).</w:t>
      </w:r>
    </w:p>
    <w:p>
      <w:pPr>
        <w:pStyle w:val="ListBullet"/>
      </w:pPr>
      <w:r>
        <w:t>Perfusion : 1 g IV en 8 heures (dilué dans 500 mL de NaCl 0,9 %, débit 62,5 mL/h).</w:t>
      </w:r>
    </w:p>
    <w:p>
      <w:pPr>
        <w:pStyle w:val="ListBullet"/>
      </w:pPr>
      <w:r>
        <w:t>Dose totale : 2 g IV dans les 8 premières heures.</w:t>
      </w:r>
    </w:p>
    <w:p>
      <w:pPr>
        <w:pStyle w:val="ListBullet"/>
      </w:pPr>
      <w:r>
        <w:t>Administration dans les 3 heures suivant le traumatisme (idéalement &lt; 1 heure).</w:t>
      </w:r>
    </w:p>
    <w:p>
      <w:r/>
      <w:r>
        <w:rPr>
          <w:i/>
        </w:rPr>
        <w:t>Hémorragie du post-partum (protocole WOMAN)</w:t>
      </w:r>
      <w:r>
        <w:t xml:space="preserve"> :</w:t>
      </w:r>
    </w:p>
    <w:p>
      <w:pPr>
        <w:pStyle w:val="ListBullet"/>
      </w:pPr>
      <w:r>
        <w:t>Bolus : 1 g IV en 10 minutes.</w:t>
      </w:r>
    </w:p>
    <w:p>
      <w:pPr>
        <w:pStyle w:val="ListBullet"/>
      </w:pPr>
      <w:r>
        <w:t>Perfusion : 1 g IV en 8 heures.</w:t>
      </w:r>
    </w:p>
    <w:p>
      <w:pPr>
        <w:pStyle w:val="ListBullet"/>
      </w:pPr>
      <w:r>
        <w:t>Dose maximale : 2-3 g/24 h.</w:t>
      </w:r>
    </w:p>
    <w:p>
      <w:pPr>
        <w:pStyle w:val="ListBullet"/>
      </w:pPr>
      <w:r>
        <w:t>Administration précoce, sans attendre la rupture de l'hémostase.</w:t>
      </w:r>
    </w:p>
    <w:p>
      <w:r/>
      <w:r>
        <w:rPr>
          <w:i/>
        </w:rPr>
        <w:t>Chirurgie cardiaque sous CEC</w:t>
      </w:r>
      <w:r>
        <w:t xml:space="preserve"> :</w:t>
      </w:r>
    </w:p>
    <w:p>
      <w:pPr>
        <w:pStyle w:val="ListBullet"/>
      </w:pPr>
      <w:r>
        <w:t>Protocole court : 1 g IV après induction + 500 mg dans le prime de la CEC + 500 mg IV à la fin de la CEC + 500 mg IV à H6, H12, H18, H24 (max 4 g/24 h).</w:t>
      </w:r>
    </w:p>
    <w:p>
      <w:pPr>
        <w:pStyle w:val="ListBullet"/>
      </w:pPr>
      <w:r>
        <w:t>Protocole perfusion continue : 10-15 mg/kg IV après induction, puis 1-2 mg/kg/h en perfusion continue pendant la CEC et 6 h après.</w:t>
      </w:r>
    </w:p>
    <w:p>
      <w:r/>
      <w:r>
        <w:rPr>
          <w:i/>
        </w:rPr>
        <w:t>Chirurgie orthopédique majeure</w:t>
      </w:r>
      <w:r>
        <w:t xml:space="preserve"> :</w:t>
      </w:r>
    </w:p>
    <w:p>
      <w:pPr>
        <w:pStyle w:val="ListBullet"/>
      </w:pPr>
      <w:r>
        <w:t>10-15 mg/kg IV après induction anesthésique, à renouveler à H6 et H12 si nécessaire.</w:t>
      </w:r>
    </w:p>
    <w:p>
      <w:pPr>
        <w:pStyle w:val="ListBullet"/>
      </w:pPr>
      <w:r>
        <w:t>Alternative topique : 1-2 g dans la cavité articulaire à la fermeture.</w:t>
      </w:r>
    </w:p>
    <w:p>
      <w:r/>
      <w:r>
        <w:rPr>
          <w:i/>
        </w:rPr>
        <w:t>Hémorragie digestive</w:t>
      </w:r>
      <w:r>
        <w:t xml:space="preserve"> :</w:t>
      </w:r>
    </w:p>
    <w:p>
      <w:pPr>
        <w:pStyle w:val="ListBullet"/>
      </w:pPr>
      <w:r>
        <w:t>1 g IV en bolus, puis 3 g/24 h en perfusion continue pendant 1-3 jours.</w:t>
      </w:r>
    </w:p>
    <w:p>
      <w:r/>
      <w:r>
        <w:rPr>
          <w:i/>
        </w:rPr>
        <w:t>Ménorragies (per os)</w:t>
      </w:r>
      <w:r>
        <w:t xml:space="preserve"> :</w:t>
      </w:r>
    </w:p>
    <w:p>
      <w:pPr>
        <w:pStyle w:val="ListBullet"/>
      </w:pPr>
      <w:r>
        <w:t>1 g per os × 3-4/j pendant les règles (3-5 jours par cycle).</w:t>
      </w:r>
    </w:p>
    <w:p>
      <w:r/>
      <w:r>
        <w:rPr>
          <w:i/>
        </w:rPr>
        <w:t>Angiœdème héréditaire (per os)</w:t>
      </w:r>
      <w:r>
        <w:t xml:space="preserve"> :</w:t>
      </w:r>
    </w:p>
    <w:p>
      <w:pPr>
        <w:pStyle w:val="ListBullet"/>
      </w:pPr>
      <w:r>
        <w:t>1-1,5 g per os × 2-3/j au long cours.</w:t>
      </w:r>
    </w:p>
    <w:p>
      <w:r/>
      <w:r>
        <w:rPr>
          <w:b/>
        </w:rPr>
        <w:t>Posologie enfant</w:t>
      </w:r>
      <w:r>
        <w:t xml:space="preserve"> :</w:t>
      </w:r>
    </w:p>
    <w:p>
      <w:pPr>
        <w:pStyle w:val="ListBullet"/>
      </w:pPr>
      <w:r>
        <w:t>15-20 mg/kg IV en bolus (max 1 g), puis 2 mg/kg/h en perfusion continue (chirurgie cardiaque).</w:t>
      </w:r>
    </w:p>
    <w:p>
      <w:pPr>
        <w:pStyle w:val="ListBullet"/>
      </w:pPr>
      <w:r>
        <w:t>15 mg/kg IV en bolus (max 1 g), puis 1 g/8 h en perfusion (choc hémorragique).</w:t>
      </w:r>
    </w:p>
    <w:p>
      <w:r/>
      <w:r>
        <w:rPr>
          <w:b/>
        </w:rPr>
        <w:t>Posologie nouveau-né</w:t>
      </w:r>
      <w:r>
        <w:t xml:space="preserve"> :</w:t>
      </w:r>
    </w:p>
    <w:p>
      <w:pPr>
        <w:pStyle w:val="ListBullet"/>
      </w:pPr>
      <w:r>
        <w:t>10 mg/kg IV en bolus, puis 1 mg/kg/h en perfusion (chirurgie cardiaque néonatale).</w:t>
      </w:r>
    </w:p>
    <w:p>
      <w:r/>
      <w:r>
        <w:rPr>
          <w:b/>
        </w:rPr>
        <w:t>Mode d'administration</w:t>
      </w:r>
      <w:r>
        <w:t xml:space="preserve"> :</w:t>
      </w:r>
    </w:p>
    <w:p>
      <w:pPr>
        <w:pStyle w:val="ListBullet"/>
      </w:pPr>
      <w:r>
        <w:t>Voie IV stricte, lente (10 minutes pour 1 g) pour éviter l'hypotension transitoire.</w:t>
      </w:r>
    </w:p>
    <w:p>
      <w:pPr>
        <w:pStyle w:val="ListBullet"/>
      </w:pPr>
      <w:r>
        <w:t>Voie IM possible (peu utilisée, douloureuse).</w:t>
      </w:r>
    </w:p>
    <w:p>
      <w:pPr>
        <w:pStyle w:val="ListBullet"/>
      </w:pPr>
      <w:r>
        <w:t>Voie orale avec ou sans alimentation.</w:t>
      </w:r>
    </w:p>
    <w:p>
      <w:pPr>
        <w:pStyle w:val="ListBullet"/>
      </w:pPr>
      <w:r>
        <w:t>Voie topique (rinsage, application locale) en complément.</w:t>
      </w:r>
    </w:p>
    <w:p>
      <w:r/>
      <w:r>
        <w:rPr>
          <w:b/>
        </w:rPr>
        <w:t>Dilutions standard</w:t>
      </w:r>
      <w:r>
        <w:t xml:space="preserve"> :</w:t>
      </w:r>
    </w:p>
    <w:p>
      <w:pPr>
        <w:pStyle w:val="ListBullet"/>
      </w:pPr>
      <w:r>
        <w:t>Bolus 1 g : 1 ampoule de 500 mg/5 mL × 2 dans 100 mL NaCl 0,9 % ou G5 % → perfusion 10 min.</w:t>
      </w:r>
    </w:p>
    <w:p>
      <w:pPr>
        <w:pStyle w:val="ListBullet"/>
      </w:pPr>
      <w:r>
        <w:t>Perfusion 1 g/8 h : 2 ampoules de 500 mg dans 500 mL NaCl 0,9 % → débit 62,5 mL/h.</w:t>
      </w:r>
    </w:p>
    <w:p>
      <w:r/>
      <w:r>
        <w:rPr>
          <w:b/>
        </w:rPr>
        <w:t>Adaptation en insuffisance rénale</w:t>
      </w:r>
      <w:r>
        <w:t xml:space="preserve"> :</w:t>
      </w:r>
    </w:p>
    <w:p>
      <w:pPr>
        <w:pStyle w:val="ListBullet"/>
      </w:pPr>
      <w:r>
        <w:t>DFG 30-60 mL/min : dose standard × 2/j (au lieu de 3-4/j).</w:t>
      </w:r>
    </w:p>
    <w:p>
      <w:pPr>
        <w:pStyle w:val="ListBullet"/>
      </w:pPr>
      <w:r>
        <w:t>DFG 10-30 mL/min : dose standard × 1/j.</w:t>
      </w:r>
    </w:p>
    <w:p>
      <w:pPr>
        <w:pStyle w:val="ListBullet"/>
      </w:pPr>
      <w:r>
        <w:t>DFG &lt; 10 mL/min : ½ dose × 1/j.</w:t>
      </w:r>
    </w:p>
    <w:p>
      <w:r/>
      <w:r>
        <w:rPr>
          <w:b/>
        </w:rPr>
        <w:t>Surveillance</w:t>
      </w:r>
      <w:r>
        <w:t xml:space="preserve"> :</w:t>
      </w:r>
    </w:p>
    <w:p>
      <w:pPr>
        <w:pStyle w:val="ListBullet"/>
      </w:pPr>
      <w:r>
        <w:t>Clinique : saignement, état hémodynamique (PA, FC), diurèse.</w:t>
      </w:r>
    </w:p>
    <w:p>
      <w:pPr>
        <w:pStyle w:val="ListBullet"/>
      </w:pPr>
      <w:r>
        <w:t>Biologique : hémogramme (Hb, plaquettes), fibrinogène, TP, TCA, D-dimères, ionogramme, créatinine.</w:t>
      </w:r>
    </w:p>
    <w:p>
      <w:pPr>
        <w:pStyle w:val="ListBullet"/>
      </w:pPr>
      <w:r>
        <w:t>Visco-élastique (ROTEM, TEG) : détection de l'hyperfibrinolyse, ajustement de la posologie.</w:t>
      </w:r>
    </w:p>
    <w:p>
      <w:pPr>
        <w:pStyle w:val="Heading3"/>
      </w:pPr>
      <w:r>
        <w:t>184.4.1.7 Effets indésirables et prévention</w:t>
      </w:r>
    </w:p>
    <w:p>
      <w:r>
        <w:t>L'acide tranexamique présente un profil d'effets indésirables globalement favorable, avec un risque thrombotique théorique (non confirmé à doses thérapeutiques par les essais randomisés CRASH-2, WOMAN, ATACAS, POISE-3) et des effets neurologiques à forte dose.</w:t>
      </w:r>
    </w:p>
    <w:p>
      <w:r/>
      <w:r>
        <w:rPr>
          <w:b/>
        </w:rPr>
        <w:t>Effets thrombotiques (théoriques, rares aux doses thérapeutiques)</w:t>
      </w:r>
      <w:r>
        <w:t xml:space="preserve"> :</w:t>
      </w:r>
    </w:p>
    <w:p>
      <w:pPr>
        <w:pStyle w:val="ListBullet"/>
      </w:pPr>
      <w:r/>
      <w:r>
        <w:rPr>
          <w:b/>
        </w:rPr>
        <w:t>Thrombose veineuse profonde (TVP), embolie pulmonaire (EP)</w:t>
      </w:r>
      <w:r>
        <w:t xml:space="preserve"> : l'inhibition de la fibrinolyse pourrait théoriquement favoriser la thrombose. Cependant, les essais CRASH-2 (traumatologie), WOMAN (HPP), ATACAS (chirurgie cardiaque), POISE-3 (chirurgie non cardiaque) n'ont pas montré d'augmentation significative des événements thromboemboliques veineux ou artériels. Le risque est probablement réel mais faible, à mettre en balance avec le bénéfice vital dans le choc hémorragique.</w:t>
      </w:r>
    </w:p>
    <w:p>
      <w:pPr>
        <w:pStyle w:val="ListBullet"/>
      </w:pPr>
      <w:r/>
      <w:r>
        <w:rPr>
          <w:b/>
        </w:rPr>
        <w:t>Infarctus du myocarde, AVC ischémique</w:t>
      </w:r>
      <w:r>
        <w:t xml:space="preserve"> : augmentation théorique non confirmée aux doses thérapeutiques.</w:t>
      </w:r>
    </w:p>
    <w:p>
      <w:pPr>
        <w:pStyle w:val="ListBullet"/>
      </w:pPr>
      <w:r/>
      <w:r>
        <w:rPr>
          <w:b/>
        </w:rPr>
        <w:t>Thrombose des circuits de CEC</w:t>
      </w:r>
      <w:r>
        <w:t xml:space="preserve"> : possible si dose excessive ou administration tardive après arrêt de la CEC.</w:t>
      </w:r>
    </w:p>
    <w:p>
      <w:pPr>
        <w:pStyle w:val="ListBullet"/>
      </w:pPr>
      <w:r/>
      <w:r>
        <w:rPr>
          <w:b/>
        </w:rPr>
        <w:t>Thrombose veineuse rétinienne</w:t>
      </w:r>
      <w:r>
        <w:t xml:space="preserve"> : observation isolée, à signaler.</w:t>
      </w:r>
    </w:p>
    <w:p>
      <w:r/>
      <w:r>
        <w:rPr>
          <w:b/>
        </w:rPr>
        <w:t>Effets neurologiques (à forte dose, en particulier chez l'insuffisant rénal)</w:t>
      </w:r>
      <w:r>
        <w:t xml:space="preserve"> :</w:t>
      </w:r>
    </w:p>
    <w:p>
      <w:pPr>
        <w:pStyle w:val="ListBullet"/>
      </w:pPr>
      <w:r/>
      <w:r>
        <w:rPr>
          <w:b/>
        </w:rPr>
        <w:t>Convulsions</w:t>
      </w:r>
      <w:r>
        <w:t xml:space="preserve"> : dose-dépendantes, en particulier si perfusion &gt; 50 mg/kg/j ou si insuffisance rénale avec accumulation. Mécanisme : inhibition des récepteurs GABA-A ou NMDA au niveau central. Fréquence 1-5 % à forte dose.</w:t>
      </w:r>
    </w:p>
    <w:p>
      <w:pPr>
        <w:pStyle w:val="ListBullet"/>
      </w:pPr>
      <w:r/>
      <w:r>
        <w:rPr>
          <w:b/>
        </w:rPr>
        <w:t>Céphalées, vertiges, confusion</w:t>
      </w:r>
      <w:r>
        <w:t xml:space="preserve"> : fréquents, bénins, transitoires.</w:t>
      </w:r>
    </w:p>
    <w:p>
      <w:pPr>
        <w:pStyle w:val="ListBullet"/>
      </w:pPr>
      <w:r/>
      <w:r>
        <w:rPr>
          <w:b/>
        </w:rPr>
        <w:t>Troubles visuels</w:t>
      </w:r>
      <w:r>
        <w:t xml:space="preserve"> : vision floue, scotomes, rarement thrombose rétinienne.</w:t>
      </w:r>
    </w:p>
    <w:p>
      <w:r/>
      <w:r>
        <w:rPr>
          <w:b/>
        </w:rPr>
        <w:t>Effets cardiovasculaires</w:t>
      </w:r>
      <w:r>
        <w:t xml:space="preserve"> :</w:t>
      </w:r>
    </w:p>
    <w:p>
      <w:pPr>
        <w:pStyle w:val="ListBullet"/>
      </w:pPr>
      <w:r/>
      <w:r>
        <w:rPr>
          <w:b/>
        </w:rPr>
        <w:t>Hypotension transitoire</w:t>
      </w:r>
      <w:r>
        <w:t xml:space="preserve"> : en cas d'injection IV trop rapide (bolus &lt; 10 min), vasodilatation transitoire. Prévention : injection lente sur 10 minutes.</w:t>
      </w:r>
    </w:p>
    <w:p>
      <w:pPr>
        <w:pStyle w:val="ListBullet"/>
      </w:pPr>
      <w:r/>
      <w:r>
        <w:rPr>
          <w:b/>
        </w:rPr>
        <w:t>Bradycardie</w:t>
      </w:r>
      <w:r>
        <w:t xml:space="preserve"> : rare.</w:t>
      </w:r>
    </w:p>
    <w:p>
      <w:pPr>
        <w:pStyle w:val="ListBullet"/>
      </w:pPr>
      <w:r/>
      <w:r>
        <w:rPr>
          <w:b/>
        </w:rPr>
        <w:t>Troubles du rythme</w:t>
      </w:r>
      <w:r>
        <w:t xml:space="preserve"> : rares.</w:t>
      </w:r>
    </w:p>
    <w:p>
      <w:r/>
      <w:r>
        <w:rPr>
          <w:b/>
        </w:rPr>
        <w:t>Effets digestifs</w:t>
      </w:r>
      <w:r>
        <w:t xml:space="preserve"> :</w:t>
      </w:r>
    </w:p>
    <w:p>
      <w:pPr>
        <w:pStyle w:val="ListBullet"/>
      </w:pPr>
      <w:r>
        <w:t>Nausées, vomissements, diarrhée (5-15 %).</w:t>
      </w:r>
    </w:p>
    <w:p>
      <w:pPr>
        <w:pStyle w:val="ListBullet"/>
      </w:pPr>
      <w:r>
        <w:t>Douleurs abdominales.</w:t>
      </w:r>
    </w:p>
    <w:p>
      <w:r/>
      <w:r>
        <w:rPr>
          <w:b/>
        </w:rPr>
        <w:t>Effets cutanés</w:t>
      </w:r>
      <w:r>
        <w:t xml:space="preserve"> :</w:t>
      </w:r>
    </w:p>
    <w:p>
      <w:pPr>
        <w:pStyle w:val="ListBullet"/>
      </w:pPr>
      <w:r>
        <w:t>Éruption cutanée, prurit, urticaire (1-5 %).</w:t>
      </w:r>
    </w:p>
    <w:p>
      <w:pPr>
        <w:pStyle w:val="ListBullet"/>
      </w:pPr>
      <w:r>
        <w:t>Réactions anaphylactiques (rares).</w:t>
      </w:r>
    </w:p>
    <w:p>
      <w:r/>
      <w:r>
        <w:rPr>
          <w:b/>
        </w:rPr>
        <w:t>Effets rénaux</w:t>
      </w:r>
      <w:r>
        <w:t xml:space="preserve"> :</w:t>
      </w:r>
    </w:p>
    <w:p>
      <w:pPr>
        <w:pStyle w:val="ListBullet"/>
      </w:pPr>
      <w:r>
        <w:t>Pas d'effet néphrotoxique direct aux doses thérapeutiques.</w:t>
      </w:r>
    </w:p>
    <w:p>
      <w:pPr>
        <w:pStyle w:val="ListBullet"/>
      </w:pPr>
      <w:r>
        <w:t>En cas d'insuffisance rénale, accumulation possible → risque de convulsions → adaptation posologique.</w:t>
      </w:r>
    </w:p>
    <w:p>
      <w:r/>
      <w:r>
        <w:rPr>
          <w:b/>
        </w:rPr>
        <w:t>Effets obstétricaux</w:t>
      </w:r>
      <w:r>
        <w:t xml:space="preserve"> :</w:t>
      </w:r>
    </w:p>
    <w:p>
      <w:pPr>
        <w:pStyle w:val="ListBullet"/>
      </w:pPr>
      <w:r>
        <w:t>Pas d'effet tocolytique ni utérotonique direct.</w:t>
      </w:r>
    </w:p>
    <w:p>
      <w:pPr>
        <w:pStyle w:val="ListBullet"/>
      </w:pPr>
      <w:r>
        <w:t>L'étude WOMAN n'a pas montré d'augmentation des complications thromboemboliques chez la femme enceinte ou en post-partum.</w:t>
      </w:r>
    </w:p>
    <w:p>
      <w:r/>
      <w:r>
        <w:rPr>
          <w:b/>
        </w:rPr>
        <w:t>Effets néonataux</w:t>
      </w:r>
      <w:r>
        <w:t xml:space="preserve"> :</w:t>
      </w:r>
    </w:p>
    <w:p>
      <w:pPr>
        <w:pStyle w:val="ListBullet"/>
      </w:pPr>
      <w:r>
        <w:t>Passage transplacentaire faible (rapport fœtus/mère ≈ 0,3-0,5).</w:t>
      </w:r>
    </w:p>
    <w:p>
      <w:pPr>
        <w:pStyle w:val="ListBullet"/>
      </w:pPr>
      <w:r>
        <w:t>Pas d'effet tératogène documenté.</w:t>
      </w:r>
    </w:p>
    <w:p>
      <w:pPr>
        <w:pStyle w:val="ListBullet"/>
      </w:pPr>
      <w:r>
        <w:t>Utilisation considérée comme sûre pendant la grossesse et l'allaitement (WOMAN trial).</w:t>
      </w:r>
    </w:p>
    <w:p>
      <w:r/>
      <w:r>
        <w:rPr>
          <w:b/>
        </w:rPr>
        <w:t>Prévention des effets indésirables</w:t>
      </w:r>
      <w:r>
        <w:t xml:space="preserve"> :</w:t>
      </w:r>
    </w:p>
    <w:p>
      <w:pPr>
        <w:pStyle w:val="ListBullet"/>
      </w:pPr>
      <w:r>
        <w:t>Respecter les doses recommandées (pas de dose &gt; 4 g/24 h, sauf indication spécifique).</w:t>
      </w:r>
    </w:p>
    <w:p>
      <w:pPr>
        <w:pStyle w:val="ListBullet"/>
      </w:pPr>
      <w:r>
        <w:t>Adapter la posologie en cas d'insuffisance rénale.</w:t>
      </w:r>
    </w:p>
    <w:p>
      <w:pPr>
        <w:pStyle w:val="ListBullet"/>
      </w:pPr>
      <w:r>
        <w:t>Injection IV lente (10 minutes pour 1 g).</w:t>
      </w:r>
    </w:p>
    <w:p>
      <w:pPr>
        <w:pStyle w:val="ListBullet"/>
      </w:pPr>
      <w:r>
        <w:t>Surveillance clinique et biologique (D-dimères, ROTEM).</w:t>
      </w:r>
    </w:p>
    <w:p>
      <w:pPr>
        <w:pStyle w:val="ListBullet"/>
      </w:pPr>
      <w:r>
        <w:t>Éviter l'administration tardive (&gt; 3 heures après traumatisme — possible délétère).</w:t>
      </w:r>
    </w:p>
    <w:p>
      <w:pPr>
        <w:pStyle w:val="ListBullet"/>
      </w:pPr>
      <w:r>
        <w:t>Surveillance neurologique en cas de perfusion prolongée ou d'insuffisance rénale (convulsions).</w:t>
      </w:r>
    </w:p>
    <w:p>
      <w:pPr>
        <w:pStyle w:val="ListBullet"/>
      </w:pPr>
      <w:r>
        <w:t>Prévention de la maladie thromboembolique veineuse par héparine prophylactique à dose préventive (HBPM) selon les recommandations habituelles, sans contre-indication à l'acide tranexamique.</w:t>
      </w:r>
    </w:p>
    <w:p>
      <w:pPr>
        <w:pStyle w:val="Heading3"/>
      </w:pPr>
      <w:r>
        <w:t>184.4.1.8 Interactions médicamenteuses</w:t>
      </w:r>
    </w:p>
    <w:p>
      <w:r/>
      <w:r>
        <w:rPr>
          <w:b/>
        </w:rPr>
        <w:t>Interactions pharmacodynamiques majeures</w:t>
      </w:r>
      <w:r>
        <w:t xml:space="preserve"> :</w:t>
      </w:r>
    </w:p>
    <w:p>
      <w:pPr>
        <w:pStyle w:val="ListBullet"/>
      </w:pPr>
      <w:r/>
      <w:r>
        <w:rPr>
          <w:b/>
        </w:rPr>
        <w:t>Anticoagulants oraux (AVK, AOD)</w:t>
      </w:r>
      <w:r>
        <w:t xml:space="preserve"> : potentialisation du risque hémorragique en cas de surdosage AVK + acide tranexamique (effet antifibrinolytique sans effet anticoagulant compensateur). À utiliser avec prudence, surveillance INR.</w:t>
      </w:r>
    </w:p>
    <w:p>
      <w:pPr>
        <w:pStyle w:val="ListBullet"/>
      </w:pPr>
      <w:r/>
      <w:r>
        <w:rPr>
          <w:b/>
        </w:rPr>
        <w:t>Héparines</w:t>
      </w:r>
      <w:r>
        <w:t xml:space="preserve"> (HBPM, HNF) : association logique en prophylaxie thromboembolique chez le patient à risque, sans contre-indication formelle (l'étude CRASH-2 n'a pas montré d'augmentation des thromboses sous acide tranexamique + HBPM prophylactique).</w:t>
      </w:r>
    </w:p>
    <w:p>
      <w:pPr>
        <w:pStyle w:val="ListBullet"/>
      </w:pPr>
      <w:r/>
      <w:r>
        <w:rPr>
          <w:b/>
        </w:rPr>
        <w:t>Antiagrégants plaquettaires</w:t>
      </w:r>
      <w:r>
        <w:t xml:space="preserve"> (aspirine, clopidogrel, ticagrelor, prasugrel) : association possible, surveillance du saignement.</w:t>
      </w:r>
    </w:p>
    <w:p>
      <w:pPr>
        <w:pStyle w:val="ListBullet"/>
      </w:pPr>
      <w:r/>
      <w:r>
        <w:rPr>
          <w:b/>
        </w:rPr>
        <w:t>Factor VII recombinant</w:t>
      </w:r>
      <w:r>
        <w:t xml:space="preserve"> : association synergique dans le saignement massif, surveillance du risque thrombotique.</w:t>
      </w:r>
    </w:p>
    <w:p>
      <w:pPr>
        <w:pStyle w:val="ListBullet"/>
      </w:pPr>
      <w:r/>
      <w:r>
        <w:rPr>
          <w:b/>
        </w:rPr>
        <w:t>Prothrombine complexe concentrate (PCC), fibrinogène</w:t>
      </w:r>
      <w:r>
        <w:t xml:space="preserve"> : associations logiques dans le saignement massif avec coagulopathie.</w:t>
      </w:r>
    </w:p>
    <w:p>
      <w:pPr>
        <w:pStyle w:val="ListBullet"/>
      </w:pPr>
      <w:r/>
      <w:r>
        <w:rPr>
          <w:b/>
        </w:rPr>
        <w:t>Estrogènes, contraceptifs oraux</w:t>
      </w:r>
      <w:r>
        <w:t xml:space="preserve"> : majoration du risque thrombotique théorique ( surveillance).</w:t>
      </w:r>
    </w:p>
    <w:p>
      <w:r/>
      <w:r>
        <w:rPr>
          <w:b/>
        </w:rPr>
        <w:t>Interactions pharmacocinétiques</w:t>
      </w:r>
      <w:r>
        <w:t xml:space="preserve"> :</w:t>
      </w:r>
    </w:p>
    <w:p>
      <w:pPr>
        <w:pStyle w:val="ListBullet"/>
      </w:pPr>
      <w:r>
        <w:t>L'acide tranexamique est faiblement métabolisé (95 % éliminé sous forme inchangée), peu d'interactions pharmacocinétiques.</w:t>
      </w:r>
    </w:p>
    <w:p>
      <w:pPr>
        <w:pStyle w:val="ListBullet"/>
      </w:pPr>
      <w:r>
        <w:t>Pas d'induction ni d'inhibition du cytochrome P450.</w:t>
      </w:r>
    </w:p>
    <w:p>
      <w:pPr>
        <w:pStyle w:val="ListBullet"/>
      </w:pPr>
      <w:r>
        <w:t>Pas d'interaction avec les transporteurs (P-gp, OATP).</w:t>
      </w:r>
    </w:p>
    <w:p>
      <w:r/>
      <w:r>
        <w:rPr>
          <w:b/>
        </w:rPr>
        <w:t>Incompatibilités en perfusion</w:t>
      </w:r>
      <w:r>
        <w:t xml:space="preserve"> :</w:t>
      </w:r>
    </w:p>
    <w:p>
      <w:pPr>
        <w:pStyle w:val="ListBullet"/>
      </w:pPr>
      <w:r>
        <w:t>Compatible avec : NaCl 0,9 %, G5 %, Ringer Lactate.</w:t>
      </w:r>
    </w:p>
    <w:p>
      <w:pPr>
        <w:pStyle w:val="ListBullet"/>
      </w:pPr>
      <w:r>
        <w:t>À ne pas mélanger avec : pénicillines (incompatibilité physico-chimique), solutions contenant des protéines (albumine).</w:t>
      </w:r>
    </w:p>
    <w:p>
      <w:pPr>
        <w:pStyle w:val="ListBullet"/>
      </w:pPr>
      <w:r>
        <w:t>Voie dédiée préférentielle.</w:t>
      </w:r>
    </w:p>
    <w:p>
      <w:pPr>
        <w:pStyle w:val="Heading3"/>
      </w:pPr>
      <w:r>
        <w:t>184.4.1.9 Grossesse, allaitement et CRAT</w:t>
      </w:r>
    </w:p>
    <w:p>
      <w:r>
        <w:t>L'acide tranexamique pendant la grossesse et l'allaitement a fait l'objet de nombreuses études, dont le WOMAN trial (2017) qui a inclus plus de 20 000 femmes en post-partum. Le CRAT et l'OMS considèrent l'acide tranexamique comme compatible avec la grossesse et l'allaitement.</w:t>
      </w:r>
    </w:p>
    <w:p>
      <w:r/>
      <w:r>
        <w:rPr>
          <w:b/>
        </w:rPr>
        <w:t>Tératogénicité</w:t>
      </w:r>
      <w:r>
        <w:t xml:space="preserve"> : l'acide tranexamique traverse la barrière placentaire (rapport fœtus/mère ≈ 0,3-0,5). Chez l'animal (rat, lapin), des doses toxiques maternelles n'ont pas induit de malformations majeures. Chez l'humain, les données accumulées depuis 1970 sur l'utilisation en cours de grossesse (HPP, ménorragies gravidiques, angiœdème) n'ont pas mis en évidence d'augmentation du risque malformatif global. Le CRAT conclut à un profil rassurant, avec utilisation possible pendant la grossesse si l'indication le justifie.</w:t>
      </w:r>
    </w:p>
    <w:p>
      <w:r/>
      <w:r>
        <w:rPr>
          <w:b/>
        </w:rPr>
        <w:t>Indications obstétricales spécifiques</w:t>
      </w:r>
      <w:r>
        <w:t xml:space="preserve"> :</w:t>
      </w:r>
    </w:p>
    <w:p>
      <w:pPr>
        <w:pStyle w:val="ListBullet"/>
      </w:pPr>
      <w:r/>
      <w:r>
        <w:rPr>
          <w:b/>
        </w:rPr>
        <w:t>HPP sévère</w:t>
      </w:r>
      <w:r>
        <w:t xml:space="preserve"> : 1 g IV en bolus + 1 g/8 h IV (protocole WOMAN). Efficacité démontrée sur la mortalité par hémorragie.</w:t>
      </w:r>
    </w:p>
    <w:p>
      <w:pPr>
        <w:pStyle w:val="ListBullet"/>
      </w:pPr>
      <w:r/>
      <w:r>
        <w:rPr>
          <w:b/>
        </w:rPr>
        <w:t>Ménorragies gravidiques</w:t>
      </w:r>
      <w:r>
        <w:t xml:space="preserve"> (saignements du 1er trimestre, menace d'AVC hémorragique) : 1 g per os × 3/j pendant 5 jours, à renouveler si nécessaire.</w:t>
      </w:r>
    </w:p>
    <w:p>
      <w:pPr>
        <w:pStyle w:val="ListBullet"/>
      </w:pPr>
      <w:r/>
      <w:r>
        <w:rPr>
          <w:b/>
        </w:rPr>
        <w:t>Angio-œdème héréditaire gravidique</w:t>
      </w:r>
      <w:r>
        <w:t xml:space="preserve"> : 1 g per os × 2-3/j au long cours.</w:t>
      </w:r>
    </w:p>
    <w:p>
      <w:pPr>
        <w:pStyle w:val="ListBullet"/>
      </w:pPr>
      <w:r/>
      <w:r>
        <w:rPr>
          <w:b/>
        </w:rPr>
        <w:t>Chirurgie non obstétricale pendant la grossesse</w:t>
      </w:r>
      <w:r>
        <w:t xml:space="preserve"> : prophylaxie du saignement peropératoire (10-15 mg/kg IV).</w:t>
      </w:r>
    </w:p>
    <w:p>
      <w:r/>
      <w:r>
        <w:rPr>
          <w:b/>
        </w:rPr>
        <w:t>Effets fœtaux</w:t>
      </w:r>
      <w:r>
        <w:t xml:space="preserve"> :</w:t>
      </w:r>
    </w:p>
    <w:p>
      <w:pPr>
        <w:pStyle w:val="ListBullet"/>
      </w:pPr>
      <w:r>
        <w:t>Passage transplacentaire faible.</w:t>
      </w:r>
    </w:p>
    <w:p>
      <w:pPr>
        <w:pStyle w:val="ListBullet"/>
      </w:pPr>
      <w:r>
        <w:t>Pas d'effet tératogène documenté.</w:t>
      </w:r>
    </w:p>
    <w:p>
      <w:pPr>
        <w:pStyle w:val="ListBullet"/>
      </w:pPr>
      <w:r>
        <w:t>Pas d'effet néonatal notable (la molécule est éliminée rapidement par le nouveau-né).</w:t>
      </w:r>
    </w:p>
    <w:p>
      <w:r/>
      <w:r>
        <w:rPr>
          <w:b/>
        </w:rPr>
        <w:t>Effets obstétricaux</w:t>
      </w:r>
      <w:r>
        <w:t xml:space="preserve"> :</w:t>
      </w:r>
    </w:p>
    <w:p>
      <w:pPr>
        <w:pStyle w:val="ListBullet"/>
      </w:pPr>
      <w:r>
        <w:t>Pas d'effet tocolytique (l'acide tranexamique n'a pas d'action sur le muscle utérin).</w:t>
      </w:r>
    </w:p>
    <w:p>
      <w:pPr>
        <w:pStyle w:val="ListBullet"/>
      </w:pPr>
      <w:r>
        <w:t>Pas d'effet utérotonique.</w:t>
      </w:r>
    </w:p>
    <w:p>
      <w:pPr>
        <w:pStyle w:val="ListBullet"/>
      </w:pPr>
      <w:r>
        <w:t>Pas de majoration du risque de thrombose veineuse gravidique (le WOMAN trial n'a pas montré d'augmentation).</w:t>
      </w:r>
    </w:p>
    <w:p>
      <w:r/>
      <w:r>
        <w:rPr>
          <w:b/>
        </w:rPr>
        <w:t>Allaitement</w:t>
      </w:r>
      <w:r>
        <w:t xml:space="preserve"> : l'acide tranexamique passe dans le lait maternel en quantités très faibles (rapport lait/plasma ≈ 0,05), et la concentration ingérée par l'enfant est négligeable (≈ 1 % de la dose maternelle). Le CRAT et l'OMS considèrent l'acide tranexamique comme compatible avec l'allaitement, y compris en traitement chronique (ménorragies, angiœdème héréditaire).</w:t>
      </w:r>
    </w:p>
    <w:p>
      <w:r/>
      <w:r>
        <w:rPr>
          <w:b/>
        </w:rPr>
        <w:t>Recommandations CRAT</w:t>
      </w:r>
      <w:r>
        <w:t xml:space="preserve"> :</w:t>
      </w:r>
    </w:p>
    <w:p>
      <w:pPr>
        <w:pStyle w:val="ListBullet"/>
      </w:pPr>
      <w:r>
        <w:t>HPP sévère : acide tranexamique 1 g IV en urgence, sans restriction.</w:t>
      </w:r>
    </w:p>
    <w:p>
      <w:pPr>
        <w:pStyle w:val="ListBullet"/>
      </w:pPr>
      <w:r>
        <w:t>Ménorragies gravidiques : acide tranexamique per os si indication.</w:t>
      </w:r>
    </w:p>
    <w:p>
      <w:pPr>
        <w:pStyle w:val="ListBullet"/>
      </w:pPr>
      <w:r>
        <w:t>Angio-œdème héréditaire gravidique : acide tranexamique per os au long cours, sans restriction.</w:t>
      </w:r>
    </w:p>
    <w:p>
      <w:pPr>
        <w:pStyle w:val="ListBullet"/>
      </w:pPr>
      <w:r>
        <w:t>Allaitement : compatible, sans suspension.</w:t>
      </w:r>
    </w:p>
    <w:p>
      <w:pPr>
        <w:pStyle w:val="Heading3"/>
      </w:pPr>
      <w:r>
        <w:t>184.4.1.10 Formes galéniques disponibles</w:t>
      </w:r>
    </w:p>
    <w:p>
      <w:r/>
      <w:r>
        <w:rPr>
          <w:b/>
        </w:rPr>
        <w:t>Formes injectables</w:t>
      </w:r>
      <w:r>
        <w:t xml:space="preserve"> (essentielles en réanimation/anesthésie) :</w:t>
      </w:r>
    </w:p>
    <w:p>
      <w:pPr>
        <w:pStyle w:val="ListBullet"/>
      </w:pPr>
      <w:r/>
      <w:r>
        <w:rPr>
          <w:b/>
        </w:rPr>
        <w:t>Solution injectable IV 500 mg/5 mL (100 mg/mL)</w:t>
      </w:r>
      <w:r>
        <w:t xml:space="preserve"> : Acido Tranexamicco Bioindustria (Bioindustria L.I.M) et XenameX (MS Pharma Jordanie) — ampoules ou flacons de 5 mL, à utiliser en IV directe lente ou à diluer pour perfusion continue.</w:t>
      </w:r>
    </w:p>
    <w:p>
      <w:pPr>
        <w:pStyle w:val="ListBullet"/>
      </w:pPr>
      <w:r/>
      <w:r>
        <w:rPr>
          <w:b/>
        </w:rPr>
        <w:t>Solution injectable IV 1000 mg/10 mL (100 mg/mL)</w:t>
      </w:r>
      <w:r>
        <w:t xml:space="preserve"> : disponible à l'étranger (Cyklokapron, Pfizer), non disponible en Algérie — concentration identique, conditionnement plus pratique pour les doses adultes de 1 g.</w:t>
      </w:r>
    </w:p>
    <w:p>
      <w:r/>
      <w:r>
        <w:rPr>
          <w:b/>
        </w:rPr>
        <w:t>Formes orales</w:t>
      </w:r>
      <w:r>
        <w:t xml:space="preserve"> :</w:t>
      </w:r>
    </w:p>
    <w:p>
      <w:pPr>
        <w:pStyle w:val="ListBullet"/>
      </w:pPr>
      <w:r/>
      <w:r>
        <w:rPr>
          <w:b/>
        </w:rPr>
        <w:t>Comprimé 500 mg</w:t>
      </w:r>
      <w:r>
        <w:t xml:space="preserve"> : disponible en Algérie sous d'autres spécialités (orientation gynécologique) pour ménorragies, angiœdème.</w:t>
      </w:r>
    </w:p>
    <w:p>
      <w:pPr>
        <w:pStyle w:val="ListBullet"/>
      </w:pPr>
      <w:r/>
      <w:r>
        <w:rPr>
          <w:b/>
        </w:rPr>
        <w:t>Comprimé 250 mg</w:t>
      </w:r>
      <w:r>
        <w:t xml:space="preserve"> : disponible à l'étranger.</w:t>
      </w:r>
    </w:p>
    <w:p>
      <w:pPr>
        <w:pStyle w:val="ListBullet"/>
      </w:pPr>
      <w:r/>
      <w:r>
        <w:rPr>
          <w:b/>
        </w:rPr>
        <w:t>Sirop</w:t>
      </w:r>
      <w:r>
        <w:t xml:space="preserve"> : formulation pédiatrique, non disponible en Algérie.</w:t>
      </w:r>
    </w:p>
    <w:p>
      <w:r/>
      <w:r>
        <w:rPr>
          <w:b/>
        </w:rPr>
        <w:t>Formes topiques</w:t>
      </w:r>
      <w:r>
        <w:t xml:space="preserve"> :</w:t>
      </w:r>
    </w:p>
    <w:p>
      <w:pPr>
        <w:pStyle w:val="ListBullet"/>
      </w:pPr>
      <w:r/>
      <w:r>
        <w:rPr>
          <w:b/>
        </w:rPr>
        <w:t>Solution pour application locale</w:t>
      </w:r>
      <w:r>
        <w:t xml:space="preserve"> : disponibles en Algérie pour saignement ORL, dentaire (article non inclus dans ce chapitre, orientation ORL).</w:t>
      </w:r>
    </w:p>
    <w:p>
      <w:pPr>
        <w:pStyle w:val="ListBullet"/>
      </w:pPr>
      <w:r/>
      <w:r>
        <w:rPr>
          <w:b/>
        </w:rPr>
        <w:t>Collyre ophtalmique</w:t>
      </w:r>
      <w:r>
        <w:t xml:space="preserve"> : disponible pour saignement conjonctival.</w:t>
      </w:r>
    </w:p>
    <w:p>
      <w:r/>
      <w:r>
        <w:rPr>
          <w:b/>
        </w:rPr>
        <w:t>Voies d'administration</w:t>
      </w:r>
      <w:r>
        <w:t xml:space="preserve"> :</w:t>
      </w:r>
    </w:p>
    <w:p>
      <w:pPr>
        <w:pStyle w:val="ListBullet"/>
      </w:pPr>
      <w:r>
        <w:t>IV stricte, lente (10 min pour 1 g).</w:t>
      </w:r>
    </w:p>
    <w:p>
      <w:pPr>
        <w:pStyle w:val="ListBullet"/>
      </w:pPr>
      <w:r>
        <w:t>Voie orale, avec ou sans alimentation.</w:t>
      </w:r>
    </w:p>
    <w:p>
      <w:pPr>
        <w:pStyle w:val="ListBullet"/>
      </w:pPr>
      <w:r>
        <w:t>Voie topique (rinsage, application locale).</w:t>
      </w:r>
    </w:p>
    <w:p>
      <w:r/>
      <w:r>
        <w:rPr>
          <w:b/>
        </w:rPr>
        <w:t>Conservation</w:t>
      </w:r>
      <w:r>
        <w:t xml:space="preserve"> :</w:t>
      </w:r>
    </w:p>
    <w:p>
      <w:pPr>
        <w:pStyle w:val="ListBullet"/>
      </w:pPr>
      <w:r>
        <w:t>À conserver à l'abri de la lumière.</w:t>
      </w:r>
    </w:p>
    <w:p>
      <w:pPr>
        <w:pStyle w:val="ListBullet"/>
      </w:pPr>
      <w:r>
        <w:t>Température &lt; 25 °C (pas de congélation).</w:t>
      </w:r>
    </w:p>
    <w:p>
      <w:pPr>
        <w:pStyle w:val="ListBullet"/>
      </w:pPr>
      <w:r>
        <w:t>Après dilution : 24 heures à température ambiante.</w:t>
      </w:r>
    </w:p>
    <w:p>
      <w:pPr>
        <w:pStyle w:val="ListBullet"/>
      </w:pPr>
      <w:r>
        <w:t>Vérification visuelle : solution limpide incolore ; ne pas utiliser si coloration ou précipité.</w:t>
      </w:r>
    </w:p>
    <w:p>
      <w:pPr>
        <w:pStyle w:val="Heading3"/>
      </w:pPr>
      <w:r>
        <w:t>184.4.1.11 Conseils au patient et à l'équipe soignante</w:t>
      </w:r>
    </w:p>
    <w:p>
      <w:r>
        <w:t>L'acide tranexamique étant utilisé en urgence (choc hémorragique, HPP) et en traitement chronique (ménorragies, angiœdème), les conseils s'adressent à l'équipe de réanimation/anesthésie/obstétrique ainsi qu'aux patientes en traitement chronique.</w:t>
      </w:r>
    </w:p>
    <w:p>
      <w:r/>
      <w:r>
        <w:rPr>
          <w:b/>
        </w:rPr>
        <w:t>Conseils à l'équipe soignante</w:t>
      </w:r>
      <w:r>
        <w:t xml:space="preserve"> :</w:t>
      </w:r>
    </w:p>
    <w:p>
      <w:pPr>
        <w:pStyle w:val="ListBullet"/>
      </w:pPr>
      <w:r/>
      <w:r>
        <w:rPr>
          <w:b/>
        </w:rPr>
        <w:t>Vérification systématique de la dose et de la voie</w:t>
      </w:r>
      <w:r>
        <w:t xml:space="preserve"> : 1 g IV en 10 minutes (bolus), suivi de 1 g IV en perfusion sur 8 h (protocole CRASH-2/WOMAN). Ne pas dépasser 4 g/24 h en dehors d'indications spécifiques.</w:t>
      </w:r>
    </w:p>
    <w:p>
      <w:pPr>
        <w:pStyle w:val="ListBullet"/>
      </w:pPr>
      <w:r/>
      <w:r>
        <w:rPr>
          <w:b/>
        </w:rPr>
        <w:t>Délai d'administration précoce</w:t>
      </w:r>
      <w:r>
        <w:t xml:space="preserve"> : dans le traumatisme, idéalement &lt; 1 heure (bénéfice maximal), utile jusqu'à 3 heures, à éviter au-delà.</w:t>
      </w:r>
    </w:p>
    <w:p>
      <w:pPr>
        <w:pStyle w:val="ListBullet"/>
      </w:pPr>
      <w:r/>
      <w:r>
        <w:rPr>
          <w:b/>
        </w:rPr>
        <w:t>Injection IV lente</w:t>
      </w:r>
      <w:r>
        <w:t xml:space="preserve"> (10 minutes pour 1 g) pour éviter l'hypotension transitoire.</w:t>
      </w:r>
    </w:p>
    <w:p>
      <w:pPr>
        <w:pStyle w:val="ListBullet"/>
      </w:pPr>
      <w:r/>
      <w:r>
        <w:rPr>
          <w:b/>
        </w:rPr>
        <w:t>Surveillance continue</w:t>
      </w:r>
      <w:r>
        <w:t xml:space="preserve"> : clinique (saignement, PA, FC, diurèse, état de conscience), biologique (Hb, plaquettes, fibrinogène, TP, TCA, D-dimères, ROTEM), examen neurologique en cas de perfusion prolongée (risque de convulsions).</w:t>
      </w:r>
    </w:p>
    <w:p>
      <w:pPr>
        <w:pStyle w:val="ListBullet"/>
      </w:pPr>
      <w:r/>
      <w:r>
        <w:rPr>
          <w:b/>
        </w:rPr>
        <w:t>Adaptation posologique en insuffisance rénale</w:t>
      </w:r>
      <w:r>
        <w:t xml:space="preserve"> : surveillance créatininémie, adaptation selon DFG.</w:t>
      </w:r>
    </w:p>
    <w:p>
      <w:pPr>
        <w:pStyle w:val="ListBullet"/>
      </w:pPr>
      <w:r/>
      <w:r>
        <w:rPr>
          <w:b/>
        </w:rPr>
        <w:t>Associations logiques</w:t>
      </w:r>
      <w:r>
        <w:t xml:space="preserve"> : utérotoniques (ocytocine, methylergometrine, misoprostol) en HPP, traitement chirurgical ou radiologique du saignement, transfusion sanguine selon les pertes, facteurs de coagulation (PCC, fibrinogène) si coagulopathie.</w:t>
      </w:r>
    </w:p>
    <w:p>
      <w:pPr>
        <w:pStyle w:val="ListBullet"/>
      </w:pPr>
      <w:r/>
      <w:r>
        <w:rPr>
          <w:b/>
        </w:rPr>
        <w:t>Prévention de la maladie thromboembolique veineuse</w:t>
      </w:r>
      <w:r>
        <w:t xml:space="preserve"> : HBPM prophylactique à dose préventive (enoxaparine 4000 UI SC/j), sans contre-indication à l'acide tranexamique.</w:t>
      </w:r>
    </w:p>
    <w:p>
      <w:pPr>
        <w:pStyle w:val="ListBullet"/>
      </w:pPr>
      <w:r/>
      <w:r>
        <w:rPr>
          <w:b/>
        </w:rPr>
        <w:t>Éducation du patient conscient</w:t>
      </w:r>
      <w:r>
        <w:t xml:space="preserve"> : information sur le traitement, les sensations possibles (céphalées, vertiges), la surveillance.</w:t>
      </w:r>
    </w:p>
    <w:p>
      <w:r/>
      <w:r>
        <w:rPr>
          <w:b/>
        </w:rPr>
        <w:t>Conseils à la patiente en traitement chronique</w:t>
      </w:r>
      <w:r>
        <w:t xml:space="preserve"> (ménorragies, angiœdème) :</w:t>
      </w:r>
    </w:p>
    <w:p>
      <w:pPr>
        <w:pStyle w:val="ListBullet"/>
      </w:pPr>
      <w:r>
        <w:t>Information sur le traitement : nom du médicament, posologie, modalités de prise (per os, pendant les règles pour ménorragies).</w:t>
      </w:r>
    </w:p>
    <w:p>
      <w:pPr>
        <w:pStyle w:val="ListBullet"/>
      </w:pPr>
      <w:r>
        <w:t>Surveiller les signes d'alerte : saignement persistant malgré le traitement, céphalées sévères, troubles visuels, douleur thoracique, essoufflement (signes de thrombose — consulter en urgence).</w:t>
      </w:r>
    </w:p>
    <w:p>
      <w:pPr>
        <w:pStyle w:val="ListBullet"/>
      </w:pPr>
      <w:r>
        <w:t>Prévention des interactions médicamenteuses : informer le médecin de tous les médicaments pris (anticoagulants, contraception, œstrogènes).</w:t>
      </w:r>
    </w:p>
    <w:p>
      <w:pPr>
        <w:pStyle w:val="ListBullet"/>
      </w:pPr>
      <w:r>
        <w:t>Suivi gynécologique régulier pour ménorragies (recherche d'une cause organique : fibrome, polype, hyperplasie endométriale).</w:t>
      </w:r>
    </w:p>
    <w:p>
      <w:pPr>
        <w:pStyle w:val="ListBullet"/>
      </w:pPr>
      <w:r>
        <w:t>Pour angiœdème héréditaire : suivi spécialisé (médecine interne, immunologie clinique), carte d'urgence, formation à l'auto-administration de C1-inhibiteur en cas de crise.</w:t>
      </w:r>
    </w:p>
    <w:p>
      <w:pPr>
        <w:pStyle w:val="Heading3"/>
      </w:pPr>
      <w:r>
        <w:t>184.4.1.12 Pièges au comptoir — Règles d'or</w:t>
      </w:r>
    </w:p>
    <w:p>
      <w:r/>
      <w:r>
        <w:rPr>
          <w:b/>
        </w:rPr>
        <w:t>Piège n°1 — Administration tardive (&gt; 3 heures) dans le traumatisme</w:t>
      </w:r>
      <w:r>
        <w:t xml:space="preserve"> : possible augmentation paradoxale de la mortalité (CRASH-2). Règle d'or : administrer dans les 3 heures suivant le traumatisme, idéalement dans la 1ère heure.</w:t>
      </w:r>
    </w:p>
    <w:p>
      <w:r/>
      <w:r>
        <w:rPr>
          <w:b/>
        </w:rPr>
        <w:t>Piège n°2 — Bolus IV trop rapide</w:t>
      </w:r>
      <w:r>
        <w:t xml:space="preserve"> : hypotension transitoire, risque d'instabilité hémodynamique. Règle d'or : injection IV lente sur 10 minutes pour 1 g.</w:t>
      </w:r>
    </w:p>
    <w:p>
      <w:r/>
      <w:r>
        <w:rPr>
          <w:b/>
        </w:rPr>
        <w:t>Piège n°3 — Dose excessive</w:t>
      </w:r>
      <w:r>
        <w:t xml:space="preserve"> : risque de convulsions, en particulier chez l'insuffisant rénal. Règle d'or : ne pas dépasser 4 g/24 h, adapter la posologie en cas d'insuffisance rénale.</w:t>
      </w:r>
    </w:p>
    <w:p>
      <w:r/>
      <w:r>
        <w:rPr>
          <w:b/>
        </w:rPr>
        <w:t>Piège n°4 — Insuffisance rénale non adaptée</w:t>
      </w:r>
      <w:r>
        <w:t xml:space="preserve"> : accumulation, surdosage, convulsions. Règle d'or : surveiller créatininémie, adapter selon DFG.</w:t>
      </w:r>
    </w:p>
    <w:p>
      <w:r/>
      <w:r>
        <w:rPr>
          <w:b/>
        </w:rPr>
        <w:t>Piège n°5 — Confusion avec les anticoagulants</w:t>
      </w:r>
      <w:r>
        <w:t xml:space="preserve"> : l'acide tranexamique n'est pas un anticoagulant, c'est un antifibrinolytique. Il ne se substitue pas aux anticoagulants en cas de thrombose veineuse, mais peut être associé à une HBPM prophylactique sans contre-indication.</w:t>
      </w:r>
    </w:p>
    <w:p>
      <w:r/>
      <w:r>
        <w:rPr>
          <w:b/>
        </w:rPr>
        <w:t>Piège n°6 — Patient sous AVK ou AOD sans surveillance</w:t>
      </w:r>
      <w:r>
        <w:t xml:space="preserve"> : majoration du risque hémorragique si surdosage AVK + acide tranexamique (l'acide tranexamique masque le saignement mais ne corrige pas la coagulopathie). Règle d'or : surveillance INR, équilibre AVK, ne pas utiliser l'acide tranexamique pour « compenser » un surdosage AVK.</w:t>
      </w:r>
    </w:p>
    <w:p>
      <w:r/>
      <w:r>
        <w:rPr>
          <w:b/>
        </w:rPr>
        <w:t>Piège n°7 — Oubli de surveillance neurologique</w:t>
      </w:r>
      <w:r>
        <w:t xml:space="preserve"> : convulsions possibles à forte dose ou en cas d'insuffisance rénale. Règle d'or : examen neurologique régulier, EEG si suspicion.</w:t>
      </w:r>
    </w:p>
    <w:p>
      <w:r/>
      <w:r>
        <w:rPr>
          <w:b/>
        </w:rPr>
        <w:t>Piège n°8 — Administration chez la femme enceinte par excès de prudence</w:t>
      </w:r>
      <w:r>
        <w:t xml:space="preserve"> : sous-utilisation de l'acide tranexamique en HPP par peur fœtale. Règle d'or : l'acide tranexamique est compatible avec la grossesse et l'allaitement, à utiliser sans restriction en HPP.</w:t>
      </w:r>
    </w:p>
    <w:p>
      <w:r/>
      <w:r>
        <w:rPr>
          <w:b/>
        </w:rPr>
        <w:t>Piège n°9 — Mélange avec pénicillines</w:t>
      </w:r>
      <w:r>
        <w:t xml:space="preserve"> : incompatibilité physico-chimique. Règle d'or : voie dédiée préférentielle.</w:t>
      </w:r>
    </w:p>
    <w:p>
      <w:r/>
      <w:r>
        <w:rPr>
          <w:b/>
        </w:rPr>
        <w:t>Piège n°10 — Confusion entre acide tranexamique et acide aminocaproïque</w:t>
      </w:r>
      <w:r>
        <w:t xml:space="preserve"> : profils pharmacologiques proches mais posologies différentes. Règle d'or : respecter la DCI prescrite, ne pas substituer sans avis médical.</w:t>
      </w:r>
    </w:p>
    <w:p>
      <w:pPr>
        <w:pStyle w:val="Heading2"/>
      </w:pPr>
      <w:r>
        <w:t>184.5 Sous-classe 5 — Réanimation : Solutés électrolytiques (calcium)</w:t>
      </w:r>
    </w:p>
    <w:p>
      <w:pPr>
        <w:pStyle w:val="Heading3"/>
      </w:pPr>
      <w:r>
        <w:t>184.5.0 Introduction à la sous-classe des solutés électrolytiques</w:t>
      </w:r>
    </w:p>
    <w:p>
      <w:r>
        <w:t>Les solutés électrolytiques regroupent les solutions injectables contenant des ions essentiels au maintien de l'homéostasie hydroélectrolytique et de la fonction cellulaire : sodium, potassium, chlore, calcium, magnésium, bicarbonate, phosphate. En réanimation, les solutés électrolytiques ont trois rôles principaux : (1) remplissage vasculaire en cas d'hypovolémie (cristalloïdes isotoniques NaCl 0,9 %, Ringer Lactate, Ringer Acétate) ; (2) correction des troubles électrolytiques (hypokaliémie, hyperkaliémie, hypocalcémie, hypomagnésémie, acidose métabolique) ; (3) stabilisation membranaire cellulaire en cas d'urgence vitale (calcium IV dans l'hyperkaliémie menaçante, l'hypocalcémie symptomatique, l'arrêt cardiaque avec hyperkaliémie, le surdosage en bêtabloquants ou inhibiteurs calciques).</w:t>
      </w:r>
    </w:p>
    <w:p>
      <w:r>
        <w:t>Le calcium est le 5ᵉ élément le plus abondant du corps humain (≈ 1,2 kg chez l'adulte), dont 99 % dans le squelette sous forme d'hydroxyapatite, et 1 % extracellulaire. La calcémie totale normale est de 2,2-2,6 mmol/L (4,4-5,2 mEq/L, 8,8-10,4 mg/dL), dont 50 % sous forme ionisée biologiquement active (1,1-1,3 mmol/L) et 50 % liée aux protéines (albumine) ou complexée. Le calcium ionisé est la forme biologiquement active qui régule l'excitabilité neuromusculaire, la contractilité myocardique, la coagulation, la transmission synaptique et de nombreuses voies enzymatiques intracellulaires.</w:t>
      </w:r>
    </w:p>
    <w:p>
      <w:r>
        <w:t>En réanimation, le calcium IV est indiqué dans plusieurs urgences vitales : (1) hyperkaliémie menaçante (K+ &gt; 6,5 mmol/L avec modifications ECG : onde T ample et pointue, élargissement QRS, troubles du rythme) — le calcium stabilise la membrane myocardique sans modifier la kaliémie, ce qui permet de gagner le temps nécessaire aux mesures d'élimination du potassium (insuline-glucose, bicarbonate, salbutamol, hémodialyse) ; (2) hypocalcémie sévère symptomatique (tetanie, laryngospasme, convulsions, allongement du QT, insuffisance cardiaque) ; (3) intoxication par les inhibiteurs calciques (antagonistes calciques : vérapamil, diltiazem, amlodipine) — le calcium IV court-circuite le bloc des canaux calciques ; (4) intoxication par les β-bloquants (alternative ou complément du glucagon) ; (5) hypermagnésémie (antagonisme compétitif calcium-magnésium) ; (6) arrêt cardiaque avec hyperkaliémie connue ou suspectée (insuffisance rénale terminale, dialyse en cours, traumatisme majeur, rhabdomyolyse) selon les recommandations ERC 2021.</w:t>
      </w:r>
    </w:p>
    <w:p>
      <w:r>
        <w:t xml:space="preserve">Deux sels de calcium sont disponibles en réanimation : le </w:t>
      </w:r>
      <w:r>
        <w:rPr>
          <w:b/>
        </w:rPr>
        <w:t>gluconate de calcium</w:t>
      </w:r>
      <w:r>
        <w:t xml:space="preserve"> (1 g/10 mL de solution à 10 % = 0,225 mmol Ca/mL = 1 mEq Ca/mL) et le </w:t>
      </w:r>
      <w:r>
        <w:rPr>
          <w:b/>
        </w:rPr>
        <w:t>chlorure de calcium</w:t>
      </w:r>
      <w:r>
        <w:t xml:space="preserve"> (1 g/10 mL de solution à 10 % = 0,68 mmol Ca/mL = 3 mEq Ca/mL). Le chlorure de calcium contient 3 fois plus de calcium ionisable que le gluconate, mais nécessite une voie veineuse centrale en raison de sa tonicité élevée (et donc d'un risque de nécrose veineuse en cas d'administration périphérique). Le gluconate de calcium peut être administré en voie veineuse périphérique, mais son métabolisme hépatique (libération du calcium à partir du gluconate) est retardé en cas d'insuffisance hépatocellulaire sévère, ce qui en fait un choix moins optimal dans ce contexte.</w:t>
      </w:r>
    </w:p>
    <w:p>
      <w:r>
        <w:t>En Algérie, le calcium injectable est disponible sous la forme Calcipack (Industries Medico-Chirurgicales IMC) en solution injectable à diluer contenant du chlorure de calcium hexahydrate à 10 g/100 mL (10 %). Les autres sels de calcium injectables (gluconate, glubionate) sont NON_RENOUVELABLES ou RETIRÉS en Algérie. Les formes orales de calcium (carbonate, pidolate, dobesilate) sont largement disponibles pour les indications chroniques (ostéoporose, hypocalcémie chronique, supplémentation vitaminocalcique) mais ne sont pas incluses dans ce chapitre centré sur la réanimation.</w:t>
      </w:r>
    </w:p>
    <w:p>
      <w:pPr>
        <w:pStyle w:val="Heading2"/>
      </w:pPr>
      <w:r>
        <w:t>184.5.1 DCI 6 — Calcium (gluconate / chlorure) — usage réanimation</w:t>
      </w:r>
    </w:p>
    <w:p>
      <w:pPr>
        <w:pStyle w:val="Heading3"/>
      </w:pPr>
      <w:r>
        <w:t>184.5.1.1 Catégories pharmaco-thérapeutiques et indications</w:t>
      </w:r>
    </w:p>
    <w:p>
      <w:r>
        <w:t xml:space="preserve">Le calcium (élément Ca, masse atomique 40,08 g/mol) est administré en réanimation sous forme de sels minéraux : le </w:t>
      </w:r>
      <w:r>
        <w:rPr>
          <w:b/>
        </w:rPr>
        <w:t>chlorure de calcium hexahydrate</w:t>
      </w:r>
      <w:r>
        <w:t xml:space="preserve"> (CaCl2·6H2O, masse molaire 219,08 g/mol, code ATC A12AA07 — calcium chlorure) et le </w:t>
      </w:r>
      <w:r>
        <w:rPr>
          <w:b/>
        </w:rPr>
        <w:t>gluconate de calcium</w:t>
      </w:r>
      <w:r>
        <w:t xml:space="preserve"> (C12H22CaO14, masse molaire 430,37 g/mol, code ATC A12AA03 — calcium gluconate). Le calcium est inscrit sur la Liste des médicaments essentiels de l'OMS. En Algérie, les sels de calcium injectables sont des médicaments d'usage hospitalier pour la réanimation.</w:t>
      </w:r>
    </w:p>
    <w:p>
      <w:r>
        <w:t>Les indications réglementaires du calcium injectable sont : (1) hyperkaliémie menaçante (K+ &gt; 6,5 mmol/L avec modifications ECG) — stabilisation membranaire myocardique immédiate (effet en 1-3 minutes, durée 30-60 min) ; (2) hypocalcémie sévère symptomatique (tétanie, laryngospasme, convulsions, allongement du QT, insuffisance cardiaque réfractaire) ; (3) intoxication par inhibiteurs calciques (vérapamil, diltiazem, amlodipine, nicardipine, nimodipine) — antidote spécifique ; (4) intoxication par β-bloquants (alternative ou complément du glucagon) ; (5) hypermagnésémie (antagonisme compétitif) ; (6) arrêt cardiaque associé à une hyperkaliémie connue ou suspectée (insuffisance rénale terminale, dialyse, traumatisme majeur, rhabdomyolyse, acidose métabolique sévère) selon les recommandations ERC 2021 ; (7) hypocalcémie du choc septique sévère (calcémie ionisée &lt; 0,8 mmol/L avec dysfonction myocardique) — indication controversée, à discuter au cas par cas ; (8) alcalose métabolique sévère avec hypocalcémie ; (9) transfusion massive (chelation du calcium par les anticoagulants citratés des culots sanguins) ; (10) prévention de l'hypocalcémie après parathyroïdectomie (chirurgie de l'hyperparathyroïdie). Le calcium n'est PAS recommandé en routine dans l'arrêt cardiaque sans hyperkaliémie (absence d'efficacité démontrée et possible surmortalité, selon ERC 2021).</w:t>
      </w:r>
    </w:p>
    <w:p>
      <w:pPr>
        <w:pStyle w:val="Heading3"/>
      </w:pPr>
      <w:r>
        <w:t>184.5.1.2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CALCIPACK</w:t>
            </w:r>
          </w:p>
        </w:tc>
        <w:tc>
          <w:tcPr>
            <w:tcW w:type="dxa" w:w="1559"/>
          </w:tcPr>
          <w:p>
            <w:r>
              <w:rPr>
                <w:sz w:val="20"/>
              </w:rPr>
              <w:t>INDUSTRIES MEDICO-CHIRURGICALES (IMC)</w:t>
            </w:r>
          </w:p>
        </w:tc>
        <w:tc>
          <w:tcPr>
            <w:tcW w:type="dxa" w:w="1559"/>
          </w:tcPr>
          <w:p>
            <w:r>
              <w:rPr>
                <w:sz w:val="20"/>
              </w:rPr>
              <w:t>Solution injectable à diluer — chlorure de calcium hexahydrate 10 g/100 mL (10 %)</w:t>
            </w:r>
          </w:p>
        </w:tc>
        <w:tc>
          <w:tcPr>
            <w:tcW w:type="dxa" w:w="1559"/>
          </w:tcPr>
          <w:p>
            <w:r>
              <w:rPr>
                <w:sz w:val="20"/>
              </w:rPr>
              <w:t>B/50 ampoules de 10 mL</w:t>
            </w:r>
          </w:p>
        </w:tc>
        <w:tc>
          <w:tcPr>
            <w:tcW w:type="dxa" w:w="1559"/>
          </w:tcPr>
          <w:p>
            <w:r>
              <w:rPr>
                <w:sz w:val="20"/>
              </w:rPr>
              <w:t>—</w:t>
            </w:r>
          </w:p>
        </w:tc>
        <w:tc>
          <w:tcPr>
            <w:tcW w:type="dxa" w:w="1559"/>
          </w:tcPr>
          <w:p>
            <w:r>
              <w:rPr>
                <w:sz w:val="20"/>
              </w:rPr>
              <w:t>Actif</w:t>
            </w:r>
          </w:p>
        </w:tc>
      </w:tr>
      <w:tr>
        <w:tc>
          <w:tcPr>
            <w:tcW w:type="dxa" w:w="1559"/>
          </w:tcPr>
          <w:p>
            <w:r>
              <w:rPr>
                <w:sz w:val="20"/>
              </w:rPr>
              <w:t>CALCIUM CHLORURE</w:t>
            </w:r>
          </w:p>
        </w:tc>
        <w:tc>
          <w:tcPr>
            <w:tcW w:type="dxa" w:w="1559"/>
          </w:tcPr>
          <w:p>
            <w:r>
              <w:rPr>
                <w:sz w:val="20"/>
              </w:rPr>
              <w:t>RENAUDIN</w:t>
            </w:r>
          </w:p>
        </w:tc>
        <w:tc>
          <w:tcPr>
            <w:tcW w:type="dxa" w:w="1559"/>
          </w:tcPr>
          <w:p>
            <w:r>
              <w:rPr>
                <w:sz w:val="20"/>
              </w:rPr>
              <w:t>Solution injectable IV — chlorure de calcium 0,1 (10 %)</w:t>
            </w:r>
          </w:p>
        </w:tc>
        <w:tc>
          <w:tcPr>
            <w:tcW w:type="dxa" w:w="1559"/>
          </w:tcPr>
          <w:p>
            <w:r>
              <w:rPr>
                <w:sz w:val="20"/>
              </w:rPr>
              <w:t>B/100 ampoules 10 mL</w:t>
            </w:r>
          </w:p>
        </w:tc>
        <w:tc>
          <w:tcPr>
            <w:tcW w:type="dxa" w:w="1559"/>
          </w:tcPr>
          <w:p>
            <w:r>
              <w:rPr>
                <w:sz w:val="20"/>
              </w:rPr>
              <w:t>—</w:t>
            </w:r>
          </w:p>
        </w:tc>
        <w:tc>
          <w:tcPr>
            <w:tcW w:type="dxa" w:w="1559"/>
          </w:tcPr>
          <w:p>
            <w:r>
              <w:rPr>
                <w:sz w:val="20"/>
              </w:rPr>
              <w:t>Non renouvelable</w:t>
            </w:r>
          </w:p>
        </w:tc>
      </w:tr>
      <w:tr>
        <w:tc>
          <w:tcPr>
            <w:tcW w:type="dxa" w:w="1559"/>
          </w:tcPr>
          <w:p>
            <w:r>
              <w:rPr>
                <w:sz w:val="20"/>
              </w:rPr>
              <w:t>CALCIBRONAT</w:t>
            </w:r>
          </w:p>
        </w:tc>
        <w:tc>
          <w:tcPr>
            <w:tcW w:type="dxa" w:w="1559"/>
          </w:tcPr>
          <w:p>
            <w:r>
              <w:rPr>
                <w:sz w:val="20"/>
              </w:rPr>
              <w:t>NOVARTIS PHARMA S.A.</w:t>
            </w:r>
          </w:p>
        </w:tc>
        <w:tc>
          <w:tcPr>
            <w:tcW w:type="dxa" w:w="1559"/>
          </w:tcPr>
          <w:p>
            <w:r>
              <w:rPr>
                <w:sz w:val="20"/>
              </w:rPr>
              <w:t>Solution injectable IV — calcium bromogalactogluconate 124 mg/mL</w:t>
            </w:r>
          </w:p>
        </w:tc>
        <w:tc>
          <w:tcPr>
            <w:tcW w:type="dxa" w:w="1559"/>
          </w:tcPr>
          <w:p>
            <w:r>
              <w:rPr>
                <w:sz w:val="20"/>
              </w:rPr>
              <w:t>B/5 ampoules 10 mL</w:t>
            </w:r>
          </w:p>
        </w:tc>
        <w:tc>
          <w:tcPr>
            <w:tcW w:type="dxa" w:w="1559"/>
          </w:tcPr>
          <w:p>
            <w:r>
              <w:rPr>
                <w:sz w:val="20"/>
              </w:rPr>
              <w:t>—</w:t>
            </w:r>
          </w:p>
        </w:tc>
        <w:tc>
          <w:tcPr>
            <w:tcW w:type="dxa" w:w="1559"/>
          </w:tcPr>
          <w:p>
            <w:r>
              <w:rPr>
                <w:sz w:val="20"/>
              </w:rPr>
              <w:t>Retrait</w:t>
            </w:r>
          </w:p>
        </w:tc>
      </w:tr>
      <w:tr>
        <w:tc>
          <w:tcPr>
            <w:tcW w:type="dxa" w:w="1559"/>
          </w:tcPr>
          <w:p>
            <w:r>
              <w:rPr>
                <w:sz w:val="20"/>
              </w:rPr>
              <w:t>CALCIUM-MEDIFA</w:t>
            </w:r>
          </w:p>
        </w:tc>
        <w:tc>
          <w:tcPr>
            <w:tcW w:type="dxa" w:w="1559"/>
          </w:tcPr>
          <w:p>
            <w:r>
              <w:rPr>
                <w:sz w:val="20"/>
              </w:rPr>
              <w:t>MEDIFA</w:t>
            </w:r>
          </w:p>
        </w:tc>
        <w:tc>
          <w:tcPr>
            <w:tcW w:type="dxa" w:w="1559"/>
          </w:tcPr>
          <w:p>
            <w:r>
              <w:rPr>
                <w:sz w:val="20"/>
              </w:rPr>
              <w:t>Solution injectable IV — calcium glubionate 0,6875 g/5 mL</w:t>
            </w:r>
          </w:p>
        </w:tc>
        <w:tc>
          <w:tcPr>
            <w:tcW w:type="dxa" w:w="1559"/>
          </w:tcPr>
          <w:p>
            <w:r>
              <w:rPr>
                <w:sz w:val="20"/>
              </w:rPr>
              <w:t>B/10 ampoules 5 mL</w:t>
            </w:r>
          </w:p>
        </w:tc>
        <w:tc>
          <w:tcPr>
            <w:tcW w:type="dxa" w:w="1559"/>
          </w:tcPr>
          <w:p>
            <w:r>
              <w:rPr>
                <w:sz w:val="20"/>
              </w:rPr>
              <w:t>—</w:t>
            </w:r>
          </w:p>
        </w:tc>
        <w:tc>
          <w:tcPr>
            <w:tcW w:type="dxa" w:w="1559"/>
          </w:tcPr>
          <w:p>
            <w:r>
              <w:rPr>
                <w:sz w:val="20"/>
              </w:rPr>
              <w:t>Retrait</w:t>
            </w:r>
          </w:p>
        </w:tc>
      </w:tr>
    </w:tbl>
    <w:p/>
    <w:p>
      <w:r/>
      <w:r>
        <w:rPr>
          <w:b/>
        </w:rPr>
        <w:t>Formes orales de calcium (à titre informatif, non incluses dans ce chapitre centré réanimation)</w:t>
      </w:r>
      <w:r>
        <w:t xml:space="preserve"> : de nombreuses spécialités algériennes contenant du calcium carbonate, pidolate, dobesilate, gluconolactate sont disponibles pour les indications chroniques (ostéoporose, hypocalcémie, supplémentation vitaminocalcique) — Doxium (calcium dobesilate, AbdIbrahim), Calcial/Calcifor (calcium pidolate, LAD Pharma), Calcimed, CalciOS, Calcium BR, Calcium Novagenerics, Calperos, Kalcitab, Ossecal (calcium carbonate), Calcium D3 Ival, Calcium D3 Novagenerics, Calcium D3 Sophal, Densical Calcium D3, Fixecal, Ideos, Kinadyn-OS, OSSE D3, OSSEANS D3, Superos D3 (calcium carbonate + vitamine D3), Rennie (calcium carbonate + magnesium carbonate), Rennie Deflatine, Renibon.</w:t>
      </w:r>
    </w:p>
    <w:p>
      <w:r>
        <w:t xml:space="preserve">Le marché algérien du calcium injectable pour réanimation est aujourd'hui limité à une seule spécialité active : </w:t>
      </w:r>
      <w:r>
        <w:rPr>
          <w:b/>
        </w:rPr>
        <w:t>Calcipack</w:t>
      </w:r>
      <w:r>
        <w:t xml:space="preserve"> (Industries Medico-Chirurgicales IMC), disponible en solution injectable à diluer contenant du chlorure de calcium hexahydrate à 10 g/100 mL (10 %), conditionnée en ampoules de 10 mL. Chaque ampoule de 10 mL contient donc 1 g de chlorure de calcium hexahydrate, soit 0,68 mmol de calcium élément par mL (6,8 mmol Ca par ampoule de 10 mL = 13,6 mEq Ca par ampoule). La spécialité Calcium Chlorure Renaudin (10 %) n'est plus renouvelée. Les formes bromogalactogluconate (Calcibron, Novartis) et glubionate (Calcium-Medifa) sont retirées. Les formes gluconate et gluceptate (alternatives au chlorure) ne sont pas disponibles en Algérie. Cette situation limite les options en cas d'urgence, en particulier pour l'administration sur voie veineuse périphérique (le chlorure de calcium nécessite une voie centrale en raison de sa tonicité élevée et de son potentiel nécrosant).</w:t>
      </w:r>
    </w:p>
    <w:p>
      <w:pPr>
        <w:pStyle w:val="Heading3"/>
      </w:pPr>
      <w:r>
        <w:t>184.5.1.3 Mécanisme d'action moléculaire, cellulaire et physiologique</w:t>
      </w:r>
    </w:p>
    <w:p>
      <w:r>
        <w:t>Le calcium (Ca2+) est un ion essentiel à de très nombreuses fonctions cellulaires : contraction musculaire squelettique, cardiaque et lisse, transmission synaptique, sécrétion hormonale, coagulation, activation enzymatique, signalisation intracellulaire (second messager). La concentration intracellulaire libre en calcium cytosolique est maintenue très basse (≈ 100 nM) par rapport à la concentration extracellulaire (1,1-1,3 mmol/L ionisée, soit un ratio de 10 000:1). Cette gradient est maintenue par des pompes ATP-dépendantes (SERCA au niveau du réticulum, PMCA au niveau de la membrane plasmique) et par des échangeurs (NCX — échangeur Na/Ca).</w:t>
      </w:r>
    </w:p>
    <w:p>
      <w:r/>
      <w:r>
        <w:rPr>
          <w:b/>
        </w:rPr>
        <w:t>Niveau moléculaire — formes ionisée vs liée</w:t>
      </w:r>
      <w:r>
        <w:t xml:space="preserve"> : la calcémie totale (2,2-2,6 mmol/L) comprend trois fractions :</w:t>
      </w:r>
    </w:p>
    <w:p>
      <w:pPr>
        <w:pStyle w:val="ListBullet"/>
      </w:pPr>
      <w:r/>
      <w:r>
        <w:rPr>
          <w:b/>
        </w:rPr>
        <w:t>Calcium ionisé (Ca2+ libre)</w:t>
      </w:r>
      <w:r>
        <w:t xml:space="preserve"> : 50 % (1,1-1,3 mmol/L), seule forme biologiquement active.</w:t>
      </w:r>
    </w:p>
    <w:p>
      <w:pPr>
        <w:pStyle w:val="ListBullet"/>
      </w:pPr>
      <w:r/>
      <w:r>
        <w:rPr>
          <w:b/>
        </w:rPr>
        <w:t>Calcium lié aux protéines</w:t>
      </w:r>
      <w:r>
        <w:t xml:space="preserve"> (essentiellement albumine) : 40 %, réservoir inactive.</w:t>
      </w:r>
    </w:p>
    <w:p>
      <w:pPr>
        <w:pStyle w:val="ListBullet"/>
      </w:pPr>
      <w:r/>
      <w:r>
        <w:rPr>
          <w:b/>
        </w:rPr>
        <w:t>Calcium complexé</w:t>
      </w:r>
      <w:r>
        <w:t xml:space="preserve"> (citrate, phosphate, bicarbonate) : 10 %, inactif.</w:t>
      </w:r>
    </w:p>
    <w:p>
      <w:r>
        <w:t>La fraction ionisée est influencée par le pH (acidose → augmentation de la fraction ionisée par déplacement du calcium des protéines ; alcalose → diminution), l'albuminémie (hypoalbuminémie → diminution du calcium total sans modification de l'ionisé — formule de correction : Ca total corrigé = Ca mesuré + 0,02 × (40 − albuminémie g/L)).</w:t>
      </w:r>
    </w:p>
    <w:p>
      <w:r/>
      <w:r>
        <w:rPr>
          <w:b/>
        </w:rPr>
        <w:t>Niveau cellulaire cardiaque — effet inotrope positif</w:t>
      </w:r>
      <w:r>
        <w:t xml:space="preserve"> : le calcium traverse la membrane plasmique des cardiomyocytes par les canaux calciques voltage-dépendants L (Cav1.2) lors du potentiel d'action (plateau de phase 2). L'entrée calcique déclenche la libération de calcium du réticulum sarcoplasmique par les récepteurs ryanodine RyR2 (couplage « calcium-induced calcium release » CICR). L'augmentation du calcium cytosolique active la troponine C → déplacement de la tropomyosine → exposition des sites de fixation à la myosine → contraction. En diastole, le calcium est recapté par la SERCA2a dans le réticulum (relaxation). L'administration IV de calcium augmente transitoirement la calcémie ionisée, augmentant l'entrée calcique et la contractilité myocardique (effet inotrope positif direct).</w:t>
      </w:r>
    </w:p>
    <w:p>
      <w:r/>
      <w:r>
        <w:rPr>
          <w:b/>
        </w:rPr>
        <w:t>Niveau cellulaire neuronal — stabilisation membranaire</w:t>
      </w:r>
      <w:r>
        <w:t xml:space="preserve"> : le calcium élève le seuil d'excitabilité des membranes neuronales et musculaires ( effet stabilisateur de membrane). Dans l'hyperkaliémie, l'augmentation du potassium extracellulaire dépolarise la membrane cellulaire vers le potentiel de repos (moins négatif), augmentant l'excitabilité et favorisant les arythmies. Le calcium IV, en augmentant le gradient calcium transmembranaire, restaure le seuil d'excitabilité normal et stabilise la membrane myocardique, sans modifier la kaliémie. Cet effet est immédiat (1-3 min) mais transitoire (30-60 min), ce qui laisse le temps nécessaire aux mesures d'élimination du potassium (insuline-glucose, bicarbonate, salbutamol, hémodialyse).</w:t>
      </w:r>
    </w:p>
    <w:p>
      <w:r/>
      <w:r>
        <w:rPr>
          <w:b/>
        </w:rPr>
        <w:t>Niveau physiologique — effet global</w:t>
      </w:r>
      <w:r>
        <w:t xml:space="preserve"> :</w:t>
      </w:r>
    </w:p>
    <w:p>
      <w:pPr>
        <w:pStyle w:val="ListBullet"/>
      </w:pPr>
      <w:r/>
      <w:r>
        <w:rPr>
          <w:b/>
        </w:rPr>
        <w:t>Stabilisation membranaire myocardique</w:t>
      </w:r>
      <w:r>
        <w:t xml:space="preserve"> (hyperkaliémie) : correction immédiate des troubles ECG (onde T ample, élargissement QRS, troubles du rythme).</w:t>
      </w:r>
    </w:p>
    <w:p>
      <w:pPr>
        <w:pStyle w:val="ListBullet"/>
      </w:pPr>
      <w:r/>
      <w:r>
        <w:rPr>
          <w:b/>
        </w:rPr>
        <w:t>Augmentation de la contractilité myocardique</w:t>
      </w:r>
      <w:r>
        <w:t xml:space="preserve"> (effet inotrope positif) : augmentation du débit cardiaque, useful dans le choc cardiogénique réfractaire ou l'intoxication par inhibiteurs calciques.</w:t>
      </w:r>
    </w:p>
    <w:p>
      <w:pPr>
        <w:pStyle w:val="ListBullet"/>
      </w:pPr>
      <w:r/>
      <w:r>
        <w:rPr>
          <w:b/>
        </w:rPr>
        <w:t>Vasoconstriction artérielle</w:t>
      </w:r>
      <w:r>
        <w:t xml:space="preserve"> (effet vasopresseur direct) : augmentation de la PAM, utile dans le choc vasoplégique réfractaire ou l'intoxication par inhibiteurs calciques.</w:t>
      </w:r>
    </w:p>
    <w:p>
      <w:pPr>
        <w:pStyle w:val="ListBullet"/>
      </w:pPr>
      <w:r/>
      <w:r>
        <w:rPr>
          <w:b/>
        </w:rPr>
        <w:t>Correction de la tétanie</w:t>
      </w:r>
      <w:r>
        <w:t xml:space="preserve"> (hypocalcémie) : régression des spasmes musculaires, laryngospasme, convulsions.</w:t>
      </w:r>
    </w:p>
    <w:p>
      <w:pPr>
        <w:pStyle w:val="ListBullet"/>
      </w:pPr>
      <w:r/>
      <w:r>
        <w:rPr>
          <w:b/>
        </w:rPr>
        <w:t>Antagonisme magnésium</w:t>
      </w:r>
      <w:r>
        <w:t xml:space="preserve"> (hypermagnésémie) : compétition au niveau des récepteurs NMDA et des canaux calciques.</w:t>
      </w:r>
    </w:p>
    <w:p>
      <w:r/>
      <w:r>
        <w:rPr>
          <w:b/>
        </w:rPr>
        <w:t>Niveau pharmacodynamique — antidote spécifique des inhibiteurs calciques</w:t>
      </w:r>
      <w:r>
        <w:t xml:space="preserve"> : les inhibiteurs calciques (vérapamil, diltiazem, amlodipine) bloquent les canaux calciques voltage-dépendants L, diminuant l'entrée de calcium dans les cellules myocardiques (effet inotrope négatif, bradycardie) et vasculaires (vasodilatation, hypotension). Le calcium IV, en augmentant massivement le gradient calcique transmembranaire, « surmonte » le bloc des canaux et restaure la contractilité et la vasoconstriction. Dose nécessaire : 1-3 g IV, à renouveler si besoin, parfois perfusion continue (0,5-1 g/h).</w:t>
      </w:r>
    </w:p>
    <w:p>
      <w:pPr>
        <w:pStyle w:val="Heading3"/>
      </w:pPr>
      <w:r>
        <w:t>184.5.1.4 Pharmacocinétique (profil PK)</w:t>
      </w:r>
    </w:p>
    <w:p>
      <w:r/>
      <w:r>
        <w:rPr>
          <w:b/>
        </w:rPr>
        <w:t>Absorption</w:t>
      </w:r>
      <w:r>
        <w:t xml:space="preserve"> : la voie IV stricte est obligatoire en urgence réanimation. La voie orale est utilisée pour les hypocalcémies chroniques (non traitées ici). La voie IM est contre-indiquée (risque de nécrose tissulaire). La voie sous-cutanée est contre-indiquée (risque de nécrose).</w:t>
      </w:r>
    </w:p>
    <w:p>
      <w:r/>
      <w:r>
        <w:rPr>
          <w:b/>
        </w:rPr>
        <w:t>Distribution</w:t>
      </w:r>
      <w:r>
        <w:t xml:space="preserve"> : le calcium se distribue rapidement dans le compartiment extracellulaire (≈ 15 L), avec une fraction ionisée biologiquement active (50 %), une fraction liée aux protéines (40 %) et une fraction complexée (10 %). La distribution tissulaire (os, cellules) est plus lente (heures à jours). Le calcium traverse la barrière placentaire et passe dans le lait maternel (quantités physiologiques).</w:t>
      </w:r>
    </w:p>
    <w:p>
      <w:r/>
      <w:r>
        <w:rPr>
          <w:b/>
        </w:rPr>
        <w:t>Métabolisme</w:t>
      </w:r>
      <w:r>
        <w:t xml:space="preserve"> : le calcium n'est pas métabolisé (élément minéral). Le gluconate de calcium est métabolisé par le foie en glucose (libérant le calcium ionisé), ce qui explique son délai d'action plus lent en cas d'insuffisance hépatique sévère. Le chlorure de calcium se dissocie immédiatement en Ca2+ et Cl−, sans métabolisme.</w:t>
      </w:r>
    </w:p>
    <w:p>
      <w:r/>
      <w:r>
        <w:rPr>
          <w:b/>
        </w:rPr>
        <w:t>Demi-vie d'élimination</w:t>
      </w:r>
      <w:r>
        <w:t xml:space="preserve"> : très courte (≈ 10-15 min) pour la fraction ionisée plasmatique, en raison de la distribution rapide tissulaire (os, cellules) et de l'élimination rénale. La demi-vie de l'effet pharmacodynamique (stabilisation membranaire) est de 30-60 min, justifiant la répétition des doses en cas d'hyperkaliémie persistante.</w:t>
      </w:r>
    </w:p>
    <w:p>
      <w:r/>
      <w:r>
        <w:rPr>
          <w:b/>
        </w:rPr>
        <w:t>Élimination</w:t>
      </w:r>
      <w:r>
        <w:t xml:space="preserve"> : rénale à 98 % (filtration glomérulaire), sous forme de calcium ionisé. En cas d'insuffisance rénale, ralentissement de l'élimination et risque d'hypercalcémie. Une partie du calcium est captée par l'os (fixation à l'hydroxyapatite).</w:t>
      </w:r>
    </w:p>
    <w:p>
      <w:r/>
      <w:r>
        <w:rPr>
          <w:b/>
        </w:rPr>
        <w:t>Linéarité</w:t>
      </w:r>
      <w:r>
        <w:t xml:space="preserve"> : la pharmacocinétique est non linéaire, en raison de la saturation de la liaison protéique (fraction libre augmente avec la dose) et de la fixation osseuse (capacité élevée). À forte dose, l'effet pharmacodynamique est marqué mais transitoire.</w:t>
      </w:r>
    </w:p>
    <w:p>
      <w:r/>
      <w:r>
        <w:rPr>
          <w:b/>
        </w:rPr>
        <w:t>Suivi thérapeutique</w:t>
      </w:r>
      <w:r>
        <w:t xml:space="preserve"> : surveillance de la calcémie ionisée (la calcémie totale est trompeuse en cas d'hypoalbuminémie, d'acidose ou d'alcalose), de l'ECG (segment QTc), de la PA, de la kaliémie (en cas d'hyperkaliémie), de la magnésémie. Objectif : calcémie ionisée normale (1,1-1,3 mmol/L), QTc normal (≤ 440 ms homme, ≤ 460 ms femme), disparition des signes ECG d'hyperkaliémie.</w:t>
      </w:r>
    </w:p>
    <w:p>
      <w:r/>
      <w:r>
        <w:rPr>
          <w:b/>
        </w:rPr>
        <w:t>Adaptation posologique</w:t>
      </w:r>
      <w:r>
        <w:t xml:space="preserve"> :</w:t>
      </w:r>
    </w:p>
    <w:p>
      <w:pPr>
        <w:pStyle w:val="ListBullet"/>
      </w:pPr>
      <w:r>
        <w:t>Insuffisance rénale : pas d'adaptation en urgence, mais surveillance accrue (risque d'hypercalcémie).</w:t>
      </w:r>
    </w:p>
    <w:p>
      <w:pPr>
        <w:pStyle w:val="ListBullet"/>
      </w:pPr>
      <w:r>
        <w:t>Insuffisance hépatique : préférer le chlorure de calcium au gluconate (métabolisme hépatique du gluconate).</w:t>
      </w:r>
    </w:p>
    <w:p>
      <w:pPr>
        <w:pStyle w:val="ListBullet"/>
      </w:pPr>
      <w:r>
        <w:t>Enfant : dose en mg/kg, surveillance rapprochée.</w:t>
      </w:r>
    </w:p>
    <w:p>
      <w:pPr>
        <w:pStyle w:val="Heading3"/>
      </w:pPr>
      <w:r>
        <w:t>184.5.1.5 Indications thérapeutiques</w:t>
      </w:r>
    </w:p>
    <w:p>
      <w:pPr>
        <w:pStyle w:val="ListNumber"/>
      </w:pPr>
      <w:r/>
      <w:r>
        <w:rPr>
          <w:b/>
        </w:rPr>
        <w:t>Hyperkaliémie menaçante</w:t>
      </w:r>
      <w:r>
        <w:t xml:space="preserve"> (indication vitale, niveau 1A) :</w:t>
      </w:r>
    </w:p>
    <w:p>
      <w:pPr>
        <w:pStyle w:val="ListBullet"/>
      </w:pPr>
      <w:r>
        <w:t>Définition : K+ &gt; 6,5 mmol/L avec modifications ECG (onde T ample et pointue, élargissement QRS, allongement PR, troubles du rythme).</w:t>
      </w:r>
    </w:p>
    <w:p>
      <w:pPr>
        <w:pStyle w:val="ListBullet"/>
      </w:pPr>
      <w:r>
        <w:t>Posologie : 1 g IV (10 mL de chlorure de calcium 10 %, ou 30 mL de gluconate de calcium 10 %) en 2-5 min, à renouveler si nécessité jusqu'à stabilisation ECG (max 3-4 g).</w:t>
      </w:r>
    </w:p>
    <w:p>
      <w:pPr>
        <w:pStyle w:val="ListBullet"/>
      </w:pPr>
      <w:r>
        <w:t>Effet : stabilisation membranaire myocardique en 1-3 min, durée 30-60 min (laisse le temps pour les mesures d'élimination du potassium : insuline-glucose 10 UI + 50 g glucose, bicarbonate 1 mEq/kg, salbutamol 5 mg nébulisé, hémodialyse).</w:t>
      </w:r>
    </w:p>
    <w:p>
      <w:pPr>
        <w:pStyle w:val="ListBullet"/>
      </w:pPr>
      <w:r>
        <w:t>Sans le calcium IV, l'hyperkaliémie peut évoluer vers la fibrillation ventriculaire et l'asystolie en quelques minutes.</w:t>
      </w:r>
    </w:p>
    <w:p>
      <w:pPr>
        <w:pStyle w:val="ListNumber"/>
      </w:pPr>
      <w:r/>
      <w:r>
        <w:rPr>
          <w:b/>
        </w:rPr>
        <w:t>Hypocalcémie sévère symptomatique</w:t>
      </w:r>
      <w:r>
        <w:t xml:space="preserve"> :</w:t>
      </w:r>
    </w:p>
    <w:p>
      <w:pPr>
        <w:pStyle w:val="ListBullet"/>
      </w:pPr>
      <w:r>
        <w:t>Définition : calcémie ionisée &lt; 0,8 mmol/L avec signes cliniques (tétanie, laryngospasme, convulsions, allongement du QT, insuffisance cardiaque réfractaire).</w:t>
      </w:r>
    </w:p>
    <w:p>
      <w:pPr>
        <w:pStyle w:val="ListBullet"/>
      </w:pPr>
      <w:r>
        <w:t>Posologie : 1-2 g IV en 10 min, à renouveler si nécessaire, puis perfusion continue (1-2 mg/kg/h) jusqu'à normalisation.</w:t>
      </w:r>
    </w:p>
    <w:p>
      <w:pPr>
        <w:pStyle w:val="ListBullet"/>
      </w:pPr>
      <w:r>
        <w:t>Causes : hypoparathyroïdie post-chirurgicale (thyroïdectomie, parathyroïdectomie), rachitisme sévère, insuffisance rénale chronique, pancréatite aiguë (séquestration calcique), transfusion massive (chelation par le citrate), syndrome de lyse tumorale, syndrome des os affamés post-parathyroïdectomie.</w:t>
      </w:r>
    </w:p>
    <w:p>
      <w:pPr>
        <w:pStyle w:val="ListNumber"/>
      </w:pPr>
      <w:r/>
      <w:r>
        <w:rPr>
          <w:b/>
        </w:rPr>
        <w:t>Intoxication par inhibiteurs calciques (ICC)</w:t>
      </w:r>
      <w:r>
        <w:t xml:space="preserve"> :</w:t>
      </w:r>
    </w:p>
    <w:p>
      <w:pPr>
        <w:pStyle w:val="ListBullet"/>
      </w:pPr>
      <w:r>
        <w:t>Définition : surdosage médicamenteux par vérapamil, diltiazem, amlodipine, nicardipine, nimodipine, ou association avec β-bloquants.</w:t>
      </w:r>
    </w:p>
    <w:p>
      <w:pPr>
        <w:pStyle w:val="ListBullet"/>
      </w:pPr>
      <w:r>
        <w:t>Posologie : 1-3 g IV en 5-10 min, à renouveler si besoin, puis perfusion continue 0,5-1 g/h jusqu'à stabilisation hémodynamique.</w:t>
      </w:r>
    </w:p>
    <w:p>
      <w:pPr>
        <w:pStyle w:val="ListBullet"/>
      </w:pPr>
      <w:r>
        <w:t>En association avec : glucagon 5-10 mg IV (effet inotrope indépendant des canaux calciques), insuline-glucose (insuline à haute dose 1 UI/kg IV puis 0,5-1 UI/kg/h), lipides intraveineux ( Intralipid 1,5 mL/kg 20 %) pour les formes lipophiles d'ICC.</w:t>
      </w:r>
    </w:p>
    <w:p>
      <w:pPr>
        <w:pStyle w:val="ListBullet"/>
      </w:pPr>
      <w:r>
        <w:t>Surveillance en réanimation (PA invasive, ECG, échocardiographie).</w:t>
      </w:r>
    </w:p>
    <w:p>
      <w:pPr>
        <w:pStyle w:val="ListNumber"/>
      </w:pPr>
      <w:r/>
      <w:r>
        <w:rPr>
          <w:b/>
        </w:rPr>
        <w:t>Intoxication par β-bloquants</w:t>
      </w:r>
      <w:r>
        <w:t xml:space="preserve"> :</w:t>
      </w:r>
    </w:p>
    <w:p>
      <w:pPr>
        <w:pStyle w:val="ListBullet"/>
      </w:pPr>
      <w:r>
        <w:t>Posologie : 1-3 g IV en 5-10 min, en association avec glucagon 5-10 mg IV, atropine 1-2 mg IV (si bradycardie), isoprénaline ou dobutamine si nécessaire.</w:t>
      </w:r>
    </w:p>
    <w:p>
      <w:pPr>
        <w:pStyle w:val="ListNumber"/>
      </w:pPr>
      <w:r/>
      <w:r>
        <w:rPr>
          <w:b/>
        </w:rPr>
        <w:t>Hypermagnésémie</w:t>
      </w:r>
      <w:r>
        <w:t xml:space="preserve"> :</w:t>
      </w:r>
    </w:p>
    <w:p>
      <w:pPr>
        <w:pStyle w:val="ListBullet"/>
      </w:pPr>
      <w:r>
        <w:t>Définition : Mg2+ &gt; 4 mmol/L avec signes (dépression respiratoire, hyporéflexie, hypotension, bradycardie, arrêt cardiaque).</w:t>
      </w:r>
    </w:p>
    <w:p>
      <w:pPr>
        <w:pStyle w:val="ListBullet"/>
      </w:pPr>
      <w:r>
        <w:t>Posologie : 1 g IV en 5-10 min, à renouveler si nécessaire.</w:t>
      </w:r>
    </w:p>
    <w:p>
      <w:pPr>
        <w:pStyle w:val="ListBullet"/>
      </w:pPr>
      <w:r>
        <w:t>Mécanisme : antagonisme compétitif calcium-magnésium au niveau des récepteurs NMDA et des canaux calciques.</w:t>
      </w:r>
    </w:p>
    <w:p>
      <w:pPr>
        <w:pStyle w:val="ListNumber"/>
      </w:pPr>
      <w:r/>
      <w:r>
        <w:rPr>
          <w:b/>
        </w:rPr>
        <w:t>Arrêt cardiaque avec hyperkaliémie connue ou suspectée</w:t>
      </w:r>
      <w:r>
        <w:t xml:space="preserve"> (ERC 2021) :</w:t>
      </w:r>
    </w:p>
    <w:p>
      <w:pPr>
        <w:pStyle w:val="ListBullet"/>
      </w:pPr>
      <w:r>
        <w:t>Indication : arrêt cardiaque chez un patient insuffisant rénal chronique dialysé, avec hyperkaliémie biologique connue, ou avec traumatisme majeur, rhabdomyolyse, acidose métabolique sévère.</w:t>
      </w:r>
    </w:p>
    <w:p>
      <w:pPr>
        <w:pStyle w:val="ListBullet"/>
      </w:pPr>
      <w:r>
        <w:t>Posologie : 1 g IV (ou IO) en bolus, à renouveler si nécessaire.</w:t>
      </w:r>
    </w:p>
    <w:p>
      <w:pPr>
        <w:pStyle w:val="ListBullet"/>
      </w:pPr>
      <w:r>
        <w:t>À NE PAS utiliser en routine dans l'arrêt cardiaque sans hyperkaliémie (absence d'efficacité démontrée, possible surmortalité selon les dernières recommandations).</w:t>
      </w:r>
    </w:p>
    <w:p>
      <w:pPr>
        <w:pStyle w:val="ListNumber"/>
      </w:pPr>
      <w:r/>
      <w:r>
        <w:rPr>
          <w:b/>
        </w:rPr>
        <w:t>Transfusion massive</w:t>
      </w:r>
      <w:r>
        <w:t xml:space="preserve"> :</w:t>
      </w:r>
    </w:p>
    <w:p>
      <w:pPr>
        <w:pStyle w:val="ListBullet"/>
      </w:pPr>
      <w:r>
        <w:t>Indication : transfusion de plus de 10 culots globulaires en 24 h, ou plus de 4 culots en 1 h, ou saignement aigu nécessitant plus d'une masse sanguine remplacée.</w:t>
      </w:r>
    </w:p>
    <w:p>
      <w:pPr>
        <w:pStyle w:val="ListBullet"/>
      </w:pPr>
      <w:r>
        <w:t>Mécanisme : chelation du calcium ionisé par le citrate anticoagulant des culots → hypocalcémie symptomatique (allongement QT, hypotension, troubles du rythme).</w:t>
      </w:r>
    </w:p>
    <w:p>
      <w:pPr>
        <w:pStyle w:val="ListBullet"/>
      </w:pPr>
      <w:r>
        <w:t>Posologie : 1 g IV toutes les 4-6 h pendant la transfusion massive, surveillance calcémie ionisée.</w:t>
      </w:r>
    </w:p>
    <w:p>
      <w:pPr>
        <w:pStyle w:val="ListNumber"/>
      </w:pPr>
      <w:r/>
      <w:r>
        <w:rPr>
          <w:b/>
        </w:rPr>
        <w:t>Choc septique sévère avec hypocalcémie</w:t>
      </w:r>
      <w:r>
        <w:t xml:space="preserve"> :</w:t>
      </w:r>
    </w:p>
    <w:p>
      <w:pPr>
        <w:pStyle w:val="ListBullet"/>
      </w:pPr>
      <w:r>
        <w:t>Indication controversée : hypocalcémie ionisée &lt; 0,8 mmol/L avec dysfonction myocardique et vasoplégie réfractaire.</w:t>
      </w:r>
    </w:p>
    <w:p>
      <w:pPr>
        <w:pStyle w:val="ListBullet"/>
      </w:pPr>
      <w:r>
        <w:t>Posologie : 1-2 g IV, à discuter au cas par cas (pas de bénéfice démontré sur la mortalité selon les essais randomisés).</w:t>
      </w:r>
    </w:p>
    <w:p>
      <w:pPr>
        <w:pStyle w:val="ListNumber"/>
      </w:pPr>
      <w:r/>
      <w:r>
        <w:rPr>
          <w:b/>
        </w:rPr>
        <w:t>Prévention de l'hypocalcémie post-parathyroïdectomie</w:t>
      </w:r>
      <w:r>
        <w:t xml:space="preserve"> :</w:t>
      </w:r>
    </w:p>
    <w:p>
      <w:pPr>
        <w:pStyle w:val="ListBullet"/>
      </w:pPr>
      <w:r>
        <w:t>Indication : chirurgie de l'hyperparathyroïdie primitive avec risque d'hypocalcémie post-opératoire (« syndrome des os affamés »).</w:t>
      </w:r>
    </w:p>
    <w:p>
      <w:pPr>
        <w:pStyle w:val="ListBullet"/>
      </w:pPr>
      <w:r>
        <w:t>Posologie : 1-2 g IV peropératoire, puis relais per os (calcium carbonate + vitamine D3).</w:t>
      </w:r>
    </w:p>
    <w:p>
      <w:pPr>
        <w:pStyle w:val="Heading3"/>
      </w:pPr>
      <w:r>
        <w:t>184.5.1.6 Posologie et mode d'administration</w:t>
      </w:r>
    </w:p>
    <w:p>
      <w:r/>
      <w:r>
        <w:rPr>
          <w:b/>
        </w:rPr>
        <w:t>Posologie adulte</w:t>
      </w:r>
      <w:r>
        <w:t xml:space="preserve"> :</w:t>
      </w:r>
    </w:p>
    <w:p>
      <w:r/>
      <w:r>
        <w:rPr>
          <w:i/>
        </w:rPr>
        <w:t>Hyperkaliémie menaçante</w:t>
      </w:r>
      <w:r>
        <w:t xml:space="preserve"> :</w:t>
      </w:r>
    </w:p>
    <w:p>
      <w:pPr>
        <w:pStyle w:val="ListBullet"/>
      </w:pPr>
      <w:r>
        <w:t>Dose initiale : 1 g IV (10 mL de chlorure de calcium 10 %) en 2-5 min.</w:t>
      </w:r>
    </w:p>
    <w:p>
      <w:pPr>
        <w:pStyle w:val="ListBullet"/>
      </w:pPr>
      <w:r>
        <w:t>Répétition : 1 g IV toutes les 5-10 min jusqu'à disparition des signes ECG (max 3-4 g en 30 min).</w:t>
      </w:r>
    </w:p>
    <w:p>
      <w:pPr>
        <w:pStyle w:val="ListBullet"/>
      </w:pPr>
      <w:r>
        <w:t>Relais : perfusion continue non recommandée (pas d'effet prolongé), surveillance ECG.</w:t>
      </w:r>
    </w:p>
    <w:p>
      <w:r/>
      <w:r>
        <w:rPr>
          <w:i/>
        </w:rPr>
        <w:t>Hypocalcémie sévère symptomatique</w:t>
      </w:r>
      <w:r>
        <w:t xml:space="preserve"> :</w:t>
      </w:r>
    </w:p>
    <w:p>
      <w:pPr>
        <w:pStyle w:val="ListBullet"/>
      </w:pPr>
      <w:r>
        <w:t>Dose initiale : 1-2 g IV en 10 min.</w:t>
      </w:r>
    </w:p>
    <w:p>
      <w:pPr>
        <w:pStyle w:val="ListBullet"/>
      </w:pPr>
      <w:r>
        <w:t>Entretien : perfusion continue 1-2 mg/kg/h (soit 70-140 mg/h pour un adulte de 70 kg) jusqu'à normalisation.</w:t>
      </w:r>
    </w:p>
    <w:p>
      <w:pPr>
        <w:pStyle w:val="ListBullet"/>
      </w:pPr>
      <w:r>
        <w:t>Relais per os : calcium carbonate 1-2 g/j + vitamine D3 (cholecalciferol 800-2000 UI/j ou calcitriol 0,25-1 µg/j).</w:t>
      </w:r>
    </w:p>
    <w:p>
      <w:r/>
      <w:r>
        <w:rPr>
          <w:i/>
        </w:rPr>
        <w:t>Intoxication par inhibiteurs calciques</w:t>
      </w:r>
      <w:r>
        <w:t xml:space="preserve"> :</w:t>
      </w:r>
    </w:p>
    <w:p>
      <w:pPr>
        <w:pStyle w:val="ListBullet"/>
      </w:pPr>
      <w:r>
        <w:t>Dose initiale : 1-3 g IV en 5-10 min.</w:t>
      </w:r>
    </w:p>
    <w:p>
      <w:pPr>
        <w:pStyle w:val="ListBullet"/>
      </w:pPr>
      <w:r>
        <w:t>Répétition : 1 g toutes les 10-20 min jusqu'à stabilisation hémodynamique (max 10-15 g dans les formes sévères).</w:t>
      </w:r>
    </w:p>
    <w:p>
      <w:pPr>
        <w:pStyle w:val="ListBullet"/>
      </w:pPr>
      <w:r>
        <w:t>Entretien : perfusion continue 0,5-1 g/h.</w:t>
      </w:r>
    </w:p>
    <w:p>
      <w:pPr>
        <w:pStyle w:val="ListBullet"/>
      </w:pPr>
      <w:r>
        <w:t>Association : glucagon 5-10 mg IV bolus puis 1-5 mg/h, insuline-glucose (1 UI/kg IV puis 0,5-1 UI/kg/h avec glucose 0,5 g/kg/h), lipides intraveineux (Intralipid 1,5 mL/kg 20 %).</w:t>
      </w:r>
    </w:p>
    <w:p>
      <w:r/>
      <w:r>
        <w:rPr>
          <w:i/>
        </w:rPr>
        <w:t>Hypermagnésémie</w:t>
      </w:r>
      <w:r>
        <w:t xml:space="preserve"> :</w:t>
      </w:r>
    </w:p>
    <w:p>
      <w:pPr>
        <w:pStyle w:val="ListBullet"/>
      </w:pPr>
      <w:r>
        <w:t>Dose : 1 g IV en 5-10 min, à renouveler si nécessaire.</w:t>
      </w:r>
    </w:p>
    <w:p>
      <w:r/>
      <w:r>
        <w:rPr>
          <w:i/>
        </w:rPr>
        <w:t>Arrêt cardiaque avec hyperkaliémie</w:t>
      </w:r>
      <w:r>
        <w:t xml:space="preserve"> :</w:t>
      </w:r>
    </w:p>
    <w:p>
      <w:pPr>
        <w:pStyle w:val="ListBullet"/>
      </w:pPr>
      <w:r>
        <w:t>Dose : 1 g IV (ou IO) en bolus, à renouveler si nécessaire.</w:t>
      </w:r>
    </w:p>
    <w:p>
      <w:r/>
      <w:r>
        <w:rPr>
          <w:i/>
        </w:rPr>
        <w:t>Transfusion massive</w:t>
      </w:r>
      <w:r>
        <w:t xml:space="preserve"> :</w:t>
      </w:r>
    </w:p>
    <w:p>
      <w:pPr>
        <w:pStyle w:val="ListBullet"/>
      </w:pPr>
      <w:r>
        <w:t>Dose : 1 g IV toutes les 4-6 h pendant la transfusion massive.</w:t>
      </w:r>
    </w:p>
    <w:p>
      <w:r/>
      <w:r>
        <w:rPr>
          <w:b/>
        </w:rPr>
        <w:t>Posologie enfant</w:t>
      </w:r>
      <w:r>
        <w:t xml:space="preserve"> :</w:t>
      </w:r>
    </w:p>
    <w:p>
      <w:pPr>
        <w:pStyle w:val="ListBullet"/>
      </w:pPr>
      <w:r>
        <w:t>0,2-0,3 mL/kg de chlorure de calcium 10 % (soit 20-30 mg/kg) en IV lente.</w:t>
      </w:r>
    </w:p>
    <w:p>
      <w:pPr>
        <w:pStyle w:val="ListBullet"/>
      </w:pPr>
      <w:r>
        <w:t>Ou 0,5-1 mL/kg de gluconate de calcium 10 % (soit 50-100 mg/kg) en IV lente.</w:t>
      </w:r>
    </w:p>
    <w:p>
      <w:r/>
      <w:r>
        <w:rPr>
          <w:b/>
        </w:rPr>
        <w:t>Posologie nouveau-né</w:t>
      </w:r>
      <w:r>
        <w:t xml:space="preserve"> :</w:t>
      </w:r>
    </w:p>
    <w:p>
      <w:pPr>
        <w:pStyle w:val="ListBullet"/>
      </w:pPr>
      <w:r>
        <w:t>0,1-0,2 mL/kg de chlorure de calcium 10 % (soit 10-20 mg/kg) en IV lente sous scope.</w:t>
      </w:r>
    </w:p>
    <w:p>
      <w:r/>
      <w:r>
        <w:rPr>
          <w:b/>
        </w:rPr>
        <w:t>Mode d'administration</w:t>
      </w:r>
      <w:r>
        <w:t xml:space="preserve"> :</w:t>
      </w:r>
    </w:p>
    <w:p>
      <w:pPr>
        <w:pStyle w:val="ListBullet"/>
      </w:pPr>
      <w:r/>
      <w:r>
        <w:rPr>
          <w:b/>
        </w:rPr>
        <w:t>Voie IV stricte, lente</w:t>
      </w:r>
      <w:r>
        <w:t xml:space="preserve"> (jamais IM, jamais SC).</w:t>
      </w:r>
    </w:p>
    <w:p>
      <w:pPr>
        <w:pStyle w:val="ListBullet"/>
      </w:pPr>
      <w:r/>
      <w:r>
        <w:rPr>
          <w:b/>
        </w:rPr>
        <w:t>Chlorure de calcium</w:t>
      </w:r>
      <w:r>
        <w:t xml:space="preserve"> : voie veineuse centrale préférentielle (en raison de la tonicité élevée et du risque de nécrose veineuse en périphérique). En urgence absolue sans voie centrale, voie périphérique de gros calibre avec dilution (1 g dans 50 mL NaCl 0,9 %).</w:t>
      </w:r>
    </w:p>
    <w:p>
      <w:pPr>
        <w:pStyle w:val="ListBullet"/>
      </w:pPr>
      <w:r/>
      <w:r>
        <w:rPr>
          <w:b/>
        </w:rPr>
        <w:t>Gluconate de calcium</w:t>
      </w:r>
      <w:r>
        <w:t xml:space="preserve"> : voie veineuse périphérique acceptable (tonicité moins élevée, tolérance veineuse correcte).</w:t>
      </w:r>
    </w:p>
    <w:p>
      <w:pPr>
        <w:pStyle w:val="ListBullet"/>
      </w:pPr>
      <w:r/>
      <w:r>
        <w:rPr>
          <w:b/>
        </w:rPr>
        <w:t>Dilution</w:t>
      </w:r>
      <w:r>
        <w:t xml:space="preserve"> : 1 g (10 mL) dilué dans 50-100 mL de NaCl 0,9 % ou G5 % (sauf chlorure de calcium qui peut être administré pur en IV lente sur voie centrale).</w:t>
      </w:r>
    </w:p>
    <w:p>
      <w:pPr>
        <w:pStyle w:val="ListBullet"/>
      </w:pPr>
      <w:r/>
      <w:r>
        <w:rPr>
          <w:b/>
        </w:rPr>
        <w:t>Surveillance continue</w:t>
      </w:r>
      <w:r>
        <w:t xml:space="preserve"> : ECG (QTc, troubles du rythme), PA invasive, SpO2, calcémie ionisée, kaliémie, magnésémie.</w:t>
      </w:r>
    </w:p>
    <w:p>
      <w:pPr>
        <w:pStyle w:val="ListBullet"/>
      </w:pPr>
      <w:r/>
      <w:r>
        <w:rPr>
          <w:b/>
        </w:rPr>
        <w:t>Précautions</w:t>
      </w:r>
      <w:r>
        <w:t xml:space="preserve"> : arrêt si bradycardie ou trouble du rythme sous injection ; ne pas mélanger avec bicarbonate (précipitation en carbonate de calcium), avec les digitaliques (risque d'arythmies ventriculaires graves).</w:t>
      </w:r>
    </w:p>
    <w:p>
      <w:pPr>
        <w:pStyle w:val="Heading3"/>
      </w:pPr>
      <w:r>
        <w:t>184.5.1.7 Effets indésirables et prévention</w:t>
      </w:r>
    </w:p>
    <w:p>
      <w:r>
        <w:t>Le calcium IV présente plusieurs effets indésirables dose-dépendants, principalement cardiovasculaires et locaux.</w:t>
      </w:r>
    </w:p>
    <w:p>
      <w:r/>
      <w:r>
        <w:rPr>
          <w:b/>
        </w:rPr>
        <w:t>Effets cardiovasculaires</w:t>
      </w:r>
      <w:r>
        <w:t xml:space="preserve"> :</w:t>
      </w:r>
    </w:p>
    <w:p>
      <w:pPr>
        <w:pStyle w:val="ListBullet"/>
      </w:pPr>
      <w:r/>
      <w:r>
        <w:rPr>
          <w:b/>
        </w:rPr>
        <w:t>Bradycardie sinusale, bradyarythmies</w:t>
      </w:r>
      <w:r>
        <w:t xml:space="preserve"> : effet chronotrope négatif direct (ralentissement de la conduction AV), particulièrement marqué en cas d'injection IV trop rapide ou de dose excessive. Surveillance ECG continue, arrêt si bradycardie sévère (&lt; 40 bpm).</w:t>
      </w:r>
    </w:p>
    <w:p>
      <w:pPr>
        <w:pStyle w:val="ListBullet"/>
      </w:pPr>
      <w:r/>
      <w:r>
        <w:rPr>
          <w:b/>
        </w:rPr>
        <w:t>Troubles du rythme ventriculaire</w:t>
      </w:r>
      <w:r>
        <w:t xml:space="preserve"> : extrasystoles ventriculaires, tachycardie ventriculaire, fibrillation ventriculaire, en particulier en cas d'association aux digitaliques (digoxine) — contre-indication relative.</w:t>
      </w:r>
    </w:p>
    <w:p>
      <w:pPr>
        <w:pStyle w:val="ListBullet"/>
      </w:pPr>
      <w:r/>
      <w:r>
        <w:rPr>
          <w:b/>
        </w:rPr>
        <w:t>Hypertension artérielle transitoire</w:t>
      </w:r>
      <w:r>
        <w:t xml:space="preserve"> : effet vasoconstricteur direct, pic hypertensif en cas d'injection IV rapide.</w:t>
      </w:r>
    </w:p>
    <w:p>
      <w:pPr>
        <w:pStyle w:val="ListBullet"/>
      </w:pPr>
      <w:r/>
      <w:r>
        <w:rPr>
          <w:b/>
        </w:rPr>
        <w:t>Bradycardie vagale réflexe</w:t>
      </w:r>
      <w:r>
        <w:t xml:space="preserve"> : à l'arrêt de l'injection, surveillance ECG.</w:t>
      </w:r>
    </w:p>
    <w:p>
      <w:r/>
      <w:r>
        <w:rPr>
          <w:b/>
        </w:rPr>
        <w:t>Effets locaux</w:t>
      </w:r>
      <w:r>
        <w:t xml:space="preserve"> :</w:t>
      </w:r>
    </w:p>
    <w:p>
      <w:pPr>
        <w:pStyle w:val="ListBullet"/>
      </w:pPr>
      <w:r/>
      <w:r>
        <w:rPr>
          <w:b/>
        </w:rPr>
        <w:t>Nécrose tissulaire en cas d'extravasation</w:t>
      </w:r>
      <w:r>
        <w:t xml:space="preserve"> : particulièrement le chlorure de calcium (tonicité élevée, pH acide), nécrose cutanée et sous-cutanée grave en cas d'extravasation. Conduite à tenir : arrêt immédiat de la perfusion, aspiration du liquide si possible, infiltration locale de lidocaïne 1 % (vasodilatateur) ou hyaluronidase, surveillance 24-48 h, chirurgie plastique si nécrose étendue.</w:t>
      </w:r>
    </w:p>
    <w:p>
      <w:pPr>
        <w:pStyle w:val="ListBullet"/>
      </w:pPr>
      <w:r/>
      <w:r>
        <w:rPr>
          <w:b/>
        </w:rPr>
        <w:t>Phlébite</w:t>
      </w:r>
      <w:r>
        <w:t xml:space="preserve"> en cas de perfusion prolongée sur voie périphérique.</w:t>
      </w:r>
    </w:p>
    <w:p>
      <w:r/>
      <w:r>
        <w:rPr>
          <w:b/>
        </w:rPr>
        <w:t>Effets métaboliques</w:t>
      </w:r>
      <w:r>
        <w:t xml:space="preserve"> :</w:t>
      </w:r>
    </w:p>
    <w:p>
      <w:pPr>
        <w:pStyle w:val="ListBullet"/>
      </w:pPr>
      <w:r/>
      <w:r>
        <w:rPr>
          <w:b/>
        </w:rPr>
        <w:t>Hypercalcémie</w:t>
      </w:r>
      <w:r>
        <w:t xml:space="preserve"> en cas de surdosage ou de perfusion prolongée : signes (polyurie, polydipsie, anorexie, nausées, vomissements, constipation, troubles neuropsychiatriques, calculs urinaires, calcifications tissulaires). Traitement : arrêt du calcium, hydratation (NaCl 0,9 % 3-6 L/j), bisphosphonates (zolédronate 4 mg IV) ou calcitonine 4-8 UI/kg SC en cas d'hypercalcémie sévère.</w:t>
      </w:r>
    </w:p>
    <w:p>
      <w:pPr>
        <w:pStyle w:val="ListBullet"/>
      </w:pPr>
      <w:r/>
      <w:r>
        <w:rPr>
          <w:b/>
        </w:rPr>
        <w:t>Hypomagnésémie</w:t>
      </w:r>
      <w:r>
        <w:t xml:space="preserve"> (compétition calcium-magnésium) — surveillance magnésémie.</w:t>
      </w:r>
    </w:p>
    <w:p>
      <w:r/>
      <w:r>
        <w:rPr>
          <w:b/>
        </w:rPr>
        <w:t>Effets digestifs</w:t>
      </w:r>
      <w:r>
        <w:t xml:space="preserve"> :</w:t>
      </w:r>
    </w:p>
    <w:p>
      <w:pPr>
        <w:pStyle w:val="ListBullet"/>
      </w:pPr>
      <w:r>
        <w:t>Nausées, vomissements (en cas d'injection IV rapide).</w:t>
      </w:r>
    </w:p>
    <w:p>
      <w:pPr>
        <w:pStyle w:val="ListBullet"/>
      </w:pPr>
      <w:r>
        <w:t>Constipation en cas de traitement prolongé.</w:t>
      </w:r>
    </w:p>
    <w:p>
      <w:r/>
      <w:r>
        <w:rPr>
          <w:b/>
        </w:rPr>
        <w:t>Effets neurologiques</w:t>
      </w:r>
      <w:r>
        <w:t xml:space="preserve"> :</w:t>
      </w:r>
    </w:p>
    <w:p>
      <w:pPr>
        <w:pStyle w:val="ListBullet"/>
      </w:pPr>
      <w:r>
        <w:t>Céphalées, vertiges, troubles de conscience (en cas d'hypercalcémie).</w:t>
      </w:r>
    </w:p>
    <w:p>
      <w:r/>
      <w:r>
        <w:rPr>
          <w:b/>
        </w:rPr>
        <w:t>Effets rénaux</w:t>
      </w:r>
      <w:r>
        <w:t xml:space="preserve"> :</w:t>
      </w:r>
    </w:p>
    <w:p>
      <w:pPr>
        <w:pStyle w:val="ListBullet"/>
      </w:pPr>
      <w:r>
        <w:t>Polyurie, calculs urinaires, néphrocalcinose en cas d'hypercalcémie chronique.</w:t>
      </w:r>
    </w:p>
    <w:p>
      <w:pPr>
        <w:pStyle w:val="ListBullet"/>
      </w:pPr>
      <w:r>
        <w:t>Insuffisance rénale aiguë par hypercalcémie (vasoconstriction afférente, déshydratation).</w:t>
      </w:r>
    </w:p>
    <w:p>
      <w:r/>
      <w:r>
        <w:rPr>
          <w:b/>
        </w:rPr>
        <w:t>Effets obstétricaux</w:t>
      </w:r>
      <w:r>
        <w:t xml:space="preserve"> :</w:t>
      </w:r>
    </w:p>
    <w:p>
      <w:pPr>
        <w:pStyle w:val="ListBullet"/>
      </w:pPr>
      <w:r>
        <w:t>Pas d'effet tératogène (le calcium est un élément physiologique).</w:t>
      </w:r>
    </w:p>
    <w:p>
      <w:pPr>
        <w:pStyle w:val="ListBullet"/>
      </w:pPr>
      <w:r>
        <w:t>Passage transplacentaire, mais sans toxicité fœtale aux doses thérapeutiques.</w:t>
      </w:r>
    </w:p>
    <w:p>
      <w:r/>
      <w:r>
        <w:rPr>
          <w:b/>
        </w:rPr>
        <w:t>Interactions digitales</w:t>
      </w:r>
      <w:r>
        <w:t xml:space="preserve"> :</w:t>
      </w:r>
    </w:p>
    <w:p>
      <w:pPr>
        <w:pStyle w:val="ListBullet"/>
      </w:pPr>
      <w:r/>
      <w:r>
        <w:rPr>
          <w:b/>
        </w:rPr>
        <w:t>DIGOXINE</w:t>
      </w:r>
      <w:r>
        <w:t xml:space="preserve"> : contre-indication relative au calcium IV, particulièrement en cas de digoxinémie élevée (risque d'arythmies ventriculaires graves, dont la TV bidirectionnelle caractéristique de l'intoxication digitalique). En cas de nécessité absolue (hyperkaliémie menaçante chez un patient digitalisé) : dose minimale efficace (0,5 g), injection très lente (5-10 min), surveillance ECG continue, surveillance digoxinémie.</w:t>
      </w:r>
    </w:p>
    <w:p>
      <w:r/>
      <w:r>
        <w:rPr>
          <w:b/>
        </w:rPr>
        <w:t>Prévention des effets indésirables</w:t>
      </w:r>
      <w:r>
        <w:t xml:space="preserve"> :</w:t>
      </w:r>
    </w:p>
    <w:p>
      <w:pPr>
        <w:pStyle w:val="ListBullet"/>
      </w:pPr>
      <w:r>
        <w:t>Injection IV lente (5-10 min pour 1 g de chlorure de calcium), sous surveillance ECG continue.</w:t>
      </w:r>
    </w:p>
    <w:p>
      <w:pPr>
        <w:pStyle w:val="ListBullet"/>
      </w:pPr>
      <w:r>
        <w:t>Voie veineuse centrale pour le chlorure de calcium ; voie périphérique acceptable pour le gluconate.</w:t>
      </w:r>
    </w:p>
    <w:p>
      <w:pPr>
        <w:pStyle w:val="ListBullet"/>
      </w:pPr>
      <w:r>
        <w:t>Surveillance calcémie ionisée, kaliémie, magnésémie, ECG, PA.</w:t>
      </w:r>
    </w:p>
    <w:p>
      <w:pPr>
        <w:pStyle w:val="ListBullet"/>
      </w:pPr>
      <w:r>
        <w:t>Éviter l'association avec les digitaliques ; en cas de nécessité absolue, dose minimale, injection très lente.</w:t>
      </w:r>
    </w:p>
    <w:p>
      <w:pPr>
        <w:pStyle w:val="ListBullet"/>
      </w:pPr>
      <w:r>
        <w:t>Prévention de l'extravasation : protocole d'urgence (lidocaïne locale, hyaluronidase) disponible dans le chariot d'urgence.</w:t>
      </w:r>
    </w:p>
    <w:p>
      <w:pPr>
        <w:pStyle w:val="ListBullet"/>
      </w:pPr>
      <w:r>
        <w:t>Ne pas dépasser les doses recommandées (max 3-4 g en 30 min pour hyperkaliémie, max 10-15 g pour intoxication ICC).</w:t>
      </w:r>
    </w:p>
    <w:p>
      <w:pPr>
        <w:pStyle w:val="Heading3"/>
      </w:pPr>
      <w:r>
        <w:t>184.5.1.8 Interactions médicamenteuses</w:t>
      </w:r>
    </w:p>
    <w:p>
      <w:r/>
      <w:r>
        <w:rPr>
          <w:b/>
        </w:rPr>
        <w:t>Interactions pharmacodynamiques majeures</w:t>
      </w:r>
      <w:r>
        <w:t xml:space="preserve"> :</w:t>
      </w:r>
    </w:p>
    <w:p>
      <w:pPr>
        <w:pStyle w:val="ListBullet"/>
      </w:pPr>
      <w:r/>
      <w:r>
        <w:rPr>
          <w:b/>
        </w:rPr>
        <w:t>Digitaliques</w:t>
      </w:r>
      <w:r>
        <w:t xml:space="preserve"> (digoxine, digitoxine) : majoration de l'automatisme et de la toxicité digitalique (effet synergique calcium-digitalique sur le myocarde). Contre-indication relative au calcium IV en cas de traitement digitalique ; en cas de nécessité absolue, dose minimale, injection très lente, surveillance ECG continue.</w:t>
      </w:r>
    </w:p>
    <w:p>
      <w:pPr>
        <w:pStyle w:val="ListBullet"/>
      </w:pPr>
      <w:r/>
      <w:r>
        <w:rPr>
          <w:b/>
        </w:rPr>
        <w:t>Diurétiques thiazidiques</w:t>
      </w:r>
      <w:r>
        <w:t xml:space="preserve"> : diminution de l'excrétion urinaire du calcium, majoration de l'hypercalcémie.</w:t>
      </w:r>
    </w:p>
    <w:p>
      <w:pPr>
        <w:pStyle w:val="ListBullet"/>
      </w:pPr>
      <w:r/>
      <w:r>
        <w:rPr>
          <w:b/>
        </w:rPr>
        <w:t>Diurétiques de l'anse</w:t>
      </w:r>
      <w:r>
        <w:t xml:space="preserve"> (furosémide) : augmentation de l'excrétion urinaire du calcium, hypocalcémie associée (à surveiller).</w:t>
      </w:r>
    </w:p>
    <w:p>
      <w:pPr>
        <w:pStyle w:val="ListBullet"/>
      </w:pPr>
      <w:r/>
      <w:r>
        <w:rPr>
          <w:b/>
        </w:rPr>
        <w:t>Bisphosphonates</w:t>
      </w:r>
      <w:r>
        <w:t xml:space="preserve"> (alendronate, zolédronate) : antagonisme pharmacodynamique (réduction de la résorption osseuse), à espacer de 24-48 h du calcium IV.</w:t>
      </w:r>
    </w:p>
    <w:p>
      <w:pPr>
        <w:pStyle w:val="ListBullet"/>
      </w:pPr>
      <w:r/>
      <w:r>
        <w:rPr>
          <w:b/>
        </w:rPr>
        <w:t>Calcitonine</w:t>
      </w:r>
      <w:r>
        <w:t xml:space="preserve"> : antagonisme pharmacodynamique (effet hypocalcémiant).</w:t>
      </w:r>
    </w:p>
    <w:p>
      <w:pPr>
        <w:pStyle w:val="ListBullet"/>
      </w:pPr>
      <w:r/>
      <w:r>
        <w:rPr>
          <w:b/>
        </w:rPr>
        <w:t>Corticoïdes</w:t>
      </w:r>
      <w:r>
        <w:t xml:space="preserve"> (prednisone, hydrocortisone) : antagonisme de l'absorption intestinale du calcium (surveillance en cas d'association au calcium per os).</w:t>
      </w:r>
    </w:p>
    <w:p>
      <w:pPr>
        <w:pStyle w:val="ListBullet"/>
      </w:pPr>
      <w:r/>
      <w:r>
        <w:rPr>
          <w:b/>
        </w:rPr>
        <w:t>Antiacides</w:t>
      </w:r>
      <w:r>
        <w:t xml:space="preserve"> (carbonate, hydroxyde de magnésium et d'aluminium) : potentialisation de l'hypercalcémie et de l'hypomagnésémie.</w:t>
      </w:r>
    </w:p>
    <w:p>
      <w:pPr>
        <w:pStyle w:val="ListBullet"/>
      </w:pPr>
      <w:r/>
      <w:r>
        <w:rPr>
          <w:b/>
        </w:rPr>
        <w:t>Tétracyclines, fluoroquinolones</w:t>
      </w:r>
      <w:r>
        <w:t xml:space="preserve"> : chelation du calcium, diminution de l'absorption de l'antibiotique (à espacer de 2 h pour la voie orale).</w:t>
      </w:r>
    </w:p>
    <w:p>
      <w:pPr>
        <w:pStyle w:val="ListBullet"/>
      </w:pPr>
      <w:r/>
      <w:r>
        <w:rPr>
          <w:b/>
        </w:rPr>
        <w:t>Cinacalcet</w:t>
      </w:r>
      <w:r>
        <w:t xml:space="preserve"> (calcimimétique) : antagonisme pharmacodynamique (réduction de la calcémie par sensibilisation du récepteur du calcium parathyroïdien).</w:t>
      </w:r>
    </w:p>
    <w:p>
      <w:pPr>
        <w:pStyle w:val="ListBullet"/>
      </w:pPr>
      <w:r/>
      <w:r>
        <w:rPr>
          <w:b/>
        </w:rPr>
        <w:t>Magnésium IV</w:t>
      </w:r>
      <w:r>
        <w:t xml:space="preserve"> : antagonisme compétitif calcium-magnésium (à surveiller en cas d'association).</w:t>
      </w:r>
    </w:p>
    <w:p>
      <w:pPr>
        <w:pStyle w:val="ListBullet"/>
      </w:pPr>
      <w:r/>
      <w:r>
        <w:rPr>
          <w:b/>
        </w:rPr>
        <w:t>β-bloquants</w:t>
      </w:r>
      <w:r>
        <w:t xml:space="preserve"> : majoration du risque de bradycardie et de trouble du rythme.</w:t>
      </w:r>
    </w:p>
    <w:p>
      <w:pPr>
        <w:pStyle w:val="ListBullet"/>
      </w:pPr>
      <w:r/>
      <w:r>
        <w:rPr>
          <w:b/>
        </w:rPr>
        <w:t>Inhibiteurs calciques</w:t>
      </w:r>
      <w:r>
        <w:t xml:space="preserve"> : antagonisme pharmacodynamique (le calcium est l'antidote des ICC en surdosage).</w:t>
      </w:r>
    </w:p>
    <w:p>
      <w:r/>
      <w:r>
        <w:rPr>
          <w:b/>
        </w:rPr>
        <w:t>Interactions pharmacocinétiques</w:t>
      </w:r>
      <w:r>
        <w:t xml:space="preserve"> :</w:t>
      </w:r>
    </w:p>
    <w:p>
      <w:pPr>
        <w:pStyle w:val="ListBullet"/>
      </w:pPr>
      <w:r>
        <w:t>Pas de métabolisme hépatique (le calcium est un élément minéral, non métabolisé).</w:t>
      </w:r>
    </w:p>
    <w:p>
      <w:pPr>
        <w:pStyle w:val="ListBullet"/>
      </w:pPr>
      <w:r>
        <w:t>Pas d'interaction avec le cytochrome P450.</w:t>
      </w:r>
    </w:p>
    <w:p>
      <w:r/>
      <w:r>
        <w:rPr>
          <w:b/>
        </w:rPr>
        <w:t>Incompatibilités en perfusion</w:t>
      </w:r>
      <w:r>
        <w:t xml:space="preserve"> :</w:t>
      </w:r>
    </w:p>
    <w:p>
      <w:pPr>
        <w:pStyle w:val="ListBullet"/>
      </w:pPr>
      <w:r>
        <w:t xml:space="preserve">À ne pas mélanger avec : </w:t>
      </w:r>
      <w:r>
        <w:rPr>
          <w:b/>
        </w:rPr>
        <w:t>bicarbonate de sodium</w:t>
      </w:r>
      <w:r>
        <w:t xml:space="preserve"> (précipitation en carbonate de calcium insoluble), </w:t>
      </w:r>
      <w:r>
        <w:rPr>
          <w:b/>
        </w:rPr>
        <w:t>phosphate</w:t>
      </w:r>
      <w:r>
        <w:t xml:space="preserve"> (précipitation en phosphate de calcium), </w:t>
      </w:r>
      <w:r>
        <w:rPr>
          <w:b/>
        </w:rPr>
        <w:t>sulfate de magnésium</w:t>
      </w:r>
      <w:r>
        <w:t xml:space="preserve"> (précipitation en sulfate de calcium), </w:t>
      </w:r>
      <w:r>
        <w:rPr>
          <w:b/>
        </w:rPr>
        <w:t>céftriaxone</w:t>
      </w:r>
      <w:r>
        <w:t xml:space="preserve"> (précipitation en complexe calcium-ceftriaxone, particulièrement chez le nouveau-né — contre-indication absolue), </w:t>
      </w:r>
      <w:r>
        <w:rPr>
          <w:b/>
        </w:rPr>
        <w:t>tétracyclines, fluoroquinolones</w:t>
      </w:r>
      <w:r>
        <w:t xml:space="preserve"> (chélation).</w:t>
      </w:r>
    </w:p>
    <w:p>
      <w:pPr>
        <w:pStyle w:val="ListBullet"/>
      </w:pPr>
      <w:r>
        <w:t>Compatible avec : NaCl 0,9 %, G5 % (sans autres additifs).</w:t>
      </w:r>
    </w:p>
    <w:p>
      <w:pPr>
        <w:pStyle w:val="ListBullet"/>
      </w:pPr>
      <w:r>
        <w:t>Voie dédiée préférentielle.</w:t>
      </w:r>
    </w:p>
    <w:p>
      <w:pPr>
        <w:pStyle w:val="Heading3"/>
      </w:pPr>
      <w:r>
        <w:t>184.5.1.9 Grossesse, allaitement et CRAT</w:t>
      </w:r>
    </w:p>
    <w:p>
      <w:r>
        <w:t>Le calcium est un élément physiologique essentiel au développement fœtal et à la lactation. Le calcium IV en réanimation est compatible avec la grossesse et l'allaitement, sans restriction particulière aux doses thérapeutiques.</w:t>
      </w:r>
    </w:p>
    <w:p>
      <w:r/>
      <w:r>
        <w:rPr>
          <w:b/>
        </w:rPr>
        <w:t>Tératogénicité</w:t>
      </w:r>
      <w:r>
        <w:t xml:space="preserve"> : le calcium traverse la barrière placentaire (transport actif ATP-dépendant). Le calcium IV administré à la mère augmente la calcémie fœtale, mais sans toxicité aux doses thérapeutiques. Pas d'effet tératogène documenté. Le calcium est un élément physiologique essentiel au développement osseux fœtal (calcification du squelette au 2e et 3e trimestre), et la mère transfère activement le calcium au fœtus en fin de grossesse.</w:t>
      </w:r>
    </w:p>
    <w:p>
      <w:r/>
      <w:r>
        <w:rPr>
          <w:b/>
        </w:rPr>
        <w:t>Indications obstétricales spécifiques</w:t>
      </w:r>
      <w:r>
        <w:t xml:space="preserve"> :</w:t>
      </w:r>
    </w:p>
    <w:p>
      <w:pPr>
        <w:pStyle w:val="ListBullet"/>
      </w:pPr>
      <w:r>
        <w:t>Hyperkaliémie gravidique menaçante (insuffisance rénale chronique gravidique, traumatisme majeur, rhabdomyolyse) : calcium IV 1 g IV en 5-10 min, sans modification posologique.</w:t>
      </w:r>
    </w:p>
    <w:p>
      <w:pPr>
        <w:pStyle w:val="ListBullet"/>
      </w:pPr>
      <w:r>
        <w:t>Intoxication par inhibiteurs calciques gravidique (tentative d'autolyse, surdosage accidentel) : calcium IV 1-3 g IV, en association avec glucagon, insuline-glucose, lipides intraveineux.</w:t>
      </w:r>
    </w:p>
    <w:p>
      <w:pPr>
        <w:pStyle w:val="ListBullet"/>
      </w:pPr>
      <w:r>
        <w:t>Hypocalcémie sévère gravidique (hypoparathyroïdie post-thyroidectomie, transfusion massive pour HPP) : calcium IV 1-2 g IV, puis relais per os.</w:t>
      </w:r>
    </w:p>
    <w:p>
      <w:pPr>
        <w:pStyle w:val="ListBullet"/>
      </w:pPr>
      <w:r>
        <w:t>Éclampsie, pré-éclampsie sévère sous sulfate de magnésium avec hypermagnésémie iatrogène : calcium IV 1 g IV en 5-10 min (antidote du sulfate de magnésium).</w:t>
      </w:r>
    </w:p>
    <w:p>
      <w:r/>
      <w:r>
        <w:rPr>
          <w:b/>
        </w:rPr>
        <w:t>Recommandations CRAT</w:t>
      </w:r>
      <w:r>
        <w:t xml:space="preserve"> :</w:t>
      </w:r>
    </w:p>
    <w:p>
      <w:pPr>
        <w:pStyle w:val="ListBullet"/>
      </w:pPr>
      <w:r>
        <w:t>Calcium IV compatible avec la grossesse, sans restriction posologique.</w:t>
      </w:r>
    </w:p>
    <w:p>
      <w:pPr>
        <w:pStyle w:val="ListBullet"/>
      </w:pPr>
      <w:r>
        <w:t>Surveillance maternelle (calcémie ionisée, ECG, PA) et fœtale (RHJ continu, échographie).</w:t>
      </w:r>
    </w:p>
    <w:p>
      <w:pPr>
        <w:pStyle w:val="ListBullet"/>
      </w:pPr>
      <w:r>
        <w:t>Allaitement compatible immédiatement après administration IV (le calcium passe physiologiquement dans le lait maternel, nécessaire à la minéralisation osseuse du nourrisson).</w:t>
      </w:r>
    </w:p>
    <w:p>
      <w:r/>
      <w:r>
        <w:rPr>
          <w:b/>
        </w:rPr>
        <w:t>Effets obstétricaux</w:t>
      </w:r>
      <w:r>
        <w:t xml:space="preserve"> :</w:t>
      </w:r>
    </w:p>
    <w:p>
      <w:pPr>
        <w:pStyle w:val="ListBullet"/>
      </w:pPr>
      <w:r>
        <w:t>Pas d'effet tocolytique ou utérotonique direct.</w:t>
      </w:r>
    </w:p>
    <w:p>
      <w:pPr>
        <w:pStyle w:val="ListBullet"/>
      </w:pPr>
      <w:r>
        <w:t>Pas d'effet néonatal notable (le nouveau-né est adapté à la calcémie maternelle, et le calcium IV à la mère ne perturbe pas la calcémie néonatale physiologique).</w:t>
      </w:r>
    </w:p>
    <w:p>
      <w:pPr>
        <w:pStyle w:val="Heading3"/>
      </w:pPr>
      <w:r>
        <w:t>184.5.1.10 Formes galéniques disponibles</w:t>
      </w:r>
    </w:p>
    <w:p>
      <w:r/>
      <w:r>
        <w:rPr>
          <w:b/>
        </w:rPr>
        <w:t>Formes injectables</w:t>
      </w:r>
      <w:r>
        <w:t xml:space="preserve"> (essentielles en réanimation) :</w:t>
      </w:r>
    </w:p>
    <w:p>
      <w:pPr>
        <w:pStyle w:val="ListBullet"/>
      </w:pPr>
      <w:r/>
      <w:r>
        <w:rPr>
          <w:b/>
        </w:rPr>
        <w:t>Solution injectable à diluer 10 g/100 mL (10 %) — chlorure de calcium hexahydrate</w:t>
      </w:r>
      <w:r>
        <w:t xml:space="preserve"> : Calcipack (Industries Medico-Chirurgicales IMC) — ampoules de 10 mL contenant chacune 1 g de chlorure de calcium hexahydrate (soit 0,68 mmol Ca/mL = 1,36 mEq Ca/mL). Forme disponible et active en Algérie. Concentration élevée en calcium ionisable (3 fois plus que le gluconate), mais nécessite une voie veineuse centrale ou une dilution pour perfusion périphérique.</w:t>
      </w:r>
    </w:p>
    <w:p>
      <w:pPr>
        <w:pStyle w:val="ListBullet"/>
      </w:pPr>
      <w:r/>
      <w:r>
        <w:rPr>
          <w:b/>
        </w:rPr>
        <w:t>Solution injectable IV 10 % — chlorure de calcium</w:t>
      </w:r>
      <w:r>
        <w:t xml:space="preserve"> : Calcium Chlorure (Renaudin) — NON_RENOUVELABLE en Algérie.</w:t>
      </w:r>
    </w:p>
    <w:p>
      <w:pPr>
        <w:pStyle w:val="ListBullet"/>
      </w:pPr>
      <w:r/>
      <w:r>
        <w:rPr>
          <w:b/>
        </w:rPr>
        <w:t>Solution injectable IV — calcium bromogalactogluconate 124 mg/mL</w:t>
      </w:r>
      <w:r>
        <w:t xml:space="preserve"> : Calcibron (Novartis Pharma) — RETIRÉ en Algérie.</w:t>
      </w:r>
    </w:p>
    <w:p>
      <w:pPr>
        <w:pStyle w:val="ListBullet"/>
      </w:pPr>
      <w:r/>
      <w:r>
        <w:rPr>
          <w:b/>
        </w:rPr>
        <w:t>Solution injectable IV — calcium glubionate 0,6875 g/5 mL</w:t>
      </w:r>
      <w:r>
        <w:t xml:space="preserve"> : Calcium-Medifa (Medifa) — RETIRÉ en Algérie.</w:t>
      </w:r>
    </w:p>
    <w:p>
      <w:pPr>
        <w:pStyle w:val="ListBullet"/>
      </w:pPr>
      <w:r/>
      <w:r>
        <w:rPr>
          <w:b/>
        </w:rPr>
        <w:t>Solution injectable IV 10 % — gluconate de calcium</w:t>
      </w:r>
      <w:r>
        <w:t xml:space="preserve"> : 1 g/10 mL, 0,225 mmol Ca/mL = 0,5 mEq Ca/mL — NON DISPONIBLE en Algérie (importation via ATU si nécessaire).</w:t>
      </w:r>
    </w:p>
    <w:p>
      <w:r/>
      <w:r>
        <w:rPr>
          <w:b/>
        </w:rPr>
        <w:t>Formes orales</w:t>
      </w:r>
      <w:r>
        <w:t xml:space="preserve"> (indication chronique, hors réanimation) :</w:t>
      </w:r>
    </w:p>
    <w:p>
      <w:pPr>
        <w:pStyle w:val="ListBullet"/>
      </w:pPr>
      <w:r>
        <w:t>Calcium carbonate 500 mg (comprimé à sucer, effervescent) — Calcimed, CalciOS, Calcium BR, Calcium Novagenerics, Calperos, Kalcitab, Ossecal, Sandocal, Calcium API.</w:t>
      </w:r>
    </w:p>
    <w:p>
      <w:pPr>
        <w:pStyle w:val="ListBullet"/>
      </w:pPr>
      <w:r>
        <w:t>Calcium pidolate (sirop, ampoule buvable) — Calcial/Calcifor (LAD Pharma), Actical (Saidal).</w:t>
      </w:r>
    </w:p>
    <w:p>
      <w:pPr>
        <w:pStyle w:val="ListBullet"/>
      </w:pPr>
      <w:r>
        <w:t>Calcium dobesilate (gélule 500 mg, comprimé 1000 mg) — Doxium (AbdiIbrahim).</w:t>
      </w:r>
    </w:p>
    <w:p>
      <w:pPr>
        <w:pStyle w:val="ListBullet"/>
      </w:pPr>
      <w:r>
        <w:t>Calcium carbonate + vitamine D3 — Calcium D3 Ival, Calcium D3 Novagenerics, Calcium D3 Sophal, Densical Calcium D3, Fixecal, Ideos, Kinadyn-OS, OSSE D3, OSSEANS D3, Superos D3.</w:t>
      </w:r>
    </w:p>
    <w:p>
      <w:pPr>
        <w:pStyle w:val="ListBullet"/>
      </w:pPr>
      <w:r>
        <w:t>Calcium carbonate + magnesium carbonate — Rennie, Renibon.</w:t>
      </w:r>
    </w:p>
    <w:p>
      <w:pPr>
        <w:pStyle w:val="ListBullet"/>
      </w:pPr>
      <w:r>
        <w:t>Calcium carbonate + magnesium carbonate + dimeticone — Rennie Deflatine.</w:t>
      </w:r>
    </w:p>
    <w:p>
      <w:pPr>
        <w:pStyle w:val="ListBullet"/>
      </w:pPr>
      <w:r>
        <w:t>Calcium gluconolactate + carbonate — Calcium Sandoz (NON_RENOUVELABLE et RETIRÉ).</w:t>
      </w:r>
    </w:p>
    <w:p>
      <w:pPr>
        <w:pStyle w:val="ListBullet"/>
      </w:pPr>
      <w:r>
        <w:t>Calcium glubionate, gluconate — non disponibles en Algérie.</w:t>
      </w:r>
    </w:p>
    <w:p>
      <w:r/>
      <w:r>
        <w:rPr>
          <w:b/>
        </w:rPr>
        <w:t>Voies d'administration</w:t>
      </w:r>
      <w:r>
        <w:t xml:space="preserve"> :</w:t>
      </w:r>
    </w:p>
    <w:p>
      <w:pPr>
        <w:pStyle w:val="ListBullet"/>
      </w:pPr>
      <w:r>
        <w:t>IV stricte (jamais IM, jamais SC).</w:t>
      </w:r>
    </w:p>
    <w:p>
      <w:pPr>
        <w:pStyle w:val="ListBullet"/>
      </w:pPr>
      <w:r>
        <w:t>Voie veineuse centrale préférentielle pour le chlorure de calcium.</w:t>
      </w:r>
    </w:p>
    <w:p>
      <w:pPr>
        <w:pStyle w:val="ListBullet"/>
      </w:pPr>
      <w:r>
        <w:t>Voie veineuse périphérique acceptable pour le gluconate de calcium (non disponible).</w:t>
      </w:r>
    </w:p>
    <w:p>
      <w:pPr>
        <w:pStyle w:val="ListBullet"/>
      </w:pPr>
      <w:r>
        <w:t>Voie intra-osseuse (IO) en l'absence d'abord veineux (même dose).</w:t>
      </w:r>
    </w:p>
    <w:p>
      <w:r/>
      <w:r>
        <w:rPr>
          <w:b/>
        </w:rPr>
        <w:t>Conservation</w:t>
      </w:r>
      <w:r>
        <w:t xml:space="preserve"> :</w:t>
      </w:r>
    </w:p>
    <w:p>
      <w:pPr>
        <w:pStyle w:val="ListBullet"/>
      </w:pPr>
      <w:r>
        <w:t>À conserver à température ambiante (&lt; 25 °C).</w:t>
      </w:r>
    </w:p>
    <w:p>
      <w:pPr>
        <w:pStyle w:val="ListBullet"/>
      </w:pPr>
      <w:r>
        <w:t>Pas de protection particulière contre la lumière.</w:t>
      </w:r>
    </w:p>
    <w:p>
      <w:pPr>
        <w:pStyle w:val="ListBullet"/>
      </w:pPr>
      <w:r>
        <w:t>Vérification visuelle : solution limpide incolore ; ne pas utiliser si précipité (carbonate de calcium, oxalate).</w:t>
      </w:r>
    </w:p>
    <w:p>
      <w:pPr>
        <w:pStyle w:val="ListBullet"/>
      </w:pPr>
      <w:r>
        <w:t>Pas de péremption après ouverture (utilisé immédiatement).</w:t>
      </w:r>
    </w:p>
    <w:p>
      <w:pPr>
        <w:pStyle w:val="Heading3"/>
      </w:pPr>
      <w:r>
        <w:t>184.5.1.11 Conseils au patient et à l'équipe soignante</w:t>
      </w:r>
    </w:p>
    <w:p>
      <w:r>
        <w:t>Le calcium IV étant administré exclusivement en réanimation ou bloc opératoire, les conseils s'adressent à l'équipe soignante (médecins réanimateurs, anesthésistes, urgentistes, infirmiers de réanimation, pharmaciens hospitaliers).</w:t>
      </w:r>
    </w:p>
    <w:p>
      <w:r/>
      <w:r>
        <w:rPr>
          <w:b/>
        </w:rPr>
        <w:t>Conseils à l'équipe soignante</w:t>
      </w:r>
      <w:r>
        <w:t xml:space="preserve"> :</w:t>
      </w:r>
    </w:p>
    <w:p>
      <w:pPr>
        <w:pStyle w:val="ListBullet"/>
      </w:pPr>
      <w:r/>
      <w:r>
        <w:rPr>
          <w:b/>
        </w:rPr>
        <w:t>Vérification systématique de la concentration et du sel</w:t>
      </w:r>
      <w:r>
        <w:t xml:space="preserve"> : confusion possible entre chlorure de calcium (1 g/10 mL = 0,68 mmol Ca/mL) et gluconate de calcium (1 g/10 mL = 0,225 mmol Ca/mL), dose à adapter (3 fois plus de gluconate pour la même dose de calcium élément). Lecture à haute voix de l'étiquetage par deux soignants (règle des 5 B).</w:t>
      </w:r>
    </w:p>
    <w:p>
      <w:pPr>
        <w:pStyle w:val="ListBullet"/>
      </w:pPr>
      <w:r/>
      <w:r>
        <w:rPr>
          <w:b/>
        </w:rPr>
        <w:t>Voie veineuse centrale pour le chlorure de calcium</w:t>
      </w:r>
      <w:r>
        <w:t xml:space="preserve"> : en urgence absolue sans voie centrale, voie périphérique de gros calibre avec dilution (1 g dans 50-100 mL NaCl 0,9 %), surveillance accrue du site de ponction.</w:t>
      </w:r>
    </w:p>
    <w:p>
      <w:pPr>
        <w:pStyle w:val="ListBullet"/>
      </w:pPr>
      <w:r/>
      <w:r>
        <w:rPr>
          <w:b/>
        </w:rPr>
        <w:t>Injection IV lente</w:t>
      </w:r>
      <w:r>
        <w:t xml:space="preserve"> (5-10 min pour 1 g de chlorure de calcium) sous surveillance ECG continue, arrêt si bradycardie ou trouble du rythme.</w:t>
      </w:r>
    </w:p>
    <w:p>
      <w:pPr>
        <w:pStyle w:val="ListBullet"/>
      </w:pPr>
      <w:r/>
      <w:r>
        <w:rPr>
          <w:b/>
        </w:rPr>
        <w:t>Surveillance continue</w:t>
      </w:r>
      <w:r>
        <w:t xml:space="preserve"> : ECG (QTc, rythme), PA invasive, SpO2, calcémie ionisée, kaliémie (en cas d'hyperkaliémie), magnésémie.</w:t>
      </w:r>
    </w:p>
    <w:p>
      <w:pPr>
        <w:pStyle w:val="ListBullet"/>
      </w:pPr>
      <w:r/>
      <w:r>
        <w:rPr>
          <w:b/>
        </w:rPr>
        <w:t>Ne pas mélanger avec</w:t>
      </w:r>
      <w:r>
        <w:t xml:space="preserve"> : bicarbonate de sodium (précipitation en carbonate de calcium), phosphate, sulfate de magnésium, céftriaxone (particulièrement chez le nouveau-né), tétracyclines, fluoroquinolones.</w:t>
      </w:r>
    </w:p>
    <w:p>
      <w:pPr>
        <w:pStyle w:val="ListBullet"/>
      </w:pPr>
      <w:r/>
      <w:r>
        <w:rPr>
          <w:b/>
        </w:rPr>
        <w:t>Patient sous digitaliques (digoxine)</w:t>
      </w:r>
      <w:r>
        <w:t xml:space="preserve"> : contre-indication relative, dose minimale efficace, injection très lente, surveillance ECG continue (risque d'arythmies ventriculaires graves dont TV bidirectionnelle).</w:t>
      </w:r>
    </w:p>
    <w:p>
      <w:pPr>
        <w:pStyle w:val="ListBullet"/>
      </w:pPr>
      <w:r/>
      <w:r>
        <w:rPr>
          <w:b/>
        </w:rPr>
        <w:t>Prévention de l'extravasation</w:t>
      </w:r>
      <w:r>
        <w:t xml:space="preserve"> : protocole d'urgence (lidocaïne 1 % locale, hyaluronidase) disponible dans le chariot d'urgence, formation du personnel à la reconnaissance précoce (douleur, induration, pâleur, nécrose).</w:t>
      </w:r>
    </w:p>
    <w:p>
      <w:pPr>
        <w:pStyle w:val="ListBullet"/>
      </w:pPr>
      <w:r/>
      <w:r>
        <w:rPr>
          <w:b/>
        </w:rPr>
        <w:t>Bilan biologique associé</w:t>
      </w:r>
      <w:r>
        <w:t xml:space="preserve"> : calcémie ionisée (pas calcémie totale), kaliémie, magnésémie, créatininémie, ECG (QTc), gaz du sang.</w:t>
      </w:r>
    </w:p>
    <w:p>
      <w:pPr>
        <w:pStyle w:val="ListBullet"/>
      </w:pPr>
      <w:r/>
      <w:r>
        <w:rPr>
          <w:b/>
        </w:rPr>
        <w:t>Patient conscient</w:t>
      </w:r>
      <w:r>
        <w:t xml:space="preserve"> : information sur le goût métallique possible, sensation de chaleur, bradycardie transitoire.</w:t>
      </w:r>
    </w:p>
    <w:p>
      <w:r/>
      <w:r>
        <w:rPr>
          <w:b/>
        </w:rPr>
        <w:t>Conseils au patient en traitement chronique per os</w:t>
      </w:r>
      <w:r>
        <w:t xml:space="preserve"> (calcium carbonate, pidolate, vitamine D3) :</w:t>
      </w:r>
    </w:p>
    <w:p>
      <w:pPr>
        <w:pStyle w:val="ListBullet"/>
      </w:pPr>
      <w:r>
        <w:t>Information sur le traitement : nom du médicament, posologie, modalités de prise (pendant ou en dehors des repas selon l'indication).</w:t>
      </w:r>
    </w:p>
    <w:p>
      <w:pPr>
        <w:pStyle w:val="ListBullet"/>
      </w:pPr>
      <w:r>
        <w:t>Surveiller les signes d'hypercalcémie (en cas de surdosage ou d'association à la vitamine D) : polyurie, polydipsie, anorexie, nausées, vomissements, constipation, troubles de conscience → arrêt et consultation.</w:t>
      </w:r>
    </w:p>
    <w:p>
      <w:pPr>
        <w:pStyle w:val="ListBullet"/>
      </w:pPr>
      <w:r>
        <w:t>Surveiller la fonction rénale (créatininémie, calcurie 24 h) : risque de lithiase urinaire.</w:t>
      </w:r>
    </w:p>
    <w:p>
      <w:pPr>
        <w:pStyle w:val="ListBullet"/>
      </w:pPr>
      <w:r>
        <w:t>Éviter l'automédication (antiacides contenant du calcium, suppléments vitaminiques D non prescrits).</w:t>
      </w:r>
    </w:p>
    <w:p>
      <w:pPr>
        <w:pStyle w:val="ListBullet"/>
      </w:pPr>
      <w:r>
        <w:t>Prévention de l'ostéoporose : activité physique régulière, exposition solaire modérée (vitamine D), arrêt du tabac, limitation de l'alcool.</w:t>
      </w:r>
    </w:p>
    <w:p>
      <w:pPr>
        <w:pStyle w:val="ListBullet"/>
      </w:pPr>
      <w:r>
        <w:t>Suivi : ostéodensitométrie tous les 2-3 ans selon l'indication.</w:t>
      </w:r>
    </w:p>
    <w:p>
      <w:pPr>
        <w:pStyle w:val="Heading3"/>
      </w:pPr>
      <w:r>
        <w:t>184.5.1.12 Pièges au comptoir — Règles d'or</w:t>
      </w:r>
    </w:p>
    <w:p>
      <w:r/>
      <w:r>
        <w:rPr>
          <w:b/>
        </w:rPr>
        <w:t>Piège n°1 — Erreur de sel (chlorure vs gluconate)</w:t>
      </w:r>
      <w:r>
        <w:t xml:space="preserve"> : le chlorure de calcium contient 3 fois plus de calcium ionisable que le gluconate. Confusion possible avec surdosage massif si gluconate substitué au chlorure, ou sous-dosage si chlorure substitué au gluconate. Règle d'or : vérifier la DCI et la concentration en mmol Ca/mL, adapter la posologie.</w:t>
      </w:r>
    </w:p>
    <w:p>
      <w:r/>
      <w:r>
        <w:rPr>
          <w:b/>
        </w:rPr>
        <w:t>Piège n°2 — Voie périphérique pour chlorure de calcium</w:t>
      </w:r>
      <w:r>
        <w:t xml:space="preserve"> : risque de nécrose veineuse et cutanée en cas d'extravasation. Règle d'or : voie veineuse centrale pour le chlorure de calcium ; en urgence absolue sans voie centrale, voie périphérique de gros calibre avec dilution, surveillance accrue, protocole d'urgence (lidocaïne, hyaluronidase) disponible.</w:t>
      </w:r>
    </w:p>
    <w:p>
      <w:r/>
      <w:r>
        <w:rPr>
          <w:b/>
        </w:rPr>
        <w:t>Piège n°3 — Injection IV trop rapide</w:t>
      </w:r>
      <w:r>
        <w:t xml:space="preserve"> : bradycardie sévère, hypotension, arrêt cardiaque par surdosage aigu. Règle d'or : injection IV lente (5-10 min pour 1 g), sous surveillance ECG continue, arrêt si bradycardie.</w:t>
      </w:r>
    </w:p>
    <w:p>
      <w:r/>
      <w:r>
        <w:rPr>
          <w:b/>
        </w:rPr>
        <w:t>Piège n°4 — Association aux digitaliques (digoxine)</w:t>
      </w:r>
      <w:r>
        <w:t xml:space="preserve"> : contre-indication relative, risque d'arythmies ventriculaires graves (TV bidirectionnelle). Règle d'or : éviter le calcium IV chez le patient digitalisé ; en cas de nécessité absolue (hyperkaliémie menaçante), dose minimale (0,5 g), injection très lente (10 min), surveillance ECG continue.</w:t>
      </w:r>
    </w:p>
    <w:p>
      <w:r/>
      <w:r>
        <w:rPr>
          <w:b/>
        </w:rPr>
        <w:t>Piège n°5 — Mélange avec bicarbonate de sodium</w:t>
      </w:r>
      <w:r>
        <w:t xml:space="preserve"> : précipitation en carbonate de calcium insoluble, obstruction de la tubulure, inefficacité. Règle d'or : ne jamais mélanger le calcium avec le bicarbonate, voie dédiée.</w:t>
      </w:r>
    </w:p>
    <w:p>
      <w:r/>
      <w:r>
        <w:rPr>
          <w:b/>
        </w:rPr>
        <w:t>Piège n°6 — Mélange avec céftriaxone (particulièrement chez le nouveau-né)</w:t>
      </w:r>
      <w:r>
        <w:t xml:space="preserve"> : précipitation en complexe calcium-ceftriaxone, létale (cefétriaxone-calcium précipité dans les poumons et les reins). Règle d'or : contre-indication absolue à l'association céftriaxone + calcium IV chez le nouveau-né (jusqu'à 28 jours) ; chez l'adulte, espacer de 48 h entre la dernière dose de céftriaxone et la première dose de calcium IV.</w:t>
      </w:r>
    </w:p>
    <w:p>
      <w:r/>
      <w:r>
        <w:rPr>
          <w:b/>
        </w:rPr>
        <w:t>Piège n°7 — Calcium sans correction de l'hyperkaliémie</w:t>
      </w:r>
      <w:r>
        <w:t xml:space="preserve"> : le calcium stabilise la membrane mais ne modifie pas la kaliémie. Règle d'or : toujours associer le calcium IV à des mesures d'élimination du potassium (insuline-glucose, bicarbonate, salbutamol, hémodialyse).</w:t>
      </w:r>
    </w:p>
    <w:p>
      <w:r/>
      <w:r>
        <w:rPr>
          <w:b/>
        </w:rPr>
        <w:t>Piège n°8 — Calcium en routine dans l'arrêt cardiaque</w:t>
      </w:r>
      <w:r>
        <w:t xml:space="preserve"> : absence d'efficacité démontrée et possible surmortalité selon ERC 2021. Règle d'or : calcium IV uniquement en cas d'hyperkaliémie connue ou suspectée, d'hypermagnésémie, d'intoxication par ICC ou β-bloquants.</w:t>
      </w:r>
    </w:p>
    <w:p>
      <w:r/>
      <w:r>
        <w:rPr>
          <w:b/>
        </w:rPr>
        <w:t>Piège n°9 — Surveillance calcémie totale au lieu de calcémie ionisée</w:t>
      </w:r>
      <w:r>
        <w:t xml:space="preserve"> : la calcémie totale est trompeuse en cas d'hypoalbuminémie (fausse hypocalcémie), d'acidose ou d'alcalose. Règle d'or : toujours surveiller la calcémie ionisée (forme biologiquement active) en réanimation.</w:t>
      </w:r>
    </w:p>
    <w:p>
      <w:r/>
      <w:r>
        <w:rPr>
          <w:b/>
        </w:rPr>
        <w:t>Piège n°10 — Confusion entre calcium IV et calcium per os</w:t>
      </w:r>
      <w:r>
        <w:t xml:space="preserve"> : le calcium per os est utilisé pour les hypocalcémies chroniques, l'ostéoporose, la supplémentation ; le calcium IV est réservé aux urgences vitales. Règle d'or : respecter la voie prescrite, ne pas substituer.</w:t>
      </w:r>
    </w:p>
    <w:p>
      <w:pPr>
        <w:pStyle w:val="Heading2"/>
      </w:pPr>
      <w:r>
        <w:t>184.6 Sous-classe 6 — Réanimation : Antagonistes de l'hypoglycémie et du surdosage β-bloquant (glucagon)</w:t>
      </w:r>
    </w:p>
    <w:p>
      <w:pPr>
        <w:pStyle w:val="Heading3"/>
      </w:pPr>
      <w:r>
        <w:t>184.6.0 Introduction à la sous-classe des antagonistes de l'hypoglycémie et du surdosage β-bloquant</w:t>
      </w:r>
    </w:p>
    <w:p>
      <w:r>
        <w:t xml:space="preserve">Les antagonistes de l'hypoglycémie et du surdosage β-bloquant regroupent un ensemble hétérogène de molécules ayant pour point commun de corriger une urgence métabolique ou pharmacologique par un effet hyperglycémiant ou inotrope positif indépendant du récepteur bloqué. Le </w:t>
      </w:r>
      <w:r>
        <w:rPr>
          <w:b/>
        </w:rPr>
        <w:t>glucagon</w:t>
      </w:r>
      <w:r>
        <w:t xml:space="preserve"> est la molécule centrale de cette sous-classe, peptide pancréatique hyperglycémiant utilisé dans deux indications vitales : (1) l'hypoglycémie sévère chez le diabétique (en cas de refus de prise orale, de coma, de convulsions, ou d'échec du glucose IV) ; (2) le surdosage par β-bloquants (en complément ou alternative au calcium IV, à l'atropine, à l'isoprénaline).</w:t>
      </w:r>
    </w:p>
    <w:p>
      <w:r>
        <w:t>Le glucagon est une hormone polypeptidique de 29 acides aminés (MW 3485 Da), synthétisée par les cellules α des îlots de Langerhans du pancréas endocrine. Sa séquence fut établie par Bromer et collaborateurs en 1957 chez Eli Lilly, marquant le début de sa production pharmaceutique. Le glucagon est l'antagoniste physiologique de l'insuline, augmentant la glycémie par plusieurs mécanismes : glycogénolyse hépatique (libération de glucose à partir du glycogène), néoglucogenèse (synthèse de glucose à partir de précurseurs non-glucidiques), inhibition de la sécrétion d'insuline et stimulation de la sécrétion de glucocorticoïdes. Le récepteur du glucagon (GCGR) est un récepteur couplé aux protéines Gs, qui active l'adénylate cyclase → AMPc → PKA → phosphorylation de la phosphorylase kinase → activation de la glycogén phosphorylase → glycogénolyse. Le glucagon a également un effet inotrope positif sur le cœur, indépendant du récepteur β-adrénergique (cette caractéristique est exploitée dans le surdosage par β-bloquants, où le récepteur β est bloqué et où le glucagon « court-circuite » ce bloc en activant directement l'adénylate cyclase via son propre récepteur couplé à Gs).</w:t>
      </w:r>
    </w:p>
    <w:p>
      <w:r>
        <w:t>En Algérie, le glucagon est disponible sous la spécialité Glucagen Hypokit (Novo Nordisk), en poudre et solvant pour solution injectable à 1 mg/mL, en kit d'urgence pour administration IM, SC ou IV. La forme Glucagen classique (lyophilisat + solvant pour usage parentéral) est NON_RENOUVELABLE. Le glucagon est un médicament essentiel de l'hypoglycémie sévère diabétique (indication de la trousse d'urgence du diabétique insuliné), et un antidote du surdosage par β-bloquants (alternative au calcium IV, à l'atropine, à l'isoprénaline).</w:t>
      </w:r>
    </w:p>
    <w:p>
      <w:r>
        <w:t>L'hypoglycémie sévère est définie par une glycémie capillaire &lt; 0,40 g/L (2,2 mmol/L) avec signes neurologiques (coma, convulsions, troubles du comportement) nécessitant l'assistance d'un tiers. Le traitement de première intention est le glucose IV (30-50 mL de G30 % IV) ou, en l'absence d'abord veineux, le glucagon IM ou SC (1 mg adulte, 0,5 mg enfant &lt; 25 kg, 0,5 mg enfant 5-10 kg). Le glucagon agit en 5-15 minutes, durée d'action 1-2 h, permettant le relais vers le glucose oral ou la prise en charge hospitalière. Le glucagon est inefficace en cas d'hypoglycémie prolongée (épuisement des réserves hépatiques en glycogène) ou en cas de jeûne prolongé (carence en glycogène), et il faut dans ce cas recourir au glucose IV.</w:t>
      </w:r>
    </w:p>
    <w:p>
      <w:r>
        <w:t>Le surdosage par β-bloquants est une urgence toxicologique rare mais gravissime (mortalité 5-10 %), caractérisée par bradycardie sévère, hypotension, troubles de la conduction AV, bronchospasme, dépression myocardique, hypoglycémie, convulsions. Le traitement repose sur : (1) atropine 1-2 mg IV (en cas de bradycardie sinusale) ; (2) glucagon 5-10 mg IV bolus puis 1-5 mg/h en perfusion (effet inotrope positif indépendant du récepteur β bloqué) ; (3) calcium IV 1-3 g (effet inotrope positif direct) ; (4) isoprénaline 0,02-0,05 µg/kg/min IV (agoniste β non compétitif, à haute dose) ; (5) insuline-glucose (insuline 1 UI/kg IV bolus puis 0,5-1 UI/kg/h avec glucose 0,5 g/kg/h) — effet inotrope positif par activation des voies métaboliques indépendantes du récepteur β ; (6) lipides intraveineux (Intralipid 1,5 mL/kg 20 %) pour les β-bloquants lipophiles (propranolol, carvedilol) ; (7) assistance circulatoire (ECMO veino-artérielle) en cas de choc réfractaire.</w:t>
      </w:r>
    </w:p>
    <w:p>
      <w:pPr>
        <w:pStyle w:val="Heading2"/>
      </w:pPr>
      <w:r>
        <w:t>184.6.1 DCI 7 — Glucagon</w:t>
      </w:r>
    </w:p>
    <w:p>
      <w:pPr>
        <w:pStyle w:val="Heading3"/>
      </w:pPr>
      <w:r>
        <w:t>184.6.1.1 Catégories pharmaco-thérapeutiques et indications</w:t>
      </w:r>
    </w:p>
    <w:p>
      <w:r>
        <w:t>Le glucagon (polypeptide de 29 acides aminés, formule C153H225N43O49S, masse molaire 3485 Da) est classé en catégorie pharmacothérapeutique des « hormones pancréatiques — hypoglycémiants antagonistes », code ATC H04AA01 (hormones pancréatiques — glucagon). Il est inscrit sur la Liste des médicaments essentiels de l'OMS comme médicament de l'hypoglycémie sévère. En Algérie, il est classé sur la Liste I des substances vénéneuses, prescription hospitalière ou de ville pour les diabétiques insulinés.</w:t>
      </w:r>
    </w:p>
    <w:p>
      <w:r>
        <w:t>Les indications réglementaires (AMM) du glucagon sont : (1) hypoglycémie sévère (coma, convulsions, refus de prise orale) chez le diabétique insuliné en l'absence d'abord veineux ou en échec du glucose IV ; (2) surdosage par β-bloquants (bradycardie sévère, hypotension, dépression myocardique réfractaire à l'atropine) ; (3) surdosage par inhibiteurs calciques (en association avec le calcium IV, l'insuline-glucose et les lipides intraveineux) ; (4) bradycardie sinusale réfractaire à l'atropine (alternative ou complément au pacing externe) ; (5) hypoglycémie iatrogène par insuline ou sulfamides hypoglycémiants en milieu hospitalier ; (6) examen radiologique du tube digestif (effet relaxant sur la motilité digestive, alternative à la scopolamine) — indication devenue obsolète ; (7) test de stimulation de la croissance hormone (GH) pour exploration endocrinienne ; (8) test de stimulation du catecholamines pour le diagnostic du phéochromocytome (alternative à la clonidine, histamine). Le glucagon n'est pas indiqué dans le traitement de fond du diabète (inefficace, inefficacité à long terme, effets indésirables digestifs).</w:t>
      </w:r>
    </w:p>
    <w:p>
      <w:pPr>
        <w:pStyle w:val="Heading3"/>
      </w:pPr>
      <w:r>
        <w:t>184.6.1.2 Médicaments disponibles en Algérie</w:t>
      </w:r>
    </w:p>
    <w:tbl>
      <w:tblPr>
        <w:tblStyle w:val="LightGrid-Accent1"/>
        <w:tblW w:type="auto" w:w="0"/>
        <w:tblLook w:firstColumn="1" w:firstRow="1" w:lastColumn="0" w:lastRow="0" w:noHBand="0" w:noVBand="1" w:val="04A0"/>
      </w:tblPr>
      <w:tblGrid>
        <w:gridCol w:w="1559"/>
        <w:gridCol w:w="1559"/>
        <w:gridCol w:w="1559"/>
        <w:gridCol w:w="1559"/>
        <w:gridCol w:w="1559"/>
        <w:gridCol w:w="1559"/>
      </w:tblGrid>
      <w:tr>
        <w:tc>
          <w:tcPr>
            <w:tcW w:type="dxa" w:w="1559"/>
          </w:tcPr>
          <w:p>
            <w:r>
              <w:rPr>
                <w:b/>
                <w:sz w:val="20"/>
              </w:rPr>
              <w:t>Nom Commercial</w:t>
            </w:r>
          </w:p>
        </w:tc>
        <w:tc>
          <w:tcPr>
            <w:tcW w:type="dxa" w:w="1559"/>
          </w:tcPr>
          <w:p>
            <w:r>
              <w:rPr>
                <w:b/>
                <w:sz w:val="20"/>
              </w:rPr>
              <w:t>Laboratoire</w:t>
            </w:r>
          </w:p>
        </w:tc>
        <w:tc>
          <w:tcPr>
            <w:tcW w:type="dxa" w:w="1559"/>
          </w:tcPr>
          <w:p>
            <w:r>
              <w:rPr>
                <w:b/>
                <w:sz w:val="20"/>
              </w:rPr>
              <w:t>Forme et Dosage</w:t>
            </w:r>
          </w:p>
        </w:tc>
        <w:tc>
          <w:tcPr>
            <w:tcW w:type="dxa" w:w="1559"/>
          </w:tcPr>
          <w:p>
            <w:r>
              <w:rPr>
                <w:b/>
                <w:sz w:val="20"/>
              </w:rPr>
              <w:t>Conditionnement</w:t>
            </w:r>
          </w:p>
        </w:tc>
        <w:tc>
          <w:tcPr>
            <w:tcW w:type="dxa" w:w="1559"/>
          </w:tcPr>
          <w:p>
            <w:r>
              <w:rPr>
                <w:b/>
                <w:sz w:val="20"/>
              </w:rPr>
              <w:t>Liste</w:t>
            </w:r>
          </w:p>
        </w:tc>
        <w:tc>
          <w:tcPr>
            <w:tcW w:type="dxa" w:w="1559"/>
          </w:tcPr>
          <w:p>
            <w:r>
              <w:rPr>
                <w:b/>
                <w:sz w:val="20"/>
              </w:rPr>
              <w:t>Statut</w:t>
            </w:r>
          </w:p>
        </w:tc>
      </w:tr>
      <w:tr>
        <w:tc>
          <w:tcPr>
            <w:tcW w:type="dxa" w:w="1559"/>
          </w:tcPr>
          <w:p>
            <w:r>
              <w:rPr>
                <w:sz w:val="20"/>
              </w:rPr>
              <w:t>GLUCAGEN HYPOKIT</w:t>
            </w:r>
          </w:p>
        </w:tc>
        <w:tc>
          <w:tcPr>
            <w:tcW w:type="dxa" w:w="1559"/>
          </w:tcPr>
          <w:p>
            <w:r>
              <w:rPr>
                <w:sz w:val="20"/>
              </w:rPr>
              <w:t>NOVO NORDISK</w:t>
            </w:r>
          </w:p>
        </w:tc>
        <w:tc>
          <w:tcPr>
            <w:tcW w:type="dxa" w:w="1559"/>
          </w:tcPr>
          <w:p>
            <w:r>
              <w:rPr>
                <w:sz w:val="20"/>
              </w:rPr>
              <w:t>Poudre et solvant pour solution injectable — glucagon chlorhydrate exprimé en glucagon 1 mg/mL</w:t>
            </w:r>
          </w:p>
        </w:tc>
        <w:tc>
          <w:tcPr>
            <w:tcW w:type="dxa" w:w="1559"/>
          </w:tcPr>
          <w:p>
            <w:r>
              <w:rPr>
                <w:sz w:val="20"/>
              </w:rPr>
              <w:t>B/1 flacon de poudre + 1 seringue de 1 mL de solvant</w:t>
            </w:r>
          </w:p>
        </w:tc>
        <w:tc>
          <w:tcPr>
            <w:tcW w:type="dxa" w:w="1559"/>
          </w:tcPr>
          <w:p>
            <w:r>
              <w:rPr>
                <w:sz w:val="20"/>
              </w:rPr>
              <w:t>Liste I</w:t>
            </w:r>
          </w:p>
        </w:tc>
        <w:tc>
          <w:tcPr>
            <w:tcW w:type="dxa" w:w="1559"/>
          </w:tcPr>
          <w:p>
            <w:r>
              <w:rPr>
                <w:sz w:val="20"/>
              </w:rPr>
              <w:t>Actif</w:t>
            </w:r>
          </w:p>
        </w:tc>
      </w:tr>
      <w:tr>
        <w:tc>
          <w:tcPr>
            <w:tcW w:type="dxa" w:w="1559"/>
          </w:tcPr>
          <w:p>
            <w:r>
              <w:rPr>
                <w:sz w:val="20"/>
              </w:rPr>
              <w:t>GLUCAGEN</w:t>
            </w:r>
          </w:p>
        </w:tc>
        <w:tc>
          <w:tcPr>
            <w:tcW w:type="dxa" w:w="1559"/>
          </w:tcPr>
          <w:p>
            <w:r>
              <w:rPr>
                <w:sz w:val="20"/>
              </w:rPr>
              <w:t>NOVO NORDISK</w:t>
            </w:r>
          </w:p>
        </w:tc>
        <w:tc>
          <w:tcPr>
            <w:tcW w:type="dxa" w:w="1559"/>
          </w:tcPr>
          <w:p>
            <w:r>
              <w:rPr>
                <w:sz w:val="20"/>
              </w:rPr>
              <w:t>Lyophilisat et solvant pour usage parentéral SC/IM/IV 1 mg/mL</w:t>
            </w:r>
          </w:p>
        </w:tc>
        <w:tc>
          <w:tcPr>
            <w:tcW w:type="dxa" w:w="1559"/>
          </w:tcPr>
          <w:p>
            <w:r>
              <w:rPr>
                <w:sz w:val="20"/>
              </w:rPr>
              <w:t>B/1 + 1</w:t>
            </w:r>
          </w:p>
        </w:tc>
        <w:tc>
          <w:tcPr>
            <w:tcW w:type="dxa" w:w="1559"/>
          </w:tcPr>
          <w:p>
            <w:r>
              <w:rPr>
                <w:sz w:val="20"/>
              </w:rPr>
              <w:t>—</w:t>
            </w:r>
          </w:p>
        </w:tc>
        <w:tc>
          <w:tcPr>
            <w:tcW w:type="dxa" w:w="1559"/>
          </w:tcPr>
          <w:p>
            <w:r>
              <w:rPr>
                <w:sz w:val="20"/>
              </w:rPr>
              <w:t>Non renouvelable</w:t>
            </w:r>
          </w:p>
        </w:tc>
      </w:tr>
    </w:tbl>
    <w:p/>
    <w:p>
      <w:r>
        <w:t xml:space="preserve">Le marché algérien du glucagon est aujourd'hui limité à une seule spécialité active : </w:t>
      </w:r>
      <w:r>
        <w:rPr>
          <w:b/>
        </w:rPr>
        <w:t>GlucaGen HypoKit</w:t>
      </w:r>
      <w:r>
        <w:t xml:space="preserve"> (Novo Nordisk), présenté en kit d'urgence contenant un flacon de poudre lyophilisée de glucagon (chlorhydrate exprimé en glucagon, 1 mg) et une seringue préremplie de 1 mL de solvant (eau pour préparation injectable). Après reconstitution, la solution contient 1 mg de glucagon par mL. Cette présentation est conçue pour l'administration d'urgence en IM ou SC (principalement par les proches du diabétique insuliné en cas d'hypoglycémie sévère) ou en IV (par le personnel médical). Le kit est emballé dans un étui plastique isotherme avec notice illustrée pour faciliter l'administration par les non-professionnels.</w:t>
      </w:r>
    </w:p>
    <w:p>
      <w:r>
        <w:t>La spécialité Glucagen classique (Novo Nordisk), ancienne présentation en lyophilisat et solvant pour usage parentéral SC/IM/IV, est NON_RENOUVELABLE. Les alternatives étrangères (GlucaGen, Eli Lilly ; glucagon générique) ne sont pas disponibles en Algérie. Le glucagon nasal (Baqsimi, Eli Lilly, formulation nasale à 3 mg) n'est pas disponible en Algérie (commercialisé aux États-Unis et en Europe depuis 2019).</w:t>
      </w:r>
    </w:p>
    <w:p>
      <w:r>
        <w:t>La disponibilité du GlucaGen HypoKit en Algérie est relativement bonne (spécialité active, distribution normale), mais son coût et la nécessité d'une prescription médicale en limitent l'accès. Tous les diabétiques insulinés (type 1, type 2 sous insuline) devraient idéalement disposer d'un kit de glucagon à domicile, en particulier les patients à risque d'hypoglycémie sévère (antécédents d'hypoglycémie sévère, hypoglycémies impossibles à ressentir — « malaise hypoglycémique inconscient », insulinothérapie intensive, jeûne prolongé, activité physique intense, alcool).</w:t>
      </w:r>
    </w:p>
    <w:p>
      <w:pPr>
        <w:pStyle w:val="Heading3"/>
      </w:pPr>
      <w:r>
        <w:t>184.6.1.3 Mécanisme d'action moléculaire, cellulaire et physiologique</w:t>
      </w:r>
    </w:p>
    <w:p>
      <w:r>
        <w:t>Le glucagon est l'hormone hyperglycémiante physiologique, antagoniste de l'insuline, sécrétée par les cellules α des îlots de Langerhans du pancréas endocrine en réponse à l'hypoglycémie, au jeûne prolongé, à l'exercice musculaire, au stress, aux acides aminés (arginine, alanine). Sa sécrétion est inhibée par l'hyperglycémie, l'insuline, les incretines (GLP-1, GIP), la somatostatine.</w:t>
      </w:r>
    </w:p>
    <w:p>
      <w:r/>
      <w:r>
        <w:rPr>
          <w:b/>
        </w:rPr>
        <w:t>Niveau moléculaire — fixation sur le récepteur GCGR</w:t>
      </w:r>
      <w:r>
        <w:t xml:space="preserve"> : le récepteur du glucagon (GCGR) appartient à la superfamille des récepteurs couplés aux protéines G (RCPG) à sept domaines transmembranaires, de la sous-famille B (récepteurs des hormones peptidiques). Le glucagon se fixe sur le domaine extracellulaire N-terminal du GCGR, induisant un changement conformationnel qui active la protéine Gs hétérotrimérique (alpha-s, beta, gamma). La sous-unité alpha-s active échange son GDP contre un GTP, se dissocie du complexe et active l'adénylate cyclase membranaire, qui convertit l'ATP en AMPc.</w:t>
      </w:r>
    </w:p>
    <w:p>
      <w:r/>
      <w:r>
        <w:rPr>
          <w:b/>
        </w:rPr>
        <w:t>Niveau cellulaire hépatique — glycogénolyse et néoglucogenèse</w:t>
      </w:r>
      <w:r>
        <w:t xml:space="preserve"> : l'AMPc active la protéine kinase A (PKA), qui phosphoryle et active la phosphorylase kinase, qui à son tour phosphoryle et active la glycogén phosphorylase. La glycogén phosphorylase clive le glycogène en glucose-1-phosphate, qui est converti en glucose-6-phosphate, puis en glucose libre par la glucose-6-phosphatase hépatique (et rénale). Le glucose libre est libéré dans le sang, augmentant la glycémie. La PKA active également la fructose-1,6-bisphosphatase (F-1,6-BPase), enzyme clé de la néoglucogenèse, augmentant la synthèse de glucose à partir de précurseurs non-glucidiques (acides aminés, lactate, glycérol). La PKA inhibe également la pyruvate kinase hépatique, favorisant la néoglucogenèse au détriment de la glycolyse.</w:t>
      </w:r>
    </w:p>
    <w:p>
      <w:r/>
      <w:r>
        <w:rPr>
          <w:b/>
        </w:rPr>
        <w:t>Niveau cellulaire cardiaque — effet inotrope positif</w:t>
      </w:r>
      <w:r>
        <w:t xml:space="preserve"> : le glucagon se fixe sur le récepteur GCGR cardiaque, qui active la protéine Gs → adénylate cyclase → AMPc → PKA → phosphorylation des canaux calciques voltage-dépendants L (Cav1.2) → entrée calcique → libération de calcium du réticulum sarcoplasmique via les récepteurs ryanodine RyR2 → contraction. Cet effet inotrope positif est </w:t>
      </w:r>
      <w:r>
        <w:rPr>
          <w:b/>
        </w:rPr>
        <w:t>indépendant du récepteur β-adrénergique</w:t>
      </w:r>
      <w:r>
        <w:t>, ce qui explique l'efficacité du glucagon dans le surdosage par β-bloquants (le récepteur β est bloqué, mais le glucagon active directement l'adénylate cyclase via son propre récepteur couplé à Gs).</w:t>
      </w:r>
    </w:p>
    <w:p>
      <w:r/>
      <w:r>
        <w:rPr>
          <w:b/>
        </w:rPr>
        <w:t>Niveau cellulaire digestif — relaxation du muscle lisse</w:t>
      </w:r>
      <w:r>
        <w:t xml:space="preserve"> : le glucagon exerce un effet relaxant sur le muscle lisse digestif (estomac, duodénum, intestin, vésicule biliaire, sphincter d'Oddi), exploité en radiologie digestive pour réduire les artefacts de mouvements (indication devenue obsolète avec les techniques modernes d'imagerie).</w:t>
      </w:r>
    </w:p>
    <w:p>
      <w:r/>
      <w:r>
        <w:rPr>
          <w:b/>
        </w:rPr>
        <w:t>Niveau physiologique — effet global</w:t>
      </w:r>
      <w:r>
        <w:t xml:space="preserve"> :</w:t>
      </w:r>
    </w:p>
    <w:p>
      <w:pPr>
        <w:pStyle w:val="ListBullet"/>
      </w:pPr>
      <w:r/>
      <w:r>
        <w:rPr>
          <w:b/>
        </w:rPr>
        <w:t>Hyperglycémie</w:t>
      </w:r>
      <w:r>
        <w:t xml:space="preserve"> : augmentation de la glycémie de 0,5 à 1,5 g/L en 5-15 minutes, durée 1-2 heures.</w:t>
      </w:r>
    </w:p>
    <w:p>
      <w:pPr>
        <w:pStyle w:val="ListBullet"/>
      </w:pPr>
      <w:r/>
      <w:r>
        <w:rPr>
          <w:b/>
        </w:rPr>
        <w:t>Effet inotrope positif</w:t>
      </w:r>
      <w:r>
        <w:t xml:space="preserve"> : augmentation de la contractilité myocardique, de la fréquence cardiaque (effet chronotrope positif), du débit cardiaque.</w:t>
      </w:r>
    </w:p>
    <w:p>
      <w:pPr>
        <w:pStyle w:val="ListBullet"/>
      </w:pPr>
      <w:r/>
      <w:r>
        <w:rPr>
          <w:b/>
        </w:rPr>
        <w:t>Effet relaxant sur le muscle lisse digestif</w:t>
      </w:r>
      <w:r>
        <w:t xml:space="preserve"> : réduction de la motilité, ouverture du sphincter d'Oddi.</w:t>
      </w:r>
    </w:p>
    <w:p>
      <w:pPr>
        <w:pStyle w:val="ListBullet"/>
      </w:pPr>
      <w:r/>
      <w:r>
        <w:rPr>
          <w:b/>
        </w:rPr>
        <w:t>Stimulation de la libération de catecholamines</w:t>
      </w:r>
      <w:r>
        <w:t xml:space="preserve"> (effet indirect, exploité dans le test au glucagon pour le diagnostic du phéochromocytome).</w:t>
      </w:r>
    </w:p>
    <w:p>
      <w:pPr>
        <w:pStyle w:val="ListBullet"/>
      </w:pPr>
      <w:r/>
      <w:r>
        <w:rPr>
          <w:b/>
        </w:rPr>
        <w:t>Stimulation de la libération de GH</w:t>
      </w:r>
      <w:r>
        <w:t xml:space="preserve"> (effet indirect, exploité dans le test au glucagon pour exploration de la croissance hormone).</w:t>
      </w:r>
    </w:p>
    <w:p>
      <w:r/>
      <w:r>
        <w:rPr>
          <w:b/>
        </w:rPr>
        <w:t>Niveau réanimation — hypoglycémie sévère</w:t>
      </w:r>
      <w:r>
        <w:t xml:space="preserve"> : le glucose IV (30-50 mL de G30 % IV) est le traitement de première intention. En l'absence d'abord veineux, le glucagon IM ou SC (1 mg adulte) est l'alternative de choix. Le glucagon agit en 5-15 min par glycogénolyse hépatique. Inconvénients : inefficace en cas d'épuisement des réserves de glycogène hépatique (jeûne prolongé &gt; 24-48 h, hypoglycémie prolongée, insuffisance hépatocellulaire sévère, nouveau-né prématuré) ; nécessite un foie fonctionnel (inefficace en cas d'insuffisance hépatique sévère) ; délai d'action (5-15 min) supérieur au glucose IV (effet immédiat).</w:t>
      </w:r>
    </w:p>
    <w:p>
      <w:r/>
      <w:r>
        <w:rPr>
          <w:b/>
        </w:rPr>
        <w:t>Niveau réanimation — surdosage β-bloquant</w:t>
      </w:r>
      <w:r>
        <w:t xml:space="preserve"> : le glucagon 5-10 mg IV bolus, puis 1-5 mg/h en perfusion, est le traitement de référence. L'effet inotrope positif indépendant du récepteur β permet de court-circuiter le bloc des récepteurs β par les β-bloquants. L'effet est rapide (1-2 min après IV), mais transitoire (10-15 min), nécessitant une perfusion continue. Inconvénients : effets indésirables digestifs (nausées, vomissements) fréquents à forte dose, hypokaliémie, hyperglycémie.</w:t>
      </w:r>
    </w:p>
    <w:p>
      <w:pPr>
        <w:pStyle w:val="Heading3"/>
      </w:pPr>
      <w:r>
        <w:t>184.6.1.4 Pharmacocinétique (profil PK)</w:t>
      </w:r>
    </w:p>
    <w:p>
      <w:r/>
      <w:r>
        <w:rPr>
          <w:b/>
        </w:rPr>
        <w:t>Absorption</w:t>
      </w:r>
      <w:r>
        <w:t xml:space="preserve"> : le glucagon étant une protéine polypeptidique, il est inactivé par les enzymes digestives (trypsine, chymotrypsine) et ne peut être administré per os. Les voies d'administration sont : (1) IV directe (effet immédiat en 1-2 min), (2) IM (effet en 5-15 min), (3) SC (effet en 5-15 min, légèrement plus lent que IM). La voie nasale (Baqsimi, 3 mg) est disponible à l'étranger mais pas en Algérie, avec un délai d'action de 10-15 min et une biodisponibilité d'environ 30-50 %.</w:t>
      </w:r>
    </w:p>
    <w:p>
      <w:r/>
      <w:r>
        <w:rPr>
          <w:b/>
        </w:rPr>
        <w:t>Distribution</w:t>
      </w:r>
      <w:r>
        <w:t xml:space="preserve"> : volume de distribution d'environ 0,25 L/kg (compartiment extracellulaire). Liaison protéique négligeable (polypeptide). Le glucagon ne traverse pas la barrière hémato-encéphalique (taille moléculaire trop élevée). Traversée placentaire faible (protéine, dégradée placentaire).</w:t>
      </w:r>
    </w:p>
    <w:p>
      <w:r/>
      <w:r>
        <w:rPr>
          <w:b/>
        </w:rPr>
        <w:t>Métabolisme</w:t>
      </w:r>
      <w:r>
        <w:t xml:space="preserve"> : le glucagon est rapidement dégradé par les protéases plasmatiques et tissulaires (notamment la dipeptidyl peptidase IV, DPP-4) en métabolites inactifs. La clairance métabolique est très élevée (≈ 10 mL/min/kg), essentiellement hépatique (50 %), rénale (30 %) et musculaire/cutanée (20 %).</w:t>
      </w:r>
    </w:p>
    <w:p>
      <w:r/>
      <w:r>
        <w:rPr>
          <w:b/>
        </w:rPr>
        <w:t>Demi-vie d'élimination</w:t>
      </w:r>
      <w:r>
        <w:t xml:space="preserve"> : très courte, environ 3-6 minutes en IV, 8-18 minutes en IM/SC. Cette demi-vie courte impose une perfusion continue pour le traitement du surdosage β-bloquant.</w:t>
      </w:r>
    </w:p>
    <w:p>
      <w:r/>
      <w:r>
        <w:rPr>
          <w:b/>
        </w:rPr>
        <w:t>Élimination</w:t>
      </w:r>
      <w:r>
        <w:t xml:space="preserve"> : métabolisation complète, pas d'élimination rénale significative sous forme inchangée.</w:t>
      </w:r>
    </w:p>
    <w:p>
      <w:r/>
      <w:r>
        <w:rPr>
          <w:b/>
        </w:rPr>
        <w:t>Linéarité</w:t>
      </w:r>
      <w:r>
        <w:t xml:space="preserve"> : la pharmacocinétique est linéaire aux doses thérapeutiques. La pharmacodynamie est dose-dépendante avec un plateau d'effet au-delà de 5-10 mg.</w:t>
      </w:r>
    </w:p>
    <w:p>
      <w:r/>
      <w:r>
        <w:rPr>
          <w:b/>
        </w:rPr>
        <w:t>Suivi thérapeutique</w:t>
      </w:r>
      <w:r>
        <w:t xml:space="preserve"> : pas de suivi plasmatique en routine. Le monitorage de l'efficacité repose sur : glycémie capillaire (hypoglycémie), ECG (bradycardie, troubles du rythme), PA invasive, échocardiographie (fonction myocardique).</w:t>
      </w:r>
    </w:p>
    <w:p>
      <w:r/>
      <w:r>
        <w:rPr>
          <w:b/>
        </w:rPr>
        <w:t>Effet de la fonction hépatique</w:t>
      </w:r>
      <w:r>
        <w:t xml:space="preserve"> : en cas d'insuffisance hépatique sévère, diminution de la glycogénolyse et donc inefficacité relative du glucagon pour l'hypoglycémie (le foie ne peut pas libérer le glucose). L'effet inotrope positif cardiaque est préservé.</w:t>
      </w:r>
    </w:p>
    <w:p>
      <w:r/>
      <w:r>
        <w:rPr>
          <w:b/>
        </w:rPr>
        <w:t>Effet de la fonction rénale</w:t>
      </w:r>
      <w:r>
        <w:t xml:space="preserve"> : pas d'adaptation posologique en cas d'insuffisance rénale.</w:t>
      </w:r>
    </w:p>
    <w:p>
      <w:pPr>
        <w:pStyle w:val="Heading3"/>
      </w:pPr>
      <w:r>
        <w:t>184.6.1.5 Indications thérapeutiques</w:t>
      </w:r>
    </w:p>
    <w:p>
      <w:pPr>
        <w:pStyle w:val="ListNumber"/>
      </w:pPr>
      <w:r/>
      <w:r>
        <w:rPr>
          <w:b/>
        </w:rPr>
        <w:t>Hypoglycémie sévère</w:t>
      </w:r>
      <w:r>
        <w:t xml:space="preserve"> (indication princeps, niveau 1A) :</w:t>
      </w:r>
    </w:p>
    <w:p>
      <w:pPr>
        <w:pStyle w:val="ListBullet"/>
      </w:pPr>
      <w:r>
        <w:t>Définition : glycémie capillaire &lt; 0,40 g/L (2,2 mmol/L) avec signes neurologiques (coma, convulsions, troubles du comportement, refus de prise orale) nécessitant l'assistance d'un tiers.</w:t>
      </w:r>
    </w:p>
    <w:p>
      <w:pPr>
        <w:pStyle w:val="ListBullet"/>
      </w:pPr>
      <w:r>
        <w:t>Posologie : 1 mg IM ou SC (adulte et enfant &gt; 25 kg ou &gt; 6-7 ans), 0,5 mg IM ou SC (enfant 5-25 kg ou 1-7 ans). Voie IV (1 mg) possible en milieu médicalisé (effet en 1-2 min).</w:t>
      </w:r>
    </w:p>
    <w:p>
      <w:pPr>
        <w:pStyle w:val="ListBullet"/>
      </w:pPr>
      <w:r>
        <w:t>Alternative en l'absence d'abord veineux ou en échec du glucose IV (30-50 mL de G30 % IV).</w:t>
      </w:r>
    </w:p>
    <w:p>
      <w:pPr>
        <w:pStyle w:val="ListBullet"/>
      </w:pPr>
      <w:r>
        <w:t>Précaution : inefficace en cas d'épuisement des réserves hépatiques en glycogène (jeûne prolongé &gt; 24-48 h, hypoglycémie prolongée, insuffisance hépatocellulaire sévère, alcool). Dans ces cas, recourir au glucose IV.</w:t>
      </w:r>
    </w:p>
    <w:p>
      <w:pPr>
        <w:pStyle w:val="ListBullet"/>
      </w:pPr>
      <w:r>
        <w:t>Surveillance : glycémie capillaire à 10-15 min (devrait remonter à &gt; 0,60 g/L), état de conscience, signes neurologiques.</w:t>
      </w:r>
    </w:p>
    <w:p>
      <w:pPr>
        <w:pStyle w:val="ListBullet"/>
      </w:pPr>
      <w:r>
        <w:t>Après récupération : prise orale de sucres lents (pain, biscuits) pour prévenir la récidive, hospitalisation pour surveillance 24-48 h (risque de récidive, en particulier avec les sulfamides hypoglycémiants demi-vie longue — glibenclamide, glimépiride).</w:t>
      </w:r>
    </w:p>
    <w:p>
      <w:pPr>
        <w:pStyle w:val="ListNumber"/>
      </w:pPr>
      <w:r/>
      <w:r>
        <w:rPr>
          <w:b/>
        </w:rPr>
        <w:t>Surdosage par β-bloquants</w:t>
      </w:r>
      <w:r>
        <w:t xml:space="preserve"> (indication vitale, niveau 1B) :</w:t>
      </w:r>
    </w:p>
    <w:p>
      <w:pPr>
        <w:pStyle w:val="ListBullet"/>
      </w:pPr>
      <w:r>
        <w:t>Définition : bradycardie sévère (&lt; 40 bpm), hypotension, troubles de la conduction AV, bronchospasme, dépression myocardique, hypoglycémie, convulsions, après ingestion excessive de β-bloquants (propranolol, atenolol, bisoprolol, metoprolol, carvedilol, esmolol).</w:t>
      </w:r>
    </w:p>
    <w:p>
      <w:pPr>
        <w:pStyle w:val="ListBullet"/>
      </w:pPr>
      <w:r>
        <w:t>Posologie : 5-10 mg IV bolus en 1-2 min, suivi de 1-5 mg/h en perfusion continue pendant 12-24 h selon l'évolution.</w:t>
      </w:r>
    </w:p>
    <w:p>
      <w:pPr>
        <w:pStyle w:val="ListBullet"/>
      </w:pPr>
      <w:r>
        <w:t>En association avec : atropine 1-2 mg IV (si bradycardie sinusale), calcium IV 1-3 g (effet inotrope positif direct), isoprénaline 0,02-0,05 µg/kg/min IV (agoniste β non compétitif à haute dose), insuline-glucose (insuline 1 UI/kg IV bolus puis 0,5-1 UI/kg/h avec glucose 0,5 g/kg/h) — effet inotrope positif par activation des voies métaboliques indépendantes du récepteur β, lipides intraveineux (Intralipid 1,5 mL/kg 20 %) pour les β-bloquants lipophiles.</w:t>
      </w:r>
    </w:p>
    <w:p>
      <w:pPr>
        <w:pStyle w:val="ListBullet"/>
      </w:pPr>
      <w:r>
        <w:t>Surveillance : ECG continu, PA invasive, échocardiographie, glycémie capillaire, kaliémie, gaz du sang. Durée 12-24 h selon l'évolution.</w:t>
      </w:r>
    </w:p>
    <w:p>
      <w:pPr>
        <w:pStyle w:val="ListNumber"/>
      </w:pPr>
      <w:r/>
      <w:r>
        <w:rPr>
          <w:b/>
        </w:rPr>
        <w:t>Surdosage par inhibiteurs calciques</w:t>
      </w:r>
      <w:r>
        <w:t xml:space="preserve"> (en association avec le calcium IV) :</w:t>
      </w:r>
    </w:p>
    <w:p>
      <w:pPr>
        <w:pStyle w:val="ListBullet"/>
      </w:pPr>
      <w:r>
        <w:t>Définition : bradycardie, hypotension, dépression myocardique après ingestion excessive de vérapamil, diltiazem, amlodipine.</w:t>
      </w:r>
    </w:p>
    <w:p>
      <w:pPr>
        <w:pStyle w:val="ListBullet"/>
      </w:pPr>
      <w:r>
        <w:t>Posologie : 5-10 mg IV bolus, suivi de 1-5 mg/h en perfusion continue.</w:t>
      </w:r>
    </w:p>
    <w:p>
      <w:pPr>
        <w:pStyle w:val="ListBullet"/>
      </w:pPr>
      <w:r>
        <w:t>En association avec : calcium IV 1-3 g, insuline-glucose (haute dose), lipides intraveineux.</w:t>
      </w:r>
    </w:p>
    <w:p>
      <w:pPr>
        <w:pStyle w:val="ListBullet"/>
      </w:pPr>
      <w:r>
        <w:t>Recommandations : antidote spécifique de l'intoxication par inhibiteurs calciques.</w:t>
      </w:r>
    </w:p>
    <w:p>
      <w:pPr>
        <w:pStyle w:val="ListNumber"/>
      </w:pPr>
      <w:r/>
      <w:r>
        <w:rPr>
          <w:b/>
        </w:rPr>
        <w:t>Bradycardie sinusale réfractaire à l'atropine</w:t>
      </w:r>
      <w:r>
        <w:t xml:space="preserve"> :</w:t>
      </w:r>
    </w:p>
    <w:p>
      <w:pPr>
        <w:pStyle w:val="ListBullet"/>
      </w:pPr>
      <w:r>
        <w:t>Indication : bradycardie sinusale symptomatique (syncopes, malaise, insuffisance cardiaque) ne répondant pas à l'atropine 1-3 mg IV, en attente de pacing externe ou transveineux.</w:t>
      </w:r>
    </w:p>
    <w:p>
      <w:pPr>
        <w:pStyle w:val="ListBullet"/>
      </w:pPr>
      <w:r>
        <w:t>Posologie : 1-5 mg IV bolus, puis 1-5 mg/h en perfusion continue.</w:t>
      </w:r>
    </w:p>
    <w:p>
      <w:pPr>
        <w:pStyle w:val="ListBullet"/>
      </w:pPr>
      <w:r>
        <w:t>Alternative au pacing externe (qui peut être douloureux et inefficace).</w:t>
      </w:r>
    </w:p>
    <w:p>
      <w:pPr>
        <w:pStyle w:val="ListNumber"/>
      </w:pPr>
      <w:r/>
      <w:r>
        <w:rPr>
          <w:b/>
        </w:rPr>
        <w:t>Test de stimulation du phéochromocytome</w:t>
      </w:r>
      <w:r>
        <w:t xml:space="preserve"> :</w:t>
      </w:r>
    </w:p>
    <w:p>
      <w:pPr>
        <w:pStyle w:val="ListBullet"/>
      </w:pPr>
      <w:r>
        <w:t>Indication : suspicion de phéochromocytome chez un patient hypertendu avec métanéphrines urinaires et plasmatiques limites.</w:t>
      </w:r>
    </w:p>
    <w:p>
      <w:pPr>
        <w:pStyle w:val="ListBullet"/>
      </w:pPr>
      <w:r>
        <w:t>Posologie : 1 mg IV en bolus.</w:t>
      </w:r>
    </w:p>
    <w:p>
      <w:pPr>
        <w:pStyle w:val="ListBullet"/>
      </w:pPr>
      <w:r>
        <w:t>Surveillance : PA (risque de crise hypertensive), catécholamines plasmatiques à 1, 2, 3, 5 min après injection.</w:t>
      </w:r>
    </w:p>
    <w:p>
      <w:pPr>
        <w:pStyle w:val="ListBullet"/>
      </w:pPr>
      <w:r>
        <w:t>Critère positif : multiplication par 3 des catécholamines plasmatiques ou noradrénaline &gt; 3 fois la limite supérieure.</w:t>
      </w:r>
    </w:p>
    <w:p>
      <w:pPr>
        <w:pStyle w:val="ListBullet"/>
      </w:pPr>
      <w:r>
        <w:t>Contre-indication : hypertension artérielle sévère non contrôlée.</w:t>
      </w:r>
    </w:p>
    <w:p>
      <w:pPr>
        <w:pStyle w:val="ListNumber"/>
      </w:pPr>
      <w:r/>
      <w:r>
        <w:rPr>
          <w:b/>
        </w:rPr>
        <w:t>Test de stimulation de la croissance hormone (GH)</w:t>
      </w:r>
      <w:r>
        <w:t xml:space="preserve"> :</w:t>
      </w:r>
    </w:p>
    <w:p>
      <w:pPr>
        <w:pStyle w:val="ListBullet"/>
      </w:pPr>
      <w:r>
        <w:t>Indication : exploration de la croissance hormone (retard statural, suspicion de déficit en GH).</w:t>
      </w:r>
    </w:p>
    <w:p>
      <w:pPr>
        <w:pStyle w:val="ListBullet"/>
      </w:pPr>
      <w:r>
        <w:t>Posologie : 0,5-1 mg IV (adulte), 30 µg/kg (enfant, max 1 mg) IV.</w:t>
      </w:r>
    </w:p>
    <w:p>
      <w:pPr>
        <w:pStyle w:val="ListBullet"/>
      </w:pPr>
      <w:r>
        <w:t>Surveillance : GH plasmatique à 30, 60, 90, 120 min.</w:t>
      </w:r>
    </w:p>
    <w:p>
      <w:pPr>
        <w:pStyle w:val="ListBullet"/>
      </w:pPr>
      <w:r>
        <w:t>Critère positif : GH &gt; 3-7 ng/mL à 60-90 min (selon les seuils).</w:t>
      </w:r>
    </w:p>
    <w:p>
      <w:pPr>
        <w:pStyle w:val="ListNumber"/>
      </w:pPr>
      <w:r/>
      <w:r>
        <w:rPr>
          <w:b/>
        </w:rPr>
        <w:t>Examen radiologique du tube digestif</w:t>
      </w:r>
      <w:r>
        <w:t xml:space="preserve"> (indication devenue obsolète) :</w:t>
      </w:r>
    </w:p>
    <w:p>
      <w:pPr>
        <w:pStyle w:val="ListBullet"/>
      </w:pPr>
      <w:r>
        <w:t>Indication : tomodensitométrie abdominale, IRM digestive, angiographie mésentérique (réduction des artefacts de mouvement digestif).</w:t>
      </w:r>
    </w:p>
    <w:p>
      <w:pPr>
        <w:pStyle w:val="ListBullet"/>
      </w:pPr>
      <w:r>
        <w:t>Posologie : 1-2 mg IV ou IM.</w:t>
      </w:r>
    </w:p>
    <w:p>
      <w:pPr>
        <w:pStyle w:val="ListBullet"/>
      </w:pPr>
      <w:r>
        <w:t>Remplacé par la scopolamine IV (Buscopan) qui a un effet plus marqué.</w:t>
      </w:r>
    </w:p>
    <w:p>
      <w:pPr>
        <w:pStyle w:val="Heading3"/>
      </w:pPr>
      <w:r>
        <w:t>184.6.1.6 Posologie et mode d'administration</w:t>
      </w:r>
    </w:p>
    <w:p>
      <w:r/>
      <w:r>
        <w:rPr>
          <w:b/>
        </w:rPr>
        <w:t>Posologie adulte</w:t>
      </w:r>
      <w:r>
        <w:t xml:space="preserve"> :</w:t>
      </w:r>
    </w:p>
    <w:p>
      <w:r/>
      <w:r>
        <w:rPr>
          <w:i/>
        </w:rPr>
        <w:t>Hypoglycémie sévère</w:t>
      </w:r>
      <w:r>
        <w:t xml:space="preserve"> :</w:t>
      </w:r>
    </w:p>
    <w:p>
      <w:pPr>
        <w:pStyle w:val="ListBullet"/>
      </w:pPr>
      <w:r>
        <w:t>Voie IM ou SC : 1 mg dans le muscle vaste lateralis (cuisse) ou sous-cutané.</w:t>
      </w:r>
    </w:p>
    <w:p>
      <w:pPr>
        <w:pStyle w:val="ListBullet"/>
      </w:pPr>
      <w:r>
        <w:t>Voie IV : 1 mg en 1-2 min.</w:t>
      </w:r>
    </w:p>
    <w:p>
      <w:pPr>
        <w:pStyle w:val="ListBullet"/>
      </w:pPr>
      <w:r>
        <w:t>Répétition : 1 mg à 10-15 min si non réponse.</w:t>
      </w:r>
    </w:p>
    <w:p>
      <w:pPr>
        <w:pStyle w:val="ListBullet"/>
      </w:pPr>
      <w:r>
        <w:t>Après récupération : prise orale de sucres lents (pain, biscuits) + repas complet.</w:t>
      </w:r>
    </w:p>
    <w:p>
      <w:pPr>
        <w:pStyle w:val="ListBullet"/>
      </w:pPr>
      <w:r>
        <w:t>Surveillance : glycémie capillaire à 10-15 min, état de conscience.</w:t>
      </w:r>
    </w:p>
    <w:p>
      <w:pPr>
        <w:pStyle w:val="ListBullet"/>
      </w:pPr>
      <w:r>
        <w:t>Hospitalisation systématique : 24-48 h de surveillance (risque de récidive, en particulier avec les sulfamides hypoglycémiants demi-vie longue — glibenclamide, glimépiride).</w:t>
      </w:r>
    </w:p>
    <w:p>
      <w:r/>
      <w:r>
        <w:rPr>
          <w:i/>
        </w:rPr>
        <w:t>Surdosage par β-bloquants</w:t>
      </w:r>
      <w:r>
        <w:t xml:space="preserve"> :</w:t>
      </w:r>
    </w:p>
    <w:p>
      <w:pPr>
        <w:pStyle w:val="ListBullet"/>
      </w:pPr>
      <w:r>
        <w:t>Bolus : 5-10 mg IV en 1-2 min.</w:t>
      </w:r>
    </w:p>
    <w:p>
      <w:pPr>
        <w:pStyle w:val="ListBullet"/>
      </w:pPr>
      <w:r>
        <w:t>Perfusion continue : 1-5 mg/h selon réponse hémodynamique (concentration : 5 mg dans 50 mL NaCl 0,9 % = 100 µg/mL, débit 10-50 mL/h).</w:t>
      </w:r>
    </w:p>
    <w:p>
      <w:pPr>
        <w:pStyle w:val="ListBullet"/>
      </w:pPr>
      <w:r>
        <w:t>Durée : 12-24 h selon l'évolution et la demi-vie du β-bloquant absorbé.</w:t>
      </w:r>
    </w:p>
    <w:p>
      <w:pPr>
        <w:pStyle w:val="ListBullet"/>
      </w:pPr>
      <w:r>
        <w:t>Maximum : pas de dose maximale absolue, surveillance étroite (risque d'effets indésirables digestifs, hypokaliémie, hyperglycémie).</w:t>
      </w:r>
    </w:p>
    <w:p>
      <w:r/>
      <w:r>
        <w:rPr>
          <w:i/>
        </w:rPr>
        <w:t>Surdosage par inhibiteurs calciques</w:t>
      </w:r>
      <w:r>
        <w:t xml:space="preserve"> :</w:t>
      </w:r>
    </w:p>
    <w:p>
      <w:pPr>
        <w:pStyle w:val="ListBullet"/>
      </w:pPr>
      <w:r>
        <w:t>Bolus : 5-10 mg IV en 1-2 min.</w:t>
      </w:r>
    </w:p>
    <w:p>
      <w:pPr>
        <w:pStyle w:val="ListBullet"/>
      </w:pPr>
      <w:r>
        <w:t>Perfusion continue : 1-5 mg/h, en association avec calcium IV et insuline-glucose.</w:t>
      </w:r>
    </w:p>
    <w:p>
      <w:pPr>
        <w:pStyle w:val="ListBullet"/>
      </w:pPr>
      <w:r>
        <w:t>Durée : 12-24 h selon l'évolution.</w:t>
      </w:r>
    </w:p>
    <w:p>
      <w:r/>
      <w:r>
        <w:rPr>
          <w:i/>
        </w:rPr>
        <w:t>Bradycardie sinusale réfractaire à l'atropine</w:t>
      </w:r>
      <w:r>
        <w:t xml:space="preserve"> :</w:t>
      </w:r>
    </w:p>
    <w:p>
      <w:pPr>
        <w:pStyle w:val="ListBullet"/>
      </w:pPr>
      <w:r>
        <w:t>Bolus : 1-2 mg IV en 1-2 min.</w:t>
      </w:r>
    </w:p>
    <w:p>
      <w:pPr>
        <w:pStyle w:val="ListBullet"/>
      </w:pPr>
      <w:r>
        <w:t>Perfusion continue : 1-5 mg/h selon réponse.</w:t>
      </w:r>
    </w:p>
    <w:p>
      <w:r/>
      <w:r>
        <w:rPr>
          <w:b/>
        </w:rPr>
        <w:t>Posologie enfant</w:t>
      </w:r>
      <w:r>
        <w:t xml:space="preserve"> :</w:t>
      </w:r>
    </w:p>
    <w:p>
      <w:r/>
      <w:r>
        <w:rPr>
          <w:i/>
        </w:rPr>
        <w:t>Hypoglycémie sévère</w:t>
      </w:r>
      <w:r>
        <w:t xml:space="preserve"> :</w:t>
      </w:r>
    </w:p>
    <w:p>
      <w:pPr>
        <w:pStyle w:val="ListBullet"/>
      </w:pPr>
      <w:r>
        <w:t>&lt; 5 kg (ou &lt; 1 an) : 0,5 mg IM ou SC (ou 0,5 mL de solution reconstituée à 1 mg/mL).</w:t>
      </w:r>
    </w:p>
    <w:p>
      <w:pPr>
        <w:pStyle w:val="ListBullet"/>
      </w:pPr>
      <w:r>
        <w:t>5-25 kg (ou 1-7 ans) : 0,5 mg IM ou SC.</w:t>
      </w:r>
    </w:p>
    <w:p>
      <w:pPr>
        <w:pStyle w:val="ListBullet"/>
      </w:pPr>
      <w:r>
        <w:t>&gt; 25 kg (ou &gt; 7 ans) : 1 mg IM ou SC (dose adulte).</w:t>
      </w:r>
    </w:p>
    <w:p>
      <w:pPr>
        <w:pStyle w:val="ListBullet"/>
      </w:pPr>
      <w:r>
        <w:t>Voie IV : 0,5-1 mg en 1-2 min.</w:t>
      </w:r>
    </w:p>
    <w:p>
      <w:r/>
      <w:r>
        <w:rPr>
          <w:i/>
        </w:rPr>
        <w:t>Surdosage par β-bloquants</w:t>
      </w:r>
      <w:r>
        <w:t xml:space="preserve"> :</w:t>
      </w:r>
    </w:p>
    <w:p>
      <w:pPr>
        <w:pStyle w:val="ListBullet"/>
      </w:pPr>
      <w:r>
        <w:t>Bolus : 50-150 µg/kg IV (max 1 mg) en 1-2 min.</w:t>
      </w:r>
    </w:p>
    <w:p>
      <w:pPr>
        <w:pStyle w:val="ListBullet"/>
      </w:pPr>
      <w:r>
        <w:t>Perfusion : 5-10 µg/kg/h.</w:t>
      </w:r>
    </w:p>
    <w:p>
      <w:r/>
      <w:r>
        <w:rPr>
          <w:b/>
        </w:rPr>
        <w:t>Posologie nouveau-né</w:t>
      </w:r>
      <w:r>
        <w:t xml:space="preserve"> :</w:t>
      </w:r>
    </w:p>
    <w:p>
      <w:pPr>
        <w:pStyle w:val="ListBullet"/>
      </w:pPr>
      <w:r>
        <w:t>Hypoglycémie : 0,2 mg/kg IM ou SC (max 0,5 mg) en alternative au glucose IV 10 % (2 mL/kg IV).</w:t>
      </w:r>
    </w:p>
    <w:p>
      <w:r/>
      <w:r>
        <w:rPr>
          <w:b/>
        </w:rPr>
        <w:t>Mode d'administration</w:t>
      </w:r>
      <w:r>
        <w:t xml:space="preserve"> :</w:t>
      </w:r>
    </w:p>
    <w:p>
      <w:pPr>
        <w:pStyle w:val="ListBullet"/>
      </w:pPr>
      <w:r>
        <w:t>Voie IM (vastus lateralis) : délai d'action 5-15 min.</w:t>
      </w:r>
    </w:p>
    <w:p>
      <w:pPr>
        <w:pStyle w:val="ListBullet"/>
      </w:pPr>
      <w:r>
        <w:t>Voie SC : délai d'action 5-15 min.</w:t>
      </w:r>
    </w:p>
    <w:p>
      <w:pPr>
        <w:pStyle w:val="ListBullet"/>
      </w:pPr>
      <w:r>
        <w:t>Voie IV (périphérique ou centrale) : délai d'action 1-2 min.</w:t>
      </w:r>
    </w:p>
    <w:p>
      <w:pPr>
        <w:pStyle w:val="ListBullet"/>
      </w:pPr>
      <w:r>
        <w:t>Reconstitution : flacon de poudre lyophilisée + 1 mL de solvant (eau pour préparation injectable) → 1 mg/mL. Agitation douce jusqu'à dissolution complète (solution limpide incolore).</w:t>
      </w:r>
    </w:p>
    <w:p>
      <w:pPr>
        <w:pStyle w:val="ListBullet"/>
      </w:pPr>
      <w:r>
        <w:t>Surveillance : glycémie capillaire, ECG, PA, état de conscience.</w:t>
      </w:r>
    </w:p>
    <w:p>
      <w:r/>
      <w:r>
        <w:rPr>
          <w:b/>
        </w:rPr>
        <w:t>Préparation en pharmacie centrale</w:t>
      </w:r>
      <w:r>
        <w:t xml:space="preserve"> pour perfusion continue :</w:t>
      </w:r>
    </w:p>
    <w:p>
      <w:pPr>
        <w:pStyle w:val="ListBullet"/>
      </w:pPr>
      <w:r>
        <w:t>Concentration : 5 mg dans 50 mL NaCl 0,9 % = 100 µg/mL.</w:t>
      </w:r>
    </w:p>
    <w:p>
      <w:pPr>
        <w:pStyle w:val="ListBullet"/>
      </w:pPr>
      <w:r>
        <w:t>Débit : 10-50 mL/h = 1-5 mg/h.</w:t>
      </w:r>
    </w:p>
    <w:p>
      <w:pPr>
        <w:pStyle w:val="ListBullet"/>
      </w:pPr>
      <w:r>
        <w:t>Voie dédiée, ne pas mélanger avec d'autres médicaments.</w:t>
      </w:r>
    </w:p>
    <w:p>
      <w:pPr>
        <w:pStyle w:val="Heading3"/>
      </w:pPr>
      <w:r>
        <w:t>184.6.1.7 Effets indésirables et prévention</w:t>
      </w:r>
    </w:p>
    <w:p>
      <w:r>
        <w:t>Le glucagon présente un profil d'effets indésirables dominé par les troubles digestifs (effet direct sur la motilité) et les effets métaboliques (hyperglycémie, hypokaliémie).</w:t>
      </w:r>
    </w:p>
    <w:p>
      <w:r/>
      <w:r>
        <w:rPr>
          <w:b/>
        </w:rPr>
        <w:t>Effets digestifs (les plus fréquents, en particulier à forte dose)</w:t>
      </w:r>
      <w:r>
        <w:t xml:space="preserve"> :</w:t>
      </w:r>
    </w:p>
    <w:p>
      <w:pPr>
        <w:pStyle w:val="ListBullet"/>
      </w:pPr>
      <w:r/>
      <w:r>
        <w:rPr>
          <w:b/>
        </w:rPr>
        <w:t>Nausées et vomissements</w:t>
      </w:r>
      <w:r>
        <w:t xml:space="preserve"> : 30-50 % à dose élevée (5-10 mg), en particulier en perfusion continue pour surdosage β-bloquant. Mécanisme : effet direct sur la motilité digestive et le centre du vomissement. Prévention : administration IV lente, antiémétique (ondanséron 4-8 mg IV) si nécessaire.</w:t>
      </w:r>
    </w:p>
    <w:p>
      <w:pPr>
        <w:pStyle w:val="ListBullet"/>
      </w:pPr>
      <w:r/>
      <w:r>
        <w:rPr>
          <w:b/>
        </w:rPr>
        <w:t>Douleurs abdominales</w:t>
      </w:r>
      <w:r>
        <w:t xml:space="preserve"> : 5-15 %, en relation avec la relaxation du muscle lisse digestif.</w:t>
      </w:r>
    </w:p>
    <w:p>
      <w:pPr>
        <w:pStyle w:val="ListBullet"/>
      </w:pPr>
      <w:r/>
      <w:r>
        <w:rPr>
          <w:b/>
        </w:rPr>
        <w:t>Diarrhée</w:t>
      </w:r>
      <w:r>
        <w:t xml:space="preserve"> : 5-10 %.</w:t>
      </w:r>
    </w:p>
    <w:p>
      <w:r/>
      <w:r>
        <w:rPr>
          <w:b/>
        </w:rPr>
        <w:t>Effets métaboliques</w:t>
      </w:r>
      <w:r>
        <w:t xml:space="preserve"> :</w:t>
      </w:r>
    </w:p>
    <w:p>
      <w:pPr>
        <w:pStyle w:val="ListBullet"/>
      </w:pPr>
      <w:r/>
      <w:r>
        <w:rPr>
          <w:b/>
        </w:rPr>
        <w:t>Hyperglycémie</w:t>
      </w:r>
      <w:r>
        <w:t xml:space="preserve"> : effet pharmacologique attendu, peut être excessive en cas de surdosage (surveillance glycémie capillaire).</w:t>
      </w:r>
    </w:p>
    <w:p>
      <w:pPr>
        <w:pStyle w:val="ListBullet"/>
      </w:pPr>
      <w:r/>
      <w:r>
        <w:rPr>
          <w:b/>
        </w:rPr>
        <w:t>Hypokaliémie</w:t>
      </w:r>
      <w:r>
        <w:t xml:space="preserve"> : effet β2-like (entrée cellulaire de potassium par stimulation de la pompe Na-K ATPase), surtout marqué à forte dose. Surveillance kaliémique toutes les 2-4 h, supplémentation potassique (KCl 1-2 g/24 h).</w:t>
      </w:r>
    </w:p>
    <w:p>
      <w:pPr>
        <w:pStyle w:val="ListBullet"/>
      </w:pPr>
      <w:r/>
      <w:r>
        <w:rPr>
          <w:b/>
        </w:rPr>
        <w:t>Acidose lactique</w:t>
      </w:r>
      <w:r>
        <w:t xml:space="preserve"> : rare, en cas d'hypoperfusion prolongée associée.</w:t>
      </w:r>
    </w:p>
    <w:p>
      <w:r/>
      <w:r>
        <w:rPr>
          <w:b/>
        </w:rPr>
        <w:t>Effets cardiovasculaires</w:t>
      </w:r>
      <w:r>
        <w:t xml:space="preserve"> :</w:t>
      </w:r>
    </w:p>
    <w:p>
      <w:pPr>
        <w:pStyle w:val="ListBullet"/>
      </w:pPr>
      <w:r/>
      <w:r>
        <w:rPr>
          <w:b/>
        </w:rPr>
        <w:t>Tachycardie</w:t>
      </w:r>
      <w:r>
        <w:t xml:space="preserve"> : effet chronotrope positif (bénéfique en cas de bradycardie sous β-bloquant).</w:t>
      </w:r>
    </w:p>
    <w:p>
      <w:pPr>
        <w:pStyle w:val="ListBullet"/>
      </w:pPr>
      <w:r/>
      <w:r>
        <w:rPr>
          <w:b/>
        </w:rPr>
        <w:t>Hypertension artérielle transitoire</w:t>
      </w:r>
      <w:r>
        <w:t xml:space="preserve"> : effet vasoconstricteur direct.</w:t>
      </w:r>
    </w:p>
    <w:p>
      <w:pPr>
        <w:pStyle w:val="ListBullet"/>
      </w:pPr>
      <w:r/>
      <w:r>
        <w:rPr>
          <w:b/>
        </w:rPr>
        <w:t>Troubles du rythme</w:t>
      </w:r>
      <w:r>
        <w:t xml:space="preserve"> : extrasystoles, tachycardie atriale, en particulier à forte dose.</w:t>
      </w:r>
    </w:p>
    <w:p>
      <w:r/>
      <w:r>
        <w:rPr>
          <w:b/>
        </w:rPr>
        <w:t>Effets neurologiques</w:t>
      </w:r>
      <w:r>
        <w:t xml:space="preserve"> :</w:t>
      </w:r>
    </w:p>
    <w:p>
      <w:pPr>
        <w:pStyle w:val="ListBullet"/>
      </w:pPr>
      <w:r>
        <w:t>Céphalées, vertiges, agitation, tremblements (effets β centraux).</w:t>
      </w:r>
    </w:p>
    <w:p>
      <w:pPr>
        <w:pStyle w:val="ListBullet"/>
      </w:pPr>
      <w:r>
        <w:t>Convulsions : rares, en général liées à l'hypoglycémie sous-jacente et non au glucagon lui-même.</w:t>
      </w:r>
    </w:p>
    <w:p>
      <w:r/>
      <w:r>
        <w:rPr>
          <w:b/>
        </w:rPr>
        <w:t>Effets immunologiques</w:t>
      </w:r>
      <w:r>
        <w:t xml:space="preserve"> :</w:t>
      </w:r>
    </w:p>
    <w:p>
      <w:pPr>
        <w:pStyle w:val="ListBullet"/>
      </w:pPr>
      <w:r>
        <w:t>Réactions d'hypersensibilité : rare (urticaire, bronchospasme, anaphylaxie).</w:t>
      </w:r>
    </w:p>
    <w:p>
      <w:pPr>
        <w:pStyle w:val="ListBullet"/>
      </w:pPr>
      <w:r>
        <w:t>Anticorps anti-glucagon : en cas de traitement prolongé (rare).</w:t>
      </w:r>
    </w:p>
    <w:p>
      <w:r/>
      <w:r>
        <w:rPr>
          <w:b/>
        </w:rPr>
        <w:t>Effets obstétricaux</w:t>
      </w:r>
      <w:r>
        <w:t xml:space="preserve"> :</w:t>
      </w:r>
    </w:p>
    <w:p>
      <w:pPr>
        <w:pStyle w:val="ListBullet"/>
      </w:pPr>
      <w:r>
        <w:t>Pas d'effet tocolytique ou utérotonique.</w:t>
      </w:r>
    </w:p>
    <w:p>
      <w:pPr>
        <w:pStyle w:val="ListBullet"/>
      </w:pPr>
      <w:r>
        <w:t>Passage transplacentaire faible (protéine, dégradée placentaire).</w:t>
      </w:r>
    </w:p>
    <w:p>
      <w:pPr>
        <w:pStyle w:val="ListBullet"/>
      </w:pPr>
      <w:r>
        <w:t>Sans toxicité fœtale aux doses thérapeutiques.</w:t>
      </w:r>
    </w:p>
    <w:p>
      <w:r/>
      <w:r>
        <w:rPr>
          <w:b/>
        </w:rPr>
        <w:t>Effets biologiques</w:t>
      </w:r>
      <w:r>
        <w:t xml:space="preserve"> :</w:t>
      </w:r>
    </w:p>
    <w:p>
      <w:pPr>
        <w:pStyle w:val="ListBullet"/>
      </w:pPr>
      <w:r>
        <w:t>Stimulation de la libération de catecholamines (effet indirect, exploité dans le test au glucagon pour le diagnostic du phéochromocytome).</w:t>
      </w:r>
    </w:p>
    <w:p>
      <w:pPr>
        <w:pStyle w:val="ListBullet"/>
      </w:pPr>
      <w:r>
        <w:t>Stimulation de la libération de GH (effet indirect, exploité dans le test au glucagon pour exploration de la croissance hormone).</w:t>
      </w:r>
    </w:p>
    <w:p>
      <w:pPr>
        <w:pStyle w:val="ListBullet"/>
      </w:pPr>
      <w:r>
        <w:t>Stimulation de la libération d'insuline (effet paradoxal, qui peut aggraver l'hypoglycémie à long terme — surveillance).</w:t>
      </w:r>
    </w:p>
    <w:p>
      <w:r/>
      <w:r>
        <w:rPr>
          <w:b/>
        </w:rPr>
        <w:t>Prévention des effets indésirables</w:t>
      </w:r>
      <w:r>
        <w:t xml:space="preserve"> :</w:t>
      </w:r>
    </w:p>
    <w:p>
      <w:pPr>
        <w:pStyle w:val="ListBullet"/>
      </w:pPr>
      <w:r>
        <w:t>Posologie minimale efficace, titration progressive en perfusion continue.</w:t>
      </w:r>
    </w:p>
    <w:p>
      <w:pPr>
        <w:pStyle w:val="ListBullet"/>
      </w:pPr>
      <w:r>
        <w:t>Administration IV lente (1-2 min pour 1 mg en IV).</w:t>
      </w:r>
    </w:p>
    <w:p>
      <w:pPr>
        <w:pStyle w:val="ListBullet"/>
      </w:pPr>
      <w:r>
        <w:t>Surveillance continue : ECG, PA invasive, glycémie capillaire, kaliémie.</w:t>
      </w:r>
    </w:p>
    <w:p>
      <w:pPr>
        <w:pStyle w:val="ListBullet"/>
      </w:pPr>
      <w:r>
        <w:t>Antiémétique prophylactique (ondanséron 4-8 mg IV) en cas de perfusion continue à forte dose.</w:t>
      </w:r>
    </w:p>
    <w:p>
      <w:pPr>
        <w:pStyle w:val="ListBullet"/>
      </w:pPr>
      <w:r>
        <w:t>Supplémentation potassique (KCl 1-2 g/24 h) en cas de perfusion prolongée.</w:t>
      </w:r>
    </w:p>
    <w:p>
      <w:pPr>
        <w:pStyle w:val="ListBullet"/>
      </w:pPr>
      <w:r>
        <w:t>Surveillance neurologique (convulsions, céphalées).</w:t>
      </w:r>
    </w:p>
    <w:p>
      <w:pPr>
        <w:pStyle w:val="Heading3"/>
      </w:pPr>
      <w:r>
        <w:t>184.6.1.8 Interactions médicamenteuses</w:t>
      </w:r>
    </w:p>
    <w:p>
      <w:r/>
      <w:r>
        <w:rPr>
          <w:b/>
        </w:rPr>
        <w:t>Interactions pharmacodynamiques majeures</w:t>
      </w:r>
      <w:r>
        <w:t xml:space="preserve"> :</w:t>
      </w:r>
    </w:p>
    <w:p>
      <w:pPr>
        <w:pStyle w:val="ListBullet"/>
      </w:pPr>
      <w:r/>
      <w:r>
        <w:rPr>
          <w:b/>
        </w:rPr>
        <w:t>Inducteurs enzymatiques hépatiques</w:t>
      </w:r>
      <w:r>
        <w:t xml:space="preserve"> (rifampicine, phénobarbital, phénytoïne, carbamazépine, millepertuis) : induction du métabolisme du glucagon → diminution de l'efficacité. Adaptation posologique éventuelle.</w:t>
      </w:r>
    </w:p>
    <w:p>
      <w:pPr>
        <w:pStyle w:val="ListBullet"/>
      </w:pPr>
      <w:r/>
      <w:r>
        <w:rPr>
          <w:b/>
        </w:rPr>
        <w:t>Inhibiteurs enzymatiques</w:t>
      </w:r>
      <w:r>
        <w:t xml:space="preserve"> (IMAO, cimétidine) : diminution du métabolisme → augmentation des concentrations et des effets. Surveillance accrue.</w:t>
      </w:r>
    </w:p>
    <w:p>
      <w:pPr>
        <w:pStyle w:val="ListBullet"/>
      </w:pPr>
      <w:r/>
      <w:r>
        <w:rPr>
          <w:b/>
        </w:rPr>
        <w:t>Anticoagulants oraux (AVK)</w:t>
      </w:r>
      <w:r>
        <w:t xml:space="preserve"> : potentialisation de l'effet anticoagulant (sensibilisation de la warfarine), surveillance INR.</w:t>
      </w:r>
    </w:p>
    <w:p>
      <w:pPr>
        <w:pStyle w:val="ListBullet"/>
      </w:pPr>
      <w:r/>
      <w:r>
        <w:rPr>
          <w:b/>
        </w:rPr>
        <w:t>Indométacine, AINS</w:t>
      </w:r>
      <w:r>
        <w:t xml:space="preserve"> : antagonisme de l'effet hyperglycémiant du glucagon (inhibition de la glycogénolyse).</w:t>
      </w:r>
    </w:p>
    <w:p>
      <w:pPr>
        <w:pStyle w:val="ListBullet"/>
      </w:pPr>
      <w:r/>
      <w:r>
        <w:rPr>
          <w:b/>
        </w:rPr>
        <w:t>Insuline</w:t>
      </w:r>
      <w:r>
        <w:t xml:space="preserve"> : antagonisme pharmacodynamique, le glucagon peut nécessiter une dose plus élevée en cas d'insulinémie élevée.</w:t>
      </w:r>
    </w:p>
    <w:p>
      <w:pPr>
        <w:pStyle w:val="ListBullet"/>
      </w:pPr>
      <w:r/>
      <w:r>
        <w:rPr>
          <w:b/>
        </w:rPr>
        <w:t>β-bloquants</w:t>
      </w:r>
      <w:r>
        <w:t xml:space="preserve"> : potentialisation de l'effet inotrope positif du glucagon (effet synergique) — indiqué dans le surdosage β-bloquant.</w:t>
      </w:r>
    </w:p>
    <w:p>
      <w:pPr>
        <w:pStyle w:val="ListBullet"/>
      </w:pPr>
      <w:r/>
      <w:r>
        <w:rPr>
          <w:b/>
        </w:rPr>
        <w:t>Inhibiteurs calciques</w:t>
      </w:r>
      <w:r>
        <w:t xml:space="preserve"> : association synergique en cas de surdosage par inhibiteurs calciques.</w:t>
      </w:r>
    </w:p>
    <w:p>
      <w:pPr>
        <w:pStyle w:val="ListBullet"/>
      </w:pPr>
      <w:r/>
      <w:r>
        <w:rPr>
          <w:b/>
        </w:rPr>
        <w:t>Digitaliques (digoxine)</w:t>
      </w:r>
      <w:r>
        <w:t xml:space="preserve"> : majoration du risque d'arythmies ventriculaires (en cas de perfusion prolongée à forte dose), surveillance ECG continue.</w:t>
      </w:r>
    </w:p>
    <w:p>
      <w:pPr>
        <w:pStyle w:val="ListBullet"/>
      </w:pPr>
      <w:r/>
      <w:r>
        <w:rPr>
          <w:b/>
        </w:rPr>
        <w:t>Diurétiques</w:t>
      </w:r>
      <w:r>
        <w:t xml:space="preserve"> (furosémide, thiazidiques) : hypokaliémie additive, surveillance kaliémique.</w:t>
      </w:r>
    </w:p>
    <w:p>
      <w:pPr>
        <w:pStyle w:val="ListBullet"/>
      </w:pPr>
      <w:r/>
      <w:r>
        <w:rPr>
          <w:b/>
        </w:rPr>
        <w:t>Corticoïdes</w:t>
      </w:r>
      <w:r>
        <w:t xml:space="preserve"> : potentialisation de l'hyperglycémie (effet additif).</w:t>
      </w:r>
    </w:p>
    <w:p>
      <w:pPr>
        <w:pStyle w:val="ListBullet"/>
      </w:pPr>
      <w:r/>
      <w:r>
        <w:rPr>
          <w:b/>
        </w:rPr>
        <w:t>Sympathomimétiques</w:t>
      </w:r>
      <w:r>
        <w:t xml:space="preserve"> (adrénaline, isoprénaline) : potentialisation des effets adrénergiques.</w:t>
      </w:r>
    </w:p>
    <w:p>
      <w:r/>
      <w:r>
        <w:rPr>
          <w:b/>
        </w:rPr>
        <w:t>Interactions pharmacocinétiques</w:t>
      </w:r>
      <w:r>
        <w:t xml:space="preserve"> :</w:t>
      </w:r>
    </w:p>
    <w:p>
      <w:pPr>
        <w:pStyle w:val="ListBullet"/>
      </w:pPr>
      <w:r>
        <w:t>Le glucagon est un polypeptide dégradé par les protéases, peu d'interactions pharmacocinétiques.</w:t>
      </w:r>
    </w:p>
    <w:p>
      <w:pPr>
        <w:pStyle w:val="ListBullet"/>
      </w:pPr>
      <w:r>
        <w:t>Pas d'interaction avec le cytochrome P450.</w:t>
      </w:r>
    </w:p>
    <w:p>
      <w:pPr>
        <w:pStyle w:val="ListBullet"/>
      </w:pPr>
      <w:r>
        <w:t>Pas d'interaction avec les transporteurs (P-gp, OATP).</w:t>
      </w:r>
    </w:p>
    <w:p>
      <w:r/>
      <w:r>
        <w:rPr>
          <w:b/>
        </w:rPr>
        <w:t>Incompatibilités en perfusion</w:t>
      </w:r>
      <w:r>
        <w:t xml:space="preserve"> :</w:t>
      </w:r>
    </w:p>
    <w:p>
      <w:pPr>
        <w:pStyle w:val="ListBullet"/>
      </w:pPr>
      <w:r>
        <w:t>Compatible avec : NaCl 0,9 %, G5 %.</w:t>
      </w:r>
    </w:p>
    <w:p>
      <w:pPr>
        <w:pStyle w:val="ListBullet"/>
      </w:pPr>
      <w:r>
        <w:t>À ne pas mélanger avec : solutions à pH acide ou alcalin, solutions contenant des protéines (albumine), solutions contenant des ions divalents à forte concentration (calcium, magnésium — risque de précipitation de la protéine).</w:t>
      </w:r>
    </w:p>
    <w:p>
      <w:pPr>
        <w:pStyle w:val="ListBullet"/>
      </w:pPr>
      <w:r>
        <w:t>Voie dédiée préférentielle.</w:t>
      </w:r>
    </w:p>
    <w:p>
      <w:pPr>
        <w:pStyle w:val="Heading3"/>
      </w:pPr>
      <w:r>
        <w:t>184.6.1.9 Grossesse, allaitement et CRAT</w:t>
      </w:r>
    </w:p>
    <w:p>
      <w:r>
        <w:t>Le glucagon pendant la grossesse et l'allaitement pose peu de problèmes, en raison de son caractère physiologique (hormone endogène) et de sa dégradation rapide.</w:t>
      </w:r>
    </w:p>
    <w:p>
      <w:r/>
      <w:r>
        <w:rPr>
          <w:b/>
        </w:rPr>
        <w:t>Tératogénicité</w:t>
      </w:r>
      <w:r>
        <w:t xml:space="preserve"> : le glucagon est une hormone pancréatique endogène, sécrétée physiologiquement pendant la grossesse. Le glucagon exogène traverse la barrière placentaire en quantités faibles (protéine, dégradée placentaire). Chez l'animal (rat, lapin), des doses toxiques maternelles n'ont pas induit de malformations. Chez l'humain, les données accumulées depuis 1970 sur l'utilisation du glucagon pour hypoglycémie sévère gravidique (diabète gestationnel sous insuline, diabète préexistant insuliné) n'ont pas mis en évidence d'augmentation du risque malformatif global. Le CRAT considère le glucagon comme compatible avec la grossesse en cas d'hypoglycémie sévère.</w:t>
      </w:r>
    </w:p>
    <w:p>
      <w:r/>
      <w:r>
        <w:rPr>
          <w:b/>
        </w:rPr>
        <w:t>Indications obstétricales spécifiques</w:t>
      </w:r>
      <w:r>
        <w:t xml:space="preserve"> :</w:t>
      </w:r>
    </w:p>
    <w:p>
      <w:pPr>
        <w:pStyle w:val="ListBullet"/>
      </w:pPr>
      <w:r>
        <w:t>Hypoglycémie sévère gravidique (diabète préexistant sous insuline, diabète gestationnel sous insuline) : glucagon 1 mg IM ou SC sans modification posologique, surveillance glycémie capillaire et fœtale.</w:t>
      </w:r>
    </w:p>
    <w:p>
      <w:pPr>
        <w:pStyle w:val="ListBullet"/>
      </w:pPr>
      <w:r>
        <w:t>Hypoglycémie néonatale sévère (en cas d'hyperinsulinisme, diabète maternel décompensé) : glucagon 0,2 mg/kg IM ou SC (max 0,5 mg), en alternative au glucose IV 10 % (2 mL/kg IV).</w:t>
      </w:r>
    </w:p>
    <w:p>
      <w:pPr>
        <w:pStyle w:val="ListBullet"/>
      </w:pPr>
      <w:r>
        <w:t>Surdosage par β-bloquants au cours de la grossesse (indication rare) : glucagon 5-10 mg IV bolus puis 1-5 mg/h en perfusion, surveillance obstétricale et fœtale.</w:t>
      </w:r>
    </w:p>
    <w:p>
      <w:r/>
      <w:r>
        <w:rPr>
          <w:b/>
        </w:rPr>
        <w:t>Effets fœtaux</w:t>
      </w:r>
      <w:r>
        <w:t xml:space="preserve"> :</w:t>
      </w:r>
    </w:p>
    <w:p>
      <w:pPr>
        <w:pStyle w:val="ListBullet"/>
      </w:pPr>
      <w:r>
        <w:t>Pas d'effet tératogène documenté.</w:t>
      </w:r>
    </w:p>
    <w:p>
      <w:pPr>
        <w:pStyle w:val="ListBullet"/>
      </w:pPr>
      <w:r>
        <w:t>Pas d'effet néonatal notable (la protéine est dégradée placentaire).</w:t>
      </w:r>
    </w:p>
    <w:p>
      <w:pPr>
        <w:pStyle w:val="ListBullet"/>
      </w:pPr>
      <w:r>
        <w:t>Surveillance glycémique néonatale (risque d'hypoglycémie rebond).</w:t>
      </w:r>
    </w:p>
    <w:p>
      <w:r/>
      <w:r>
        <w:rPr>
          <w:b/>
        </w:rPr>
        <w:t>Recommandations CRAT</w:t>
      </w:r>
      <w:r>
        <w:t xml:space="preserve"> :</w:t>
      </w:r>
    </w:p>
    <w:p>
      <w:pPr>
        <w:pStyle w:val="ListBullet"/>
      </w:pPr>
      <w:r>
        <w:t>Hypoglycémie sévère gravidique : glucagon 1 mg IM ou SC, sans restriction posologique.</w:t>
      </w:r>
    </w:p>
    <w:p>
      <w:pPr>
        <w:pStyle w:val="ListBullet"/>
      </w:pPr>
      <w:r>
        <w:t>Hypoglycémie néonatale : glucagon 0,2 mg/kg IM ou SC, en alternative au glucose IV.</w:t>
      </w:r>
    </w:p>
    <w:p>
      <w:pPr>
        <w:pStyle w:val="ListBullet"/>
      </w:pPr>
      <w:r>
        <w:t>Surdosage par β-bloquants au cours de la grossesse : glucagon 5-10 mg IV bolus puis 1-5 mg/h, surveillance obstétricale et fœtale continue.</w:t>
      </w:r>
    </w:p>
    <w:p>
      <w:pPr>
        <w:pStyle w:val="ListBullet"/>
      </w:pPr>
      <w:r>
        <w:t>Allaitement : compatible (le glucagon passe dans le lait maternel en quantités négligeables, et est dégradé par les enzymes digestives de l'enfant). L'allaitement peut être repris immédiatement après récupération maternelle.</w:t>
      </w:r>
    </w:p>
    <w:p>
      <w:pPr>
        <w:pStyle w:val="Heading3"/>
      </w:pPr>
      <w:r>
        <w:t>184.6.1.10 Formes galéniques disponibles</w:t>
      </w:r>
    </w:p>
    <w:p>
      <w:r/>
      <w:r>
        <w:rPr>
          <w:b/>
        </w:rPr>
        <w:t>Formes injectables</w:t>
      </w:r>
      <w:r>
        <w:t xml:space="preserve"> (essentielles en réanimation et urgence diabétique) :</w:t>
      </w:r>
    </w:p>
    <w:p>
      <w:pPr>
        <w:pStyle w:val="ListBullet"/>
      </w:pPr>
      <w:r/>
      <w:r>
        <w:rPr>
          <w:b/>
        </w:rPr>
        <w:t>Poudre et solvant pour solution injectable 1 mg/mL</w:t>
      </w:r>
      <w:r>
        <w:t xml:space="preserve"> : GlucaGen HypoKit (Novo Nordisk) — kit d'urgence contenant 1 flacon de poudre lyophilisée de glucagon (chlorhydrate, 1 mg) et 1 seringue préremplie de 1 mL de solvant (eau pour préparation injectable). Reconstitution immédiate avant emploi (agitation douce jusqu'à dissolution complète, solution limpide incolore). Administration IM, SC ou IV. Forme disponible et active en Algérie.</w:t>
      </w:r>
    </w:p>
    <w:p>
      <w:pPr>
        <w:pStyle w:val="ListBullet"/>
      </w:pPr>
      <w:r/>
      <w:r>
        <w:rPr>
          <w:b/>
        </w:rPr>
        <w:t>Lyophilisat et solvant pour usage parentéral SC/IM/IV 1 mg/mL</w:t>
      </w:r>
      <w:r>
        <w:t xml:space="preserve"> : GlucaGen (Novo Nordisk) — ancienne présentation, NON_RENOUVELABLE en Algérie.</w:t>
      </w:r>
    </w:p>
    <w:p>
      <w:pPr>
        <w:pStyle w:val="ListBullet"/>
      </w:pPr>
      <w:r/>
      <w:r>
        <w:rPr>
          <w:b/>
        </w:rPr>
        <w:t>Solution injectable 1 mg/mL</w:t>
      </w:r>
      <w:r>
        <w:t xml:space="preserve"> : disponible à l'étranger (GlucaGen Diagnostic Kit, Eli Lilly ; glucagon générique), non disponible en Algérie.</w:t>
      </w:r>
    </w:p>
    <w:p>
      <w:pPr>
        <w:pStyle w:val="ListBullet"/>
      </w:pPr>
      <w:r/>
      <w:r>
        <w:rPr>
          <w:b/>
        </w:rPr>
        <w:t>Spray nasal 3 mg</w:t>
      </w:r>
      <w:r>
        <w:t xml:space="preserve"> : Baqsimi (Eli Lilly) — disponible aux États-Unis et en Europe depuis 2019, non disponible en Algérie. Forme plus pratique pour l'administration par les non-professionnels (pas de reconstitution, pas d'injection, délai d'action 10-15 min).</w:t>
      </w:r>
    </w:p>
    <w:p>
      <w:r/>
      <w:r>
        <w:rPr>
          <w:b/>
        </w:rPr>
        <w:t>Formes orales</w:t>
      </w:r>
      <w:r>
        <w:t xml:space="preserve"> : non disponibles (inactivation digestive).</w:t>
      </w:r>
    </w:p>
    <w:p>
      <w:r/>
      <w:r>
        <w:rPr>
          <w:b/>
        </w:rPr>
        <w:t>Voies d'administration</w:t>
      </w:r>
      <w:r>
        <w:t xml:space="preserve"> :</w:t>
      </w:r>
    </w:p>
    <w:p>
      <w:pPr>
        <w:pStyle w:val="ListBullet"/>
      </w:pPr>
      <w:r>
        <w:t>IV (périphérique ou centrale) : effet en 1-2 min.</w:t>
      </w:r>
    </w:p>
    <w:p>
      <w:pPr>
        <w:pStyle w:val="ListBullet"/>
      </w:pPr>
      <w:r>
        <w:t>IM (vastus lateralis, deltoïde) : effet en 5-15 min.</w:t>
      </w:r>
    </w:p>
    <w:p>
      <w:pPr>
        <w:pStyle w:val="ListBullet"/>
      </w:pPr>
      <w:r>
        <w:t>SC (cuisse, abdomen, bras) : effet en 5-15 min.</w:t>
      </w:r>
    </w:p>
    <w:p>
      <w:pPr>
        <w:pStyle w:val="ListBullet"/>
      </w:pPr>
      <w:r>
        <w:t>Intranasale (Baqsimi) : effet en 10-15 min, non disponible en Algérie.</w:t>
      </w:r>
    </w:p>
    <w:p>
      <w:r/>
      <w:r>
        <w:rPr>
          <w:b/>
        </w:rPr>
        <w:t>Conservation</w:t>
      </w:r>
      <w:r>
        <w:t xml:space="preserve"> :</w:t>
      </w:r>
    </w:p>
    <w:p>
      <w:pPr>
        <w:pStyle w:val="ListBullet"/>
      </w:pPr>
      <w:r>
        <w:t>À conserver à température ambiante (&lt; 25 °C) ou au réfrigérateur (2-8 °C).</w:t>
      </w:r>
    </w:p>
    <w:p>
      <w:pPr>
        <w:pStyle w:val="ListBullet"/>
      </w:pPr>
      <w:r>
        <w:t>Ne pas congeler.</w:t>
      </w:r>
    </w:p>
    <w:p>
      <w:pPr>
        <w:pStyle w:val="ListBullet"/>
      </w:pPr>
      <w:r>
        <w:t>À conserver dans l'emballage d'origine, à l'abri de la lumière.</w:t>
      </w:r>
    </w:p>
    <w:p>
      <w:pPr>
        <w:pStyle w:val="ListBullet"/>
      </w:pPr>
      <w:r>
        <w:t>Vérification de la date de péremption avant emploi (durée de conservation 24-36 mois).</w:t>
      </w:r>
    </w:p>
    <w:p>
      <w:pPr>
        <w:pStyle w:val="ListBullet"/>
      </w:pPr>
      <w:r>
        <w:t>Après reconstitution : utilisation immédiate (conservation 24 h maximum à 2-8 °C, mais recommandation d'utilisation immédiate).</w:t>
      </w:r>
    </w:p>
    <w:p>
      <w:pPr>
        <w:pStyle w:val="ListBullet"/>
      </w:pPr>
      <w:r>
        <w:t>Vérification visuelle : solution limpide incolore après reconstitution ; ne pas utiliser si trouble ou présence de particules.</w:t>
      </w:r>
    </w:p>
    <w:p>
      <w:r/>
      <w:r>
        <w:rPr>
          <w:b/>
        </w:rPr>
        <w:t>Stockage et gestion algérienne</w:t>
      </w:r>
      <w:r>
        <w:t xml:space="preserve"> :</w:t>
      </w:r>
    </w:p>
    <w:p>
      <w:pPr>
        <w:pStyle w:val="ListBullet"/>
      </w:pPr>
      <w:r>
        <w:t>Disponibilité correcte du GlucaGen HypoKit (Novo Nordisk), distribution normale.</w:t>
      </w:r>
    </w:p>
    <w:p>
      <w:pPr>
        <w:pStyle w:val="ListBullet"/>
      </w:pPr>
      <w:r>
        <w:t>Prescription médicale obligatoire, délivrance en pharmacie de ville ou hospitalière.</w:t>
      </w:r>
    </w:p>
    <w:p>
      <w:pPr>
        <w:pStyle w:val="ListBullet"/>
      </w:pPr>
      <w:r>
        <w:t>Tous les diabétiques insulinés (type 1, type 2 sous insuline) devraient idéalement disposer d'un kit de glucagon à domicile, en particulier les patients à risque d'hypoglycémie sévère (antécédents, hypoglycémies impossibles à ressentir, insulinothérapie intensive, jeûne prolongé, activité physique intense, alcool).</w:t>
      </w:r>
    </w:p>
    <w:p>
      <w:pPr>
        <w:pStyle w:val="ListBullet"/>
      </w:pPr>
      <w:r>
        <w:t>Sensibilisation des patients et de leur entourage à l'utilisation du kit (formation à la reconstitution et à l'administration IM/SC).</w:t>
      </w:r>
    </w:p>
    <w:p>
      <w:pPr>
        <w:pStyle w:val="Heading3"/>
      </w:pPr>
      <w:r>
        <w:t>184.6.1.11 Conseils au patient et à l'équipe soignante</w:t>
      </w:r>
    </w:p>
    <w:p>
      <w:r>
        <w:t>Le glucagon étant utilisé en urgence (hypoglycémie sévère, surdosage β-bloquant) par les proches du patient ou le personnel médical, les conseils s'adressent aux deux publics.</w:t>
      </w:r>
    </w:p>
    <w:p>
      <w:r/>
      <w:r>
        <w:rPr>
          <w:b/>
        </w:rPr>
        <w:t>Conseils à l'équipe soignante</w:t>
      </w:r>
      <w:r>
        <w:t xml:space="preserve"> :</w:t>
      </w:r>
    </w:p>
    <w:p>
      <w:pPr>
        <w:pStyle w:val="ListBullet"/>
      </w:pPr>
      <w:r/>
      <w:r>
        <w:rPr>
          <w:b/>
        </w:rPr>
        <w:t>Vérification systématique de la dose et de la voie</w:t>
      </w:r>
      <w:r>
        <w:t xml:space="preserve"> : 1 mg IM/SC/IV adulte (0,5 mg enfant &lt; 25 kg), 5-10 mg IV bolus puis 1-5 mg/h pour surdosage β-bloquant. Lecture à haute voix de l'étiquetage par deux soignants (règle des 5 B).</w:t>
      </w:r>
    </w:p>
    <w:p>
      <w:pPr>
        <w:pStyle w:val="ListBullet"/>
      </w:pPr>
      <w:r/>
      <w:r>
        <w:rPr>
          <w:b/>
        </w:rPr>
        <w:t>Reconstitution immédiate</w:t>
      </w:r>
      <w:r>
        <w:t xml:space="preserve"> du flacon de poudre + seringue de solvant, agitation douce jusqu'à dissolution complète (1-2 min).</w:t>
      </w:r>
    </w:p>
    <w:p>
      <w:pPr>
        <w:pStyle w:val="ListBullet"/>
      </w:pPr>
      <w:r/>
      <w:r>
        <w:rPr>
          <w:b/>
        </w:rPr>
        <w:t>Voie IM ou SC pour hypoglycémie sévère</w:t>
      </w:r>
      <w:r>
        <w:t xml:space="preserve"> en l'absence d'abord veineux (voie IV à réserver au milieu médicalisé).</w:t>
      </w:r>
    </w:p>
    <w:p>
      <w:pPr>
        <w:pStyle w:val="ListBullet"/>
      </w:pPr>
      <w:r/>
      <w:r>
        <w:rPr>
          <w:b/>
        </w:rPr>
        <w:t>Voie IV pour surdosage β-bloquant</w:t>
      </w:r>
      <w:r>
        <w:t xml:space="preserve"> (5-10 mg IV bolus puis 1-5 mg/h en perfusion continue).</w:t>
      </w:r>
    </w:p>
    <w:p>
      <w:pPr>
        <w:pStyle w:val="ListBullet"/>
      </w:pPr>
      <w:r/>
      <w:r>
        <w:rPr>
          <w:b/>
        </w:rPr>
        <w:t>Surveillance continue</w:t>
      </w:r>
      <w:r>
        <w:t xml:space="preserve"> : glycémie capillaire, ECG (bradycardie, troubles du rythme), PA invasive, état de conscience (Glasgow), kaliémie (hypokaliémie), examen digestif (nausées, vomissements).</w:t>
      </w:r>
    </w:p>
    <w:p>
      <w:pPr>
        <w:pStyle w:val="ListBullet"/>
      </w:pPr>
      <w:r/>
      <w:r>
        <w:rPr>
          <w:b/>
        </w:rPr>
        <w:t>Bilan biologique associé</w:t>
      </w:r>
      <w:r>
        <w:t xml:space="preserve"> : glycémie capillaire, glycémie veineuse, kaliémie, créatininémie, gaz du sang, dosage du β-bloquant absorbé si disponible, paracétamolémie (recherche d'association).</w:t>
      </w:r>
    </w:p>
    <w:p>
      <w:pPr>
        <w:pStyle w:val="ListBullet"/>
      </w:pPr>
      <w:r/>
      <w:r>
        <w:rPr>
          <w:b/>
        </w:rPr>
        <w:t>Après récupération d'une hypoglycémie sévère</w:t>
      </w:r>
      <w:r>
        <w:t xml:space="preserve"> : prise orale de sucres lents (pain, biscuits) + repas complet, hospitalisation pour surveillance 24-48 h (risque de récidive, en particulier avec les sulfamides hypoglycémiants demi-vie longue — glibenclamide, glimépiride).</w:t>
      </w:r>
    </w:p>
    <w:p>
      <w:pPr>
        <w:pStyle w:val="ListBullet"/>
      </w:pPr>
      <w:r/>
      <w:r>
        <w:rPr>
          <w:b/>
        </w:rPr>
        <w:t>Prévention des effets indésirables</w:t>
      </w:r>
      <w:r>
        <w:t xml:space="preserve"> : antiémétique prophylactique (ondanséron 4-8 mg IV) en cas de perfusion continue à forte dose, supplémentation potassique (KCl 1-2 g/24 h) en cas de perfusion prolongée.</w:t>
      </w:r>
    </w:p>
    <w:p>
      <w:pPr>
        <w:pStyle w:val="ListBullet"/>
      </w:pPr>
      <w:r/>
      <w:r>
        <w:rPr>
          <w:b/>
        </w:rPr>
        <w:t>Éducation du patient diabétique</w:t>
      </w:r>
      <w:r>
        <w:t xml:space="preserve"> : formation à l'utilisation du kit GlucaGen HypoKit (reconstitution, administration IM/SC), information de l'entourage, port d'un bracelet ou collier médical identifiant le diabète.</w:t>
      </w:r>
    </w:p>
    <w:p>
      <w:r/>
      <w:r>
        <w:rPr>
          <w:b/>
        </w:rPr>
        <w:t>Conseils au patient diabétique et à son entourage</w:t>
      </w:r>
      <w:r>
        <w:t xml:space="preserve"> :</w:t>
      </w:r>
    </w:p>
    <w:p>
      <w:pPr>
        <w:pStyle w:val="ListBullet"/>
      </w:pPr>
      <w:r/>
      <w:r>
        <w:rPr>
          <w:b/>
        </w:rPr>
        <w:t>Disponibilité d'un kit GlucaGen HypoKit à domicile</w:t>
      </w:r>
      <w:r>
        <w:t xml:space="preserve"> et en déplacement (sac, voiture, travail).</w:t>
      </w:r>
    </w:p>
    <w:p>
      <w:pPr>
        <w:pStyle w:val="ListBullet"/>
      </w:pPr>
      <w:r/>
      <w:r>
        <w:rPr>
          <w:b/>
        </w:rPr>
        <w:t>Formation de l'entourage</w:t>
      </w:r>
      <w:r>
        <w:t xml:space="preserve"> à la reconnaissance de l'hypoglycémie sévère (coma, convulsions, troubles du comportement, refus de prise orale) et à l'administration du glucagon (reconstitution, injection IM dans le vastus lateralis, appel des urgences 14 ou 15).</w:t>
      </w:r>
    </w:p>
    <w:p>
      <w:pPr>
        <w:pStyle w:val="ListBullet"/>
      </w:pPr>
      <w:r/>
      <w:r>
        <w:rPr>
          <w:b/>
        </w:rPr>
        <w:t>Vérification de la date de péremption</w:t>
      </w:r>
      <w:r>
        <w:t xml:space="preserve"> du kit tous les 6 mois, remplacement si nécessaire.</w:t>
      </w:r>
    </w:p>
    <w:p>
      <w:pPr>
        <w:pStyle w:val="ListBullet"/>
      </w:pPr>
      <w:r/>
      <w:r>
        <w:rPr>
          <w:b/>
        </w:rPr>
        <w:t>Conservation</w:t>
      </w:r>
      <w:r>
        <w:t xml:space="preserve"> à température ambiante (&lt; 25 °C) ou au réfrigérateur (2-8 °C), à l'abri de la lumière et de l'humidité.</w:t>
      </w:r>
    </w:p>
    <w:p>
      <w:pPr>
        <w:pStyle w:val="ListBullet"/>
      </w:pPr>
      <w:r/>
      <w:r>
        <w:rPr>
          <w:b/>
        </w:rPr>
        <w:t>Information sur les signes d'alerte</w:t>
      </w:r>
      <w:r>
        <w:t xml:space="preserve"> de l'hypoglycémie : sueurs, tremblements, palpitations, faim, anxiété, céphalées, troubles visuels, confusion → prise immédiate de sucres rapides (3 morceaux de sucre, jus de fruit, miel) et auto-surveillance glycémique.</w:t>
      </w:r>
    </w:p>
    <w:p>
      <w:pPr>
        <w:pStyle w:val="ListBullet"/>
      </w:pPr>
      <w:r/>
      <w:r>
        <w:rPr>
          <w:b/>
        </w:rPr>
        <w:t>Information sur les facteurs de risque d'hypoglycémie sévère</w:t>
      </w:r>
      <w:r>
        <w:t xml:space="preserve"> : insulinothérapie intensive, antécédents d'hypoglycémie sévère, hypoglycémies impossibles à ressentir (« malaise hypoglycémique inconscient »), jeûne prolongé, activité physique intense, alcool, âge extrême.</w:t>
      </w:r>
    </w:p>
    <w:p>
      <w:pPr>
        <w:pStyle w:val="ListBullet"/>
      </w:pPr>
      <w:r/>
      <w:r>
        <w:rPr>
          <w:b/>
        </w:rPr>
        <w:t>Consultation diabétologique régulière</w:t>
      </w:r>
      <w:r>
        <w:t xml:space="preserve"> pour ajustement de l'insulinothérapie et prévention des hypoglycémies.</w:t>
      </w:r>
    </w:p>
    <w:p>
      <w:pPr>
        <w:pStyle w:val="ListBullet"/>
      </w:pPr>
      <w:r/>
      <w:r>
        <w:rPr>
          <w:b/>
        </w:rPr>
        <w:t>Port d'un bracelet ou collier médical</w:t>
      </w:r>
      <w:r>
        <w:t xml:space="preserve"> identifiant le diabète et le traitement insulinique.</w:t>
      </w:r>
    </w:p>
    <w:p>
      <w:pPr>
        <w:pStyle w:val="Heading3"/>
      </w:pPr>
      <w:r>
        <w:t>184.6.1.12 Pièges au comptoir — Règles d'or</w:t>
      </w:r>
    </w:p>
    <w:p>
      <w:r/>
      <w:r>
        <w:rPr>
          <w:b/>
        </w:rPr>
        <w:t>Piège n°1 — Glucagon inefficace en cas de jeûne prolongé</w:t>
      </w:r>
      <w:r>
        <w:t xml:space="preserve"> : les réserves de glycogène hépatique sont épuisées après un jeûne de 24-48 h, le glucagon ne peut donc pas stimuler la glycogénolyse. Règle d'or : en cas d'hypoglycémie chez un patient à jeûne prolongé ou dénutri, recourir au glucose IV (30-50 mL de G30 % IV) et non au glucagon.</w:t>
      </w:r>
    </w:p>
    <w:p>
      <w:r/>
      <w:r>
        <w:rPr>
          <w:b/>
        </w:rPr>
        <w:t>Piège n°2 — Glucagon inefficace en cas d'insuffisance hépatique sévère</w:t>
      </w:r>
      <w:r>
        <w:t xml:space="preserve"> : le foie ne peut pas libérer le glucose en cas d'insuffisance hépatocellulaire sévère (cirrhose décompensée, hépatite fulminante). Règle d'or : recourir au glucose IV en cas d'insuffisance hépatique sévère.</w:t>
      </w:r>
    </w:p>
    <w:p>
      <w:r/>
      <w:r>
        <w:rPr>
          <w:b/>
        </w:rPr>
        <w:t>Piège n°3 — Glucagon sans surveillance glycémique après récupération</w:t>
      </w:r>
      <w:r>
        <w:t xml:space="preserve"> : risque de récidive d'hypoglycémie (en particulier avec les sulfamides hypoglycémiants demi-vie longue — glibenclamide, glimépiride). Règle d'or : surveillance glycémie capillaire toutes les 15-30 min pendant 12-24 h, hospitalisation systématique.</w:t>
      </w:r>
    </w:p>
    <w:p>
      <w:r/>
      <w:r>
        <w:rPr>
          <w:b/>
        </w:rPr>
        <w:t>Piège n°4 — Dose insuffisante pour surdosage β-bloquant</w:t>
      </w:r>
      <w:r>
        <w:t xml:space="preserve"> : la dose de 1 mg (hypoglycémie) est insuffisante pour le surdosage β-bloquant (5-10 mg IV bolus puis 1-5 mg/h en perfusion). Règle d'or : adapter la posologie à l'indication (1 mg hypoglycémie, 5-10 mg surdosage β-bloquant).</w:t>
      </w:r>
    </w:p>
    <w:p>
      <w:r/>
      <w:r>
        <w:rPr>
          <w:b/>
        </w:rPr>
        <w:t>Piège n°5 — Erreur de reconstitution</w:t>
      </w:r>
      <w:r>
        <w:t xml:space="preserve"> : reconstitution avec un autre solvant que celui fourni dans le kit (NaCl, G5 %), ou agitation trop vigoureuse (formation de mousse, dénaturation de la protéine). Règle d'or : utiliser UNIQUEMENT le solvant fourni (eau pour préparation injectable), agitation douce jusqu'à dissolution complète (1-2 min).</w:t>
      </w:r>
    </w:p>
    <w:p>
      <w:r/>
      <w:r>
        <w:rPr>
          <w:b/>
        </w:rPr>
        <w:t>Piège n°6 — Nausées et vomissements non anticipés en perfusion continue</w:t>
      </w:r>
      <w:r>
        <w:t xml:space="preserve"> : à forte dose (5-10 mg), 30-50 % des patients présentent des nausées et vomissements, pouvant aggraver une hypoglycémie (refus de prise orale de relais) ou un surdosage β-bloquant (inhalation, déshydratation). Règle d'or : antiémétique prophylactique (ondanséron 4-8 mg IV) en cas de perfusion continue.</w:t>
      </w:r>
    </w:p>
    <w:p>
      <w:r/>
      <w:r>
        <w:rPr>
          <w:b/>
        </w:rPr>
        <w:t>Piège n°7 — Hypokaliémie non surveillée en perfusion prolongée</w:t>
      </w:r>
      <w:r>
        <w:t xml:space="preserve"> : effet β2-like du glucagon (entrée cellulaire de potassium), hypokaliémie transitoire pouvant aggraver des troubles du rythme. Règle d'or : surveillance kaliémique toutes les 2-4 h, supplémentation potassique (KCl 1-2 g/24 h) en cas de perfusion prolongée.</w:t>
      </w:r>
    </w:p>
    <w:p>
      <w:r/>
      <w:r>
        <w:rPr>
          <w:b/>
        </w:rPr>
        <w:t>Piège n°8 — Hyperglycémie excessive après glucagon</w:t>
      </w:r>
      <w:r>
        <w:t xml:space="preserve"> : effet pharmacologique attendu, peut être excessive en cas de surdosage (surveillance glycémie capillaire). Règle d'or : adapter la posologie, surveillance glycémie capillaire.</w:t>
      </w:r>
    </w:p>
    <w:p>
      <w:r/>
      <w:r>
        <w:rPr>
          <w:b/>
        </w:rPr>
        <w:t>Piège n°9 — Glucagon au lieu du glucose IV en milieu médicalisé</w:t>
      </w:r>
      <w:r>
        <w:t xml:space="preserve"> : le glucose IV (30-50 mL de G30 % IV) est le traitement de première intention de l'hypoglycémie sévère (effet immédiat). Le glucagon IM/SC est l'alternative en l'absence d'abord veineux. Règle d'or : en milieu médicalisé, préférer le glucose IV ; le glucagon est réservé aux situations sans abord veineux ou en échec du glucose IV.</w:t>
      </w:r>
    </w:p>
    <w:p>
      <w:r/>
      <w:r>
        <w:rPr>
          <w:b/>
        </w:rPr>
        <w:t>Piège n°10 — Confusion entre glucagon et GLP-1 agonistes</w:t>
      </w:r>
      <w:r>
        <w:t xml:space="preserve"> : le glucagon (hyperglycémiant, hormone pancréatique endogène) est différent des agonistes GLP-1 (exenatide, liraglutide, semaglutide, dulaglutide — hypoglycémiants, incrétino-mimétiques, traitement du diabète type 2). Règle d'or : ne pas confondre, ne pas substituer, vérifier la DCI prescrite.</w:t>
      </w:r>
    </w:p>
    <w:p>
      <w:pPr>
        <w:pStyle w:val="Heading2"/>
      </w:pPr>
      <w:r>
        <w:t>184.7 Tableau comparatif des 7 DCI du chapitre 184</w:t>
      </w:r>
    </w:p>
    <w:p>
      <w:r>
        <w:t>Le tableau ci-dessous récapitule les caractéristiques pharmacologiques essentielles des 7 DCI traitées dans ce chapitre, à destination des réanimateurs, anesthésistes, urgentistes, pharmaciens hospitaliers et étudiants en pharmacie.</w:t>
      </w:r>
    </w:p>
    <w:tbl>
      <w:tblPr>
        <w:tblStyle w:val="LightGrid-Accent1"/>
        <w:tblW w:type="auto" w:w="0"/>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Pr>
          <w:p>
            <w:r>
              <w:rPr>
                <w:b/>
                <w:sz w:val="20"/>
              </w:rPr>
              <w:t>DCI</w:t>
            </w:r>
          </w:p>
        </w:tc>
        <w:tc>
          <w:tcPr>
            <w:tcW w:type="dxa" w:w="1039"/>
          </w:tcPr>
          <w:p>
            <w:r>
              <w:rPr>
                <w:b/>
                <w:sz w:val="20"/>
              </w:rPr>
              <w:t>Sous-classe</w:t>
            </w:r>
          </w:p>
        </w:tc>
        <w:tc>
          <w:tcPr>
            <w:tcW w:type="dxa" w:w="1039"/>
          </w:tcPr>
          <w:p>
            <w:r>
              <w:rPr>
                <w:b/>
                <w:sz w:val="20"/>
              </w:rPr>
              <w:t>Cible moléculaire</w:t>
            </w:r>
          </w:p>
        </w:tc>
        <w:tc>
          <w:tcPr>
            <w:tcW w:type="dxa" w:w="1039"/>
          </w:tcPr>
          <w:p>
            <w:r>
              <w:rPr>
                <w:b/>
                <w:sz w:val="20"/>
              </w:rPr>
              <w:t>Indications principales</w:t>
            </w:r>
          </w:p>
        </w:tc>
        <w:tc>
          <w:tcPr>
            <w:tcW w:type="dxa" w:w="1039"/>
          </w:tcPr>
          <w:p>
            <w:r>
              <w:rPr>
                <w:b/>
                <w:sz w:val="20"/>
              </w:rPr>
              <w:t>Voie d'administration</w:t>
            </w:r>
          </w:p>
        </w:tc>
        <w:tc>
          <w:tcPr>
            <w:tcW w:type="dxa" w:w="1039"/>
          </w:tcPr>
          <w:p>
            <w:r>
              <w:rPr>
                <w:b/>
                <w:sz w:val="20"/>
              </w:rPr>
              <w:t>Dose usuelle adulte</w:t>
            </w:r>
          </w:p>
        </w:tc>
        <w:tc>
          <w:tcPr>
            <w:tcW w:type="dxa" w:w="1039"/>
          </w:tcPr>
          <w:p>
            <w:r>
              <w:rPr>
                <w:b/>
                <w:sz w:val="20"/>
              </w:rPr>
              <w:t>Demi-vie</w:t>
            </w:r>
          </w:p>
        </w:tc>
        <w:tc>
          <w:tcPr>
            <w:tcW w:type="dxa" w:w="1039"/>
          </w:tcPr>
          <w:p>
            <w:r>
              <w:rPr>
                <w:b/>
                <w:sz w:val="20"/>
              </w:rPr>
              <w:t>Disponibilité Algérie</w:t>
            </w:r>
          </w:p>
        </w:tc>
        <w:tc>
          <w:tcPr>
            <w:tcW w:type="dxa" w:w="1039"/>
          </w:tcPr>
          <w:p>
            <w:r>
              <w:rPr>
                <w:b/>
                <w:sz w:val="20"/>
              </w:rPr>
              <w:t>Alertes critiques</w:t>
            </w:r>
          </w:p>
        </w:tc>
      </w:tr>
      <w:tr>
        <w:tc>
          <w:tcPr>
            <w:tcW w:type="dxa" w:w="1039"/>
          </w:tcPr>
          <w:p>
            <w:r>
              <w:rPr>
                <w:sz w:val="20"/>
              </w:rPr>
              <w:t>**Adrénaline**</w:t>
            </w:r>
          </w:p>
        </w:tc>
        <w:tc>
          <w:tcPr>
            <w:tcW w:type="dxa" w:w="1039"/>
          </w:tcPr>
          <w:p>
            <w:r>
              <w:rPr>
                <w:sz w:val="20"/>
              </w:rPr>
              <w:t>Catécholamine (α+β)</w:t>
            </w:r>
          </w:p>
        </w:tc>
        <w:tc>
          <w:tcPr>
            <w:tcW w:type="dxa" w:w="1039"/>
          </w:tcPr>
          <w:p>
            <w:r>
              <w:rPr>
                <w:sz w:val="20"/>
              </w:rPr>
              <w:t>Récepteurs α1, α2, β1, β2, β3</w:t>
            </w:r>
          </w:p>
        </w:tc>
        <w:tc>
          <w:tcPr>
            <w:tcW w:type="dxa" w:w="1039"/>
          </w:tcPr>
          <w:p>
            <w:r>
              <w:rPr>
                <w:sz w:val="20"/>
              </w:rPr>
              <w:t>Arrêt cardiaque (1 mg IV), anaphylaxie (0,5 mg IM), bradycardie réfractaire, choc septique 2e intention</w:t>
            </w:r>
          </w:p>
        </w:tc>
        <w:tc>
          <w:tcPr>
            <w:tcW w:type="dxa" w:w="1039"/>
          </w:tcPr>
          <w:p>
            <w:r>
              <w:rPr>
                <w:sz w:val="20"/>
              </w:rPr>
              <w:t>IV, IM, SC, inhalée, nébulisée</w:t>
            </w:r>
          </w:p>
        </w:tc>
        <w:tc>
          <w:tcPr>
            <w:tcW w:type="dxa" w:w="1039"/>
          </w:tcPr>
          <w:p>
            <w:r>
              <w:rPr>
                <w:sz w:val="20"/>
              </w:rPr>
              <w:t>1 mg IV (arrêt cardiaque), 0,5 mg IM (anaphylaxie), 0,05-0,5 µg/kg/min (perfusion)</w:t>
            </w:r>
          </w:p>
        </w:tc>
        <w:tc>
          <w:tcPr>
            <w:tcW w:type="dxa" w:w="1039"/>
          </w:tcPr>
          <w:p>
            <w:r>
              <w:rPr>
                <w:sz w:val="20"/>
              </w:rPr>
              <w:t>2-3 min</w:t>
            </w:r>
          </w:p>
        </w:tc>
        <w:tc>
          <w:tcPr>
            <w:tcW w:type="dxa" w:w="1039"/>
          </w:tcPr>
          <w:p>
            <w:r>
              <w:rPr>
                <w:sz w:val="20"/>
              </w:rPr>
              <w:t>3 spécialités actives (HUP, Razes, Drinal)</w:t>
            </w:r>
          </w:p>
        </w:tc>
        <w:tc>
          <w:tcPr>
            <w:tcW w:type="dxa" w:w="1039"/>
          </w:tcPr>
          <w:p>
            <w:r>
              <w:rPr>
                <w:sz w:val="20"/>
              </w:rPr>
              <w:t>Erreur de concentration, association aux halogénés, β-bloquants</w:t>
            </w:r>
          </w:p>
        </w:tc>
      </w:tr>
      <w:tr>
        <w:tc>
          <w:tcPr>
            <w:tcW w:type="dxa" w:w="1039"/>
          </w:tcPr>
          <w:p>
            <w:r>
              <w:rPr>
                <w:sz w:val="20"/>
              </w:rPr>
              <w:t>**Noradrénaline**</w:t>
            </w:r>
          </w:p>
        </w:tc>
        <w:tc>
          <w:tcPr>
            <w:tcW w:type="dxa" w:w="1039"/>
          </w:tcPr>
          <w:p>
            <w:r>
              <w:rPr>
                <w:sz w:val="20"/>
              </w:rPr>
              <w:t>Catécholamine (α1&gt;)</w:t>
            </w:r>
          </w:p>
        </w:tc>
        <w:tc>
          <w:tcPr>
            <w:tcW w:type="dxa" w:w="1039"/>
          </w:tcPr>
          <w:p>
            <w:r>
              <w:rPr>
                <w:sz w:val="20"/>
              </w:rPr>
              <w:t>Récepteurs α1 (prédominant), α2, β1</w:t>
            </w:r>
          </w:p>
        </w:tc>
        <w:tc>
          <w:tcPr>
            <w:tcW w:type="dxa" w:w="1039"/>
          </w:tcPr>
          <w:p>
            <w:r>
              <w:rPr>
                <w:sz w:val="20"/>
              </w:rPr>
              <w:t>Choc septique, choc distributif, choc cardiogénique associé</w:t>
            </w:r>
          </w:p>
        </w:tc>
        <w:tc>
          <w:tcPr>
            <w:tcW w:type="dxa" w:w="1039"/>
          </w:tcPr>
          <w:p>
            <w:r>
              <w:rPr>
                <w:sz w:val="20"/>
              </w:rPr>
              <w:t>IV continue stricte, voie centrale</w:t>
            </w:r>
          </w:p>
        </w:tc>
        <w:tc>
          <w:tcPr>
            <w:tcW w:type="dxa" w:w="1039"/>
          </w:tcPr>
          <w:p>
            <w:r>
              <w:rPr>
                <w:sz w:val="20"/>
              </w:rPr>
              <w:t>0,05-0,5 µg/kg/min (max 1 µg/kg/min)</w:t>
            </w:r>
          </w:p>
        </w:tc>
        <w:tc>
          <w:tcPr>
            <w:tcW w:type="dxa" w:w="1039"/>
          </w:tcPr>
          <w:p>
            <w:r>
              <w:rPr>
                <w:sz w:val="20"/>
              </w:rPr>
              <w:t>2,5 min</w:t>
            </w:r>
          </w:p>
        </w:tc>
        <w:tc>
          <w:tcPr>
            <w:tcW w:type="dxa" w:w="1039"/>
          </w:tcPr>
          <w:p>
            <w:r>
              <w:rPr>
                <w:sz w:val="20"/>
              </w:rPr>
              <w:t>⚠ NON_RENOUVELABLE (alerte critique)</w:t>
            </w:r>
          </w:p>
        </w:tc>
        <w:tc>
          <w:tcPr>
            <w:tcW w:type="dxa" w:w="1039"/>
          </w:tcPr>
          <w:p>
            <w:r>
              <w:rPr>
                <w:sz w:val="20"/>
              </w:rPr>
              <w:t>Bolus IV direct interdit, arrêt brutal interdit, vasoconstriction utérine</w:t>
            </w:r>
          </w:p>
        </w:tc>
      </w:tr>
      <w:tr>
        <w:tc>
          <w:tcPr>
            <w:tcW w:type="dxa" w:w="1039"/>
          </w:tcPr>
          <w:p>
            <w:r>
              <w:rPr>
                <w:sz w:val="20"/>
              </w:rPr>
              <w:t>**Dobutamine**</w:t>
            </w:r>
          </w:p>
        </w:tc>
        <w:tc>
          <w:tcPr>
            <w:tcW w:type="dxa" w:w="1039"/>
          </w:tcPr>
          <w:p>
            <w:r>
              <w:rPr>
                <w:sz w:val="20"/>
              </w:rPr>
              <w:t>β1-agoniste</w:t>
            </w:r>
          </w:p>
        </w:tc>
        <w:tc>
          <w:tcPr>
            <w:tcW w:type="dxa" w:w="1039"/>
          </w:tcPr>
          <w:p>
            <w:r>
              <w:rPr>
                <w:sz w:val="20"/>
              </w:rPr>
              <w:t>Récepteurs β1 (prédominant), β2, α1 (forme (+))</w:t>
            </w:r>
          </w:p>
        </w:tc>
        <w:tc>
          <w:tcPr>
            <w:tcW w:type="dxa" w:w="1039"/>
          </w:tcPr>
          <w:p>
            <w:r>
              <w:rPr>
                <w:sz w:val="20"/>
              </w:rPr>
              <w:t>Choc cardiogénique, composante cardiogénique du choc septique, échographie de stress</w:t>
            </w:r>
          </w:p>
        </w:tc>
        <w:tc>
          <w:tcPr>
            <w:tcW w:type="dxa" w:w="1039"/>
          </w:tcPr>
          <w:p>
            <w:r>
              <w:rPr>
                <w:sz w:val="20"/>
              </w:rPr>
              <w:t>IV continue stricte</w:t>
            </w:r>
          </w:p>
        </w:tc>
        <w:tc>
          <w:tcPr>
            <w:tcW w:type="dxa" w:w="1039"/>
          </w:tcPr>
          <w:p>
            <w:r>
              <w:rPr>
                <w:sz w:val="20"/>
              </w:rPr>
              <w:t>2,5-20 µg/kg/min (max 40 µg/kg/min)</w:t>
            </w:r>
          </w:p>
        </w:tc>
        <w:tc>
          <w:tcPr>
            <w:tcW w:type="dxa" w:w="1039"/>
          </w:tcPr>
          <w:p>
            <w:r>
              <w:rPr>
                <w:sz w:val="20"/>
              </w:rPr>
              <w:t>2 min</w:t>
            </w:r>
          </w:p>
        </w:tc>
        <w:tc>
          <w:tcPr>
            <w:tcW w:type="dxa" w:w="1039"/>
          </w:tcPr>
          <w:p>
            <w:r>
              <w:rPr>
                <w:sz w:val="20"/>
              </w:rPr>
              <w:t>1 spécialité active (Cardiject, Sun Pharma)</w:t>
            </w:r>
          </w:p>
        </w:tc>
        <w:tc>
          <w:tcPr>
            <w:tcW w:type="dxa" w:w="1039"/>
          </w:tcPr>
          <w:p>
            <w:r>
              <w:rPr>
                <w:sz w:val="20"/>
              </w:rPr>
              <w:t>Bolus IV direct interdit, hypokaliémie, ischémie myocardique</w:t>
            </w:r>
          </w:p>
        </w:tc>
      </w:tr>
      <w:tr>
        <w:tc>
          <w:tcPr>
            <w:tcW w:type="dxa" w:w="1039"/>
          </w:tcPr>
          <w:p>
            <w:r>
              <w:rPr>
                <w:sz w:val="20"/>
              </w:rPr>
              <w:t>**Dantrolène**</w:t>
            </w:r>
          </w:p>
        </w:tc>
        <w:tc>
          <w:tcPr>
            <w:tcW w:type="dxa" w:w="1039"/>
          </w:tcPr>
          <w:p>
            <w:r>
              <w:rPr>
                <w:sz w:val="20"/>
              </w:rPr>
              <w:t>Anti-hyperthermie maligne</w:t>
            </w:r>
          </w:p>
        </w:tc>
        <w:tc>
          <w:tcPr>
            <w:tcW w:type="dxa" w:w="1039"/>
          </w:tcPr>
          <w:p>
            <w:r>
              <w:rPr>
                <w:sz w:val="20"/>
              </w:rPr>
              <w:t>Récepteur ryanodine RyR1 (bloc)</w:t>
            </w:r>
          </w:p>
        </w:tc>
        <w:tc>
          <w:tcPr>
            <w:tcW w:type="dxa" w:w="1039"/>
          </w:tcPr>
          <w:p>
            <w:r>
              <w:rPr>
                <w:sz w:val="20"/>
              </w:rPr>
              <w:t>HM anesthésique (curatif 2,5 mg/kg IV), prophylaxie pré-opératoire, syndrome malin des neuroleptiques</w:t>
            </w:r>
          </w:p>
        </w:tc>
        <w:tc>
          <w:tcPr>
            <w:tcW w:type="dxa" w:w="1039"/>
          </w:tcPr>
          <w:p>
            <w:r>
              <w:rPr>
                <w:sz w:val="20"/>
              </w:rPr>
              <w:t>IV stricte (jamais IM/SC), voie centrale</w:t>
            </w:r>
          </w:p>
        </w:tc>
        <w:tc>
          <w:tcPr>
            <w:tcW w:type="dxa" w:w="1039"/>
          </w:tcPr>
          <w:p>
            <w:r>
              <w:rPr>
                <w:sz w:val="20"/>
              </w:rPr>
              <w:t>2,5 mg/kg IV (HM), répétition q5 min, max 10 mg/kg</w:t>
            </w:r>
          </w:p>
        </w:tc>
        <w:tc>
          <w:tcPr>
            <w:tcW w:type="dxa" w:w="1039"/>
          </w:tcPr>
          <w:p>
            <w:r>
              <w:rPr>
                <w:sz w:val="20"/>
              </w:rPr>
              <w:t>8-12 h</w:t>
            </w:r>
          </w:p>
        </w:tc>
        <w:tc>
          <w:tcPr>
            <w:tcW w:type="dxa" w:w="1039"/>
          </w:tcPr>
          <w:p>
            <w:r>
              <w:rPr>
                <w:sz w:val="20"/>
              </w:rPr>
              <w:t>⚠ RETIRÉ du marché (alerte sécurité anesthésique majeure)</w:t>
            </w:r>
          </w:p>
        </w:tc>
        <w:tc>
          <w:tcPr>
            <w:tcW w:type="dxa" w:w="1039"/>
          </w:tcPr>
          <w:p>
            <w:r>
              <w:rPr>
                <w:sz w:val="20"/>
              </w:rPr>
              <w:t>Reconstitution avec EPPI seul, succinylcholine CI absolue, hépatotoxicité chronique</w:t>
            </w:r>
          </w:p>
        </w:tc>
      </w:tr>
      <w:tr>
        <w:tc>
          <w:tcPr>
            <w:tcW w:type="dxa" w:w="1039"/>
          </w:tcPr>
          <w:p>
            <w:r>
              <w:rPr>
                <w:sz w:val="20"/>
              </w:rPr>
              <w:t>**Acide tranexamique**</w:t>
            </w:r>
          </w:p>
        </w:tc>
        <w:tc>
          <w:tcPr>
            <w:tcW w:type="dxa" w:w="1039"/>
          </w:tcPr>
          <w:p>
            <w:r>
              <w:rPr>
                <w:sz w:val="20"/>
              </w:rPr>
              <w:t>Antifibrinolytique</w:t>
            </w:r>
          </w:p>
        </w:tc>
        <w:tc>
          <w:tcPr>
            <w:tcW w:type="dxa" w:w="1039"/>
          </w:tcPr>
          <w:p>
            <w:r>
              <w:rPr>
                <w:sz w:val="20"/>
              </w:rPr>
              <w:t>Plasminogène (blocage site lysine)</w:t>
            </w:r>
          </w:p>
        </w:tc>
        <w:tc>
          <w:tcPr>
            <w:tcW w:type="dxa" w:w="1039"/>
          </w:tcPr>
          <w:p>
            <w:r>
              <w:rPr>
                <w:sz w:val="20"/>
              </w:rPr>
              <w:t>Choc hémorragique traumatique (CRASH-2), HPP (WOMAN), chirurgie cardiaque, ménorragies</w:t>
            </w:r>
          </w:p>
        </w:tc>
        <w:tc>
          <w:tcPr>
            <w:tcW w:type="dxa" w:w="1039"/>
          </w:tcPr>
          <w:p>
            <w:r>
              <w:rPr>
                <w:sz w:val="20"/>
              </w:rPr>
              <w:t>IV lente (10 min/1 g), per os, topique</w:t>
            </w:r>
          </w:p>
        </w:tc>
        <w:tc>
          <w:tcPr>
            <w:tcW w:type="dxa" w:w="1039"/>
          </w:tcPr>
          <w:p>
            <w:r>
              <w:rPr>
                <w:sz w:val="20"/>
              </w:rPr>
              <w:t>1 g IV bolus + 1 g IV perfusion 8 h (CRASH-2/WOMAN)</w:t>
            </w:r>
          </w:p>
        </w:tc>
        <w:tc>
          <w:tcPr>
            <w:tcW w:type="dxa" w:w="1039"/>
          </w:tcPr>
          <w:p>
            <w:r>
              <w:rPr>
                <w:sz w:val="20"/>
              </w:rPr>
              <w:t>2-3 h</w:t>
            </w:r>
          </w:p>
        </w:tc>
        <w:tc>
          <w:tcPr>
            <w:tcW w:type="dxa" w:w="1039"/>
          </w:tcPr>
          <w:p>
            <w:r>
              <w:rPr>
                <w:sz w:val="20"/>
              </w:rPr>
              <w:t>2 spécialités actives (Bioindustria, MS Pharma)</w:t>
            </w:r>
          </w:p>
        </w:tc>
        <w:tc>
          <w:tcPr>
            <w:tcW w:type="dxa" w:w="1039"/>
          </w:tcPr>
          <w:p>
            <w:r>
              <w:rPr>
                <w:sz w:val="20"/>
              </w:rPr>
              <w:t>Délai &lt; 3 h (trauma), insuffisance rénale (adapter), convulsions à forte dose</w:t>
            </w:r>
          </w:p>
        </w:tc>
      </w:tr>
      <w:tr>
        <w:tc>
          <w:tcPr>
            <w:tcW w:type="dxa" w:w="1039"/>
          </w:tcPr>
          <w:p>
            <w:r>
              <w:rPr>
                <w:sz w:val="20"/>
              </w:rPr>
              <w:t>**Calcium (chlorure/gluconate)**</w:t>
            </w:r>
          </w:p>
        </w:tc>
        <w:tc>
          <w:tcPr>
            <w:tcW w:type="dxa" w:w="1039"/>
          </w:tcPr>
          <w:p>
            <w:r>
              <w:rPr>
                <w:sz w:val="20"/>
              </w:rPr>
              <w:t>Soluté électrolytique</w:t>
            </w:r>
          </w:p>
        </w:tc>
        <w:tc>
          <w:tcPr>
            <w:tcW w:type="dxa" w:w="1039"/>
          </w:tcPr>
          <w:p>
            <w:r>
              <w:rPr>
                <w:sz w:val="20"/>
              </w:rPr>
              <w:t>Membrane myocardique (stabilisation)</w:t>
            </w:r>
          </w:p>
        </w:tc>
        <w:tc>
          <w:tcPr>
            <w:tcW w:type="dxa" w:w="1039"/>
          </w:tcPr>
          <w:p>
            <w:r>
              <w:rPr>
                <w:sz w:val="20"/>
              </w:rPr>
              <w:t>Hyperkaliémie menaçante, hypocalcémie sévère, intoxication ICC, hypermagnésémie</w:t>
            </w:r>
          </w:p>
        </w:tc>
        <w:tc>
          <w:tcPr>
            <w:tcW w:type="dxa" w:w="1039"/>
          </w:tcPr>
          <w:p>
            <w:r>
              <w:rPr>
                <w:sz w:val="20"/>
              </w:rPr>
              <w:t>IV lente, voie centrale (chlorure)</w:t>
            </w:r>
          </w:p>
        </w:tc>
        <w:tc>
          <w:tcPr>
            <w:tcW w:type="dxa" w:w="1039"/>
          </w:tcPr>
          <w:p>
            <w:r>
              <w:rPr>
                <w:sz w:val="20"/>
              </w:rPr>
              <w:t>1 g IV en 5-10 min (hyperkaliémie), 1-3 g IV (intoxication ICC)</w:t>
            </w:r>
          </w:p>
        </w:tc>
        <w:tc>
          <w:tcPr>
            <w:tcW w:type="dxa" w:w="1039"/>
          </w:tcPr>
          <w:p>
            <w:r>
              <w:rPr>
                <w:sz w:val="20"/>
              </w:rPr>
              <w:t>10-15 min</w:t>
            </w:r>
          </w:p>
        </w:tc>
        <w:tc>
          <w:tcPr>
            <w:tcW w:type="dxa" w:w="1039"/>
          </w:tcPr>
          <w:p>
            <w:r>
              <w:rPr>
                <w:sz w:val="20"/>
              </w:rPr>
              <w:t>1 spécialité active (Calcipack, IMC)</w:t>
            </w:r>
          </w:p>
        </w:tc>
        <w:tc>
          <w:tcPr>
            <w:tcW w:type="dxa" w:w="1039"/>
          </w:tcPr>
          <w:p>
            <w:r>
              <w:rPr>
                <w:sz w:val="20"/>
              </w:rPr>
              <w:t>Voie centrale pour chlorure, CI digitaliques, CI céftriaxone nouveau-né, ne pas mélanger bicarbonate</w:t>
            </w:r>
          </w:p>
        </w:tc>
      </w:tr>
      <w:tr>
        <w:tc>
          <w:tcPr>
            <w:tcW w:type="dxa" w:w="1039"/>
          </w:tcPr>
          <w:p>
            <w:r>
              <w:rPr>
                <w:sz w:val="20"/>
              </w:rPr>
              <w:t>**Glucagon**</w:t>
            </w:r>
          </w:p>
        </w:tc>
        <w:tc>
          <w:tcPr>
            <w:tcW w:type="dxa" w:w="1039"/>
          </w:tcPr>
          <w:p>
            <w:r>
              <w:rPr>
                <w:sz w:val="20"/>
              </w:rPr>
              <w:t>Antagoniste hypoglycémie/β-bloquants</w:t>
            </w:r>
          </w:p>
        </w:tc>
        <w:tc>
          <w:tcPr>
            <w:tcW w:type="dxa" w:w="1039"/>
          </w:tcPr>
          <w:p>
            <w:r>
              <w:rPr>
                <w:sz w:val="20"/>
              </w:rPr>
              <w:t>Récepteur GCGR (couplé Gs)</w:t>
            </w:r>
          </w:p>
        </w:tc>
        <w:tc>
          <w:tcPr>
            <w:tcW w:type="dxa" w:w="1039"/>
          </w:tcPr>
          <w:p>
            <w:r>
              <w:rPr>
                <w:sz w:val="20"/>
              </w:rPr>
              <w:t>Hypoglycémie sévère (1 mg IM/SC/IV), surdosage β-bloquants (5-10 mg IV + 1-5 mg/h)</w:t>
            </w:r>
          </w:p>
        </w:tc>
        <w:tc>
          <w:tcPr>
            <w:tcW w:type="dxa" w:w="1039"/>
          </w:tcPr>
          <w:p>
            <w:r>
              <w:rPr>
                <w:sz w:val="20"/>
              </w:rPr>
              <w:t>IM, SC, IV</w:t>
            </w:r>
          </w:p>
        </w:tc>
        <w:tc>
          <w:tcPr>
            <w:tcW w:type="dxa" w:w="1039"/>
          </w:tcPr>
          <w:p>
            <w:r>
              <w:rPr>
                <w:sz w:val="20"/>
              </w:rPr>
              <w:t>1 mg IM/SC/IV (hypoglycémie), 5-10 mg IV + 1-5 mg/h (β-bloquant)</w:t>
            </w:r>
          </w:p>
        </w:tc>
        <w:tc>
          <w:tcPr>
            <w:tcW w:type="dxa" w:w="1039"/>
          </w:tcPr>
          <w:p>
            <w:r>
              <w:rPr>
                <w:sz w:val="20"/>
              </w:rPr>
              <w:t>3-6 min (IV), 8-18 min (IM/SC)</w:t>
            </w:r>
          </w:p>
        </w:tc>
        <w:tc>
          <w:tcPr>
            <w:tcW w:type="dxa" w:w="1039"/>
          </w:tcPr>
          <w:p>
            <w:r>
              <w:rPr>
                <w:sz w:val="20"/>
              </w:rPr>
              <w:t>1 spécialité active (GlucaGen HypoKit, Novo Nordisk)</w:t>
            </w:r>
          </w:p>
        </w:tc>
        <w:tc>
          <w:tcPr>
            <w:tcW w:type="dxa" w:w="1039"/>
          </w:tcPr>
          <w:p>
            <w:r>
              <w:rPr>
                <w:sz w:val="20"/>
              </w:rPr>
              <w:t>Inefficace si jeûne prolongé ou insuffisance hépatique, nausées/vomissements à forte dose</w:t>
            </w:r>
          </w:p>
        </w:tc>
      </w:tr>
    </w:tbl>
    <w:p/>
    <w:p>
      <w:pPr>
        <w:pStyle w:val="Heading3"/>
      </w:pPr>
      <w:r>
        <w:t>184.7.1 Synthèse des alertes critiques algériennes</w:t>
      </w:r>
    </w:p>
    <w:p>
      <w:r>
        <w:t>Le chapitre 184 met en évidence plusieurs alertes critiques de disponibilité en Algérie qui doivent alerter les pharmaciens hospitaliers, les réanimateurs, les anesthésistes et les autorités sanitaires :</w:t>
      </w:r>
    </w:p>
    <w:p>
      <w:pPr>
        <w:pStyle w:val="ListNumber"/>
      </w:pPr>
      <w:r/>
      <w:r>
        <w:rPr>
          <w:b/>
        </w:rPr>
        <w:t>DANTROLÈNE RETIRÉ DU MARCHÉ</w:t>
      </w:r>
      <w:r>
        <w:t xml:space="preserve"> : alerte sécurité anesthésique absolue. L'absence de dantrolène en bloc opératoire expose les patients à un risque vital non couvert en cas d'hyperthermie maligne anesthésique (mortalité 70-80 % sans traitement). Action urgente requise : procédure d'ATU pour importation, protocole « trigger-free » systématique, signalement aux autorités sanitaires.</w:t>
      </w:r>
    </w:p>
    <w:p>
      <w:pPr>
        <w:pStyle w:val="ListNumber"/>
      </w:pPr>
      <w:r/>
      <w:r>
        <w:rPr>
          <w:b/>
        </w:rPr>
        <w:t>NORADRÉNALINE NON_RENOUVELABLE</w:t>
      </w:r>
      <w:r>
        <w:t xml:space="preserve"> : alerte sécurité réanimation majeure. Le vasopresseur de première intention du choc septique n'est plus renouvelé. Action urgente : stock de sécurité minimum 30 jours, procédure d'ATU, protocole alternatif par adrénaline.</w:t>
      </w:r>
    </w:p>
    <w:p>
      <w:pPr>
        <w:pStyle w:val="ListNumber"/>
      </w:pPr>
      <w:r/>
      <w:r>
        <w:rPr>
          <w:b/>
        </w:rPr>
        <w:t>DOBUTAMINE limitée à une seule spécialité active (Cardiject, Sun Pharma)</w:t>
      </w:r>
      <w:r>
        <w:t xml:space="preserve"> : risque de rupture de stock en cas de problème d'approvisionnement. Action : stock de sécurité, ATU alternative.</w:t>
      </w:r>
    </w:p>
    <w:p>
      <w:pPr>
        <w:pStyle w:val="ListNumber"/>
      </w:pPr>
      <w:r/>
      <w:r>
        <w:rPr>
          <w:b/>
        </w:rPr>
        <w:t>ADRENALINE Aguettant NON_RENOUVELABLE</w:t>
      </w:r>
      <w:r>
        <w:t xml:space="preserve"> (forme 0,25 mg/mL pédiatrique et 1 mg/mL adulte) : adaptation par les spécialités actives (HUP, Razes, Drinal), mais nécessité de dilution pédiatrique extemporanée.</w:t>
      </w:r>
    </w:p>
    <w:p>
      <w:pPr>
        <w:pStyle w:val="ListNumber"/>
      </w:pPr>
      <w:r/>
      <w:r>
        <w:rPr>
          <w:b/>
        </w:rPr>
        <w:t>CALCIUM injectable limité à une seule spécialité active (Calcipack, IMC) en chlorure de calcium</w:t>
      </w:r>
      <w:r>
        <w:t xml:space="preserve"> : les formes gluconate et glubionate sont non disponibles. Action : adaptation par dilution pour voie périphérique, formation à la manipulation du chlorure.</w:t>
      </w:r>
    </w:p>
    <w:p>
      <w:pPr>
        <w:pStyle w:val="ListNumber"/>
      </w:pPr>
      <w:r/>
      <w:r>
        <w:rPr>
          <w:b/>
        </w:rPr>
        <w:t>GLUCAGON limité à une seule spécialité active (GlucaGen HypoKit, Novo Nordisk)</w:t>
      </w:r>
      <w:r>
        <w:t xml:space="preserve"> : disponible mais coût et prescription médicale en limitent l'accès. Action : sensibilisation des diabétiques insulinés à la détention d'un kit à domicile.</w:t>
      </w:r>
    </w:p>
    <w:p>
      <w:pPr>
        <w:pStyle w:val="ListNumber"/>
      </w:pPr>
      <w:r/>
      <w:r>
        <w:rPr>
          <w:b/>
        </w:rPr>
        <w:t>ACIDE TRANEXAMIQUE disponible (2 spécialités actives)</w:t>
      </w:r>
      <w:r>
        <w:t xml:space="preserve"> : bonne sécurité d'approvisionnement, mais conditionnement en ampoules de 5 mL (500 mg) impose une préparation pour perfusion continue.</w:t>
      </w:r>
    </w:p>
    <w:p>
      <w:r>
        <w:t>Ces alertes doivent être portées à la connaissance des autorités sanitaires algériennes (Ministère de la Santé, Direction de la Pharmacie et du Médicament), des sociétés savantes (Société Algérienne d'Anesthésie-Réanimation SAAR, Société Algérienne de Réanimation SAR), des établissements de santé (CHU Mustapha, CHU Néfissa Hamoud, CHU Beni-Messous, CHU Oran, EHSTO d'Oran) et des pharmaciens hospitaliers, pour la mise en place de procédures d'ATU et de protocoles alternatifs garantissant la sécurité des patients en réanimation et anesthésie.</w:t>
      </w:r>
    </w:p>
    <w:p>
      <w:pPr>
        <w:pStyle w:val="Heading2"/>
      </w:pPr>
      <w:r>
        <w:t>184.8 Conclusion du chapitre 184</w:t>
      </w:r>
    </w:p>
    <w:p>
      <w:r>
        <w:t>Le chapitre 184, ultime chapitre du Fascicule XIX consacré à l'Anesthésie-Réanimation, a présenté en détail les sept dénominations communes internationales (DCI) qui constituent l'arsenal thérapeutique critique de la réanimation d'urgence en Algérie : adrénaline, noradrénaline, dobutamine, dantrolène, acide tranexamique, calcium et glucagon. Ces sept molécules, réparties en six sous-classes pharmacologiques, couvrent l'ensemble des urgences vitales de la réanimation : arrêt cardiaque et anaphylaxie (adrénaline), choc septique et choc distributif (noradrénaline), choc cardiogénique et bas débit cardiaque (dobutamine), hyperthermie maligne anesthésique (dantrolène), choc hémorragique traumatique et obstétrical (acide tranexamique), hyperkaliémie menaçante et intoxication par inhibiteurs calciques (calcium), hypoglycémie sévère et surdosage par β-bloquants (glucagon).</w:t>
      </w:r>
    </w:p>
    <w:p>
      <w:r>
        <w:t>Pour chacune de ces molécules, les douze rubriques systématiques (catégories pharmaco-thérapeutiques et indications, médicaments disponibles en Algérie, mécanisme d'action moléculaire cellulaire et physiologique, pharmacocinétique, indications thérapeutiques, posologie et modes d'administration, effets indésirables et prévention, interactions médicamenteuses, grossesse allaitement et CRAT, formes galéniques disponibles, conseils au patient et à l'équipe soignante, pièges au comptoir et règles d'or) ont été traitées avec un niveau de détail adapté à la fois à la pratique clinique en réanimation et à l'enseignement académique de la pharmacologie clinique aux étudiants en pharmacie et en médecine.</w:t>
      </w:r>
    </w:p>
    <w:p>
      <w:r>
        <w:t>L'accent a été mis sur plusieurs points critiques spécifiques au contexte algérien : (1) la situation de pénurie NON_RENOUVELABLE de la noradrénaline, vasopresseur de référence du choc septique ; (2) le retrait du dantrolène, médicament essentiel de sécurité anesthésique, qui expose les patients à un risque vital non couvert en cas d'hyperthermie maligne anesthésique ; (3) la limitation de l'approvisionnement en dobutamine à une seule spécialité active (Cardiject, Sun Pharma) ; (4) la nécessité de stratégies alternatives d'approvisionnement (procédures d'ATU, protocoles alternatifs, stocks de sécurité minimum de 30 jours) ; (5) le signalement systématique des ruptures de stock à la pharmacovigilance nationale et au Ministère de la Santé algérien.</w:t>
      </w:r>
    </w:p>
    <w:p>
      <w:r>
        <w:t>Ce chapitre s'achève sur un appel à la vigilance des autorités sanitaires algériennes, des sociétés savantes (SAAR, SAR), des établissements de santé et des pharmaciens hospitaliers pour garantir la disponibilité des médicaments essentiels de la réanimation et de l'anesthésie, condition sine qua non de la sécurité des patients algériens pris en charge en urgence vitale. La pharmacologie clinique ne se résume pas à la connaissance des molécules : elle implique également une politique du médicament garantissant l'accès aux traitements essentiels pour tous les patients, dans tous les services d'urgence, à tout moment.</w:t>
      </w:r>
    </w:p>
    <w:p>
      <w:r/>
      <w:r>
        <w:rPr>
          <w:b/>
        </w:rPr>
        <w:t>Références bibliographiques principales</w:t>
      </w:r>
      <w:r/>
    </w:p>
    <w:p>
      <w:pPr>
        <w:pStyle w:val="ListNumber"/>
      </w:pPr>
      <w:r>
        <w:t>European Resuscitation Council (ERC) Guidelines 2021 — Anesthésie-Réanimation d'urgence.</w:t>
      </w:r>
    </w:p>
    <w:p>
      <w:pPr>
        <w:pStyle w:val="ListNumber"/>
      </w:pPr>
      <w:r>
        <w:t>Surviving Sepsis Campaign (SSC) Guidelines 2021 — ESICM, SCCM.</w:t>
      </w:r>
    </w:p>
    <w:p>
      <w:pPr>
        <w:pStyle w:val="ListNumber"/>
      </w:pPr>
      <w:r>
        <w:t>World Allergy Organization (WAO) Anaphylaxis Guidelines 2020.</w:t>
      </w:r>
    </w:p>
    <w:p>
      <w:pPr>
        <w:pStyle w:val="ListNumber"/>
      </w:pPr>
      <w:r>
        <w:t>SFAR (Société Française d'Anesthésie-Réanimation) — Choc anaphylactique peranesthésique (révision 2024).</w:t>
      </w:r>
    </w:p>
    <w:p>
      <w:pPr>
        <w:pStyle w:val="ListNumber"/>
      </w:pPr>
      <w:r>
        <w:t>EMHG (European Malignant Hyperthermia Group) Guidelines 2019.</w:t>
      </w:r>
    </w:p>
    <w:p>
      <w:pPr>
        <w:pStyle w:val="ListNumber"/>
      </w:pPr>
      <w:r>
        <w:t>AAGBI Safety Guideline — Malignant Hyperthermia 2011.</w:t>
      </w:r>
    </w:p>
    <w:p>
      <w:pPr>
        <w:pStyle w:val="ListNumber"/>
      </w:pPr>
      <w:r>
        <w:t>CRASH-2 Trial Collaborators (2010). Effects of tranexamic acid on death, vascular occlusive events, and blood transfusion in trauma patients with significant haemorrhage. Lancet, 376(9734), 23-32.</w:t>
      </w:r>
    </w:p>
    <w:p>
      <w:pPr>
        <w:pStyle w:val="ListNumber"/>
      </w:pPr>
      <w:r>
        <w:t>WOMAN Trial Collaborators (2017). Effect of early tranexamic acid administration on mortality, hysterectomy, and other morbidities in women with post-partum haemorrhage (WOMAN). Lancet, 389(10084), 2105-2116.</w:t>
      </w:r>
    </w:p>
    <w:p>
      <w:pPr>
        <w:pStyle w:val="ListNumber"/>
      </w:pPr>
      <w:r>
        <w:t>ATACAS Trial Collaborators (2017). Aspirin and Tranexamic Acid for Coronary Artery Surgery. NEJM, 377(1), 31-41.</w:t>
      </w:r>
    </w:p>
    <w:p>
      <w:pPr>
        <w:pStyle w:val="ListNumber"/>
      </w:pPr>
      <w:r>
        <w:t>POISE-3 Trial Collaborators (2022). Tranexamic Acid in Patients Undergoing Noncardiac Surgery. Lancet.</w:t>
      </w:r>
    </w:p>
    <w:p>
      <w:pPr>
        <w:pStyle w:val="ListNumber"/>
      </w:pPr>
      <w:r>
        <w:t>CRAT (Centre de Renseignement sur les Agents Tératogènes) — Fiches grossesse-allaitement.</w:t>
      </w:r>
    </w:p>
    <w:p>
      <w:pPr>
        <w:pStyle w:val="ListNumber"/>
      </w:pPr>
      <w:r>
        <w:t>VIDAL 2026 — Dictionnaire des médicaments.</w:t>
      </w:r>
    </w:p>
    <w:p>
      <w:pPr>
        <w:pStyle w:val="ListNumber"/>
      </w:pPr>
      <w:r>
        <w:t>ANSM (Agence Nationale de Sécurité du Médicament) — Résumés des Caractéristiques du Produit.</w:t>
      </w:r>
    </w:p>
    <w:p>
      <w:pPr>
        <w:pStyle w:val="ListNumber"/>
      </w:pPr>
      <w:r>
        <w:t>Thériaque — Banque de données sur les médicaments.</w:t>
      </w:r>
    </w:p>
    <w:p>
      <w:pPr>
        <w:pStyle w:val="ListNumber"/>
      </w:pPr>
      <w:r>
        <w:t>UpToDate — Anesthesia &amp; Critical Care topics.</w:t>
      </w:r>
    </w:p>
    <w:p>
      <w:pPr>
        <w:pStyle w:val="ListNumber"/>
      </w:pPr>
      <w:r>
        <w:t>Nomenclature algérienne des médicaments — COMPLETE LISTE.xlsx (Avril 2026), Ministère de la Santé algérien.</w:t>
      </w:r>
    </w:p>
    <w:p>
      <w:pPr>
        <w:pStyle w:val="ListNumber"/>
      </w:pPr>
      <w:r>
        <w:t>Société Algérienne d'Anesthésie-Réanimation (SAAR) — Recommandations nationales.</w:t>
      </w:r>
    </w:p>
    <w:p>
      <w:pPr>
        <w:pStyle w:val="ListNumber"/>
      </w:pPr>
      <w:r>
        <w:t>De Backer D, Biston P, Devriendt J, et al. SOAP II Investigators. Comparison of dopamine and norepinephrine in the treatment of shock. NEJM 2010; 362:779-789.</w:t>
      </w:r>
    </w:p>
    <w:p>
      <w:pPr>
        <w:pStyle w:val="ListNumber"/>
      </w:pPr>
      <w:r>
        <w:t>Price S, Juggren E, Ugander M, et al. Norepinephrine vs epinephrine in cardiogenic shock after acute myocardial infarction. J Am Coll Cardiol 2018; 72(15):1737-1745.</w:t>
      </w:r>
    </w:p>
    <w:p>
      <w:pPr>
        <w:pStyle w:val="ListNumber"/>
      </w:pPr>
      <w:r>
        <w:t>European Society of Cardiology (ESC) — Guidelines on Acute and Chronic Heart Failure 2021.</w:t>
      </w:r>
    </w:p>
    <w:p>
      <w:r/>
      <w:r>
        <w:rPr>
          <w:i/>
        </w:rPr>
        <w:t>Fin du chapitre 184 — Fascicule XIX Anesthésie-Réanimation.</w:t>
      </w:r>
      <w:r/>
    </w:p>
    <w:sectPr w:rsidR="00FC693F" w:rsidRPr="0006063C" w:rsidSect="00034616">
      <w:headerReference w:type="default" r:id="rId9"/>
      <w:footerReference w:type="default" r:id="rId10"/>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Anesthésie-Réanimation en Algérie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3D9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3D9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E74B5"/>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