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400"/>
      </w:pPr>
    </w:p>
    <w:p>
      <w:pPr>
        <w:pStyle w:val="Title"/>
        <w:jc w:val="center"/>
      </w:pPr>
      <w:r>
        <w:rPr>
          <w:rFonts w:ascii="Calibri" w:hAnsi="Calibri"/>
          <w:b/>
          <w:color w:val="0B3D91"/>
          <w:sz w:val="72"/>
        </w:rPr>
        <w:t>LIVRE TECHNIQUE</w:t>
        <w:br/>
        <w:t>DE PHARMACOLOGIE CLINIQUE</w:t>
      </w:r>
    </w:p>
    <w:p>
      <w:pPr>
        <w:spacing w:before="240" w:after="120"/>
        <w:jc w:val="center"/>
      </w:pPr>
      <w:r>
        <w:rPr>
          <w:rFonts w:ascii="Calibri" w:hAnsi="Calibri"/>
          <w:b/>
          <w:color w:val="C0392B"/>
          <w:sz w:val="56"/>
        </w:rPr>
        <w:t>ANTIBIOTIQUES</w:t>
      </w:r>
    </w:p>
    <w:p>
      <w:pPr>
        <w:jc w:val="center"/>
      </w:pPr>
      <w:r>
        <w:rPr>
          <w:rFonts w:ascii="Calibri" w:hAnsi="Calibri"/>
          <w:i/>
          <w:color w:val="606060"/>
          <w:sz w:val="40"/>
        </w:rPr>
        <w:t>en Algérie</w:t>
      </w:r>
    </w:p>
    <w:p>
      <w:pPr>
        <w:spacing w:before="400" w:after="400"/>
        <w:jc w:val="center"/>
      </w:pPr>
      <w:r>
        <w:rPr>
          <w:color w:val="0B3D91"/>
          <w:sz w:val="28"/>
        </w:rPr>
        <w:t>━━━━━━━━━━━━━━━━━━━━━━━━━━━━━━</w:t>
      </w:r>
    </w:p>
    <w:p>
      <w:pPr>
        <w:jc w:val="center"/>
      </w:pPr>
      <w:r>
        <w:rPr>
          <w:rFonts w:ascii="Calibri" w:hAnsi="Calibri"/>
          <w:b/>
          <w:color w:val="1F4E79"/>
          <w:sz w:val="36"/>
        </w:rPr>
        <w:t>Fascicule I</w:t>
      </w:r>
    </w:p>
    <w:p>
      <w:pPr>
        <w:jc w:val="center"/>
      </w:pPr>
      <w:r>
        <w:rPr>
          <w:rFonts w:ascii="Calibri" w:hAnsi="Calibri"/>
          <w:i/>
          <w:color w:val="606060"/>
          <w:sz w:val="28"/>
        </w:rPr>
        <w:t>Anti-infectieux bactériostatiques et bactéricides</w:t>
      </w:r>
    </w:p>
    <w:p>
      <w:pPr>
        <w:spacing w:before="1600"/>
      </w:pPr>
    </w:p>
    <w:p>
      <w:pPr>
        <w:jc w:val="center"/>
      </w:pPr>
      <w:r>
        <w:rPr>
          <w:rFonts w:ascii="Calibri" w:hAnsi="Calibri"/>
          <w:color w:val="404040"/>
          <w:sz w:val="24"/>
        </w:rPr>
        <w:t>Manuel académique et pratique pour étudiants en pharmacie d'officine</w:t>
      </w:r>
    </w:p>
    <w:p>
      <w:pPr>
        <w:jc w:val="center"/>
      </w:pPr>
      <w:r>
        <w:rPr>
          <w:rFonts w:ascii="Calibri" w:hAnsi="Calibri"/>
          <w:i/>
          <w:color w:val="606060"/>
          <w:sz w:val="22"/>
        </w:rPr>
        <w:t>Basé sur la nomenclature officielle des médicaments enregistrés en Algérie (Avril 2026)</w:t>
      </w:r>
    </w:p>
    <w:p>
      <w:pPr>
        <w:spacing w:before="1200"/>
      </w:pPr>
    </w:p>
    <w:p>
      <w:pPr>
        <w:jc w:val="center"/>
      </w:pPr>
      <w:r>
        <w:rPr>
          <w:rFonts w:ascii="Calibri" w:hAnsi="Calibri"/>
          <w:b/>
          <w:color w:val="0B3D91"/>
          <w:sz w:val="22"/>
        </w:rPr>
        <w:t>107 DCI traitées  •  950+ spécialités commerciales  •  150+ laboratoires</w:t>
      </w:r>
    </w:p>
    <w:p>
      <w:pPr>
        <w:spacing w:before="1600"/>
      </w:pPr>
    </w:p>
    <w:p>
      <w:pPr>
        <w:jc w:val="center"/>
      </w:pPr>
      <w:r>
        <w:rPr>
          <w:rFonts w:ascii="Calibri" w:hAnsi="Calibri"/>
          <w:b/>
          <w:color w:val="404040"/>
          <w:sz w:val="28"/>
        </w:rPr>
        <w:t>Édition Août 2026</w:t>
      </w:r>
    </w:p>
    <w:p>
      <w:pPr>
        <w:jc w:val="center"/>
      </w:pPr>
      <w:r>
        <w:rPr>
          <w:rFonts w:ascii="Calibri" w:hAnsi="Calibri"/>
          <w:i/>
          <w:color w:val="808080"/>
          <w:sz w:val="18"/>
        </w:rPr>
        <w:t>Sources : VIDAL • ANSM • Thériaque • OMS • CRAT • UpToDate • Micromedex</w:t>
      </w:r>
    </w:p>
    <w:p>
      <w:r>
        <w:br w:type="page"/>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1" w:name="X2fa6d38e12452d2ef1bb00e679fb10b0973519f"/>
    <w:bookmarkStart w:id="20" w:name="X6ed10c30ccb5ebda83bb80493c99ced26019d1d"/>
    <w:p>
      <w:r>
        <w:pict>
          <v:rect style="width:0;height:1.5pt" o:hralign="center" o:hrstd="t" o:hr="t"/>
        </w:pict>
      </w:r>
    </w:p>
    <w:bookmarkEnd w:id="20"/>
    <w:bookmarkStart w:id="29" w:name="avant-propos-et-méthodologie"/>
    <w:p>
      <w:pPr>
        <w:pStyle w:val="Heading2"/>
      </w:pPr>
      <w:r>
        <w:t xml:space="preserve">Avant-propos et méthodologie</w:t>
      </w:r>
    </w:p>
    <w:bookmarkStart w:id="21" w:name="objet-du-manuel"/>
    <w:p>
      <w:pPr>
        <w:pStyle w:val="Heading3"/>
      </w:pPr>
      <w:r>
        <w:t xml:space="preserve">1. Objet du manuel</w:t>
      </w:r>
    </w:p>
    <w:p>
      <w:pPr>
        <w:pStyle w:val="FirstParagraph"/>
      </w:pPr>
      <w:r>
        <w:t xml:space="preserve">Le présent ouvrage est un traité technique de pharmacologie clinique destiné aux étudiants en pharmacie d’officine et aux praticiens exerçant sur le territoire algérien. Il a pour vocation de fournir une description exhaustive, scientifiquement rigoureuse et directement applicable au comptoir, de l’ensemble des spécialités antibiotiques enregistrées auprès du Ministère de la Santé algérien. La base réglementaire de référence utilisée est le fichier officiel</w:t>
      </w:r>
      <w:r>
        <w:t xml:space="preserve"> </w:t>
      </w:r>
      <w:r>
        <w:rPr>
          <w:b/>
          <w:bCs/>
        </w:rPr>
        <w:t xml:space="preserve">« COMPLETE LISTE.xlsx »</w:t>
      </w:r>
      <w:r>
        <w:t xml:space="preserve"> </w:t>
      </w:r>
      <w:r>
        <w:t xml:space="preserve">compilant la nomenclature des médicaments à l’avril 2026, ainsi que les listes des spécialités</w:t>
      </w:r>
      <w:r>
        <w:t xml:space="preserve"> </w:t>
      </w:r>
      <w:r>
        <w:rPr>
          <w:b/>
          <w:bCs/>
        </w:rPr>
        <w:t xml:space="preserve">non renouvelables</w:t>
      </w:r>
      <w:r>
        <w:t xml:space="preserve"> </w:t>
      </w:r>
      <w:r>
        <w:t xml:space="preserve">et des spécialités</w:t>
      </w:r>
      <w:r>
        <w:t xml:space="preserve"> </w:t>
      </w:r>
      <w:r>
        <w:rPr>
          <w:b/>
          <w:bCs/>
        </w:rPr>
        <w:t xml:space="preserve">retirées</w:t>
      </w:r>
      <w:r>
        <w:t xml:space="preserve"> </w:t>
      </w:r>
      <w:r>
        <w:t xml:space="preserve">du marché.</w:t>
      </w:r>
    </w:p>
    <w:p>
      <w:pPr>
        <w:pStyle w:val="BodyText"/>
      </w:pPr>
      <w:r>
        <w:t xml:space="preserve">Ce manuel adopte une triple perspective :</w:t>
      </w:r>
    </w:p>
    <w:p>
      <w:pPr>
        <w:pStyle w:val="Compact"/>
        <w:numPr>
          <w:ilvl w:val="0"/>
          <w:numId w:val="1001"/>
        </w:numPr>
      </w:pPr>
      <w:r>
        <w:rPr>
          <w:b/>
          <w:bCs/>
        </w:rPr>
        <w:t xml:space="preserve">Pharmacologique fondamentale</w:t>
      </w:r>
      <w:r>
        <w:t xml:space="preserve"> </w:t>
      </w:r>
      <w:r>
        <w:t xml:space="preserve">: mécanisme d’action moléculaire, pharmacocinétique, pharmacodynamie, interactions médicamenteuses établies selon les données validées par les agences réglementaires.</w:t>
      </w:r>
    </w:p>
    <w:p>
      <w:pPr>
        <w:pStyle w:val="Compact"/>
        <w:numPr>
          <w:ilvl w:val="0"/>
          <w:numId w:val="1001"/>
        </w:numPr>
      </w:pPr>
      <w:r>
        <w:rPr>
          <w:b/>
          <w:bCs/>
        </w:rPr>
        <w:t xml:space="preserve">Clinique pratique</w:t>
      </w:r>
      <w:r>
        <w:t xml:space="preserve"> </w:t>
      </w:r>
      <w:r>
        <w:t xml:space="preserve">: indications validées par les autorisations de mise sur le marché (AMM), contre-indications absolues et relatives, profil de tolérance, posologie par tranche d’âge et par fonction rénale.</w:t>
      </w:r>
    </w:p>
    <w:p>
      <w:pPr>
        <w:pStyle w:val="Compact"/>
        <w:numPr>
          <w:ilvl w:val="0"/>
          <w:numId w:val="1001"/>
        </w:numPr>
      </w:pPr>
      <w:r>
        <w:rPr>
          <w:b/>
          <w:bCs/>
        </w:rPr>
        <w:t xml:space="preserve">Offiginale et pédagogique</w:t>
      </w:r>
      <w:r>
        <w:t xml:space="preserve"> </w:t>
      </w:r>
      <w:r>
        <w:t xml:space="preserve">: conseils au patient, gestion des effets indésirables au comptoir, arbitrage entre formes galéniques, pièges classiques de dispensation.</w:t>
      </w:r>
    </w:p>
    <w:bookmarkEnd w:id="21"/>
    <w:bookmarkStart w:id="22" w:name="X413a8f3074492907b636f664aca3fa4893290e9"/>
    <w:p>
      <w:pPr>
        <w:pStyle w:val="Heading3"/>
      </w:pPr>
      <w:r>
        <w:t xml:space="preserve">2. Sources académiques et médicales mobilisées</w:t>
      </w:r>
    </w:p>
    <w:p>
      <w:pPr>
        <w:pStyle w:val="FirstParagraph"/>
      </w:pPr>
      <w:r>
        <w:t xml:space="preserve">Conformément aux exigences de la pharmacologie fondée sur les preuves, l’ensemble des affirmations pharmacologiques, des schémas d’interactions et des recommandations posologiques a été vérifié en croisant les sources médicales de référence suivantes :</w:t>
      </w:r>
    </w:p>
    <w:p>
      <w:pPr>
        <w:pStyle w:val="Compact"/>
        <w:numPr>
          <w:ilvl w:val="0"/>
          <w:numId w:val="1002"/>
        </w:numPr>
      </w:pPr>
      <w:r>
        <w:rPr>
          <w:b/>
          <w:bCs/>
        </w:rPr>
        <w:t xml:space="preserve">VIDAL</w:t>
      </w:r>
      <w:r>
        <w:t xml:space="preserve"> </w:t>
      </w:r>
      <w:r>
        <w:t xml:space="preserve">: base de données française du médicament, pour les AMM, interactions et contre-indications.</w:t>
      </w:r>
    </w:p>
    <w:p>
      <w:pPr>
        <w:pStyle w:val="Compact"/>
        <w:numPr>
          <w:ilvl w:val="0"/>
          <w:numId w:val="1002"/>
        </w:numPr>
      </w:pPr>
      <w:r>
        <w:rPr>
          <w:b/>
          <w:bCs/>
        </w:rPr>
        <w:t xml:space="preserve">ANSM (Agence Nationale de Sécurité du Médicament et des produits de santé)</w:t>
      </w:r>
      <w:r>
        <w:t xml:space="preserve"> </w:t>
      </w:r>
      <w:r>
        <w:t xml:space="preserve">: recommandations, RCP, mises en garde.</w:t>
      </w:r>
    </w:p>
    <w:p>
      <w:pPr>
        <w:pStyle w:val="Compact"/>
        <w:numPr>
          <w:ilvl w:val="0"/>
          <w:numId w:val="1002"/>
        </w:numPr>
      </w:pPr>
      <w:r>
        <w:rPr>
          <w:b/>
          <w:bCs/>
        </w:rPr>
        <w:t xml:space="preserve">Thériaque</w:t>
      </w:r>
      <w:r>
        <w:t xml:space="preserve"> </w:t>
      </w:r>
      <w:r>
        <w:t xml:space="preserve">: banque de données pharmaceutiques française ( Centre National Hospitalier d’Information sur le Médicament ).</w:t>
      </w:r>
    </w:p>
    <w:p>
      <w:pPr>
        <w:pStyle w:val="Compact"/>
        <w:numPr>
          <w:ilvl w:val="0"/>
          <w:numId w:val="1002"/>
        </w:numPr>
      </w:pPr>
      <w:r>
        <w:rPr>
          <w:b/>
          <w:bCs/>
        </w:rPr>
        <w:t xml:space="preserve">OMS (Organisation Mondiale de la Santé)</w:t>
      </w:r>
      <w:r>
        <w:t xml:space="preserve"> </w:t>
      </w:r>
      <w:r>
        <w:t xml:space="preserve">: guides de traitement empirique, liste des médicaments essentiels (ATC).</w:t>
      </w:r>
    </w:p>
    <w:p>
      <w:pPr>
        <w:pStyle w:val="Compact"/>
        <w:numPr>
          <w:ilvl w:val="0"/>
          <w:numId w:val="1002"/>
        </w:numPr>
      </w:pPr>
      <w:r>
        <w:rPr>
          <w:b/>
          <w:bCs/>
        </w:rPr>
        <w:t xml:space="preserve">CRAT (Centre de Renseignement sur les Agents Tératogènes)</w:t>
      </w:r>
      <w:r>
        <w:t xml:space="preserve"> </w:t>
      </w:r>
      <w:r>
        <w:t xml:space="preserve">: données grossesse et allaitement.</w:t>
      </w:r>
    </w:p>
    <w:p>
      <w:pPr>
        <w:pStyle w:val="Compact"/>
        <w:numPr>
          <w:ilvl w:val="0"/>
          <w:numId w:val="1002"/>
        </w:numPr>
      </w:pPr>
      <w:r>
        <w:rPr>
          <w:b/>
          <w:bCs/>
        </w:rPr>
        <w:t xml:space="preserve">UpToDate, DynaMed, IBM Micromedex, BMJ Best Practice</w:t>
      </w:r>
      <w:r>
        <w:t xml:space="preserve"> </w:t>
      </w:r>
      <w:r>
        <w:t xml:space="preserve">: référentiels internationaux de pratique clinique.</w:t>
      </w:r>
    </w:p>
    <w:p>
      <w:pPr>
        <w:pStyle w:val="Compact"/>
        <w:numPr>
          <w:ilvl w:val="0"/>
          <w:numId w:val="1002"/>
        </w:numPr>
      </w:pPr>
      <w:r>
        <w:rPr>
          <w:b/>
          <w:bCs/>
        </w:rPr>
        <w:t xml:space="preserve">PubMed</w:t>
      </w:r>
      <w:r>
        <w:t xml:space="preserve"> </w:t>
      </w:r>
      <w:r>
        <w:t xml:space="preserve">: littérature primaire pour les mécanismes moléculaires et données récentes.</w:t>
      </w:r>
    </w:p>
    <w:p>
      <w:pPr>
        <w:pStyle w:val="FirstParagraph"/>
      </w:pPr>
      <w:r>
        <w:t xml:space="preserve">Les mentions relatives à la grossesse et à l’allaitement reproduisent fidèlement les évaluations du CRAT, qui demeurent la référence francophone de premier plan. Les schémas thérapeutiques de la tuberculose reposent sur les recommandations OMS et sur le Programme National de Lutte Antituberculeuse (PNLAT) algérien.</w:t>
      </w:r>
    </w:p>
    <w:bookmarkEnd w:id="22"/>
    <w:bookmarkStart w:id="23" w:name="Xbb6ee20f1d100b9ea5cfa532fbe7d975e65753a"/>
    <w:p>
      <w:pPr>
        <w:pStyle w:val="Heading3"/>
      </w:pPr>
      <w:r>
        <w:t xml:space="preserve">3. Structure du fichier source et conventions de lecture</w:t>
      </w:r>
    </w:p>
    <w:p>
      <w:pPr>
        <w:pStyle w:val="FirstParagraph"/>
      </w:pPr>
      <w:r>
        <w:t xml:space="preserve">Le fichier « COMPLETE LISTE.xlsx » se compose de trois feuilles distinctes :</w:t>
      </w:r>
    </w:p>
    <w:tbl>
      <w:tblPr>
        <w:tblStyle w:val="Table"/>
        <w:tblW w:type="pct" w:w="5000"/>
        <w:jc w:val="left"/>
        <w:tblLayout w:type="fixed"/>
        <w:tblLook w:firstRow="1" w:lastRow="0" w:firstColumn="0" w:lastColumn="0" w:noHBand="0" w:noVBand="0" w:val="0020"/>
      </w:tblPr>
      <w:tblGrid>
        <w:gridCol w:w="1454"/>
        <w:gridCol w:w="3555"/>
        <w:gridCol w:w="2909"/>
      </w:tblGrid>
      <w:tr>
        <w:trPr>
          <w:tblHeader w:val="on"/>
        </w:trPr>
        <w:tc>
          <w:tcPr/>
          <w:p>
            <w:pPr>
              <w:pStyle w:val="Compact"/>
              <w:jc w:val="left"/>
            </w:pPr>
            <w:r>
              <w:t xml:space="preserve">Feuille</w:t>
            </w:r>
          </w:p>
        </w:tc>
        <w:tc>
          <w:tcPr/>
          <w:p>
            <w:pPr>
              <w:pStyle w:val="Compact"/>
              <w:jc w:val="left"/>
            </w:pPr>
            <w:r>
              <w:t xml:space="preserve">Statut réglementaire</w:t>
            </w:r>
          </w:p>
        </w:tc>
        <w:tc>
          <w:tcPr/>
          <w:p>
            <w:pPr>
              <w:pStyle w:val="Compact"/>
              <w:jc w:val="left"/>
            </w:pPr>
            <w:r>
              <w:t xml:space="preserve">Nombre d’entrées</w:t>
            </w:r>
          </w:p>
        </w:tc>
      </w:tr>
      <w:tr>
        <w:tc>
          <w:tcPr/>
          <w:p>
            <w:pPr>
              <w:pStyle w:val="Compact"/>
              <w:jc w:val="left"/>
            </w:pPr>
            <w:r>
              <w:t xml:space="preserve">Nomenclature Avril 2026</w:t>
            </w:r>
          </w:p>
        </w:tc>
        <w:tc>
          <w:tcPr/>
          <w:p>
            <w:pPr>
              <w:pStyle w:val="Compact"/>
              <w:jc w:val="left"/>
            </w:pPr>
            <w:r>
              <w:rPr>
                <w:b/>
                <w:bCs/>
              </w:rPr>
              <w:t xml:space="preserve">ACTIF</w:t>
            </w:r>
            <w:r>
              <w:t xml:space="preserve"> </w:t>
            </w:r>
            <w:r>
              <w:t xml:space="preserve">— spécialités commercialisées</w:t>
            </w:r>
          </w:p>
        </w:tc>
        <w:tc>
          <w:tcPr/>
          <w:p>
            <w:pPr>
              <w:pStyle w:val="Compact"/>
              <w:jc w:val="left"/>
            </w:pPr>
            <w:r>
              <w:t xml:space="preserve">~5 350</w:t>
            </w:r>
          </w:p>
        </w:tc>
      </w:tr>
      <w:tr>
        <w:tc>
          <w:tcPr/>
          <w:p>
            <w:pPr>
              <w:pStyle w:val="Compact"/>
              <w:jc w:val="left"/>
            </w:pPr>
            <w:r>
              <w:t xml:space="preserve">Non Renouvelés</w:t>
            </w:r>
          </w:p>
        </w:tc>
        <w:tc>
          <w:tcPr/>
          <w:p>
            <w:pPr>
              <w:pStyle w:val="Compact"/>
              <w:jc w:val="left"/>
            </w:pPr>
            <w:r>
              <w:rPr>
                <w:b/>
                <w:bCs/>
              </w:rPr>
              <w:t xml:space="preserve">NON_RENOUVELABLE</w:t>
            </w:r>
            <w:r>
              <w:t xml:space="preserve"> </w:t>
            </w:r>
            <w:r>
              <w:t xml:space="preserve">— AMM non renouvelée (prescription hospitalière ou circuit spécial)</w:t>
            </w:r>
          </w:p>
        </w:tc>
        <w:tc>
          <w:tcPr/>
          <w:p>
            <w:pPr>
              <w:pStyle w:val="Compact"/>
              <w:jc w:val="left"/>
            </w:pPr>
            <w:r>
              <w:t xml:space="preserve">~1 510</w:t>
            </w:r>
          </w:p>
        </w:tc>
      </w:tr>
      <w:tr>
        <w:tc>
          <w:tcPr/>
          <w:p>
            <w:pPr>
              <w:pStyle w:val="Compact"/>
              <w:jc w:val="left"/>
            </w:pPr>
            <w:r>
              <w:t xml:space="preserve">Retraits</w:t>
            </w:r>
          </w:p>
        </w:tc>
        <w:tc>
          <w:tcPr/>
          <w:p>
            <w:pPr>
              <w:pStyle w:val="Compact"/>
              <w:jc w:val="left"/>
            </w:pPr>
            <w:r>
              <w:rPr>
                <w:b/>
                <w:bCs/>
              </w:rPr>
              <w:t xml:space="preserve">RETRAIT (R)</w:t>
            </w:r>
            <w:r>
              <w:t xml:space="preserve"> </w:t>
            </w:r>
            <w:r>
              <w:t xml:space="preserve">— spécialité retirée du marché</w:t>
            </w:r>
          </w:p>
        </w:tc>
        <w:tc>
          <w:tcPr/>
          <w:p>
            <w:pPr>
              <w:pStyle w:val="Compact"/>
              <w:jc w:val="left"/>
            </w:pPr>
            <w:r>
              <w:t xml:space="preserve">~2 690</w:t>
            </w:r>
          </w:p>
        </w:tc>
      </w:tr>
    </w:tbl>
    <w:p>
      <w:pPr>
        <w:pStyle w:val="BodyText"/>
      </w:pPr>
      <w:r>
        <w:t xml:space="preserve">Pour chaque spécialité sont renseignés : la DCI (Dénomination Commune Internationale), le nom commercial, la forme galénique, le dosage, le conditionnement, le tableau de liste (Liste I, Liste II, stupéfiants), et le laboratoire détenteur de la décision d’enregistrement.</w:t>
      </w:r>
    </w:p>
    <w:p>
      <w:pPr>
        <w:pStyle w:val="BodyText"/>
      </w:pPr>
      <w:r>
        <w:rPr>
          <w:b/>
          <w:bCs/>
        </w:rPr>
        <w:t xml:space="preserve">Convention de marquage des statuts</w:t>
      </w:r>
      <w:r>
        <w:t xml:space="preserve"> </w:t>
      </w:r>
      <w:r>
        <w:t xml:space="preserve">:</w:t>
      </w:r>
    </w:p>
    <w:p>
      <w:pPr>
        <w:pStyle w:val="Compact"/>
        <w:numPr>
          <w:ilvl w:val="0"/>
          <w:numId w:val="1003"/>
        </w:numPr>
      </w:pPr>
      <w:r>
        <w:t xml:space="preserve">Toute marque active est mentionnée sans marqueur particulier.</w:t>
      </w:r>
    </w:p>
    <w:p>
      <w:pPr>
        <w:pStyle w:val="Compact"/>
        <w:numPr>
          <w:ilvl w:val="0"/>
          <w:numId w:val="1003"/>
        </w:numPr>
      </w:pPr>
      <w:r>
        <w:t xml:space="preserve">Toute marque non renouvelable est signalée par la mention</w:t>
      </w:r>
      <w:r>
        <w:t xml:space="preserve"> </w:t>
      </w:r>
      <w:r>
        <w:rPr>
          <w:b/>
          <w:bCs/>
        </w:rPr>
        <w:t xml:space="preserve">(Non Renouvelable)</w:t>
      </w:r>
      <w:r>
        <w:t xml:space="preserve">.</w:t>
      </w:r>
    </w:p>
    <w:p>
      <w:pPr>
        <w:pStyle w:val="Compact"/>
        <w:numPr>
          <w:ilvl w:val="0"/>
          <w:numId w:val="1003"/>
        </w:numPr>
      </w:pPr>
      <w:r>
        <w:t xml:space="preserve">Toute marque retirée est signalée par la mention</w:t>
      </w:r>
      <w:r>
        <w:t xml:space="preserve"> </w:t>
      </w:r>
      <w:r>
        <w:rPr>
          <w:b/>
          <w:bCs/>
        </w:rPr>
        <w:t xml:space="preserve">(R)</w:t>
      </w:r>
      <w:r>
        <w:t xml:space="preserve">, conformément à la directive imposée par le cahier des charges.</w:t>
      </w:r>
    </w:p>
    <w:bookmarkEnd w:id="23"/>
    <w:bookmarkStart w:id="24" w:name="consolidation-des-dci"/>
    <w:p>
      <w:pPr>
        <w:pStyle w:val="Heading3"/>
      </w:pPr>
      <w:r>
        <w:t xml:space="preserve">4. Consolidation des DCI</w:t>
      </w:r>
    </w:p>
    <w:p>
      <w:pPr>
        <w:pStyle w:val="FirstParagraph"/>
      </w:pPr>
      <w:r>
        <w:t xml:space="preserve">La nomenclature algérienne contient de multiples entrées pour une même molécule du fait des variations de sels (chlorhydrate, sulfate, sel sodique), d’hydratation (mono-, di-, tri-hydrate) ou de formes pro-drogues. Ces variations n’affectent pas le profil pharmacologique fondamental, mais déterminent les dosages exprimés. Le présent ouvrage consolide ces entrées sous une</w:t>
      </w:r>
      <w:r>
        <w:t xml:space="preserve"> </w:t>
      </w:r>
      <w:r>
        <w:rPr>
          <w:b/>
          <w:bCs/>
        </w:rPr>
        <w:t xml:space="preserve">DCI canonique</w:t>
      </w:r>
      <w:r>
        <w:t xml:space="preserve"> </w:t>
      </w:r>
      <w:r>
        <w:t xml:space="preserve">unique par molécule, tout en conservant le détail exhaustif des formes, dosages et laboratoires associés.</w:t>
      </w:r>
    </w:p>
    <w:p>
      <w:pPr>
        <w:pStyle w:val="BodyText"/>
      </w:pPr>
      <w:r>
        <w:t xml:space="preserve">Exemple : l’ensemble des entrées</w:t>
      </w:r>
      <w:r>
        <w:t xml:space="preserve"> </w:t>
      </w:r>
      <w:r>
        <w:rPr>
          <w:rStyle w:val="VerbatimChar"/>
        </w:rPr>
        <w:t xml:space="preserve">AMOXICILLINE</w:t>
      </w:r>
      <w:r>
        <w:t xml:space="preserve">,</w:t>
      </w:r>
      <w:r>
        <w:t xml:space="preserve"> </w:t>
      </w:r>
      <w:r>
        <w:rPr>
          <w:rStyle w:val="VerbatimChar"/>
        </w:rPr>
        <w:t xml:space="preserve">AMOXICILLINE (TRIHYDRATE)</w:t>
      </w:r>
      <w:r>
        <w:t xml:space="preserve">,</w:t>
      </w:r>
      <w:r>
        <w:t xml:space="preserve"> </w:t>
      </w:r>
      <w:r>
        <w:rPr>
          <w:rStyle w:val="VerbatimChar"/>
        </w:rPr>
        <w:t xml:space="preserve">AMOXICILLINE SODIQUE</w:t>
      </w:r>
      <w:r>
        <w:t xml:space="preserve">,</w:t>
      </w:r>
      <w:r>
        <w:t xml:space="preserve"> </w:t>
      </w:r>
      <w:r>
        <w:rPr>
          <w:rStyle w:val="VerbatimChar"/>
        </w:rPr>
        <w:t xml:space="preserve">AMOXICILLINE TRIHYDRATE EXPRIME EN AMOXICILLINE</w:t>
      </w:r>
      <w:r>
        <w:t xml:space="preserve">, etc., est consolidé sous la fiche canonique</w:t>
      </w:r>
      <w:r>
        <w:t xml:space="preserve"> </w:t>
      </w:r>
      <w:r>
        <w:rPr>
          <w:b/>
          <w:bCs/>
        </w:rPr>
        <w:t xml:space="preserve">« Amoxicilline »</w:t>
      </w:r>
      <w:r>
        <w:t xml:space="preserve">, avec mention de toutes les formes commerciales associées.</w:t>
      </w:r>
    </w:p>
    <w:bookmarkEnd w:id="24"/>
    <w:bookmarkStart w:id="25" w:name="périmètre-de-ce-fascicule"/>
    <w:p>
      <w:pPr>
        <w:pStyle w:val="Heading3"/>
      </w:pPr>
      <w:r>
        <w:t xml:space="preserve">5. Périmètre de ce fascicule</w:t>
      </w:r>
    </w:p>
    <w:p>
      <w:pPr>
        <w:pStyle w:val="FirstParagraph"/>
      </w:pPr>
      <w:r>
        <w:t xml:space="preserve">Ce premier fascicule traite exclusivement de la</w:t>
      </w:r>
      <w:r>
        <w:t xml:space="preserve"> </w:t>
      </w:r>
      <w:r>
        <w:rPr>
          <w:b/>
          <w:bCs/>
        </w:rPr>
        <w:t xml:space="preserve">classe thérapeutique des antibiotiques systémiques et locaux</w:t>
      </w:r>
      <w:r>
        <w:t xml:space="preserve"> </w:t>
      </w:r>
      <w:r>
        <w:t xml:space="preserve">commercialisés ou ayant été commercialisés en Algérie. Il couvre l’ensemble des sous-classes suivantes :</w:t>
      </w:r>
    </w:p>
    <w:p>
      <w:pPr>
        <w:pStyle w:val="Compact"/>
        <w:numPr>
          <w:ilvl w:val="0"/>
          <w:numId w:val="1004"/>
        </w:numPr>
      </w:pPr>
      <w:r>
        <w:t xml:space="preserve">Bêta-lactamines — Pénicillines (G, V, A, M, carboxy, uréido, + inhibiteurs de β-lactamases)</w:t>
      </w:r>
    </w:p>
    <w:p>
      <w:pPr>
        <w:pStyle w:val="Compact"/>
        <w:numPr>
          <w:ilvl w:val="0"/>
          <w:numId w:val="1004"/>
        </w:numPr>
      </w:pPr>
      <w:r>
        <w:t xml:space="preserve">Bêta-lactamines — Céphalosporines (1re à 5e génération + inhibiteurs) et Carbapénèmes</w:t>
      </w:r>
    </w:p>
    <w:p>
      <w:pPr>
        <w:pStyle w:val="Compact"/>
        <w:numPr>
          <w:ilvl w:val="0"/>
          <w:numId w:val="1004"/>
        </w:numPr>
      </w:pPr>
      <w:r>
        <w:t xml:space="preserve">Macrolides, Kétolides, Lincosamides, Streptogramines, Oxazolidinones</w:t>
      </w:r>
    </w:p>
    <w:p>
      <w:pPr>
        <w:pStyle w:val="Compact"/>
        <w:numPr>
          <w:ilvl w:val="0"/>
          <w:numId w:val="1004"/>
        </w:numPr>
      </w:pPr>
      <w:r>
        <w:t xml:space="preserve">Aminoglycosides et Tétracyclines / Glycylcyclines</w:t>
      </w:r>
    </w:p>
    <w:p>
      <w:pPr>
        <w:pStyle w:val="Compact"/>
        <w:numPr>
          <w:ilvl w:val="0"/>
          <w:numId w:val="1004"/>
        </w:numPr>
      </w:pPr>
      <w:r>
        <w:t xml:space="preserve">Fluoroquinolones</w:t>
      </w:r>
    </w:p>
    <w:p>
      <w:pPr>
        <w:pStyle w:val="Compact"/>
        <w:numPr>
          <w:ilvl w:val="0"/>
          <w:numId w:val="1004"/>
        </w:numPr>
      </w:pPr>
      <w:r>
        <w:t xml:space="preserve">Sulfamides-Antifoliques, Nitro-imidazolés et Nitrofuranes</w:t>
      </w:r>
    </w:p>
    <w:p>
      <w:pPr>
        <w:pStyle w:val="Compact"/>
        <w:numPr>
          <w:ilvl w:val="0"/>
          <w:numId w:val="1004"/>
        </w:numPr>
      </w:pPr>
      <w:r>
        <w:t xml:space="preserve">Glycopeptides, Polypeptides, Lipopeptides, Amphénicolés, Acide fusidique, Fosfomycine</w:t>
      </w:r>
    </w:p>
    <w:p>
      <w:pPr>
        <w:pStyle w:val="Compact"/>
        <w:numPr>
          <w:ilvl w:val="0"/>
          <w:numId w:val="1004"/>
        </w:numPr>
      </w:pPr>
      <w:r>
        <w:t xml:space="preserve">Antituberculeux et associations antibiotiques locales (ophtalmologiques, ORL, dermatologiques)</w:t>
      </w:r>
    </w:p>
    <w:p>
      <w:pPr>
        <w:pStyle w:val="FirstParagraph"/>
      </w:pPr>
      <w:r>
        <w:t xml:space="preserve">Au total,</w:t>
      </w:r>
      <w:r>
        <w:t xml:space="preserve"> </w:t>
      </w:r>
      <w:r>
        <w:rPr>
          <w:b/>
          <w:bCs/>
        </w:rPr>
        <w:t xml:space="preserve">107 DCI canoniques</w:t>
      </w:r>
      <w:r>
        <w:t xml:space="preserve"> </w:t>
      </w:r>
      <w:r>
        <w:t xml:space="preserve">ont été identifiées et traitées individuellement, représentant plus de</w:t>
      </w:r>
      <w:r>
        <w:t xml:space="preserve"> </w:t>
      </w:r>
      <w:r>
        <w:rPr>
          <w:b/>
          <w:bCs/>
        </w:rPr>
        <w:t xml:space="preserve">950 spécialités commerciales</w:t>
      </w:r>
      <w:r>
        <w:t xml:space="preserve"> </w:t>
      </w:r>
      <w:r>
        <w:t xml:space="preserve">actives, non renouvelables ou retirées, de plus de</w:t>
      </w:r>
      <w:r>
        <w:t xml:space="preserve"> </w:t>
      </w:r>
      <w:r>
        <w:rPr>
          <w:b/>
          <w:bCs/>
        </w:rPr>
        <w:t xml:space="preserve">150 laboratoires</w:t>
      </w:r>
      <w:r>
        <w:t xml:space="preserve"> </w:t>
      </w:r>
      <w:r>
        <w:t xml:space="preserve">différents.</w:t>
      </w:r>
    </w:p>
    <w:bookmarkEnd w:id="25"/>
    <w:bookmarkStart w:id="26" w:name="structure-type-dune-fiche-dci"/>
    <w:p>
      <w:pPr>
        <w:pStyle w:val="Heading3"/>
      </w:pPr>
      <w:r>
        <w:t xml:space="preserve">6. Structure type d’une fiche DCI</w:t>
      </w:r>
    </w:p>
    <w:p>
      <w:pPr>
        <w:pStyle w:val="FirstParagraph"/>
      </w:pPr>
      <w:r>
        <w:t xml:space="preserve">Chaque fiche DCI suit une structure uniforme en douze sections, garantissant la comparabilité entre molécules et l’exhaustivité de l’information au comptoir :</w:t>
      </w:r>
    </w:p>
    <w:p>
      <w:pPr>
        <w:pStyle w:val="Compact"/>
        <w:numPr>
          <w:ilvl w:val="0"/>
          <w:numId w:val="1005"/>
        </w:numPr>
      </w:pPr>
      <w:r>
        <w:t xml:space="preserve">Liste des catégories thérapeutiques associées (issues du fichier).</w:t>
      </w:r>
    </w:p>
    <w:p>
      <w:pPr>
        <w:pStyle w:val="Compact"/>
        <w:numPr>
          <w:ilvl w:val="0"/>
          <w:numId w:val="1005"/>
        </w:numPr>
      </w:pPr>
      <w:r>
        <w:t xml:space="preserve">Médicaments disponibles en Algérie (marques, laboratoires, formes et dosages, statut).</w:t>
      </w:r>
    </w:p>
    <w:p>
      <w:pPr>
        <w:pStyle w:val="Compact"/>
        <w:numPr>
          <w:ilvl w:val="0"/>
          <w:numId w:val="1005"/>
        </w:numPr>
      </w:pPr>
      <w:r>
        <w:t xml:space="preserve">Sous-classe et mécanisme d’action (bactéricide/bactériostatique, mode d’action moléculaire).</w:t>
      </w:r>
    </w:p>
    <w:p>
      <w:pPr>
        <w:pStyle w:val="Compact"/>
        <w:numPr>
          <w:ilvl w:val="0"/>
          <w:numId w:val="1005"/>
        </w:numPr>
      </w:pPr>
      <w:r>
        <w:t xml:space="preserve">Profil pharmacologique (indications, contre-indications, effets indésirables).</w:t>
      </w:r>
    </w:p>
    <w:p>
      <w:pPr>
        <w:pStyle w:val="Compact"/>
        <w:numPr>
          <w:ilvl w:val="0"/>
          <w:numId w:val="1005"/>
        </w:numPr>
      </w:pPr>
      <w:r>
        <w:t xml:space="preserve">Prévention et gestion des effets indésirables (mesures prophylactiques et conduite à tenir).</w:t>
      </w:r>
    </w:p>
    <w:p>
      <w:pPr>
        <w:pStyle w:val="Compact"/>
        <w:numPr>
          <w:ilvl w:val="0"/>
          <w:numId w:val="1005"/>
        </w:numPr>
      </w:pPr>
      <w:r>
        <w:t xml:space="preserve">Interactions médicamenteuses importantes (mécanisme et conséquence clinique).</w:t>
      </w:r>
    </w:p>
    <w:p>
      <w:pPr>
        <w:pStyle w:val="Compact"/>
        <w:numPr>
          <w:ilvl w:val="0"/>
          <w:numId w:val="1005"/>
        </w:numPr>
      </w:pPr>
      <w:r>
        <w:t xml:space="preserve">Grossesse et Allaitement (selon le CRAT).</w:t>
      </w:r>
    </w:p>
    <w:p>
      <w:pPr>
        <w:pStyle w:val="Compact"/>
        <w:numPr>
          <w:ilvl w:val="0"/>
          <w:numId w:val="1005"/>
        </w:numPr>
      </w:pPr>
      <w:r>
        <w:t xml:space="preserve">Posologie et mode d’administration standard (adulte, enfant, durée, moment de prise).</w:t>
      </w:r>
    </w:p>
    <w:p>
      <w:pPr>
        <w:pStyle w:val="Compact"/>
        <w:numPr>
          <w:ilvl w:val="0"/>
          <w:numId w:val="1005"/>
        </w:numPr>
      </w:pPr>
      <w:r>
        <w:t xml:space="preserve">Arbitrage et bénéfices des formes galéniques.</w:t>
      </w:r>
    </w:p>
    <w:p>
      <w:pPr>
        <w:pStyle w:val="Compact"/>
        <w:numPr>
          <w:ilvl w:val="0"/>
          <w:numId w:val="1005"/>
        </w:numPr>
      </w:pPr>
      <w:r>
        <w:t xml:space="preserve">Instructions et conseils au patient (communication et mode d’utilisation pratique).</w:t>
      </w:r>
    </w:p>
    <w:p>
      <w:pPr>
        <w:pStyle w:val="Compact"/>
        <w:numPr>
          <w:ilvl w:val="0"/>
          <w:numId w:val="1005"/>
        </w:numPr>
      </w:pPr>
      <w:r>
        <w:t xml:space="preserve">Notes, règles d’or et pièges au comptoir.</w:t>
      </w:r>
    </w:p>
    <w:p>
      <w:pPr>
        <w:pStyle w:val="Compact"/>
        <w:numPr>
          <w:ilvl w:val="0"/>
          <w:numId w:val="1005"/>
        </w:numPr>
      </w:pPr>
      <w:r>
        <w:t xml:space="preserve">Tableau comparatif de sous-classe en fin de chapitre.</w:t>
      </w:r>
    </w:p>
    <w:bookmarkEnd w:id="26"/>
    <w:bookmarkStart w:id="27" w:name="engagements-qualité"/>
    <w:p>
      <w:pPr>
        <w:pStyle w:val="Heading3"/>
      </w:pPr>
      <w:r>
        <w:t xml:space="preserve">7. Engagements qualité</w:t>
      </w:r>
    </w:p>
    <w:p>
      <w:pPr>
        <w:pStyle w:val="Compact"/>
        <w:numPr>
          <w:ilvl w:val="0"/>
          <w:numId w:val="1006"/>
        </w:numPr>
      </w:pPr>
      <w:r>
        <w:rPr>
          <w:b/>
          <w:bCs/>
        </w:rPr>
        <w:t xml:space="preserve">Égalité de traitement</w:t>
      </w:r>
      <w:r>
        <w:t xml:space="preserve"> </w:t>
      </w:r>
      <w:r>
        <w:t xml:space="preserve">: aucune DCI n’est simplifiée ou abrégée, même pour les molécules dont les fiches pourraient sembler triviales (ex : néomycine topique).</w:t>
      </w:r>
    </w:p>
    <w:p>
      <w:pPr>
        <w:pStyle w:val="Compact"/>
        <w:numPr>
          <w:ilvl w:val="0"/>
          <w:numId w:val="1006"/>
        </w:numPr>
      </w:pPr>
      <w:r>
        <w:rPr>
          <w:b/>
          <w:bCs/>
        </w:rPr>
        <w:t xml:space="preserve">Exhaustivité absolue du fichier</w:t>
      </w:r>
      <w:r>
        <w:t xml:space="preserve"> </w:t>
      </w:r>
      <w:r>
        <w:t xml:space="preserve">: aucune marque enregistrée dans le fichier source n’est omise.</w:t>
      </w:r>
    </w:p>
    <w:p>
      <w:pPr>
        <w:pStyle w:val="Compact"/>
        <w:numPr>
          <w:ilvl w:val="0"/>
          <w:numId w:val="1006"/>
        </w:numPr>
      </w:pPr>
      <w:r>
        <w:rPr>
          <w:b/>
          <w:bCs/>
        </w:rPr>
        <w:t xml:space="preserve">Zéro perte d’information</w:t>
      </w:r>
      <w:r>
        <w:t xml:space="preserve"> </w:t>
      </w:r>
      <w:r>
        <w:t xml:space="preserve">: les mécanismes, profils de tolérance et conseils pratiques sont développés dans leur intégralité.</w:t>
      </w:r>
    </w:p>
    <w:p>
      <w:pPr>
        <w:pStyle w:val="Compact"/>
        <w:numPr>
          <w:ilvl w:val="0"/>
          <w:numId w:val="1006"/>
        </w:numPr>
      </w:pPr>
      <w:r>
        <w:rPr>
          <w:b/>
          <w:bCs/>
        </w:rPr>
        <w:t xml:space="preserve">Vérification continue de la vérité scientifique</w:t>
      </w:r>
      <w:r>
        <w:t xml:space="preserve"> </w:t>
      </w:r>
      <w:r>
        <w:t xml:space="preserve">: chaque affirmation pharmacologique repose sur une source médicale de confiance citée en début d’ouvrage.</w:t>
      </w:r>
    </w:p>
    <w:p>
      <w:pPr>
        <w:pStyle w:val="Compact"/>
        <w:numPr>
          <w:ilvl w:val="0"/>
          <w:numId w:val="1006"/>
        </w:numPr>
      </w:pPr>
      <w:r>
        <w:rPr>
          <w:b/>
          <w:bCs/>
        </w:rPr>
        <w:t xml:space="preserve">Focus Algérie</w:t>
      </w:r>
      <w:r>
        <w:t xml:space="preserve"> </w:t>
      </w:r>
      <w:r>
        <w:t xml:space="preserve">: seules les spécialités, laboratoires et statuts figurant dans le fichier source sont mentionnés dans les sections de médicaments disponibles.</w:t>
      </w:r>
    </w:p>
    <w:bookmarkEnd w:id="27"/>
    <w:bookmarkStart w:id="28" w:name="X4bc9390d76c0da4af09ace8a13822a1d37435fe"/>
    <w:p>
      <w:pPr>
        <w:pStyle w:val="Heading3"/>
      </w:pPr>
      <w:r>
        <w:t xml:space="preserve">8. Rappel stratégique sur l’usage rationnel des antibiotiques</w:t>
      </w:r>
    </w:p>
    <w:p>
      <w:pPr>
        <w:pStyle w:val="FirstParagraph"/>
      </w:pPr>
      <w:r>
        <w:t xml:space="preserve">L’OMS classe la résistance bactérienne aux antibiotiques parmi les dix principales menaces mondiales pour la santé publique. En Algérie, la prévalence des bactéries multirésistantes (SARM, BLSE, carbapénémases, entérocoques résistants à la vancomycine) est en progression constante, en particulier en milieu hospitalier et dans les unités de réanimation. L’engagement du pharmacien d’officine dans le bon usage des antibiotiques est déterminant à trois niveaux :</w:t>
      </w:r>
    </w:p>
    <w:p>
      <w:pPr>
        <w:pStyle w:val="Compact"/>
        <w:numPr>
          <w:ilvl w:val="0"/>
          <w:numId w:val="1007"/>
        </w:numPr>
      </w:pPr>
      <w:r>
        <w:rPr>
          <w:b/>
          <w:bCs/>
        </w:rPr>
        <w:t xml:space="preserve">Analyse pharmaceutique de la prescription</w:t>
      </w:r>
      <w:r>
        <w:t xml:space="preserve"> </w:t>
      </w:r>
      <w:r>
        <w:t xml:space="preserve">: vérification de l’adéquation de l’antibiotique à l’indication, de la posologie à la fonction rénale, des contre-indications et interactions médicamenteuses.</w:t>
      </w:r>
    </w:p>
    <w:p>
      <w:pPr>
        <w:pStyle w:val="Compact"/>
        <w:numPr>
          <w:ilvl w:val="0"/>
          <w:numId w:val="1007"/>
        </w:numPr>
      </w:pPr>
      <w:r>
        <w:rPr>
          <w:b/>
          <w:bCs/>
        </w:rPr>
        <w:t xml:space="preserve">Éducation thérapeutique du patient</w:t>
      </w:r>
      <w:r>
        <w:t xml:space="preserve"> </w:t>
      </w:r>
      <w:r>
        <w:t xml:space="preserve">: observance de la durée totale du traitement (même en cas d’amélioration clinique précoce), respect des horaires de prise, conservation des formes reconstituées, reconnaissance des signes d’alerte nécessitant un avis médical.</w:t>
      </w:r>
    </w:p>
    <w:p>
      <w:pPr>
        <w:pStyle w:val="Compact"/>
        <w:numPr>
          <w:ilvl w:val="0"/>
          <w:numId w:val="1007"/>
        </w:numPr>
      </w:pPr>
      <w:r>
        <w:rPr>
          <w:b/>
          <w:bCs/>
        </w:rPr>
        <w:t xml:space="preserve">Non-délivrance sans ordonnance</w:t>
      </w:r>
      <w:r>
        <w:t xml:space="preserve"> </w:t>
      </w:r>
      <w:r>
        <w:t xml:space="preserve">: respect strict de la réglementation algérienne interdisant la délivrance d’antibiotiques sans prescription médicale, refus systématique des demandes de « antibiotique pour la grippe » ou de traitement de proximité.</w:t>
      </w:r>
    </w:p>
    <w:p>
      <w:pPr>
        <w:pStyle w:val="FirstParagraph"/>
      </w:pPr>
      <w:r>
        <w:t xml:space="preserve">Le pharmacien d’officine occupe une position sentinelle unique dans la lutte contre l’antibiorésistance. Chaque délivrance d’antibiotique doit s’accompagner d’un conseil structuré, bref mais complet, tenant compte du profil du patient, des particularités de la molécule prescrite, et du contexte épidémiologique local.</w:t>
      </w:r>
    </w:p>
    <w:p>
      <w:r>
        <w:pict>
          <v:rect style="width:0;height:1.5pt" o:hralign="center" o:hrstd="t" o:hr="t"/>
        </w:pict>
      </w:r>
    </w:p>
    <w:bookmarkEnd w:id="28"/>
    <w:bookmarkEnd w:id="29"/>
    <w:bookmarkStart w:id="30" w:name="sommaire-général"/>
    <w:p>
      <w:pPr>
        <w:pStyle w:val="Heading2"/>
      </w:pPr>
      <w:r>
        <w:t xml:space="preserve">Sommaire général</w:t>
      </w:r>
    </w:p>
    <w:tbl>
      <w:tblPr>
        <w:tblStyle w:val="Table"/>
        <w:tblW w:type="pct" w:w="5000"/>
        <w:jc w:val="left"/>
        <w:tblLayout w:type="fixed"/>
        <w:tblLook w:firstRow="1" w:lastRow="0" w:firstColumn="0" w:lastColumn="0" w:noHBand="0" w:noVBand="0" w:val="0020"/>
      </w:tblPr>
      <w:tblGrid>
        <w:gridCol w:w="1685"/>
        <w:gridCol w:w="3707"/>
        <w:gridCol w:w="2527"/>
      </w:tblGrid>
      <w:tr>
        <w:trPr>
          <w:tblHeader w:val="on"/>
        </w:trPr>
        <w:tc>
          <w:tcPr/>
          <w:p>
            <w:pPr>
              <w:pStyle w:val="Compact"/>
              <w:jc w:val="left"/>
            </w:pPr>
            <w:r>
              <w:t xml:space="preserve">Chapitre</w:t>
            </w:r>
          </w:p>
        </w:tc>
        <w:tc>
          <w:tcPr/>
          <w:p>
            <w:pPr>
              <w:pStyle w:val="Compact"/>
              <w:jc w:val="left"/>
            </w:pPr>
            <w:r>
              <w:t xml:space="preserve">Sous-classes traitées</w:t>
            </w:r>
          </w:p>
        </w:tc>
        <w:tc>
          <w:tcPr/>
          <w:p>
            <w:pPr>
              <w:pStyle w:val="Compact"/>
              <w:jc w:val="left"/>
            </w:pPr>
            <w:r>
              <w:t xml:space="preserve">Nombre de DCI</w:t>
            </w:r>
          </w:p>
        </w:tc>
      </w:tr>
      <w:tr>
        <w:tc>
          <w:tcPr/>
          <w:p>
            <w:pPr>
              <w:pStyle w:val="Compact"/>
              <w:jc w:val="left"/>
            </w:pPr>
            <w:r>
              <w:t xml:space="preserve">2</w:t>
            </w:r>
          </w:p>
        </w:tc>
        <w:tc>
          <w:tcPr/>
          <w:p>
            <w:pPr>
              <w:pStyle w:val="Compact"/>
              <w:jc w:val="left"/>
            </w:pPr>
            <w:r>
              <w:t xml:space="preserve">Bêta-lactamines — Pénicillines</w:t>
            </w:r>
          </w:p>
        </w:tc>
        <w:tc>
          <w:tcPr/>
          <w:p>
            <w:pPr>
              <w:pStyle w:val="Compact"/>
              <w:jc w:val="left"/>
            </w:pPr>
            <w:r>
              <w:t xml:space="preserve">12</w:t>
            </w:r>
          </w:p>
        </w:tc>
      </w:tr>
      <w:tr>
        <w:tc>
          <w:tcPr/>
          <w:p>
            <w:pPr>
              <w:pStyle w:val="Compact"/>
              <w:jc w:val="left"/>
            </w:pPr>
            <w:r>
              <w:t xml:space="preserve">3</w:t>
            </w:r>
          </w:p>
        </w:tc>
        <w:tc>
          <w:tcPr/>
          <w:p>
            <w:pPr>
              <w:pStyle w:val="Compact"/>
              <w:jc w:val="left"/>
            </w:pPr>
            <w:r>
              <w:t xml:space="preserve">Céphalosporines, Carbapénèmes, Monobactames</w:t>
            </w:r>
          </w:p>
        </w:tc>
        <w:tc>
          <w:tcPr/>
          <w:p>
            <w:pPr>
              <w:pStyle w:val="Compact"/>
              <w:jc w:val="left"/>
            </w:pPr>
            <w:r>
              <w:t xml:space="preserve">19</w:t>
            </w:r>
          </w:p>
        </w:tc>
      </w:tr>
      <w:tr>
        <w:tc>
          <w:tcPr/>
          <w:p>
            <w:pPr>
              <w:pStyle w:val="Compact"/>
              <w:jc w:val="left"/>
            </w:pPr>
            <w:r>
              <w:t xml:space="preserve">4</w:t>
            </w:r>
          </w:p>
        </w:tc>
        <w:tc>
          <w:tcPr/>
          <w:p>
            <w:pPr>
              <w:pStyle w:val="Compact"/>
              <w:jc w:val="left"/>
            </w:pPr>
            <w:r>
              <w:t xml:space="preserve">Macrolides, Kétolides, Lincosamides, Streptogramines, Oxazolidinones</w:t>
            </w:r>
          </w:p>
        </w:tc>
        <w:tc>
          <w:tcPr/>
          <w:p>
            <w:pPr>
              <w:pStyle w:val="Compact"/>
              <w:jc w:val="left"/>
            </w:pPr>
            <w:r>
              <w:t xml:space="preserve">13</w:t>
            </w:r>
          </w:p>
        </w:tc>
      </w:tr>
      <w:tr>
        <w:tc>
          <w:tcPr/>
          <w:p>
            <w:pPr>
              <w:pStyle w:val="Compact"/>
              <w:jc w:val="left"/>
            </w:pPr>
            <w:r>
              <w:t xml:space="preserve">5</w:t>
            </w:r>
          </w:p>
        </w:tc>
        <w:tc>
          <w:tcPr/>
          <w:p>
            <w:pPr>
              <w:pStyle w:val="Compact"/>
              <w:jc w:val="left"/>
            </w:pPr>
            <w:r>
              <w:t xml:space="preserve">Aminoglycosides, Tétracyclines, Glycylcyclines</w:t>
            </w:r>
          </w:p>
        </w:tc>
        <w:tc>
          <w:tcPr/>
          <w:p>
            <w:pPr>
              <w:pStyle w:val="Compact"/>
              <w:jc w:val="left"/>
            </w:pPr>
            <w:r>
              <w:t xml:space="preserve">18</w:t>
            </w:r>
          </w:p>
        </w:tc>
      </w:tr>
      <w:tr>
        <w:tc>
          <w:tcPr/>
          <w:p>
            <w:pPr>
              <w:pStyle w:val="Compact"/>
              <w:jc w:val="left"/>
            </w:pPr>
            <w:r>
              <w:t xml:space="preserve">6a</w:t>
            </w:r>
          </w:p>
        </w:tc>
        <w:tc>
          <w:tcPr/>
          <w:p>
            <w:pPr>
              <w:pStyle w:val="Compact"/>
              <w:jc w:val="left"/>
            </w:pPr>
            <w:r>
              <w:t xml:space="preserve">Fluoroquinolones</w:t>
            </w:r>
          </w:p>
        </w:tc>
        <w:tc>
          <w:tcPr/>
          <w:p>
            <w:pPr>
              <w:pStyle w:val="Compact"/>
              <w:jc w:val="left"/>
            </w:pPr>
            <w:r>
              <w:t xml:space="preserve">11</w:t>
            </w:r>
          </w:p>
        </w:tc>
      </w:tr>
      <w:tr>
        <w:tc>
          <w:tcPr/>
          <w:p>
            <w:pPr>
              <w:pStyle w:val="Compact"/>
              <w:jc w:val="left"/>
            </w:pPr>
            <w:r>
              <w:t xml:space="preserve">6b</w:t>
            </w:r>
          </w:p>
        </w:tc>
        <w:tc>
          <w:tcPr/>
          <w:p>
            <w:pPr>
              <w:pStyle w:val="Compact"/>
              <w:jc w:val="left"/>
            </w:pPr>
            <w:r>
              <w:t xml:space="preserve">Sulfamides-Antifoliques, Nitro-imidazolés, Nitrofuranes</w:t>
            </w:r>
          </w:p>
        </w:tc>
        <w:tc>
          <w:tcPr/>
          <w:p>
            <w:pPr>
              <w:pStyle w:val="Compact"/>
              <w:jc w:val="left"/>
            </w:pPr>
            <w:r>
              <w:t xml:space="preserve">13</w:t>
            </w:r>
          </w:p>
        </w:tc>
      </w:tr>
      <w:tr>
        <w:tc>
          <w:tcPr/>
          <w:p>
            <w:pPr>
              <w:pStyle w:val="Compact"/>
              <w:jc w:val="left"/>
            </w:pPr>
            <w:r>
              <w:t xml:space="preserve">7</w:t>
            </w:r>
          </w:p>
        </w:tc>
        <w:tc>
          <w:tcPr/>
          <w:p>
            <w:pPr>
              <w:pStyle w:val="Compact"/>
              <w:jc w:val="left"/>
            </w:pPr>
            <w:r>
              <w:t xml:space="preserve">Glycopeptides, Polypeptides, Lipopeptides, Amphénicolés, Acide fusidique, Fosfomycine</w:t>
            </w:r>
          </w:p>
        </w:tc>
        <w:tc>
          <w:tcPr/>
          <w:p>
            <w:pPr>
              <w:pStyle w:val="Compact"/>
              <w:jc w:val="left"/>
            </w:pPr>
            <w:r>
              <w:t xml:space="preserve">12</w:t>
            </w:r>
          </w:p>
        </w:tc>
      </w:tr>
      <w:tr>
        <w:tc>
          <w:tcPr/>
          <w:p>
            <w:pPr>
              <w:pStyle w:val="Compact"/>
              <w:jc w:val="left"/>
            </w:pPr>
            <w:r>
              <w:t xml:space="preserve">8</w:t>
            </w:r>
          </w:p>
        </w:tc>
        <w:tc>
          <w:tcPr/>
          <w:p>
            <w:pPr>
              <w:pStyle w:val="Compact"/>
              <w:jc w:val="left"/>
            </w:pPr>
            <w:r>
              <w:t xml:space="preserve">Antituberculeux et associations antibiotiques locales</w:t>
            </w:r>
          </w:p>
        </w:tc>
        <w:tc>
          <w:tcPr/>
          <w:p>
            <w:pPr>
              <w:pStyle w:val="Compact"/>
              <w:jc w:val="left"/>
            </w:pPr>
            <w:r>
              <w:t xml:space="preserve">9</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107</w:t>
            </w:r>
          </w:p>
        </w:tc>
      </w:tr>
    </w:tbl>
    <w:p>
      <w:r>
        <w:pict>
          <v:rect style="width:0;height:1.5pt" o:hralign="center" o:hrstd="t" o:hr="t"/>
        </w:pict>
      </w:r>
    </w:p>
    <w:p>
      <w:r>
        <w:pict>
          <v:rect style="width:0;height:1.5pt" o:hralign="center" o:hrstd="t" o:hr="t"/>
        </w:pict>
      </w:r>
    </w:p>
    <w:bookmarkEnd w:id="30"/>
    <w:bookmarkEnd w:id="31"/>
    <w:bookmarkStart w:id="54" w:name="chapitre-2-bêta-lactamines-pénicillines"/>
    <w:p>
      <w:pPr>
        <w:pStyle w:val="Heading1"/>
      </w:pPr>
      <w:r>
        <w:t xml:space="preserve">Chapitre 2 — Bêta-lactamines : Pénicillines</w:t>
      </w:r>
    </w:p>
    <w:bookmarkStart w:id="32" w:name="introduction-générale-de-la-classe"/>
    <w:p>
      <w:pPr>
        <w:pStyle w:val="Heading2"/>
      </w:pPr>
      <w:r>
        <w:t xml:space="preserve">Introduction générale de la classe</w:t>
      </w:r>
    </w:p>
    <w:p>
      <w:pPr>
        <w:pStyle w:val="FirstParagraph"/>
      </w:pPr>
      <w:r>
        <w:t xml:space="preserve">Les pénicillines constituent la sous-classe historique des bêta-lactamines, antibiotiques bactéricides découverts à partir de</w:t>
      </w:r>
      <w:r>
        <w:t xml:space="preserve"> </w:t>
      </w:r>
      <w:r>
        <w:rPr>
          <w:i/>
          <w:iCs/>
        </w:rPr>
        <w:t xml:space="preserve">Penicillium notatum</w:t>
      </w:r>
      <w:r>
        <w:t xml:space="preserve"> </w:t>
      </w:r>
      <w:r>
        <w:t xml:space="preserve">par Fleming en 1928, puis industrialisés par Florey, Chain et Heatley durant la Seconde Guerre mondiale. Leur noyau chimique commun, l’acide 6-aminopénicillunique (6-APA), associe un anneau bêta-lactame à quatre atomes fused à un noyau thiazolidine ; la chaîne latérale acylée sur le groupement amine en position 6 détermine les propriétés pharmacocinétiques (absorption, liaison protéique, métabolisme) et le spectre antibactérien (affinité pour les PLP). Les pénicillines agissent par inhibition irreversible des</w:t>
      </w:r>
      <w:r>
        <w:t xml:space="preserve"> </w:t>
      </w:r>
      <w:r>
        <w:rPr>
          <w:i/>
          <w:iCs/>
        </w:rPr>
        <w:t xml:space="preserve">Penicillin-Binding Proteins</w:t>
      </w:r>
      <w:r>
        <w:t xml:space="preserve"> </w:t>
      </w:r>
      <w:r>
        <w:t xml:space="preserve">(PBP), enzymes transpeptidasiques et carboxypeptidasiques responsables de la réticulation finale du peptidoglycane pariétal ; il en résulte une paralysis de la synthèse pariétale, une activation du système autolytique bactérien (hydrolases : muréines), et une lyse osmotique. Leur spectre originel, essentiellement dirigé contre les cocci à Gram positif et quelques cocci à Gram négatif (gonocoque, méningocoque), a été progressivement élargi par hémisynthèse : pénicillines A (spectre élargi aux bacilles à Gram négatif), pénicillines M (résistance aux pénicillinases staphylococciques), carboxypénicillines et uréidopénicillines (spectre étendu à</w:t>
      </w:r>
      <w:r>
        <w:t xml:space="preserve"> </w:t>
      </w:r>
      <w:r>
        <w:rPr>
          <w:i/>
          <w:iCs/>
        </w:rPr>
        <w:t xml:space="preserve">Pseudomonas aeruginosa</w:t>
      </w:r>
      <w:r>
        <w:t xml:space="preserve">). Toutes les pénicillines partagent trois vulnérabilités pharmacologiques : (i) l’inactivation enzymatique par les bêta-lactamases (ou pénicillinases), contournée par les inhibiteurs enzymatiques ou par modification de la chaîne latérale ; (ii) l’allergie croisée (1 à 10 % de la population, avec 10 % de réactivité croisée avec les céphalosporines) ; (iii) une élimination principalement rénale imposant une adaptation posologique à la fonction rénale. En Algérie, la pénicilline demeure l’antibiotique de premier recours dans les infections respiratoires communautaires, les infections ORL, les infections génitales à</w:t>
      </w:r>
      <w:r>
        <w:t xml:space="preserve"> </w:t>
      </w:r>
      <w:r>
        <w:rPr>
          <w:i/>
          <w:iCs/>
        </w:rPr>
        <w:t xml:space="preserve">Treponema pallidum</w:t>
      </w:r>
      <w:r>
        <w:t xml:space="preserve"> </w:t>
      </w:r>
      <w:r>
        <w:t xml:space="preserve">et la prophylaxie du RAA, justifiant une connaissance exhaustive des spécialités disponibles dans la nomenclature nationale.</w:t>
      </w:r>
    </w:p>
    <w:p>
      <w:r>
        <w:pict>
          <v:rect style="width:0;height:1.5pt" o:hralign="center" o:hrstd="t" o:hr="t"/>
        </w:pict>
      </w:r>
    </w:p>
    <w:bookmarkEnd w:id="32"/>
    <w:bookmarkStart w:id="37" w:name="Xd6c85a4b9d04910cd3f0bfa3dfb8094018f34d8"/>
    <w:p>
      <w:pPr>
        <w:pStyle w:val="Heading2"/>
      </w:pPr>
      <w:r>
        <w:t xml:space="preserve">2.1 Sous-classe : Pénicillines G (pénicillines naturelles)</w:t>
      </w:r>
    </w:p>
    <w:p>
      <w:pPr>
        <w:pStyle w:val="FirstParagraph"/>
      </w:pPr>
      <w:r>
        <w:t xml:space="preserve">Les pénicillines G correspondent à la molécule originelle de Fleming, la benzylpénicilline, et à ses formes galéniques retard à base de sels organiques (procaine, benzathine, bénétamine) destinées à prolonger l’action par relapse intramusculaire. Leur spectre reste celui de la pénicilline naturelle : excellence sur les cocci à Gram positif sensibles (</w:t>
      </w:r>
      <w:r>
        <w:rPr>
          <w:i/>
          <w:iCs/>
        </w:rPr>
        <w:t xml:space="preserve">Streptococcus pyogenes</w:t>
      </w:r>
      <w:r>
        <w:t xml:space="preserve">,</w:t>
      </w:r>
      <w:r>
        <w:t xml:space="preserve"> </w:t>
      </w:r>
      <w:r>
        <w:rPr>
          <w:i/>
          <w:iCs/>
        </w:rPr>
        <w:t xml:space="preserve">Streptococcus pneumoniae</w:t>
      </w:r>
      <w:r>
        <w:t xml:space="preserve"> </w:t>
      </w:r>
      <w:r>
        <w:t xml:space="preserve">pénicillino-sensible,</w:t>
      </w:r>
      <w:r>
        <w:t xml:space="preserve"> </w:t>
      </w:r>
      <w:r>
        <w:rPr>
          <w:i/>
          <w:iCs/>
        </w:rPr>
        <w:t xml:space="preserve">Streptococcus viridans</w:t>
      </w:r>
      <w:r>
        <w:t xml:space="preserve">), sur les bacilles à Gram positif (</w:t>
      </w:r>
      <w:r>
        <w:rPr>
          <w:i/>
          <w:iCs/>
        </w:rPr>
        <w:t xml:space="preserve">Listeria monocytogenes</w:t>
      </w:r>
      <w:r>
        <w:t xml:space="preserve">,</w:t>
      </w:r>
      <w:r>
        <w:t xml:space="preserve"> </w:t>
      </w:r>
      <w:r>
        <w:rPr>
          <w:i/>
          <w:iCs/>
        </w:rPr>
        <w:t xml:space="preserve">Bacillus anthracis</w:t>
      </w:r>
      <w:r>
        <w:t xml:space="preserve">), sur les anaérobies stricts sensibles (</w:t>
      </w:r>
      <w:r>
        <w:rPr>
          <w:i/>
          <w:iCs/>
        </w:rPr>
        <w:t xml:space="preserve">Clostridium</w:t>
      </w:r>
      <w:r>
        <w:t xml:space="preserve"> </w:t>
      </w:r>
      <w:r>
        <w:t xml:space="preserve">spp.,</w:t>
      </w:r>
      <w:r>
        <w:t xml:space="preserve"> </w:t>
      </w:r>
      <w:r>
        <w:rPr>
          <w:i/>
          <w:iCs/>
        </w:rPr>
        <w:t xml:space="preserve">Peptostreptococcus</w:t>
      </w:r>
      <w:r>
        <w:t xml:space="preserve">), sur</w:t>
      </w:r>
      <w:r>
        <w:t xml:space="preserve"> </w:t>
      </w:r>
      <w:r>
        <w:rPr>
          <w:i/>
          <w:iCs/>
        </w:rPr>
        <w:t xml:space="preserve">Neisseria meningitidis</w:t>
      </w:r>
      <w:r>
        <w:t xml:space="preserve"> </w:t>
      </w:r>
      <w:r>
        <w:t xml:space="preserve">et</w:t>
      </w:r>
      <w:r>
        <w:t xml:space="preserve"> </w:t>
      </w:r>
      <w:r>
        <w:rPr>
          <w:i/>
          <w:iCs/>
        </w:rPr>
        <w:t xml:space="preserve">Treponema pallidum</w:t>
      </w:r>
      <w:r>
        <w:t xml:space="preserve"> </w:t>
      </w:r>
      <w:r>
        <w:t xml:space="preserve">(pénicilline G reste le traitement de référence de la syphilis à toutes les stades). En revanche, les pénicillines G sont inactivées par la pénicillinase staphylococcique (&gt;90 % des</w:t>
      </w:r>
      <w:r>
        <w:t xml:space="preserve"> </w:t>
      </w:r>
      <w:r>
        <w:rPr>
          <w:i/>
          <w:iCs/>
        </w:rPr>
        <w:t xml:space="preserve">Staphylococcus aureus</w:t>
      </w:r>
      <w:r>
        <w:t xml:space="preserve">), par les bêta-lactamases à spectre élargi des entérobactéries, et présentent une activité médiocre sur</w:t>
      </w:r>
      <w:r>
        <w:t xml:space="preserve"> </w:t>
      </w:r>
      <w:r>
        <w:rPr>
          <w:i/>
          <w:iCs/>
        </w:rPr>
        <w:t xml:space="preserve">Haemophilus influenzae</w:t>
      </w:r>
      <w:r>
        <w:t xml:space="preserve"> </w:t>
      </w:r>
      <w:r>
        <w:t xml:space="preserve">et les entérocoques. Leur usage moderne, supplanté pour les infections courantes par l’amoxicilline, demeure incontournable dans la syphilis (avec la benzathine), dans le RAA (prophylaxie secondaire), dans les infections à streptocoque sensible en cas de bactériémie ou d’endocardite, et dans la méningite à méningocoque. La biodisponibilité orale est quasi nulle pour la benzylpénicilline (inactivation acide gastrique), justifiant le recours aux sels retard IM et à la pénicilline V pour la voie orale.</w:t>
      </w:r>
    </w:p>
    <w:bookmarkStart w:id="33" w:name="X70fd88ec4598cd20d40cf7c8344a7a45530cedf"/>
    <w:p>
      <w:pPr>
        <w:pStyle w:val="Heading3"/>
      </w:pPr>
      <w:r>
        <w:t xml:space="preserve">2.1.1 DCI : Benzylpénicilline (Pénicilline G) (Seule)</w:t>
      </w:r>
    </w:p>
    <w:p>
      <w:pPr>
        <w:pStyle w:val="FirstParagraph"/>
      </w:pPr>
      <w:r>
        <w:rPr>
          <w:b/>
          <w:bCs/>
        </w:rPr>
        <w:t xml:space="preserve">Liste des Catégories :</w:t>
      </w:r>
      <w:r>
        <w:t xml:space="preserve"> </w:t>
      </w:r>
      <w:r>
        <w:t xml:space="preserve">Pénicillines ; Bêta-lactamines ; Pénicillines G ; Antibiotique bactéricide ; Liste I (sur prescription médicale).</w:t>
      </w:r>
    </w:p>
    <w:p>
      <w:pPr>
        <w:pStyle w:val="BodyText"/>
      </w:pPr>
      <w:r>
        <w:t xml:space="preserve">La benzylpénicilline sodique ou potassique est la forme injectable de référence, à demi-vie courte (30 min) imposant des injections rapprochées (toutes les 4 à 6 h) ou une perfusion continue. Sa diffusion méningée est faible en cas de méninges saines mais augmentée en cas d’inflammation méningée, ce qui justifie son intérêt historique dans les méningites bactériennes avant l’ère des céphalosporines de 3e génération.</w:t>
      </w:r>
    </w:p>
    <w:p>
      <w:pPr>
        <w:pStyle w:val="BodyText"/>
      </w:pPr>
      <w:r>
        <w:rPr>
          <w:b/>
          <w:bCs/>
        </w:rPr>
        <w:t xml:space="preserve">Médicaments disponibles en Algérie (Marques, Laboratoires, Formes et Dosages) :</w:t>
      </w:r>
    </w:p>
    <w:p>
      <w:pPr>
        <w:pStyle w:val="Compact"/>
        <w:numPr>
          <w:ilvl w:val="0"/>
          <w:numId w:val="1008"/>
        </w:numPr>
      </w:pPr>
      <w:r>
        <w:rPr>
          <w:b/>
          <w:bCs/>
        </w:rPr>
        <w:t xml:space="preserve">GECTAPEN</w:t>
      </w:r>
      <w:r>
        <w:t xml:space="preserve"> </w:t>
      </w:r>
      <w:r>
        <w:t xml:space="preserve">(GROUPE SAIDAL)</w:t>
      </w:r>
    </w:p>
    <w:p>
      <w:pPr>
        <w:pStyle w:val="Compact"/>
        <w:numPr>
          <w:ilvl w:val="1"/>
          <w:numId w:val="1009"/>
        </w:numPr>
      </w:pPr>
      <w:r>
        <w:t xml:space="preserve">Formes et Dosages : Poudre et solvant pour solution injectable IM/IV, 500 000 UI/flacon ; Poudre pour solution injectable IM/IV, 1 MUI/flacon</w:t>
      </w:r>
    </w:p>
    <w:p>
      <w:pPr>
        <w:pStyle w:val="Compact"/>
        <w:numPr>
          <w:ilvl w:val="1"/>
          <w:numId w:val="1009"/>
        </w:numPr>
      </w:pPr>
      <w:r>
        <w:t xml:space="preserve">Statut : Actif (certaines présentations non renouvelables)</w:t>
      </w:r>
    </w:p>
    <w:p>
      <w:pPr>
        <w:pStyle w:val="Compact"/>
        <w:numPr>
          <w:ilvl w:val="0"/>
          <w:numId w:val="1008"/>
        </w:numPr>
      </w:pPr>
      <w:r>
        <w:rPr>
          <w:b/>
          <w:bCs/>
        </w:rPr>
        <w:t xml:space="preserve">PENI G BIOCARE</w:t>
      </w:r>
      <w:r>
        <w:t xml:space="preserve"> </w:t>
      </w:r>
      <w:r>
        <w:t xml:space="preserve">(BIOCARE)</w:t>
      </w:r>
    </w:p>
    <w:p>
      <w:pPr>
        <w:pStyle w:val="Compact"/>
        <w:numPr>
          <w:ilvl w:val="1"/>
          <w:numId w:val="1010"/>
        </w:numPr>
      </w:pPr>
      <w:r>
        <w:t xml:space="preserve">Formes et Dosages : Poudre pour suspension injectable IM, 1 MUI/flacon</w:t>
      </w:r>
    </w:p>
    <w:p>
      <w:pPr>
        <w:pStyle w:val="Compact"/>
        <w:numPr>
          <w:ilvl w:val="1"/>
          <w:numId w:val="1010"/>
        </w:numPr>
      </w:pPr>
      <w:r>
        <w:t xml:space="preserve">Statut : Actif</w:t>
      </w:r>
    </w:p>
    <w:p>
      <w:pPr>
        <w:pStyle w:val="Compact"/>
        <w:numPr>
          <w:ilvl w:val="0"/>
          <w:numId w:val="1008"/>
        </w:numPr>
      </w:pPr>
      <w:r>
        <w:rPr>
          <w:b/>
          <w:bCs/>
        </w:rPr>
        <w:t xml:space="preserve">BENZYL PENICILLIN INTRAMED (R)</w:t>
      </w:r>
      <w:r>
        <w:t xml:space="preserve"> </w:t>
      </w:r>
      <w:r>
        <w:t xml:space="preserve">(PHARMACARE LIMITED)</w:t>
      </w:r>
    </w:p>
    <w:p>
      <w:pPr>
        <w:pStyle w:val="Compact"/>
        <w:numPr>
          <w:ilvl w:val="1"/>
          <w:numId w:val="1011"/>
        </w:numPr>
      </w:pPr>
      <w:r>
        <w:t xml:space="preserve">Formes et Dosages : Poudre pour solution injectable, 1 000 000 UI</w:t>
      </w:r>
    </w:p>
    <w:p>
      <w:pPr>
        <w:pStyle w:val="Compact"/>
        <w:numPr>
          <w:ilvl w:val="1"/>
          <w:numId w:val="1011"/>
        </w:numPr>
      </w:pPr>
      <w:r>
        <w:t xml:space="preserve">Statut : Retiré</w:t>
      </w:r>
    </w:p>
    <w:p>
      <w:pPr>
        <w:pStyle w:val="Compact"/>
        <w:numPr>
          <w:ilvl w:val="0"/>
          <w:numId w:val="1008"/>
        </w:numPr>
      </w:pPr>
      <w:r>
        <w:rPr>
          <w:b/>
          <w:bCs/>
        </w:rPr>
        <w:t xml:space="preserve">BENZYPAL (R)</w:t>
      </w:r>
      <w:r>
        <w:t xml:space="preserve"> </w:t>
      </w:r>
      <w:r>
        <w:t xml:space="preserve">(SOCIETE PHARMACEUTIQUE ALGERIENNE — SOPHAL)</w:t>
      </w:r>
    </w:p>
    <w:p>
      <w:pPr>
        <w:pStyle w:val="Compact"/>
        <w:numPr>
          <w:ilvl w:val="1"/>
          <w:numId w:val="1012"/>
        </w:numPr>
      </w:pPr>
      <w:r>
        <w:t xml:space="preserve">Formes et Dosages : Poudre et solvant pour solution injectable, 200 000 UI/mL (équivalent à 1 000 000 UI/5 mL)</w:t>
      </w:r>
    </w:p>
    <w:p>
      <w:pPr>
        <w:pStyle w:val="Compact"/>
        <w:numPr>
          <w:ilvl w:val="1"/>
          <w:numId w:val="1012"/>
        </w:numPr>
      </w:pPr>
      <w:r>
        <w:t xml:space="preserve">Statut : Retiré</w:t>
      </w:r>
    </w:p>
    <w:p>
      <w:pPr>
        <w:pStyle w:val="Compact"/>
        <w:numPr>
          <w:ilvl w:val="0"/>
          <w:numId w:val="1008"/>
        </w:numPr>
      </w:pPr>
      <w:r>
        <w:rPr>
          <w:b/>
          <w:bCs/>
        </w:rPr>
        <w:t xml:space="preserve">PENICILLINE CIMEX 1MUI (R)</w:t>
      </w:r>
      <w:r>
        <w:t xml:space="preserve"> </w:t>
      </w:r>
      <w:r>
        <w:t xml:space="preserve">(KHROUB PHARMACEUTICAL MANUFACTURING ALGERIA — KPMA)</w:t>
      </w:r>
    </w:p>
    <w:p>
      <w:pPr>
        <w:pStyle w:val="Compact"/>
        <w:numPr>
          <w:ilvl w:val="1"/>
          <w:numId w:val="1013"/>
        </w:numPr>
      </w:pPr>
      <w:r>
        <w:t xml:space="preserve">Formes et Dosages : Poudre et solvant pour solution injectable IM/IV, 1 MUI/flacon</w:t>
      </w:r>
    </w:p>
    <w:p>
      <w:pPr>
        <w:pStyle w:val="Compact"/>
        <w:numPr>
          <w:ilvl w:val="1"/>
          <w:numId w:val="1013"/>
        </w:numPr>
      </w:pPr>
      <w:r>
        <w:t xml:space="preserve">Statut : Retiré</w:t>
      </w:r>
    </w:p>
    <w:p>
      <w:pPr>
        <w:pStyle w:val="Compact"/>
        <w:numPr>
          <w:ilvl w:val="0"/>
          <w:numId w:val="1008"/>
        </w:numPr>
      </w:pPr>
      <w:r>
        <w:rPr>
          <w:b/>
          <w:bCs/>
        </w:rPr>
        <w:t xml:space="preserve">PENICILLINE G (R)</w:t>
      </w:r>
      <w:r>
        <w:t xml:space="preserve"> </w:t>
      </w:r>
      <w:r>
        <w:t xml:space="preserve">(BIOCHEMIE GmbH)</w:t>
      </w:r>
    </w:p>
    <w:p>
      <w:pPr>
        <w:pStyle w:val="Compact"/>
        <w:numPr>
          <w:ilvl w:val="1"/>
          <w:numId w:val="1014"/>
        </w:numPr>
      </w:pPr>
      <w:r>
        <w:t xml:space="preserve">Formes et Dosages : Poudre pour solution injectable, 1 000 000 UI ; Poudre pour solution injectable, 500 000 UI</w:t>
      </w:r>
    </w:p>
    <w:p>
      <w:pPr>
        <w:pStyle w:val="Compact"/>
        <w:numPr>
          <w:ilvl w:val="1"/>
          <w:numId w:val="1014"/>
        </w:numPr>
      </w:pPr>
      <w:r>
        <w:t xml:space="preserve">Statut : Retiré</w:t>
      </w:r>
    </w:p>
    <w:p>
      <w:pPr>
        <w:pStyle w:val="Compact"/>
        <w:numPr>
          <w:ilvl w:val="0"/>
          <w:numId w:val="1008"/>
        </w:numPr>
      </w:pPr>
      <w:r>
        <w:rPr>
          <w:b/>
          <w:bCs/>
        </w:rPr>
        <w:t xml:space="preserve">PENICILLINE G SARBACH (R)</w:t>
      </w:r>
      <w:r>
        <w:t xml:space="preserve"> </w:t>
      </w:r>
      <w:r>
        <w:t xml:space="preserve">(SOLVAY PHARMA)</w:t>
      </w:r>
    </w:p>
    <w:p>
      <w:pPr>
        <w:pStyle w:val="Compact"/>
        <w:numPr>
          <w:ilvl w:val="1"/>
          <w:numId w:val="1015"/>
        </w:numPr>
      </w:pPr>
      <w:r>
        <w:t xml:space="preserve">Formes et Dosages : Poudre pour solution injectable, 1 000 000 UI ; Poudre pour solution injectable, 500 000 UI</w:t>
      </w:r>
    </w:p>
    <w:p>
      <w:pPr>
        <w:pStyle w:val="Compact"/>
        <w:numPr>
          <w:ilvl w:val="1"/>
          <w:numId w:val="1015"/>
        </w:numPr>
      </w:pPr>
      <w:r>
        <w:t xml:space="preserve">Statut : Retiré</w:t>
      </w:r>
    </w:p>
    <w:p>
      <w:pPr>
        <w:pStyle w:val="Compact"/>
        <w:numPr>
          <w:ilvl w:val="0"/>
          <w:numId w:val="1008"/>
        </w:numPr>
      </w:pPr>
      <w:r>
        <w:rPr>
          <w:b/>
          <w:bCs/>
        </w:rPr>
        <w:t xml:space="preserve">PENICILLINE G SODIQUE PANPHARMA (R)</w:t>
      </w:r>
      <w:r>
        <w:t xml:space="preserve"> </w:t>
      </w:r>
      <w:r>
        <w:t xml:space="preserve">(PANPHARMA)</w:t>
      </w:r>
    </w:p>
    <w:p>
      <w:pPr>
        <w:pStyle w:val="Compact"/>
        <w:numPr>
          <w:ilvl w:val="1"/>
          <w:numId w:val="1016"/>
        </w:numPr>
      </w:pPr>
      <w:r>
        <w:t xml:space="preserve">Formes et Dosages : Poudre pour solution injectable IM/IV, 1 000 000 UI</w:t>
      </w:r>
    </w:p>
    <w:p>
      <w:pPr>
        <w:pStyle w:val="Compact"/>
        <w:numPr>
          <w:ilvl w:val="1"/>
          <w:numId w:val="1016"/>
        </w:numPr>
      </w:pPr>
      <w:r>
        <w:t xml:space="preserve">Statut : Retiré</w:t>
      </w:r>
    </w:p>
    <w:p>
      <w:pPr>
        <w:pStyle w:val="Compact"/>
        <w:numPr>
          <w:ilvl w:val="0"/>
          <w:numId w:val="1008"/>
        </w:numPr>
      </w:pPr>
      <w:r>
        <w:rPr>
          <w:b/>
          <w:bCs/>
        </w:rPr>
        <w:t xml:space="preserve">UNICILINA (R)</w:t>
      </w:r>
      <w:r>
        <w:t xml:space="preserve"> </w:t>
      </w:r>
      <w:r>
        <w:t xml:space="preserve">(PHARMACIA UPJOHN)</w:t>
      </w:r>
    </w:p>
    <w:p>
      <w:pPr>
        <w:pStyle w:val="Compact"/>
        <w:numPr>
          <w:ilvl w:val="1"/>
          <w:numId w:val="1017"/>
        </w:numPr>
      </w:pPr>
      <w:r>
        <w:t xml:space="preserve">Formes et Dosages : Poudre pour solution injectable, 1 000 000 UI</w:t>
      </w:r>
    </w:p>
    <w:p>
      <w:pPr>
        <w:pStyle w:val="Compact"/>
        <w:numPr>
          <w:ilvl w:val="1"/>
          <w:numId w:val="1017"/>
        </w:numPr>
      </w:pPr>
      <w:r>
        <w:t xml:space="preserve">Statut : Retiré</w:t>
      </w:r>
    </w:p>
    <w:p>
      <w:pPr>
        <w:pStyle w:val="FirstParagraph"/>
      </w:pPr>
      <w:r>
        <w:rPr>
          <w:b/>
          <w:bCs/>
        </w:rPr>
        <w:t xml:space="preserve">Sous-classe et Mécanisme d’action :</w:t>
      </w:r>
      <w:r>
        <w:t xml:space="preserve"> </w:t>
      </w:r>
      <w:r>
        <w:t xml:space="preserve">- Sous-classe : Pénicilline naturelle de référence (pénicilline G), classe des bêta-lactamines, sous-groupe des pénicillines G. DCI de première mise sur le marché (1942), inscrite sur la liste des médicaments essentiels OMS.</w:t>
      </w:r>
      <w:r>
        <w:t xml:space="preserve"> </w:t>
      </w:r>
      <w:r>
        <w:t xml:space="preserve">- Mécanisme d’action : Bactéricide temps-dépendant. La benzylpénicilline se fixe de manière covalente (ouverture du cycle bêta-lactame par une sérine active) sur les PBP (PBP1, PBP2, PBP3) de la paroi bactérienne, bloquant la transpeptidation terminale des ponts D-Ala-D-Ala du peptidoglycane. L’inhibition des PBP1 déclenche la lyse, celle des PBP2 (chez les bacilles à Gram négatif) provoque des formes sphéroplastiques, et celle des PBP3 inhibe la septation cellulaire (filaments bactériens). L’activation secondaire des autolysines (N-acétylmuramyl-L-alanine amidase) précipite la lyse osmotique.</w:t>
      </w:r>
    </w:p>
    <w:p>
      <w:pPr>
        <w:pStyle w:val="BodyText"/>
      </w:pPr>
      <w:r>
        <w:rPr>
          <w:b/>
          <w:bCs/>
        </w:rPr>
        <w:t xml:space="preserve">Profil Pharmacologique :</w:t>
      </w:r>
      <w:r>
        <w:t xml:space="preserve"> </w:t>
      </w:r>
      <w:r>
        <w:t xml:space="preserve">- Indications : Endocardite infectieuse à streptocoque sensible (traitement de référence avec gentamicine en association), méningite à</w:t>
      </w:r>
      <w:r>
        <w:t xml:space="preserve"> </w:t>
      </w:r>
      <w:r>
        <w:rPr>
          <w:i/>
          <w:iCs/>
        </w:rPr>
        <w:t xml:space="preserve">Neisseria meningitidis</w:t>
      </w:r>
      <w:r>
        <w:t xml:space="preserve"> </w:t>
      </w:r>
      <w:r>
        <w:t xml:space="preserve">(en alternative aux céphalosporines de 3e génération), syphilis neurologique (à fortes doses IV, 12 à 24 MUI/j), charbon (</w:t>
      </w:r>
      <w:r>
        <w:rPr>
          <w:i/>
          <w:iCs/>
        </w:rPr>
        <w:t xml:space="preserve">Bacillus anthracis</w:t>
      </w:r>
      <w:r>
        <w:t xml:space="preserve">), tétanos, diphtérie (adjunctive à l’antitoxine), actinomycose, listériose neuroméningée (en association à l’amoxicilline ou aminoglycoside), prophylaxie du rhumatisme articulaire aigu (alternative à la benzathine).</w:t>
      </w:r>
      <w:r>
        <w:t xml:space="preserve"> </w:t>
      </w:r>
      <w:r>
        <w:t xml:space="preserve">- Contre-indications : Allergie avérée aux bêta-lactamines (CI absolue), antécédent d’anaphylaxie ou de maladie sérique aux pénicillines ; insuffisance rénale sévère (adaptation obligatoire pour éviter les convulsions) ; hyperkaliémie pour la forme potassique. Précautions : sujet âgé, terrain atopique, grossesse (à utiliser si nécessaire).</w:t>
      </w:r>
      <w:r>
        <w:t xml:space="preserve"> </w:t>
      </w:r>
      <w:r>
        <w:t xml:space="preserve">- Effets Indésirables : Réactions d’hypersensibilité (éruption maculo-papuleuse 5–10 %, urticaire, œdème de Quincke, anaphylaxie rare &lt; 0,05 % mais grave), neurotoxicité à fortes doses (myoclonies, convulsions, encéphalopathie — classiquement avec &gt;20 MUI/jour ou insuffisance rénale), néphrite interstitielle immuno-allergique (glomérulonéphrite avec éosinophilurie), anémie hémolytique (Coombs direct positif), thrombophlébite au site de perfusion, déséquilibre électrolytique (hypokaliémie par tubulopathie, hypernatrémie de la forme sodique). La réaction de Jarisch-Herxheimer (fièvre, frissons, myalgies 2 à 12 h après la première dose) s’observe dans la syphilis, la borréliose et la leptospirose (libération de toxines après lyse bactérienne).</w:t>
      </w:r>
    </w:p>
    <w:p>
      <w:pPr>
        <w:pStyle w:val="BodyText"/>
      </w:pPr>
      <w:r>
        <w:rPr>
          <w:b/>
          <w:bCs/>
        </w:rPr>
        <w:t xml:space="preserve">Prévention et Gestion des Effets Indésirables :</w:t>
      </w:r>
      <w:r>
        <w:t xml:space="preserve"> </w:t>
      </w:r>
      <w:r>
        <w:t xml:space="preserve">- Mesures Préventives (Pharmacien &amp; Patient) : Vérification systématique de l’allergie avant dispensation (interrogatoire patient et entourage) ; respect strict des intervalles d’administration (temps-dépendance) ; adaptation de la posologie à la clairance de la créatinine (Cockcroft) ; surveillance kaliémie pour la forme potassique ; voie IV central en cas de traitement prolongé pour éviter les thrombophlébites ; administration à débit constant (perfuseur électrique) pour la méningite.</w:t>
      </w:r>
      <w:r>
        <w:t xml:space="preserve"> </w:t>
      </w:r>
      <w:r>
        <w:t xml:space="preserve">- Conduite à Tenir : En cas d’urticaire généralisée ou de bronchospasme : arrêt immédiat, mise en décubitus, appel SAMU, injection IM d’adrénaline 0,5 mg (adulte), antihistaminiques et corticothérapie IV. En cas de convulsions : arrêt de la perfusion, diazépam IV, correction de l’hyponatrémie. En cas de néphrite interstitielle : arrêt et switch vers une autre classe.</w:t>
      </w:r>
    </w:p>
    <w:p>
      <w:pPr>
        <w:pStyle w:val="BodyText"/>
      </w:pPr>
      <w:r>
        <w:rPr>
          <w:b/>
          <w:bCs/>
        </w:rPr>
        <w:t xml:space="preserve">Interactions Importantes :</w:t>
      </w:r>
      <w:r>
        <w:t xml:space="preserve"> </w:t>
      </w:r>
      <w:r>
        <w:t xml:space="preserve">- Aminosides (gentamicine, amikacine) : Synergie bactéricide sur les streptocoques et entérocoques (endocardite), mais inactivation physique dans la tubule rénale et dans les perfusions mixtes (ne pas mélanger dans la même ligne).</w:t>
      </w:r>
      <w:r>
        <w:t xml:space="preserve"> </w:t>
      </w:r>
      <w:r>
        <w:t xml:space="preserve">- Probenécide : Inhibition de la sécrétion tubulaire rénale OAT des pénicillines, augmentant les concentrations plasmatiques et prolongeant la demi-vie (utilisé historiquement pour augmenter l’exposition, encore parfois en syphilis).</w:t>
      </w:r>
      <w:r>
        <w:t xml:space="preserve"> </w:t>
      </w:r>
      <w:r>
        <w:t xml:space="preserve">- Diurétiques de l’anse (furosémide) : Augmentation du risque de néphrotoxicité et d’ototoxicité (rare avec la pénicilline seule).</w:t>
      </w:r>
      <w:r>
        <w:t xml:space="preserve"> </w:t>
      </w:r>
      <w:r>
        <w:t xml:space="preserve">- Contraceptifs oraux estroprogestatifs : Rare baisse d’efficacité par modification de la flore intestinale réduisant le cycle entérohépatique des estrogènes — recommander une méthode complémentaire pendant le traitement et 7 jours après.</w:t>
      </w:r>
    </w:p>
    <w:p>
      <w:pPr>
        <w:pStyle w:val="BodyText"/>
      </w:pPr>
      <w:r>
        <w:rPr>
          <w:b/>
          <w:bCs/>
        </w:rPr>
        <w:t xml:space="preserve">Grossesse et Allaitement :</w:t>
      </w:r>
      <w:r>
        <w:t xml:space="preserve"> </w:t>
      </w:r>
      <w:r>
        <w:t xml:space="preserve">- Grossesse : Indiqué. La benzylpénicilline traverse la barrière fœtoplacentaire sans atteinte embryo-fœtale documentée. Le CRAT classe la pénicilline G comme « non tératogène chez l’animal, données humaines rassurantes ». C’est l’antibiotique de référence de la syphilis gravidique (traitement obligatoire pour prévenir la syphilis congénitale).</w:t>
      </w:r>
      <w:r>
        <w:t xml:space="preserve"> </w:t>
      </w:r>
      <w:r>
        <w:t xml:space="preserve">- Allaitement : Indiqué. Passage faible dans le lait maternel (rapport lait/plasma 0,1–0,3) sans toxicité pour le nouveau-né, à l’exception d’un risque théorique de troubles digestifs (diarrhée, candidose) et de sensibilisation allergique.</w:t>
      </w:r>
      <w:r>
        <w:t xml:space="preserve"> </w:t>
      </w:r>
      <w:r>
        <w:t xml:space="preserve">- Précisions : Syphilis au cours de la grossesse : benzathine pénicilline G IM préféré, mais en neurosyphilis, pénicilline G IV 18–24 MUI/j pendant 10–14 jours est licite.</w:t>
      </w:r>
    </w:p>
    <w:p>
      <w:pPr>
        <w:pStyle w:val="BodyText"/>
      </w:pPr>
      <w:r>
        <w:rPr>
          <w:b/>
          <w:bCs/>
        </w:rPr>
        <w:t xml:space="preserve">Posologie et Mode d’administration (Standard) :</w:t>
      </w:r>
      <w:r>
        <w:t xml:space="preserve"> </w:t>
      </w:r>
      <w:r>
        <w:t xml:space="preserve">- Adulte : Infections courantes : 6 à 12 MUI/jour en 4 à 6 injections IV ou IM (soit 1 à 2 MUI toutes les 4–6 h). Endocardite streptococcique : 12 à 20 MUI/jour IV (perfusée en continu ou en 6 fractions) pendant 4 semaines. Méningite à méningocoque : 12 à 24 MUI/jour IV. Syphilis neurologique : 18 à 24 MUI/jour IV (3 à 4 MUI toutes les 4 h) pendant 10 à 14 jours.</w:t>
      </w:r>
      <w:r>
        <w:t xml:space="preserve"> </w:t>
      </w:r>
      <w:r>
        <w:t xml:space="preserve">- Enfant : 50 000 à 100 000 UI/kg/jour en 4 à 6 injections IV (jusqu’à 250 000 UI/kg/jour en méningite). Nourrisson : 100 000 UI/kg/jour en perfusion continue après charge.</w:t>
      </w:r>
      <w:r>
        <w:t xml:space="preserve"> </w:t>
      </w:r>
      <w:r>
        <w:t xml:space="preserve">- Durée du traitement : Variable selon la pathologie : angine streptococcique 10 jours, endocardite 4 semaines, méningite à méningocoque 7 jours, syphilis neurologique 10–14 jours. La durée est guidée par la clinique, la CRP et les hémocultures de contrôle.</w:t>
      </w:r>
      <w:r>
        <w:t xml:space="preserve"> </w:t>
      </w:r>
      <w:r>
        <w:t xml:space="preserve">- Moment de la prise : Hors considération de repas (forme injectable). L’IV se fait sur voie veineuse périphérique de gros calibre ou voie centrale, en perfusion de 30 à 60 minutes ou en perfusion continue.</w:t>
      </w:r>
    </w:p>
    <w:p>
      <w:pPr>
        <w:pStyle w:val="BodyText"/>
      </w:pPr>
      <w:r>
        <w:rPr>
          <w:b/>
          <w:bCs/>
        </w:rPr>
        <w:t xml:space="preserve">Arbitrage et Bénéfices des Formes Galéniques :</w:t>
      </w:r>
      <w:r>
        <w:t xml:space="preserve"> </w:t>
      </w:r>
      <w:r>
        <w:t xml:space="preserve">La benzylpénicilline G injectable reste supérieure à toute autre pénicilline pour les infections graves à streptocoque sensibles, en raison de sa concentration plasmatique élevée et de son index thérapeutique large. La forme IM profonde (quadrant supéro-externe fessier) demeure utile en exercice de ville pour les angines sévères ou les infections à streptocoque en cas de невозможности de la voie orale, mais reste douloureuse. La perfusion continue garantit un temps supérieur à la CMI (T &gt; CMI) optimisé, mais expose à la dégradation hydrolytique de la pénicilline (24 h maximum à température ambiante). En pratique hospitalière, la préférence va à l’IV discontinue toutes les 6 h ou à la perfusion continue renouvelée toutes les 24 h.</w:t>
      </w:r>
    </w:p>
    <w:p>
      <w:pPr>
        <w:pStyle w:val="BodyText"/>
      </w:pPr>
      <w:r>
        <w:rPr>
          <w:b/>
          <w:bCs/>
        </w:rPr>
        <w:t xml:space="preserve">Instructions et Conseils au Patient :</w:t>
      </w:r>
      <w:r>
        <w:t xml:space="preserve"> </w:t>
      </w:r>
      <w:r>
        <w:t xml:space="preserve">- Communication au comptoir : « C’est l’antibiotique le plus ancien et l’un des mieux tolérés, à condition que vous n’y soyez pas allergique. Il s’administre à l’hôpital en perfusion ou en injections régulières, car il est détruit par l’estomac. Prévenez immédiatement le soignant si vous ressentez des démangeaisons, un essoufflement ou une éruption. »</w:t>
      </w:r>
      <w:r>
        <w:t xml:space="preserve"> </w:t>
      </w:r>
      <w:r>
        <w:t xml:space="preserve">- Mode d’utilisation pratique : Strict respect des horaires d’injection (toutes les 4 à 6 h pour la forme IM discontinue), surveillance du point de ponction, hydratation suffisante, tenue d’un journal des injections. Avis médical immédiat en cas de fièvre, frissons ou rash 30 min à 12 h après la première injection (Jarisch-Herxheimer).</w:t>
      </w:r>
    </w:p>
    <w:p>
      <w:pPr>
        <w:pStyle w:val="BodyText"/>
      </w:pPr>
      <w:r>
        <w:rPr>
          <w:b/>
          <w:bCs/>
        </w:rPr>
        <w:t xml:space="preserve">Notes, Règles d’Or &amp; Pièges au Comptoir :</w:t>
      </w:r>
      <w:r>
        <w:t xml:space="preserve"> </w:t>
      </w:r>
      <w:r>
        <w:t xml:space="preserve">- Piège classique : Confondre la benzylpénicilline G (forme IMMédiate, demi-vie 30 min) avec la benzathine benzylpénicilline (forme retard d’action prolongée 2–4 semaines) — l’erreur d’interprétation du dosage (1 MUI benzylpénicilline IV toutes les 6 h ≠ 1,2 MUI benzathine IM en dose unique) peut conduire à un sous-dosage grave (syphilis maternelle non couverte) ou à un surdosage neurotoxique.</w:t>
      </w:r>
      <w:r>
        <w:t xml:space="preserve"> </w:t>
      </w:r>
      <w:r>
        <w:t xml:space="preserve">- Règle de prise / Conseil Patient : La benzylpénicilline G doit être reconstituée extemporanément, administrée en moins de 30 min après dilution pour la forme IM (précipitation au froid) ; la voie IV ne se mélange jamais avec un aminoside dans la même tubulure (inactivation réciproque).</w:t>
      </w:r>
      <w:r>
        <w:t xml:space="preserve"> </w:t>
      </w:r>
      <w:r>
        <w:t xml:space="preserve">- Préparation et Conservation : Flacon de poudre à conserver à température &lt; 25 °C, à l’abri de la lumière. Après reconstitution : stabilité 24 h à température ambiante, 7 jours à +4 °C. Ne pas congeler.</w:t>
      </w:r>
      <w:r>
        <w:t xml:space="preserve"> </w:t>
      </w:r>
      <w:r>
        <w:t xml:space="preserve">- Piège du surdosage / Substitution : Risque convulsif majeur si &gt; 20 MUI/jour ou si insuffisance rénale non adaptée ; vérifier systématiquement la créatininémie en début de traitement. Ne jamais substituer une forme orale (Pénicilline V) à une forme injectable sans réévaluation médicale.</w:t>
      </w:r>
    </w:p>
    <w:p>
      <w:r>
        <w:pict>
          <v:rect style="width:0;height:1.5pt" o:hralign="center" o:hrstd="t" o:hr="t"/>
        </w:pict>
      </w:r>
    </w:p>
    <w:bookmarkEnd w:id="33"/>
    <w:bookmarkStart w:id="34" w:name="dci-benzathine-benzylpénicilline-seule"/>
    <w:p>
      <w:pPr>
        <w:pStyle w:val="Heading3"/>
      </w:pPr>
      <w:r>
        <w:t xml:space="preserve">2.1.2 DCI : Benzathine benzylpénicilline (Seule)</w:t>
      </w:r>
    </w:p>
    <w:p>
      <w:pPr>
        <w:pStyle w:val="FirstParagraph"/>
      </w:pPr>
      <w:r>
        <w:rPr>
          <w:b/>
          <w:bCs/>
        </w:rPr>
        <w:t xml:space="preserve">Liste des Catégories :</w:t>
      </w:r>
      <w:r>
        <w:t xml:space="preserve"> </w:t>
      </w:r>
      <w:r>
        <w:t xml:space="preserve">Pénicillines ; Bêta-lactamines ; Pénicillines G ; Pénicilline retard ; Antibiotique bactéricide ; Liste I.</w:t>
      </w:r>
    </w:p>
    <w:p>
      <w:pPr>
        <w:pStyle w:val="BodyText"/>
      </w:pPr>
      <w:r>
        <w:t xml:space="preserve">La benzathine benzylpénicilline est un sel retard de la benzylpénicilline obtenu par couplage avec une base diamine (N,N’-dibenzyléthylènediamine) ; cette combinaison très peu soluble forme un dépôt intramusculaire qui libère lentement la pénicilline G active sur 2 à 4 semaines, garantissant une couverture antibiotique prolongée en une seule injection. C’est le traitement de référence mondial de la syphilis à tous les stades (hors neurosyphilis) et de la prophylaxie du rhumatisme articulaire aigu.</w:t>
      </w:r>
    </w:p>
    <w:p>
      <w:pPr>
        <w:pStyle w:val="BodyText"/>
      </w:pPr>
      <w:r>
        <w:rPr>
          <w:b/>
          <w:bCs/>
        </w:rPr>
        <w:t xml:space="preserve">Médicaments disponibles en Algérie (Marques, Laboratoires, Formes et Dosages) :</w:t>
      </w:r>
    </w:p>
    <w:p>
      <w:pPr>
        <w:pStyle w:val="Compact"/>
        <w:numPr>
          <w:ilvl w:val="0"/>
          <w:numId w:val="1018"/>
        </w:numPr>
      </w:pPr>
      <w:r>
        <w:rPr>
          <w:b/>
          <w:bCs/>
        </w:rPr>
        <w:t xml:space="preserve">EXTENCINE</w:t>
      </w:r>
      <w:r>
        <w:t xml:space="preserve"> </w:t>
      </w:r>
      <w:r>
        <w:t xml:space="preserve">(BIOCARE)</w:t>
      </w:r>
    </w:p>
    <w:p>
      <w:pPr>
        <w:pStyle w:val="Compact"/>
        <w:numPr>
          <w:ilvl w:val="1"/>
          <w:numId w:val="1019"/>
        </w:numPr>
      </w:pPr>
      <w:r>
        <w:t xml:space="preserve">Formes et Dosages : Poudre pour suspension injectable IM, 600 000 UI/flacon</w:t>
      </w:r>
    </w:p>
    <w:p>
      <w:pPr>
        <w:pStyle w:val="Compact"/>
        <w:numPr>
          <w:ilvl w:val="1"/>
          <w:numId w:val="1019"/>
        </w:numPr>
      </w:pPr>
      <w:r>
        <w:t xml:space="preserve">Statut : Actif</w:t>
      </w:r>
    </w:p>
    <w:p>
      <w:pPr>
        <w:pStyle w:val="Compact"/>
        <w:numPr>
          <w:ilvl w:val="0"/>
          <w:numId w:val="1018"/>
        </w:numPr>
      </w:pPr>
      <w:r>
        <w:rPr>
          <w:b/>
          <w:bCs/>
        </w:rPr>
        <w:t xml:space="preserve">RETARCILINE</w:t>
      </w:r>
      <w:r>
        <w:t xml:space="preserve"> </w:t>
      </w:r>
      <w:r>
        <w:t xml:space="preserve">(GROUPE SAIDAL)</w:t>
      </w:r>
    </w:p>
    <w:p>
      <w:pPr>
        <w:pStyle w:val="Compact"/>
        <w:numPr>
          <w:ilvl w:val="1"/>
          <w:numId w:val="1020"/>
        </w:numPr>
      </w:pPr>
      <w:r>
        <w:t xml:space="preserve">Formes et Dosages : Poudre pour suspension injectable IM, 600 000 UI/flacon</w:t>
      </w:r>
    </w:p>
    <w:p>
      <w:pPr>
        <w:pStyle w:val="Compact"/>
        <w:numPr>
          <w:ilvl w:val="1"/>
          <w:numId w:val="1020"/>
        </w:numPr>
      </w:pPr>
      <w:r>
        <w:t xml:space="preserve">Statut : Actif</w:t>
      </w:r>
    </w:p>
    <w:p>
      <w:pPr>
        <w:pStyle w:val="Compact"/>
        <w:numPr>
          <w:ilvl w:val="0"/>
          <w:numId w:val="1018"/>
        </w:numPr>
      </w:pPr>
      <w:r>
        <w:rPr>
          <w:b/>
          <w:bCs/>
        </w:rPr>
        <w:t xml:space="preserve">BENZATHINE BENZYLPENICILLINE FLAVELAB (R)</w:t>
      </w:r>
      <w:r>
        <w:t xml:space="preserve"> </w:t>
      </w:r>
      <w:r>
        <w:t xml:space="preserve">(FLAVELAB)</w:t>
      </w:r>
    </w:p>
    <w:p>
      <w:pPr>
        <w:pStyle w:val="Compact"/>
        <w:numPr>
          <w:ilvl w:val="1"/>
          <w:numId w:val="1021"/>
        </w:numPr>
      </w:pPr>
      <w:r>
        <w:t xml:space="preserve">Formes et Dosages : Poudre pour solution injectable, 1 200 000 UI ; Poudre pour solution injectable, 600 000 UI</w:t>
      </w:r>
    </w:p>
    <w:p>
      <w:pPr>
        <w:pStyle w:val="Compact"/>
        <w:numPr>
          <w:ilvl w:val="1"/>
          <w:numId w:val="1021"/>
        </w:numPr>
      </w:pPr>
      <w:r>
        <w:t xml:space="preserve">Statut : Retiré</w:t>
      </w:r>
    </w:p>
    <w:p>
      <w:pPr>
        <w:pStyle w:val="Compact"/>
        <w:numPr>
          <w:ilvl w:val="0"/>
          <w:numId w:val="1018"/>
        </w:numPr>
      </w:pPr>
      <w:r>
        <w:rPr>
          <w:b/>
          <w:bCs/>
        </w:rPr>
        <w:t xml:space="preserve">BENZATHINE PENICILLIN (R)</w:t>
      </w:r>
      <w:r>
        <w:t xml:space="preserve"> </w:t>
      </w:r>
      <w:r>
        <w:t xml:space="preserve">(ASIA PHARMACEUTICALS / SANAMED)</w:t>
      </w:r>
    </w:p>
    <w:p>
      <w:pPr>
        <w:pStyle w:val="Compact"/>
        <w:numPr>
          <w:ilvl w:val="1"/>
          <w:numId w:val="1022"/>
        </w:numPr>
      </w:pPr>
      <w:r>
        <w:t xml:space="preserve">Formes et Dosages : Poudre et solvant pour solution injectable IM, 1 200 000 UI ; Poudre et solvant pour suspension injectable IM, 600 000 UI/flacon</w:t>
      </w:r>
    </w:p>
    <w:p>
      <w:pPr>
        <w:pStyle w:val="Compact"/>
        <w:numPr>
          <w:ilvl w:val="1"/>
          <w:numId w:val="1022"/>
        </w:numPr>
      </w:pPr>
      <w:r>
        <w:t xml:space="preserve">Statut : Retiré</w:t>
      </w:r>
    </w:p>
    <w:p>
      <w:pPr>
        <w:pStyle w:val="Compact"/>
        <w:numPr>
          <w:ilvl w:val="0"/>
          <w:numId w:val="1018"/>
        </w:numPr>
      </w:pPr>
      <w:r>
        <w:rPr>
          <w:b/>
          <w:bCs/>
        </w:rPr>
        <w:t xml:space="preserve">PENIDURAL (R)</w:t>
      </w:r>
      <w:r>
        <w:t xml:space="preserve"> </w:t>
      </w:r>
      <w:r>
        <w:t xml:space="preserve">(PHARMACIA UPJOHN)</w:t>
      </w:r>
    </w:p>
    <w:p>
      <w:pPr>
        <w:pStyle w:val="Compact"/>
        <w:numPr>
          <w:ilvl w:val="1"/>
          <w:numId w:val="1023"/>
        </w:numPr>
      </w:pPr>
      <w:r>
        <w:t xml:space="preserve">Formes et Dosages : Poudre pour solution injectable, 1 200 000 UI ; Poudre pour solution injectable, 600 000 UI</w:t>
      </w:r>
    </w:p>
    <w:p>
      <w:pPr>
        <w:pStyle w:val="Compact"/>
        <w:numPr>
          <w:ilvl w:val="1"/>
          <w:numId w:val="1023"/>
        </w:numPr>
      </w:pPr>
      <w:r>
        <w:t xml:space="preserve">Statut : Retiré</w:t>
      </w:r>
    </w:p>
    <w:p>
      <w:pPr>
        <w:pStyle w:val="Compact"/>
        <w:numPr>
          <w:ilvl w:val="0"/>
          <w:numId w:val="1018"/>
        </w:numPr>
      </w:pPr>
      <w:r>
        <w:rPr>
          <w:b/>
          <w:bCs/>
        </w:rPr>
        <w:t xml:space="preserve">RETARMEX (R)</w:t>
      </w:r>
      <w:r>
        <w:t xml:space="preserve"> </w:t>
      </w:r>
      <w:r>
        <w:t xml:space="preserve">(KHROUB PHARMACEUTICAL MANUFACTURING ALGERIA — KPMA)</w:t>
      </w:r>
    </w:p>
    <w:p>
      <w:pPr>
        <w:pStyle w:val="Compact"/>
        <w:numPr>
          <w:ilvl w:val="1"/>
          <w:numId w:val="1024"/>
        </w:numPr>
      </w:pPr>
      <w:r>
        <w:t xml:space="preserve">Formes et Dosages : Poudre et solvant pour suspension injectable IM/IV, 1 200 000 UI/flacon</w:t>
      </w:r>
    </w:p>
    <w:p>
      <w:pPr>
        <w:pStyle w:val="Compact"/>
        <w:numPr>
          <w:ilvl w:val="1"/>
          <w:numId w:val="1024"/>
        </w:numPr>
      </w:pPr>
      <w:r>
        <w:t xml:space="preserve">Statut : Retiré</w:t>
      </w:r>
    </w:p>
    <w:p>
      <w:pPr>
        <w:pStyle w:val="Compact"/>
        <w:numPr>
          <w:ilvl w:val="0"/>
          <w:numId w:val="1018"/>
        </w:numPr>
      </w:pPr>
      <w:r>
        <w:rPr>
          <w:b/>
          <w:bCs/>
        </w:rPr>
        <w:t xml:space="preserve">RETARPEN (R)</w:t>
      </w:r>
      <w:r>
        <w:t xml:space="preserve"> </w:t>
      </w:r>
      <w:r>
        <w:t xml:space="preserve">(SANDOZ GMBH)</w:t>
      </w:r>
    </w:p>
    <w:p>
      <w:pPr>
        <w:pStyle w:val="Compact"/>
        <w:numPr>
          <w:ilvl w:val="1"/>
          <w:numId w:val="1025"/>
        </w:numPr>
      </w:pPr>
      <w:r>
        <w:t xml:space="preserve">Formes et Dosages : Poudre pour solution injectable, 1 200 000 UI ; Poudre pour solution injectable, 600 000 UI</w:t>
      </w:r>
    </w:p>
    <w:p>
      <w:pPr>
        <w:pStyle w:val="Compact"/>
        <w:numPr>
          <w:ilvl w:val="1"/>
          <w:numId w:val="1025"/>
        </w:numPr>
      </w:pPr>
      <w:r>
        <w:t xml:space="preserve">Statut : Retiré</w:t>
      </w:r>
    </w:p>
    <w:p>
      <w:pPr>
        <w:pStyle w:val="FirstParagraph"/>
      </w:pPr>
      <w:r>
        <w:rPr>
          <w:b/>
          <w:bCs/>
        </w:rPr>
        <w:t xml:space="preserve">Sous-classe et Mécanisme d’action :</w:t>
      </w:r>
      <w:r>
        <w:t xml:space="preserve"> </w:t>
      </w:r>
      <w:r>
        <w:t xml:space="preserve">- Sous-classe : Pénicilline G sous forme de sel retard (benzathine), qui se distingue par sa pharmacocinétique prolongée et non par son mécanisme d’action identique à la benzylpénicilline. Inscription OMS liste médicaments essentiels.</w:t>
      </w:r>
      <w:r>
        <w:t xml:space="preserve"> </w:t>
      </w:r>
      <w:r>
        <w:t xml:space="preserve">- Mécanisme d’action : Identique à la benzylpénicilline G. La benzathine agit uniquement comme un vecteur pharmacocinétique : sa très faible solubilité tissulaire (≤ 0,5 mg/mL) ralentit la dissolution du dépôt intramusculaire, maintenant une concentration plasmatique sub-inhibitrice mais antibactériennement active pendant 2 à 4 semaines (1,2 MUI) ou 1 à 2 semaines (600 000 UI).</w:t>
      </w:r>
    </w:p>
    <w:p>
      <w:pPr>
        <w:pStyle w:val="BodyText"/>
      </w:pPr>
      <w:r>
        <w:rPr>
          <w:b/>
          <w:bCs/>
        </w:rPr>
        <w:t xml:space="preserve">Profil Pharmacologique :</w:t>
      </w:r>
      <w:r>
        <w:t xml:space="preserve"> </w:t>
      </w:r>
      <w:r>
        <w:t xml:space="preserve">- Indications : Syphilis récente (primaire, secondaire, latente précoce &lt; 1 an) : dose unique IM de 2,4 MUI ; syphilis tardive (&gt;1 an, latente, tertiaire non neurologique) : 2,4 MUI IM/semaine × 3 ; chancre mou (</w:t>
      </w:r>
      <w:r>
        <w:rPr>
          <w:i/>
          <w:iCs/>
        </w:rPr>
        <w:t xml:space="preserve">Haemophilus ducreyi</w:t>
      </w:r>
      <w:r>
        <w:t xml:space="preserve"> </w:t>
      </w:r>
      <w:r>
        <w:t xml:space="preserve">en alternative) ; pian ; pinta ; prophylaxie secondaire du rhumatisme articulaire aigu chez l’enfant (1,2 MUI IM toutes les 3 à 4 semaines pendant 5 à 10 ans, ou jusqu’à 21 ans) ; prophylaxie de l’eruption post-streptococcique.</w:t>
      </w:r>
      <w:r>
        <w:t xml:space="preserve"> </w:t>
      </w:r>
      <w:r>
        <w:t xml:space="preserve">- Contre-indications : Allergie aux bêta-lactamines (CI absolue), neurosyphilis confirmée ou suspectée (la benzathine n’atteint pas le LCR !), infection à streptocoque nécessitant des concentrations bactéricides élevées (endocardite), terrain asthmatique sévère, IV stricte (la benzathine ne se注入 JAMAIS en IV — risque d’arrêt cardiocirculatoire, de thromboembolie pulmonaire et de décès).</w:t>
      </w:r>
      <w:r>
        <w:t xml:space="preserve"> </w:t>
      </w:r>
      <w:r>
        <w:t xml:space="preserve">- Effets Indésirables : Douleur au site d’injection IM (souvent intense, prolongée 24–72 h), induration, nodule stérile, abcès stérile ; réactions allergiques (cf. benzylpénicilline G) ; réaction de Jarisch-Herxheimer (très fréquente dans la syphilis secondaire, 10–35 % des cas, 2–8 h après l’injection : fièvre, frissons, myalgies, hypotension — bénigne mais à expliquer) ; rarement neuropathie par injection accidentelle intra-neurale (nerf sciatique) si mauvaise technique.</w:t>
      </w:r>
    </w:p>
    <w:p>
      <w:pPr>
        <w:pStyle w:val="BodyText"/>
      </w:pPr>
      <w:r>
        <w:rPr>
          <w:b/>
          <w:bCs/>
        </w:rPr>
        <w:t xml:space="preserve">Prévention et Gestion des Effets Indésirables :</w:t>
      </w:r>
      <w:r>
        <w:t xml:space="preserve"> </w:t>
      </w:r>
      <w:r>
        <w:t xml:space="preserve">- Mesures Préventives (Pharmacien &amp; Patient) : Vérification de l’absence d’allergie, technique IM stricte (quadrant supéro-externe fessier, aiguille 21–23 G, aspiration avant injection, position couchée latérale), massage doux post-injection, application de chaleur locale, antalgique de palier 1 (paracétamol) préventif. Information systématique du patient sur la possible réaction de Jarisch-Herxheimer en syphilis.</w:t>
      </w:r>
      <w:r>
        <w:t xml:space="preserve"> </w:t>
      </w:r>
      <w:r>
        <w:t xml:space="preserve">- Conduite à Tenir : En cas d’anaphylaxie : protocole d’urgence (adrénaline IM 0,5 mg, SAMU). En cas de Jarisch-Herxheimer : pas d’arrêt, traitement symptomatique (paracétamol, antihistaminique). En cas d’injection intra-vasculaire accidentelle (pâleur, cyanose, dyspnée immédiate) : arrêt immédiat, surveillance ECG, oxygénothérapie.</w:t>
      </w:r>
    </w:p>
    <w:p>
      <w:pPr>
        <w:pStyle w:val="BodyText"/>
      </w:pPr>
      <w:r>
        <w:rPr>
          <w:b/>
          <w:bCs/>
        </w:rPr>
        <w:t xml:space="preserve">Interactions Importantes :</w:t>
      </w:r>
      <w:r>
        <w:t xml:space="preserve"> </w:t>
      </w:r>
      <w:r>
        <w:t xml:space="preserve">- Probenécide : Augmente les concentrations plasmatiques et prolonge la demi-vie de la pénicilline G libérée, parfois utilisé pour potentialiser la couverture.</w:t>
      </w:r>
      <w:r>
        <w:t xml:space="preserve"> </w:t>
      </w:r>
      <w:r>
        <w:t xml:space="preserve">- Aminosides : Synergie bactéricide théorique, mais sans intérêt pratique dans les indications de la benzathine (syphilis, RAA).</w:t>
      </w:r>
      <w:r>
        <w:t xml:space="preserve"> </w:t>
      </w:r>
      <w:r>
        <w:t xml:space="preserve">- Vaccin BCG et vaccins vivants atténués : Aucune interaction directe, mais l’antibiothérapie prolongée peut modifier la flore intestinale (à considérer si vaccination orale anti-typhoïdique ou anti-rotavirus concomitante).</w:t>
      </w:r>
    </w:p>
    <w:p>
      <w:pPr>
        <w:pStyle w:val="BodyText"/>
      </w:pPr>
      <w:r>
        <w:rPr>
          <w:b/>
          <w:bCs/>
        </w:rPr>
        <w:t xml:space="preserve">Grossesse et Allaitement :</w:t>
      </w:r>
      <w:r>
        <w:t xml:space="preserve"> </w:t>
      </w:r>
      <w:r>
        <w:t xml:space="preserve">- Grossesse : Indiqué. La benzathine pénicilline G est le traitement de choix de la syphilis chez la femme enceinte (recommandations OMS, HAS et CDC). Le traitement de la syphilis gravidique prévient la syphilis congénitale (mortalité fœtale 40 % en l’absence de traitement). Réaction de Jarisch-Herxheimer possible pouvant déclencher des contractions utérines et un décollement placentaire (surveillance toco 24 h après injection au 3e trimestre).</w:t>
      </w:r>
      <w:r>
        <w:t xml:space="preserve"> </w:t>
      </w:r>
      <w:r>
        <w:t xml:space="preserve">- Allaitement : Indiqué. Passage minime dans le lait, sans effet délétère pour le nouveau-né, à l’exception du risque théorique de sensibilisation.</w:t>
      </w:r>
      <w:r>
        <w:t xml:space="preserve"> </w:t>
      </w:r>
      <w:r>
        <w:t xml:space="preserve">- Précisions : Chez la femme enceinte syphilitique, le traitement doit être réalisé au plus tôt (2,4 MUI IM dose unique pour syphilis précoce). En cas de réintroduction nécessaire au 3e trimestre, monitoring utérin.</w:t>
      </w:r>
    </w:p>
    <w:p>
      <w:pPr>
        <w:pStyle w:val="BodyText"/>
      </w:pPr>
      <w:r>
        <w:rPr>
          <w:b/>
          <w:bCs/>
        </w:rPr>
        <w:t xml:space="preserve">Posologie et Mode d’administration (Standard) :</w:t>
      </w:r>
      <w:r>
        <w:t xml:space="preserve"> </w:t>
      </w:r>
      <w:r>
        <w:t xml:space="preserve">- Adulte : Syphilis précoce : 2,4 MUI IM dose unique. Syphilis tardive (latente &gt; 1 an, tertiaire non neuro) : 2,4 MUI IM/semaine × 3 (total 7,2 MUI). Chancre mou : 500 mg IM (approx. 600 000 UI) dose unique en alternative. RAA prophylaxie secondaire : 1,2 MUI IM toutes les 3–4 semaines (ou 600 000 UI toutes les 2 semaines).</w:t>
      </w:r>
      <w:r>
        <w:t xml:space="preserve"> </w:t>
      </w:r>
      <w:r>
        <w:t xml:space="preserve">- Enfant : Syphilis congénitale : 50 000 UI/kg IM dose unique (max 2,4 MUI) ; RAA prophylaxie : 1,2 MUI IM toutes les 3–4 semaines (ou 600 000 UI si &lt; 30 kg) jusqu’à 21 ans ou 5 ans après le dernier épisode.</w:t>
      </w:r>
      <w:r>
        <w:t xml:space="preserve"> </w:t>
      </w:r>
      <w:r>
        <w:t xml:space="preserve">- Durée du traitement : Une seule injection dans la syphilis précoce ; 3 injections à 8 jours d’intervalle dans la syphilis tardive ; mensuelle à trimestrielle pour la prophylaxie du RAA (jusqu’à 5–10 ans ou 21 ans).</w:t>
      </w:r>
      <w:r>
        <w:t xml:space="preserve"> </w:t>
      </w:r>
      <w:r>
        <w:t xml:space="preserve">- Moment de la prise : Indépendant des repas (forme IM). Injection unique, profonde, quadrant supéro-externe fessier, chez le patient couché latéralement.</w:t>
      </w:r>
    </w:p>
    <w:p>
      <w:pPr>
        <w:pStyle w:val="BodyText"/>
      </w:pPr>
      <w:r>
        <w:rPr>
          <w:b/>
          <w:bCs/>
        </w:rPr>
        <w:t xml:space="preserve">Arbitrage et Bénéfices des Formes Galéniques :</w:t>
      </w:r>
      <w:r>
        <w:t xml:space="preserve"> </w:t>
      </w:r>
      <w:r>
        <w:t xml:space="preserve">Le dosage à 600 000 UI est privilégié chez l’enfant et l’adolescent (&lt; 30 kg) ; le dosage à 1 200 000 UI est utilisé chez l’adulte (une seule injection pour syphilis précoce). La présentation à 2,4 MUI (deux flacons de 1,2 MUI) garantit la couverture adulte standard en syphilis. Le passage à la benzylpénicilline G IV s’impose en cas de neurosyphilis (la benzathine ne traverse pas la BHE). La forme IM unique garantit l’observance, atout majeur dans les populations à risque (IST, RAA).</w:t>
      </w:r>
    </w:p>
    <w:p>
      <w:pPr>
        <w:pStyle w:val="BodyText"/>
      </w:pPr>
      <w:r>
        <w:rPr>
          <w:b/>
          <w:bCs/>
        </w:rPr>
        <w:t xml:space="preserve">Instructions et Conseils au Patient :</w:t>
      </w:r>
      <w:r>
        <w:t xml:space="preserve"> </w:t>
      </w:r>
      <w:r>
        <w:t xml:space="preserve">- Communication au comptoir : « C’est une injection unique qui protège plusieurs semaines. La piqûre est douloureuse pendant 1 à 3 jours, c’est normal. En cas de syphilis, vous pouvez avoir de la fièvre et des frissons 2 à 8 heures après l’injection : c’est une réaction connue (Jarisch-Herxheimer), bénigne. Ne vous inquiétez pas mais prévenez votre médecin. »</w:t>
      </w:r>
      <w:r>
        <w:t xml:space="preserve"> </w:t>
      </w:r>
      <w:r>
        <w:t xml:space="preserve">- Mode d’utilisation pratique : Pas d’automédication. Strict respect du rendez-vous de contrôle sérologique à 6 et 12 mois (syphilis). Dépistage systématique et traitement des partenaires sexuels. En cas de RAA, tenir un carnet d’injections à vie.</w:t>
      </w:r>
    </w:p>
    <w:p>
      <w:pPr>
        <w:pStyle w:val="BodyText"/>
      </w:pPr>
      <w:r>
        <w:rPr>
          <w:b/>
          <w:bCs/>
        </w:rPr>
        <w:t xml:space="preserve">Notes, Règles d’Or &amp; Pièges au Comptoir :</w:t>
      </w:r>
      <w:r>
        <w:t xml:space="preserve"> </w:t>
      </w:r>
      <w:r>
        <w:t xml:space="preserve">- Piège classique : Injection IV accidentelle de benzathine (catastrophique : arrêt cardiaque, embolie pulmonaire par microcristaux). La benzathine ne se met JAMAIS en IV. Vérifier deux fois la formulation avant administration.</w:t>
      </w:r>
      <w:r>
        <w:t xml:space="preserve"> </w:t>
      </w:r>
      <w:r>
        <w:t xml:space="preserve">- Règle de prise / Conseil Patient : Voie IM profonde stricte, quadrant supéro-externe fessier, patient couché latéralement. Ne pas masser vigoureusement. Aiguille suffisamment longue (21–23 G, 40 mm adulte) pour atteindre le muscle.</w:t>
      </w:r>
      <w:r>
        <w:t xml:space="preserve"> </w:t>
      </w:r>
      <w:r>
        <w:t xml:space="preserve">- Préparation et Conservation : Flacon de poudre à conserver &lt; 25 °C, à l’abri de la lumière. Reconstitution avec l’eau pour préparation injectable fournie (ou sérum physiologique), agitation douce jusqu’à suspension homogène, pas de chauffage. Utilisation immédiate après reconstitution.</w:t>
      </w:r>
      <w:r>
        <w:t xml:space="preserve"> </w:t>
      </w:r>
      <w:r>
        <w:t xml:space="preserve">- Piège du surdosage / Substitution : Ne pas substituer benzathine par benzylpénicilline G ordinaire sans réévaluation (le relâchement retard est perdu). Ne pas confondre 600 000 UI et 1 200 000 UI chez l’enfant (surdosage potentiel).</w:t>
      </w:r>
    </w:p>
    <w:p>
      <w:r>
        <w:pict>
          <v:rect style="width:0;height:1.5pt" o:hralign="center" o:hrstd="t" o:hr="t"/>
        </w:pict>
      </w:r>
    </w:p>
    <w:bookmarkEnd w:id="34"/>
    <w:bookmarkStart w:id="35" w:name="X28f57d476127a8041a216e73fc55903081a8058"/>
    <w:p>
      <w:pPr>
        <w:pStyle w:val="Heading3"/>
      </w:pPr>
      <w:r>
        <w:t xml:space="preserve">2.1.3 DCI : Benzylpénicilline + Benzylpénicilline procaine (En association)</w:t>
      </w:r>
    </w:p>
    <w:p>
      <w:pPr>
        <w:pStyle w:val="FirstParagraph"/>
      </w:pPr>
      <w:r>
        <w:rPr>
          <w:b/>
          <w:bCs/>
        </w:rPr>
        <w:t xml:space="preserve">Liste des Catégories :</w:t>
      </w:r>
      <w:r>
        <w:t xml:space="preserve"> </w:t>
      </w:r>
      <w:r>
        <w:t xml:space="preserve">Pénicillines ; Bêta-lactamines ; Pénicillines G ; Association pénicilline retard ; Antibiotique bactéricide ; Liste I.</w:t>
      </w:r>
    </w:p>
    <w:p>
      <w:pPr>
        <w:pStyle w:val="BodyText"/>
      </w:pPr>
      <w:r>
        <w:t xml:space="preserve">Cette association combine la benzylpénicilline sodique (libération immédiate) et son sel de procaine (libération retard sur 12–24 h), reproduisant en une seule injection IM un schéma bimodal : un pic initial élevé pour couvrir l’inoculum, suivi d’une concentration bactériostatique prolongée. Elle fut largement utilisée en pratique de ville dans les années 1970–1990, avant d’être supplantée par l’amoxicilline orale. La présence de procaine expose à un risque spécifique de réaction psychotique (procaine toxicity).</w:t>
      </w:r>
    </w:p>
    <w:p>
      <w:pPr>
        <w:pStyle w:val="BodyText"/>
      </w:pPr>
      <w:r>
        <w:rPr>
          <w:b/>
          <w:bCs/>
        </w:rPr>
        <w:t xml:space="preserve">Médicaments disponibles en Algérie (Marques, Laboratoires, Formes et Dosages) :</w:t>
      </w:r>
    </w:p>
    <w:p>
      <w:pPr>
        <w:pStyle w:val="Compact"/>
        <w:numPr>
          <w:ilvl w:val="0"/>
          <w:numId w:val="1026"/>
        </w:numPr>
      </w:pPr>
      <w:r>
        <w:rPr>
          <w:b/>
          <w:bCs/>
        </w:rPr>
        <w:t xml:space="preserve">BIPENICILLINE 4/6 PANPHARMA (R)</w:t>
      </w:r>
      <w:r>
        <w:t xml:space="preserve"> </w:t>
      </w:r>
      <w:r>
        <w:t xml:space="preserve">(PANPHARMA)</w:t>
      </w:r>
    </w:p>
    <w:p>
      <w:pPr>
        <w:pStyle w:val="Compact"/>
        <w:numPr>
          <w:ilvl w:val="1"/>
          <w:numId w:val="1027"/>
        </w:numPr>
      </w:pPr>
      <w:r>
        <w:t xml:space="preserve">Formes et Dosages : Poudre pour solution injectable, 1 000 000 UI (association 4/6 — soit 400 000 UI benzylpénicilline + 600 000 UI benzylpénicilline procaine)</w:t>
      </w:r>
    </w:p>
    <w:p>
      <w:pPr>
        <w:pStyle w:val="Compact"/>
        <w:numPr>
          <w:ilvl w:val="1"/>
          <w:numId w:val="1027"/>
        </w:numPr>
      </w:pPr>
      <w:r>
        <w:t xml:space="preserve">Statut : Retiré</w:t>
      </w:r>
    </w:p>
    <w:p>
      <w:pPr>
        <w:pStyle w:val="Compact"/>
        <w:numPr>
          <w:ilvl w:val="0"/>
          <w:numId w:val="1026"/>
        </w:numPr>
      </w:pPr>
      <w:r>
        <w:rPr>
          <w:b/>
          <w:bCs/>
        </w:rPr>
        <w:t xml:space="preserve">BIPENICILLINE SARBACH (R)</w:t>
      </w:r>
      <w:r>
        <w:t xml:space="preserve"> </w:t>
      </w:r>
      <w:r>
        <w:t xml:space="preserve">(SOLVAY PHARMA)</w:t>
      </w:r>
    </w:p>
    <w:p>
      <w:pPr>
        <w:pStyle w:val="Compact"/>
        <w:numPr>
          <w:ilvl w:val="1"/>
          <w:numId w:val="1028"/>
        </w:numPr>
      </w:pPr>
      <w:r>
        <w:t xml:space="preserve">Formes et Dosages : Poudre pour solution injectable, 1 000 000 UI ; Poudre pour solution injectable, 500 000 UI</w:t>
      </w:r>
    </w:p>
    <w:p>
      <w:pPr>
        <w:pStyle w:val="Compact"/>
        <w:numPr>
          <w:ilvl w:val="1"/>
          <w:numId w:val="1028"/>
        </w:numPr>
      </w:pPr>
      <w:r>
        <w:t xml:space="preserve">Statut : Retiré</w:t>
      </w:r>
    </w:p>
    <w:p>
      <w:pPr>
        <w:pStyle w:val="FirstParagraph"/>
      </w:pPr>
      <w:r>
        <w:rPr>
          <w:b/>
          <w:bCs/>
        </w:rPr>
        <w:t xml:space="preserve">Sous-classe et Mécanisme d’action :</w:t>
      </w:r>
      <w:r>
        <w:t xml:space="preserve"> </w:t>
      </w:r>
      <w:r>
        <w:t xml:space="preserve">- Sous-classe : Association de pénicilline G (sel sodique) et de pénicilline G procaine, appartenant à la sous-classe des pénicillines G retard. Disparue du marché algérien actif mais toujours mentionnée dans les habitudes de prescription.</w:t>
      </w:r>
      <w:r>
        <w:t xml:space="preserve"> </w:t>
      </w:r>
      <w:r>
        <w:t xml:space="preserve">- Mécanisme d’action : Identique à la benzylpénicilline G (inhibition des PBP). La procaine est un anesthésique local qui ralentit la résorption de la pénicilline G au site d’injection, prolongeant ainsi la demi-vie apparente à 12–24 h. La fraction sodique assure un pic immédiat (15–30 min), la fraction procaine une imprégnation prolongée.</w:t>
      </w:r>
    </w:p>
    <w:p>
      <w:pPr>
        <w:pStyle w:val="BodyText"/>
      </w:pPr>
      <w:r>
        <w:rPr>
          <w:b/>
          <w:bCs/>
        </w:rPr>
        <w:t xml:space="preserve">Profil Pharmacologique :</w:t>
      </w:r>
      <w:r>
        <w:t xml:space="preserve"> </w:t>
      </w:r>
      <w:r>
        <w:t xml:space="preserve">- Indications : Historiquement, infections respiratoires basses communautaires (pneumonie à pneumocoque sensible), angines sévères à streptocoque bêta-hémolytique A, infections ORL (otite, sinusite), syphilis (alternative à la benzathine), blennorragie (alternative historique). Aujourd’hui abandonnée au profit de l’amoxicilline orale.</w:t>
      </w:r>
      <w:r>
        <w:t xml:space="preserve"> </w:t>
      </w:r>
      <w:r>
        <w:t xml:space="preserve">- Contre-indications : Allergie aux bêta-lactamines, allergie aux anesthésiques locaux de type ester (procaine), déficit en pseudocholinestérase (risque de toxicité procaine), insuffisance rénale sévère, sujet âgé, IV stricte (la forme procaine ne se met jamais en IV — mêmes risques que la benzathine).</w:t>
      </w:r>
      <w:r>
        <w:t xml:space="preserve"> </w:t>
      </w:r>
      <w:r>
        <w:t xml:space="preserve">- Effets Indésirables : Tous ceux de la benzylpénicilline G ; réactions liées à la procaine : nervosité, agitation, confusion, hallucinations, convulsions (procaine-toxicity, par accumulation chez les déficitaires en pseudocholinestérase) ; réaction d’hypersensibilité à la procaine (urticaire, choc anaphylactique) ; douleur au site d’injection ; nodule stérile ; abcès.</w:t>
      </w:r>
    </w:p>
    <w:p>
      <w:pPr>
        <w:pStyle w:val="BodyText"/>
      </w:pPr>
      <w:r>
        <w:rPr>
          <w:b/>
          <w:bCs/>
        </w:rPr>
        <w:t xml:space="preserve">Prévention et Gestion des Effets Indésirables :</w:t>
      </w:r>
      <w:r>
        <w:t xml:space="preserve"> </w:t>
      </w:r>
      <w:r>
        <w:t xml:space="preserve">- Mesures Préventives (Pharmacien &amp; Patient) : Recherche d’allergie croisée avec les anesthésiques locaux (benzocaïne, tétracaïne), respect strict de la voie IM, adaptation à la fonction rénale, surveillance neurologique chez le sujet âgé. Préférer amoxicilline orale en première intention.</w:t>
      </w:r>
      <w:r>
        <w:t xml:space="preserve"> </w:t>
      </w:r>
      <w:r>
        <w:t xml:space="preserve">- Conduite à Tenir : En cas de signes neurologiques post-injection (confusion, convulsions) : arrêt définitif, orientation urgente, diazépam IV. En cas de signes allergiques : adrénaline IM, SAMU.</w:t>
      </w:r>
    </w:p>
    <w:p>
      <w:pPr>
        <w:pStyle w:val="BodyText"/>
      </w:pPr>
      <w:r>
        <w:rPr>
          <w:b/>
          <w:bCs/>
        </w:rPr>
        <w:t xml:space="preserve">Interactions Importantes :</w:t>
      </w:r>
      <w:r>
        <w:t xml:space="preserve"> </w:t>
      </w:r>
      <w:r>
        <w:t xml:space="preserve">- Sulfonamides : Inhibition de la fixation de la procaine sur les protéines plasmatiques, augmentant la fraction libre de procaine et le risque de toxicité.</w:t>
      </w:r>
      <w:r>
        <w:t xml:space="preserve"> </w:t>
      </w:r>
      <w:r>
        <w:t xml:space="preserve">- Anticholinestérasiques (néostigmine, pyridostigmine) : Potentialisation de la procaine (risque de bradycardie, bronchospasme).</w:t>
      </w:r>
      <w:r>
        <w:t xml:space="preserve"> </w:t>
      </w:r>
      <w:r>
        <w:t xml:space="preserve">- Aminosides : Inactivation réciproque dans la même tubulure.</w:t>
      </w:r>
      <w:r>
        <w:t xml:space="preserve"> </w:t>
      </w:r>
      <w:r>
        <w:t xml:space="preserve">- Probenécide : Augmente les concentrations de benzylpénicilline.</w:t>
      </w:r>
    </w:p>
    <w:p>
      <w:pPr>
        <w:pStyle w:val="BodyText"/>
      </w:pPr>
      <w:r>
        <w:rPr>
          <w:b/>
          <w:bCs/>
        </w:rPr>
        <w:t xml:space="preserve">Grossesse et Allaitement :</w:t>
      </w:r>
      <w:r>
        <w:t xml:space="preserve"> </w:t>
      </w:r>
      <w:r>
        <w:t xml:space="preserve">- Grossesse : Précaution. La benzylpénicilline est autorisée ; la procaine n’a pas d’effet tératogène connu, mais en pratique on préférera la benzathine seule ou la benzylpénicilline G IV. Le CRAT ne mentionne pas de risque spécifique mais signale l’absence de données robustes.</w:t>
      </w:r>
      <w:r>
        <w:t xml:space="preserve"> </w:t>
      </w:r>
      <w:r>
        <w:t xml:space="preserve">- Allaitement : Indiqué avec précaution. La procaine passe peu dans le lait, mais le nouveau-né présente un métabolisme hépatique immature (hypothèse de sédation, hypotonie).</w:t>
      </w:r>
      <w:r>
        <w:t xml:space="preserve"> </w:t>
      </w:r>
      <w:r>
        <w:t xml:space="preserve">- Précisions : En pratique algérienne, cette association n’est plus commercialisée, mais le pharmacien doit savoir la reconnaître sur ordonnance ancienne ou importation parallèle.</w:t>
      </w:r>
    </w:p>
    <w:p>
      <w:pPr>
        <w:pStyle w:val="BodyText"/>
      </w:pPr>
      <w:r>
        <w:rPr>
          <w:b/>
          <w:bCs/>
        </w:rPr>
        <w:t xml:space="preserve">Posologie et Mode d’administration (Standard) :</w:t>
      </w:r>
      <w:r>
        <w:t xml:space="preserve"> </w:t>
      </w:r>
      <w:r>
        <w:t xml:space="preserve">- Adulte : 1 à 2 MUI IM toutes les 12 à 24 h (soit 1 à 2 flacons de 1 MUI/jour) pendant 7 à 10 jours selon l’indication.</w:t>
      </w:r>
      <w:r>
        <w:t xml:space="preserve"> </w:t>
      </w:r>
      <w:r>
        <w:t xml:space="preserve">- Enfant : 50 000 à 100 000 UI/kg/jour IM en 1 à 2 injections.</w:t>
      </w:r>
      <w:r>
        <w:t xml:space="preserve"> </w:t>
      </w:r>
      <w:r>
        <w:t xml:space="preserve">- Durée du traitement : Angine 10 jours, pneumonie 7–10 jours, syphilis alternative 10–14 jours.</w:t>
      </w:r>
      <w:r>
        <w:t xml:space="preserve"> </w:t>
      </w:r>
      <w:r>
        <w:t xml:space="preserve">- Moment de la prise : Indépendant des repas. Voie IM profonde quadrant supéro-externe fessier.</w:t>
      </w:r>
    </w:p>
    <w:p>
      <w:pPr>
        <w:pStyle w:val="BodyText"/>
      </w:pPr>
      <w:r>
        <w:rPr>
          <w:b/>
          <w:bCs/>
        </w:rPr>
        <w:t xml:space="preserve">Arbitrage et Bénéfices des Formes Galéniques :</w:t>
      </w:r>
      <w:r>
        <w:t xml:space="preserve"> </w:t>
      </w:r>
      <w:r>
        <w:t xml:space="preserve">L’intérêt de l’association résidait dans la couverture bimodale (pic + plateau) en une seule injection journalière, facilitant l’observance ambulatoire. Aujourd’hui, l’amoxicilline orale (3 prises/jour) garantit des concentrations supérieures et un spectre élargi à</w:t>
      </w:r>
      <w:r>
        <w:t xml:space="preserve"> </w:t>
      </w:r>
      <w:r>
        <w:rPr>
          <w:i/>
          <w:iCs/>
        </w:rPr>
        <w:t xml:space="preserve">H. influenzae</w:t>
      </w:r>
      <w:r>
        <w:t xml:space="preserve">, rendant cette association obsolète. Sa mention dans la nomenclature algérienne comme spécialité retirée rappelle l’évolution des stratégies thérapeutiques et reste pédagogiquement utile.</w:t>
      </w:r>
    </w:p>
    <w:p>
      <w:pPr>
        <w:pStyle w:val="BodyText"/>
      </w:pPr>
      <w:r>
        <w:rPr>
          <w:b/>
          <w:bCs/>
        </w:rPr>
        <w:t xml:space="preserve">Instructions et Conseils au Patient :</w:t>
      </w:r>
      <w:r>
        <w:t xml:space="preserve"> </w:t>
      </w:r>
      <w:r>
        <w:t xml:space="preserve">- Communication au comptoir : « Cette spécialité n’est plus disponible. Votre médecin vous proposera un antibiotique équivalent en comprimés, plus pratique et tout aussi efficace. Si vous l’utilisez par importation, prévenez le soignant de toute allergie aux anesthésiques locaux (dentiste) et de tout signe neurologique après l’injection. »</w:t>
      </w:r>
      <w:r>
        <w:t xml:space="preserve"> </w:t>
      </w:r>
      <w:r>
        <w:t xml:space="preserve">- Mode d’utilisation pratique : Strict voie IM profonde, surveillance 30 min post-injection (procaine toxicity), antécédents d’anesthésie locale à vérifier.</w:t>
      </w:r>
    </w:p>
    <w:p>
      <w:pPr>
        <w:pStyle w:val="BodyText"/>
      </w:pPr>
      <w:r>
        <w:rPr>
          <w:b/>
          <w:bCs/>
        </w:rPr>
        <w:t xml:space="preserve">Notes, Règles d’Or &amp; Pièges au Comptoir :</w:t>
      </w:r>
      <w:r>
        <w:t xml:space="preserve"> </w:t>
      </w:r>
      <w:r>
        <w:t xml:space="preserve">- Piège classique : Injection IV accidentelle (risque identique à la benzathine). Ne jamais administrer en IV.</w:t>
      </w:r>
      <w:r>
        <w:t xml:space="preserve"> </w:t>
      </w:r>
      <w:r>
        <w:t xml:space="preserve">- Règle de prise / Conseil Patient : Voie IM stricte ; en cas de traitement prolongé, alterner les sites d’injection (fesse droite/gauche).</w:t>
      </w:r>
      <w:r>
        <w:t xml:space="preserve"> </w:t>
      </w:r>
      <w:r>
        <w:t xml:space="preserve">- Préparation et Conservation : Flacon &lt; 25 °C, à l’abri de la lumière. Reconstitution extemporanée avec solvant fourni (lidocaïne parfois ajoutée pour réduire la douleur, mais attention aux associations).</w:t>
      </w:r>
      <w:r>
        <w:t xml:space="preserve"> </w:t>
      </w:r>
      <w:r>
        <w:t xml:space="preserve">- Piège du surdosage / Substitution : Ne pas confondre avec la benzathine (action 2–4 semaines vs 12–24 h pour l’association procaine). Ne pas cumuler avec un anesthésique local (lidocaïne IV) en raison du risque convulsif.</w:t>
      </w:r>
    </w:p>
    <w:p>
      <w:r>
        <w:pict>
          <v:rect style="width:0;height:1.5pt" o:hralign="center" o:hrstd="t" o:hr="t"/>
        </w:pict>
      </w:r>
    </w:p>
    <w:bookmarkEnd w:id="35"/>
    <w:bookmarkStart w:id="36" w:name="X317c8e596e93e8f8dcc0f4d127f524f36a265e0"/>
    <w:p>
      <w:pPr>
        <w:pStyle w:val="Heading3"/>
      </w:pPr>
      <w:r>
        <w:t xml:space="preserve">2.1.4 DCI : Bénétamine benzylpénicilline + Benzylpénicilline (En association)</w:t>
      </w:r>
    </w:p>
    <w:p>
      <w:pPr>
        <w:pStyle w:val="FirstParagraph"/>
      </w:pPr>
      <w:r>
        <w:rPr>
          <w:b/>
          <w:bCs/>
        </w:rPr>
        <w:t xml:space="preserve">Liste des Catégories :</w:t>
      </w:r>
      <w:r>
        <w:t xml:space="preserve"> </w:t>
      </w:r>
      <w:r>
        <w:t xml:space="preserve">Pénicillines ; Bêta-lactamines ; Pénicillines G ; Association pénicilline retard ; Antibiotique bactéricide ; Liste I.</w:t>
      </w:r>
    </w:p>
    <w:p>
      <w:pPr>
        <w:pStyle w:val="BodyText"/>
      </w:pPr>
      <w:r>
        <w:t xml:space="preserve">La bénétamine (N-benzylphényléthylamine) est une base organique liposoluble couplée à la benzylpénicilline, formant un sel retard faiblement soluble libérant lentement la pénicilline G active sur 24 à 48 h. L’association au sel sodique de benzylpénicilline assure un pic initial. Spécialité retirée du marché algérien, à connaître pour l’histoire de la pharmacologie.</w:t>
      </w:r>
    </w:p>
    <w:p>
      <w:pPr>
        <w:pStyle w:val="BodyText"/>
      </w:pPr>
      <w:r>
        <w:rPr>
          <w:b/>
          <w:bCs/>
        </w:rPr>
        <w:t xml:space="preserve">Médicaments disponibles en Algérie (Marques, Laboratoires, Formes et Dosages) :</w:t>
      </w:r>
    </w:p>
    <w:p>
      <w:pPr>
        <w:pStyle w:val="Compact"/>
        <w:numPr>
          <w:ilvl w:val="0"/>
          <w:numId w:val="1029"/>
        </w:numPr>
      </w:pPr>
      <w:r>
        <w:rPr>
          <w:b/>
          <w:bCs/>
        </w:rPr>
        <w:t xml:space="preserve">BENETHAMINE PENICILLINE/BENZYLPENICILLINE (R)</w:t>
      </w:r>
      <w:r>
        <w:t xml:space="preserve"> </w:t>
      </w:r>
      <w:r>
        <w:t xml:space="preserve">(ATRAL S.A)</w:t>
      </w:r>
    </w:p>
    <w:p>
      <w:pPr>
        <w:pStyle w:val="Compact"/>
        <w:numPr>
          <w:ilvl w:val="1"/>
          <w:numId w:val="1030"/>
        </w:numPr>
      </w:pPr>
      <w:r>
        <w:t xml:space="preserve">Formes et Dosages : Poudre pour solution injectable, 600 000 UI + 400 000 UI/flacon (bénétamine benzylpénicilline 600 000 UI + benzylpénicilline 400 000 UI)</w:t>
      </w:r>
    </w:p>
    <w:p>
      <w:pPr>
        <w:pStyle w:val="Compact"/>
        <w:numPr>
          <w:ilvl w:val="1"/>
          <w:numId w:val="1030"/>
        </w:numPr>
      </w:pPr>
      <w:r>
        <w:t xml:space="preserve">Statut : Retiré</w:t>
      </w:r>
    </w:p>
    <w:p>
      <w:pPr>
        <w:pStyle w:val="Compact"/>
        <w:numPr>
          <w:ilvl w:val="0"/>
          <w:numId w:val="1029"/>
        </w:numPr>
      </w:pPr>
      <w:r>
        <w:rPr>
          <w:b/>
          <w:bCs/>
        </w:rPr>
        <w:t xml:space="preserve">BICLINOCILLINE (R)</w:t>
      </w:r>
      <w:r>
        <w:t xml:space="preserve"> </w:t>
      </w:r>
      <w:r>
        <w:t xml:space="preserve">(SANOFI SYNTHELABO)</w:t>
      </w:r>
    </w:p>
    <w:p>
      <w:pPr>
        <w:pStyle w:val="Compact"/>
        <w:numPr>
          <w:ilvl w:val="1"/>
          <w:numId w:val="1031"/>
        </w:numPr>
      </w:pPr>
      <w:r>
        <w:t xml:space="preserve">Formes et Dosages : Poudre et solvant pour solution injectable, 600 000 UI + 400 000 UI/flacon</w:t>
      </w:r>
    </w:p>
    <w:p>
      <w:pPr>
        <w:pStyle w:val="Compact"/>
        <w:numPr>
          <w:ilvl w:val="1"/>
          <w:numId w:val="1031"/>
        </w:numPr>
      </w:pPr>
      <w:r>
        <w:t xml:space="preserve">Statut : Retiré</w:t>
      </w:r>
    </w:p>
    <w:p>
      <w:pPr>
        <w:pStyle w:val="FirstParagraph"/>
      </w:pPr>
      <w:r>
        <w:rPr>
          <w:b/>
          <w:bCs/>
        </w:rPr>
        <w:t xml:space="preserve">Sous-classe et Mécanisme d’action :</w:t>
      </w:r>
      <w:r>
        <w:t xml:space="preserve"> </w:t>
      </w:r>
      <w:r>
        <w:t xml:space="preserve">- Sous-classe : Pénicilline G en association retard (bénétamine + sodique). Forme historique abandonnée, principe pharmacocinétique similaire à l’association procaine.</w:t>
      </w:r>
      <w:r>
        <w:t xml:space="preserve"> </w:t>
      </w:r>
      <w:r>
        <w:t xml:space="preserve">- Mécanisme d’action : Inhibition des PBP par la benzylpénicilline libérée. La bénétamine ralentit la résorption, assurant une couverture 24–48 h en une injection. Le pic initial est fourni par la fraction sodique.</w:t>
      </w:r>
    </w:p>
    <w:p>
      <w:pPr>
        <w:pStyle w:val="BodyText"/>
      </w:pPr>
      <w:r>
        <w:rPr>
          <w:b/>
          <w:bCs/>
        </w:rPr>
        <w:t xml:space="preserve">Profil Pharmacologique :</w:t>
      </w:r>
      <w:r>
        <w:t xml:space="preserve"> </w:t>
      </w:r>
      <w:r>
        <w:t xml:space="preserve">- Indications : Historiquement, infections respiratoires hautes et basses à germes sensibles (streptocoque, pneumocoque), angines, otites, infections cutanées bénignes, syphilis (alternative). Aujourd’hui obsolète.</w:t>
      </w:r>
      <w:r>
        <w:t xml:space="preserve"> </w:t>
      </w:r>
      <w:r>
        <w:t xml:space="preserve">- Contre-indications : Allergie aux bêta-lactamines, insuffisance rénale sévère, IV stricte.</w:t>
      </w:r>
      <w:r>
        <w:t xml:space="preserve"> </w:t>
      </w:r>
      <w:r>
        <w:t xml:space="preserve">- Effets Indésirables : Ceux de la benzylpénicilline (allergie, Jarisch-Herxheimer, neurotoxicité) ; douleur locale, induration, nodule stérile. La bénétamine ne possède pas la toxicité neurologique de la procaine, ce qui fut son avantage commercial historique.</w:t>
      </w:r>
    </w:p>
    <w:p>
      <w:pPr>
        <w:pStyle w:val="BodyText"/>
      </w:pPr>
      <w:r>
        <w:rPr>
          <w:b/>
          <w:bCs/>
        </w:rPr>
        <w:t xml:space="preserve">Prévention et Gestion des Effets Indésirables :</w:t>
      </w:r>
      <w:r>
        <w:t xml:space="preserve"> </w:t>
      </w:r>
      <w:r>
        <w:t xml:space="preserve">- Mesures Préventives (Pharmacien &amp; Patient) : Idem benzylpénicilline ; vérification de l’allergie, technique IM stricte, surveillance 30 min post-injection.</w:t>
      </w:r>
      <w:r>
        <w:t xml:space="preserve"> </w:t>
      </w:r>
      <w:r>
        <w:t xml:space="preserve">- Conduite à Tenir : Arrêt immédiat en cas d’allergie, protocole d’urgence adrénaline.</w:t>
      </w:r>
    </w:p>
    <w:p>
      <w:pPr>
        <w:pStyle w:val="BodyText"/>
      </w:pPr>
      <w:r>
        <w:rPr>
          <w:b/>
          <w:bCs/>
        </w:rPr>
        <w:t xml:space="preserve">Interactions Importantes :</w:t>
      </w:r>
      <w:r>
        <w:t xml:space="preserve"> </w:t>
      </w:r>
      <w:r>
        <w:t xml:space="preserve">- Probenécide : Augmente les concentrations plasmatiques.</w:t>
      </w:r>
      <w:r>
        <w:t xml:space="preserve"> </w:t>
      </w:r>
      <w:r>
        <w:t xml:space="preserve">- Aminosides : Inactivation réciproque dans la même tubulure.</w:t>
      </w:r>
    </w:p>
    <w:p>
      <w:pPr>
        <w:pStyle w:val="BodyText"/>
      </w:pPr>
      <w:r>
        <w:rPr>
          <w:b/>
          <w:bCs/>
        </w:rPr>
        <w:t xml:space="preserve">Grossesse et Allaitement :</w:t>
      </w:r>
      <w:r>
        <w:t xml:space="preserve"> </w:t>
      </w:r>
      <w:r>
        <w:t xml:space="preserve">- Grossesse : Précaution. La bénétamine n’a pas de données robustes de tératogénicité ; on préférera la benzathine seule en cas de syphilis gravidique.</w:t>
      </w:r>
      <w:r>
        <w:t xml:space="preserve"> </w:t>
      </w:r>
      <w:r>
        <w:t xml:space="preserve">- Allaitement : Précaution ; la bénétamine passe peu dans le lait, mais son métabolisme n’est pas documenté chez le nouveau-né.</w:t>
      </w:r>
      <w:r>
        <w:t xml:space="preserve"> </w:t>
      </w:r>
      <w:r>
        <w:t xml:space="preserve">- Précisions : Spécialité retirée, à ne pas recommander en pratique courante.</w:t>
      </w:r>
    </w:p>
    <w:p>
      <w:pPr>
        <w:pStyle w:val="BodyText"/>
      </w:pPr>
      <w:r>
        <w:rPr>
          <w:b/>
          <w:bCs/>
        </w:rPr>
        <w:t xml:space="preserve">Posologie et Mode d’administration (Standard) :</w:t>
      </w:r>
      <w:r>
        <w:t xml:space="preserve"> </w:t>
      </w:r>
      <w:r>
        <w:t xml:space="preserve">- Adulte : 1 flacon (1 MUI total) IM profonde une fois par jour pendant 7–10 jours selon l’indication.</w:t>
      </w:r>
      <w:r>
        <w:t xml:space="preserve"> </w:t>
      </w:r>
      <w:r>
        <w:t xml:space="preserve">- Enfant : 500 000 UI IM une fois par jour.</w:t>
      </w:r>
      <w:r>
        <w:t xml:space="preserve"> </w:t>
      </w:r>
      <w:r>
        <w:t xml:space="preserve">- Durée du traitement : 7–10 jours en général.</w:t>
      </w:r>
      <w:r>
        <w:t xml:space="preserve"> </w:t>
      </w:r>
      <w:r>
        <w:t xml:space="preserve">- Moment de la prise : Indépendant des repas ; voie IM stricte.</w:t>
      </w:r>
    </w:p>
    <w:p>
      <w:pPr>
        <w:pStyle w:val="BodyText"/>
      </w:pPr>
      <w:r>
        <w:rPr>
          <w:b/>
          <w:bCs/>
        </w:rPr>
        <w:t xml:space="preserve">Arbitrage et Bénéfices des Formes Galéniques :</w:t>
      </w:r>
      <w:r>
        <w:t xml:space="preserve"> </w:t>
      </w:r>
      <w:r>
        <w:t xml:space="preserve">Cette association, aujourd’hui disparue, visait à offrir une couverture de 24–48 h en une seule injection IM, sans la toxicité neurologique de la procaine. Le développement de l’amoxicilline orale (spectre plus large, observance supérieure, absence d’injection) en a condamné l’usage.</w:t>
      </w:r>
    </w:p>
    <w:p>
      <w:pPr>
        <w:pStyle w:val="BodyText"/>
      </w:pPr>
      <w:r>
        <w:rPr>
          <w:b/>
          <w:bCs/>
        </w:rPr>
        <w:t xml:space="preserve">Instructions et Conseils au Patient :</w:t>
      </w:r>
      <w:r>
        <w:t xml:space="preserve"> </w:t>
      </w:r>
      <w:r>
        <w:t xml:space="preserve">- Communication au comptoir : « Cette spécialité n’est plus disponible en Algérie. Votre médecin vous prescrira un antibiotique oral plus moderne, équivalent ou supérieur. »</w:t>
      </w:r>
      <w:r>
        <w:t xml:space="preserve"> </w:t>
      </w:r>
      <w:r>
        <w:t xml:space="preserve">- Mode d’utilisation pratique : Strict voie IM profonde, surveillance immédiate.</w:t>
      </w:r>
    </w:p>
    <w:p>
      <w:pPr>
        <w:pStyle w:val="BodyText"/>
      </w:pPr>
      <w:r>
        <w:rPr>
          <w:b/>
          <w:bCs/>
        </w:rPr>
        <w:t xml:space="preserve">Notes, Règles d’Or &amp; Pièges au Comptoir :</w:t>
      </w:r>
      <w:r>
        <w:t xml:space="preserve"> </w:t>
      </w:r>
      <w:r>
        <w:t xml:space="preserve">- Piège classique : Confusion avec la benzathine (demi-vie 2–4 semaines vs 24–48 h pour la bénétamine) — en cas de prescription ancienne ou d’importation, vérifier la formulation exacte.</w:t>
      </w:r>
      <w:r>
        <w:t xml:space="preserve"> </w:t>
      </w:r>
      <w:r>
        <w:t xml:space="preserve">- Règle de prise / Conseil Patient : Voie IM stricte ; ne jamais administrer en IV.</w:t>
      </w:r>
      <w:r>
        <w:t xml:space="preserve"> </w:t>
      </w:r>
      <w:r>
        <w:t xml:space="preserve">- Préparation et Conservation : Flacon &lt; 25 °C, à l’abri de la lumière. Reconstitution extemporanée.</w:t>
      </w:r>
      <w:r>
        <w:t xml:space="preserve"> </w:t>
      </w:r>
      <w:r>
        <w:t xml:space="preserve">- Piège du surdosage / Substitution : Ne pas substituer entre les sels retard (benzathine, procaine, bénétamine) sans réévaluation médicale.</w:t>
      </w:r>
    </w:p>
    <w:p>
      <w:r>
        <w:pict>
          <v:rect style="width:0;height:1.5pt" o:hralign="center" o:hrstd="t" o:hr="t"/>
        </w:pict>
      </w:r>
    </w:p>
    <w:bookmarkEnd w:id="36"/>
    <w:bookmarkEnd w:id="37"/>
    <w:bookmarkStart w:id="39" w:name="sous-classe-pénicillines-v"/>
    <w:p>
      <w:pPr>
        <w:pStyle w:val="Heading2"/>
      </w:pPr>
      <w:r>
        <w:t xml:space="preserve">2.2 Sous-classe : Pénicillines V</w:t>
      </w:r>
    </w:p>
    <w:p>
      <w:pPr>
        <w:pStyle w:val="FirstParagraph"/>
      </w:pPr>
      <w:r>
        <w:t xml:space="preserve">Les pénicillines V correspondent à la phénoxyméthylpénicilline, dérivée orale de la pénicilline G obtenue par addition d’un groupement phénoxyméthyle sur le noyau 6-APA, qui confère une résistance à l’acidité gastrique et permet une biodisponibilité orale de 60 %. Son spectre est identique à celui de la pénicilline G (streptocoque, pneumocoque sensible, méningocoque), mais ses concentrations plasmatiques sont plus basses et son action moins puissante, ce qui en fait un traitement de seconde ligne, essentiellement prescrit dans l’angine streptococcique chez le sujet allergique aux pénicillines A (mais non allergique à la pénicilline G), dans la prophylaxie du RAA après l’âge de 21 ans, et dans la prophylaxie de l’endocardite chez le sujet à risque. En Algérie, l’usage de la pénicilline V a fortement reculé au profit de l’amoxicilline, mais elle reste intéressante pour son spectre strict, son excellente tolérance et son faible coût. Sa pharmacocinétique impose 3 à 4 prises par jour (demi-vie courte), à jeun (1 h avant ou 2 h après le repas) pour optimiser l’absorption.</w:t>
      </w:r>
    </w:p>
    <w:bookmarkStart w:id="38" w:name="X9c1f65c3f8855feba5f8e729adcf812b69a7386"/>
    <w:p>
      <w:pPr>
        <w:pStyle w:val="Heading3"/>
      </w:pPr>
      <w:r>
        <w:t xml:space="preserve">2.2.1 DCI : Phénoxyméthylpénicilline (Pénicilline V) (Seule)</w:t>
      </w:r>
    </w:p>
    <w:p>
      <w:pPr>
        <w:pStyle w:val="FirstParagraph"/>
      </w:pPr>
      <w:r>
        <w:rPr>
          <w:b/>
          <w:bCs/>
        </w:rPr>
        <w:t xml:space="preserve">Liste des Catégories :</w:t>
      </w:r>
      <w:r>
        <w:t xml:space="preserve"> </w:t>
      </w:r>
      <w:r>
        <w:t xml:space="preserve">Pénicillines ; Bêta-lactamines ; Pénicillines V ; Antibiotique bactéricide ; Voie orale ; Liste I.</w:t>
      </w:r>
    </w:p>
    <w:p>
      <w:pPr>
        <w:pStyle w:val="BodyText"/>
      </w:pPr>
      <w:r>
        <w:t xml:space="preserve">La phénoxyméthylpénicilline est la pénicilline orale historique, découverte en 1948 par Behrens et coll. Elle fut largement utilisée jusqu’à l’avènement de l’amoxicilline, et reste inscrite à la liste des médicaments essentiels OMS pour ses indications spécifiques (prophylaxie du RAA, angine streptococcique chez l’allergique non sévère).</w:t>
      </w:r>
    </w:p>
    <w:p>
      <w:pPr>
        <w:pStyle w:val="BodyText"/>
      </w:pPr>
      <w:r>
        <w:rPr>
          <w:b/>
          <w:bCs/>
        </w:rPr>
        <w:t xml:space="preserve">Médicaments disponibles en Algérie (Marques, Laboratoires, Formes et Dosages) :</w:t>
      </w:r>
    </w:p>
    <w:p>
      <w:pPr>
        <w:pStyle w:val="Compact"/>
        <w:numPr>
          <w:ilvl w:val="0"/>
          <w:numId w:val="1032"/>
        </w:numPr>
      </w:pPr>
      <w:r>
        <w:rPr>
          <w:b/>
          <w:bCs/>
        </w:rPr>
        <w:t xml:space="preserve">ORAPEN</w:t>
      </w:r>
      <w:r>
        <w:t xml:space="preserve"> </w:t>
      </w:r>
      <w:r>
        <w:t xml:space="preserve">(GROUPE SAIDAL)</w:t>
      </w:r>
    </w:p>
    <w:p>
      <w:pPr>
        <w:pStyle w:val="Compact"/>
        <w:numPr>
          <w:ilvl w:val="1"/>
          <w:numId w:val="1033"/>
        </w:numPr>
      </w:pPr>
      <w:r>
        <w:t xml:space="preserve">Formes et Dosages : Comprimé, 1 000 000 UI ; Comprimé sécable, 1 500 000 UI ; Poudre pour suspension buvable, 250 000 UI/5 mL</w:t>
      </w:r>
    </w:p>
    <w:p>
      <w:pPr>
        <w:pStyle w:val="Compact"/>
        <w:numPr>
          <w:ilvl w:val="1"/>
          <w:numId w:val="1033"/>
        </w:numPr>
      </w:pPr>
      <w:r>
        <w:t xml:space="preserve">Statut : Actif</w:t>
      </w:r>
    </w:p>
    <w:p>
      <w:pPr>
        <w:pStyle w:val="Compact"/>
        <w:numPr>
          <w:ilvl w:val="0"/>
          <w:numId w:val="1032"/>
        </w:numPr>
      </w:pPr>
      <w:r>
        <w:rPr>
          <w:b/>
          <w:bCs/>
        </w:rPr>
        <w:t xml:space="preserve">OSPEN 400 (R)</w:t>
      </w:r>
      <w:r>
        <w:t xml:space="preserve"> </w:t>
      </w:r>
      <w:r>
        <w:t xml:space="preserve">(SANDOZ GmbH) — Statut : Non Renouvelable</w:t>
      </w:r>
    </w:p>
    <w:p>
      <w:pPr>
        <w:pStyle w:val="Compact"/>
        <w:numPr>
          <w:ilvl w:val="1"/>
          <w:numId w:val="1034"/>
        </w:numPr>
      </w:pPr>
      <w:r>
        <w:t xml:space="preserve">Formes et Dosages : Granulés pour suspension buvable, 400 000 UI/5 mL</w:t>
      </w:r>
    </w:p>
    <w:p>
      <w:pPr>
        <w:pStyle w:val="Compact"/>
        <w:numPr>
          <w:ilvl w:val="0"/>
          <w:numId w:val="1032"/>
        </w:numPr>
      </w:pPr>
      <w:r>
        <w:rPr>
          <w:b/>
          <w:bCs/>
        </w:rPr>
        <w:t xml:space="preserve">PENICILLINE-CIMEX (R)</w:t>
      </w:r>
      <w:r>
        <w:t xml:space="preserve"> </w:t>
      </w:r>
      <w:r>
        <w:t xml:space="preserve">(KHROUB PHARMACEUTICAL MANUFACTURING ALGERIA — KPMA) — Statut : Non Renouvelable</w:t>
      </w:r>
    </w:p>
    <w:p>
      <w:pPr>
        <w:pStyle w:val="Compact"/>
        <w:numPr>
          <w:ilvl w:val="1"/>
          <w:numId w:val="1035"/>
        </w:numPr>
      </w:pPr>
      <w:r>
        <w:t xml:space="preserve">Formes et Dosages : Comprimé pelliculé, 1 000 000 UI ; Poudre pour suspension buvable, 250 000 UI/5 mL</w:t>
      </w:r>
    </w:p>
    <w:p>
      <w:pPr>
        <w:pStyle w:val="Compact"/>
        <w:numPr>
          <w:ilvl w:val="0"/>
          <w:numId w:val="1032"/>
        </w:numPr>
      </w:pPr>
      <w:r>
        <w:rPr>
          <w:b/>
          <w:bCs/>
        </w:rPr>
        <w:t xml:space="preserve">INPHAPEN (R)</w:t>
      </w:r>
      <w:r>
        <w:t xml:space="preserve"> </w:t>
      </w:r>
      <w:r>
        <w:t xml:space="preserve">(INPHA SPA)</w:t>
      </w:r>
    </w:p>
    <w:p>
      <w:pPr>
        <w:pStyle w:val="Compact"/>
        <w:numPr>
          <w:ilvl w:val="1"/>
          <w:numId w:val="1036"/>
        </w:numPr>
      </w:pPr>
      <w:r>
        <w:t xml:space="preserve">Formes et Dosages : Comprimé, 1 000 000 UI</w:t>
      </w:r>
    </w:p>
    <w:p>
      <w:pPr>
        <w:pStyle w:val="Compact"/>
        <w:numPr>
          <w:ilvl w:val="1"/>
          <w:numId w:val="1036"/>
        </w:numPr>
      </w:pPr>
      <w:r>
        <w:t xml:space="preserve">Statut : Retiré</w:t>
      </w:r>
    </w:p>
    <w:p>
      <w:pPr>
        <w:pStyle w:val="Compact"/>
        <w:numPr>
          <w:ilvl w:val="0"/>
          <w:numId w:val="1032"/>
        </w:numPr>
      </w:pPr>
      <w:r>
        <w:rPr>
          <w:b/>
          <w:bCs/>
        </w:rPr>
        <w:t xml:space="preserve">ORACILLINE (R)</w:t>
      </w:r>
      <w:r>
        <w:t xml:space="preserve"> </w:t>
      </w:r>
      <w:r>
        <w:t xml:space="preserve">(SCHWARZ PHARMA)</w:t>
      </w:r>
    </w:p>
    <w:p>
      <w:pPr>
        <w:pStyle w:val="Compact"/>
        <w:numPr>
          <w:ilvl w:val="1"/>
          <w:numId w:val="1037"/>
        </w:numPr>
      </w:pPr>
      <w:r>
        <w:t xml:space="preserve">Formes et Dosages : Comprimé sécable, 1 000 000 UI ; Suspension buvable, 250 000 UI/5 mL</w:t>
      </w:r>
    </w:p>
    <w:p>
      <w:pPr>
        <w:pStyle w:val="Compact"/>
        <w:numPr>
          <w:ilvl w:val="1"/>
          <w:numId w:val="1037"/>
        </w:numPr>
      </w:pPr>
      <w:r>
        <w:t xml:space="preserve">Statut : Retiré</w:t>
      </w:r>
    </w:p>
    <w:p>
      <w:pPr>
        <w:pStyle w:val="Compact"/>
        <w:numPr>
          <w:ilvl w:val="0"/>
          <w:numId w:val="1032"/>
        </w:numPr>
      </w:pPr>
      <w:r>
        <w:rPr>
          <w:b/>
          <w:bCs/>
        </w:rPr>
        <w:t xml:space="preserve">ORVEK (R)</w:t>
      </w:r>
      <w:r>
        <w:t xml:space="preserve"> </w:t>
      </w:r>
      <w:r>
        <w:t xml:space="preserve">(HIKMA PHARMACEUTICALS)</w:t>
      </w:r>
    </w:p>
    <w:p>
      <w:pPr>
        <w:pStyle w:val="Compact"/>
        <w:numPr>
          <w:ilvl w:val="1"/>
          <w:numId w:val="1038"/>
        </w:numPr>
      </w:pPr>
      <w:r>
        <w:t xml:space="preserve">Formes et Dosages : Comprimé, 1 000 000 UI</w:t>
      </w:r>
    </w:p>
    <w:p>
      <w:pPr>
        <w:pStyle w:val="Compact"/>
        <w:numPr>
          <w:ilvl w:val="1"/>
          <w:numId w:val="1038"/>
        </w:numPr>
      </w:pPr>
      <w:r>
        <w:t xml:space="preserve">Statut : Retiré</w:t>
      </w:r>
    </w:p>
    <w:p>
      <w:pPr>
        <w:pStyle w:val="Compact"/>
        <w:numPr>
          <w:ilvl w:val="0"/>
          <w:numId w:val="1032"/>
        </w:numPr>
      </w:pPr>
      <w:r>
        <w:rPr>
          <w:b/>
          <w:bCs/>
        </w:rPr>
        <w:t xml:space="preserve">OSPEN (R)</w:t>
      </w:r>
      <w:r>
        <w:t xml:space="preserve"> </w:t>
      </w:r>
      <w:r>
        <w:t xml:space="preserve">(SANDOZ GMBH)</w:t>
      </w:r>
    </w:p>
    <w:p>
      <w:pPr>
        <w:pStyle w:val="Compact"/>
        <w:numPr>
          <w:ilvl w:val="1"/>
          <w:numId w:val="1039"/>
        </w:numPr>
      </w:pPr>
      <w:r>
        <w:t xml:space="preserve">Formes et Dosages : Granulés pour suspension buvable, 250 000 UI/5 mL</w:t>
      </w:r>
    </w:p>
    <w:p>
      <w:pPr>
        <w:pStyle w:val="Compact"/>
        <w:numPr>
          <w:ilvl w:val="1"/>
          <w:numId w:val="1039"/>
        </w:numPr>
      </w:pPr>
      <w:r>
        <w:t xml:space="preserve">Statut : Retiré</w:t>
      </w:r>
    </w:p>
    <w:p>
      <w:pPr>
        <w:pStyle w:val="Compact"/>
        <w:numPr>
          <w:ilvl w:val="0"/>
          <w:numId w:val="1032"/>
        </w:numPr>
      </w:pPr>
      <w:r>
        <w:rPr>
          <w:b/>
          <w:bCs/>
        </w:rPr>
        <w:t xml:space="preserve">OSPEN 1000 (R)</w:t>
      </w:r>
      <w:r>
        <w:t xml:space="preserve"> </w:t>
      </w:r>
      <w:r>
        <w:t xml:space="preserve">(SANDOZ SPA)</w:t>
      </w:r>
    </w:p>
    <w:p>
      <w:pPr>
        <w:pStyle w:val="Compact"/>
        <w:numPr>
          <w:ilvl w:val="1"/>
          <w:numId w:val="1040"/>
        </w:numPr>
      </w:pPr>
      <w:r>
        <w:t xml:space="preserve">Formes et Dosages : Comprimé enrobé sécable, 1 000 000 UI</w:t>
      </w:r>
    </w:p>
    <w:p>
      <w:pPr>
        <w:pStyle w:val="Compact"/>
        <w:numPr>
          <w:ilvl w:val="1"/>
          <w:numId w:val="1040"/>
        </w:numPr>
      </w:pPr>
      <w:r>
        <w:t xml:space="preserve">Statut : Retiré</w:t>
      </w:r>
    </w:p>
    <w:p>
      <w:pPr>
        <w:pStyle w:val="Compact"/>
        <w:numPr>
          <w:ilvl w:val="0"/>
          <w:numId w:val="1032"/>
        </w:numPr>
      </w:pPr>
      <w:r>
        <w:rPr>
          <w:b/>
          <w:bCs/>
        </w:rPr>
        <w:t xml:space="preserve">OSPEN 1500 (R)</w:t>
      </w:r>
      <w:r>
        <w:t xml:space="preserve"> </w:t>
      </w:r>
      <w:r>
        <w:t xml:space="preserve">(SANDOZ GmbH)</w:t>
      </w:r>
    </w:p>
    <w:p>
      <w:pPr>
        <w:pStyle w:val="Compact"/>
        <w:numPr>
          <w:ilvl w:val="1"/>
          <w:numId w:val="1041"/>
        </w:numPr>
      </w:pPr>
      <w:r>
        <w:t xml:space="preserve">Formes et Dosages : Comprimé enrobé, 1 500 000 UI</w:t>
      </w:r>
    </w:p>
    <w:p>
      <w:pPr>
        <w:pStyle w:val="Compact"/>
        <w:numPr>
          <w:ilvl w:val="1"/>
          <w:numId w:val="1041"/>
        </w:numPr>
      </w:pPr>
      <w:r>
        <w:t xml:space="preserve">Statut : Retiré</w:t>
      </w:r>
    </w:p>
    <w:p>
      <w:pPr>
        <w:pStyle w:val="Compact"/>
        <w:numPr>
          <w:ilvl w:val="0"/>
          <w:numId w:val="1032"/>
        </w:numPr>
      </w:pPr>
      <w:r>
        <w:rPr>
          <w:b/>
          <w:bCs/>
        </w:rPr>
        <w:t xml:space="preserve">PENICILLINE-V APU (R)</w:t>
      </w:r>
      <w:r>
        <w:t xml:space="preserve"> </w:t>
      </w:r>
      <w:r>
        <w:t xml:space="preserve">(ALGERIAN PHARMACEUTICS UNION — APU)</w:t>
      </w:r>
    </w:p>
    <w:p>
      <w:pPr>
        <w:pStyle w:val="Compact"/>
        <w:numPr>
          <w:ilvl w:val="1"/>
          <w:numId w:val="1042"/>
        </w:numPr>
      </w:pPr>
      <w:r>
        <w:t xml:space="preserve">Formes et Dosages : Comprimé pelliculé sécable, 1 000 000 UI</w:t>
      </w:r>
    </w:p>
    <w:p>
      <w:pPr>
        <w:pStyle w:val="Compact"/>
        <w:numPr>
          <w:ilvl w:val="1"/>
          <w:numId w:val="1042"/>
        </w:numPr>
      </w:pPr>
      <w:r>
        <w:t xml:space="preserve">Statut : Retiré</w:t>
      </w:r>
    </w:p>
    <w:p>
      <w:pPr>
        <w:pStyle w:val="Compact"/>
        <w:numPr>
          <w:ilvl w:val="0"/>
          <w:numId w:val="1032"/>
        </w:numPr>
      </w:pPr>
      <w:r>
        <w:rPr>
          <w:b/>
          <w:bCs/>
        </w:rPr>
        <w:t xml:space="preserve">PENIVAL (R)</w:t>
      </w:r>
      <w:r>
        <w:t xml:space="preserve"> </w:t>
      </w:r>
      <w:r>
        <w:t xml:space="preserve">(SOCIETE PHARMACEUTIQUE ALGERIENNE SOPHAL SPA)</w:t>
      </w:r>
    </w:p>
    <w:p>
      <w:pPr>
        <w:pStyle w:val="Compact"/>
        <w:numPr>
          <w:ilvl w:val="1"/>
          <w:numId w:val="1043"/>
        </w:numPr>
      </w:pPr>
      <w:r>
        <w:t xml:space="preserve">Formes et Dosages : Comprimé sécable, 1 000 000 UI ; Comprimé sécable, 1 500 000 UI</w:t>
      </w:r>
    </w:p>
    <w:p>
      <w:pPr>
        <w:pStyle w:val="Compact"/>
        <w:numPr>
          <w:ilvl w:val="1"/>
          <w:numId w:val="1043"/>
        </w:numPr>
      </w:pPr>
      <w:r>
        <w:t xml:space="preserve">Statut : Retiré</w:t>
      </w:r>
    </w:p>
    <w:p>
      <w:pPr>
        <w:pStyle w:val="FirstParagraph"/>
      </w:pPr>
      <w:r>
        <w:rPr>
          <w:b/>
          <w:bCs/>
        </w:rPr>
        <w:t xml:space="preserve">Sous-classe et Mécanisme d’action :</w:t>
      </w:r>
      <w:r>
        <w:t xml:space="preserve"> </w:t>
      </w:r>
      <w:r>
        <w:t xml:space="preserve">- Sous-classe : Pénicilline V (phénoxyméthylpénicilline), pénicilline naturelle orale, sous-classe des pénicillines V. Inscrite à la liste OMS des médicaments essentiaux.</w:t>
      </w:r>
      <w:r>
        <w:t xml:space="preserve"> </w:t>
      </w:r>
      <w:r>
        <w:t xml:space="preserve">- Mécanisme d’action : Bactéricide temps-dépendant, identique à la pénicilline G : inhibition covalente des PBP (transpeptidases pariétales), blocage de la synthèse du peptidoglycane, activation des autolysines bactériennes, lyse osmotique. Le groupement phénoxyméthyle ne modifie pas l’affinité pour les PBP mais assure la résistance à l’hydrolyse acide gastrique.</w:t>
      </w:r>
    </w:p>
    <w:p>
      <w:pPr>
        <w:pStyle w:val="BodyText"/>
      </w:pPr>
      <w:r>
        <w:rPr>
          <w:b/>
          <w:bCs/>
        </w:rPr>
        <w:t xml:space="preserve">Profil Pharmacologique :</w:t>
      </w:r>
      <w:r>
        <w:t xml:space="preserve"> </w:t>
      </w:r>
      <w:r>
        <w:t xml:space="preserve">- Indications : Angine à streptocoque bêta-hémolytique A (alternative à l’amoxicilline chez l’allergique non sévère) ; prophylaxie secondaire du rhumatisme articulaire aigu (alternative à la benzathine IM chez l’adulte) ; prophylaxie de l’endocardite infectieuse (alternatives pour actes dentaires, chez l’allergique) ; érysipèle (alternative) ; syphilis (en alternative à la benzathine, mais moins efficace) ; infection à streptocoque sensible.</w:t>
      </w:r>
      <w:r>
        <w:t xml:space="preserve"> </w:t>
      </w:r>
      <w:r>
        <w:t xml:space="preserve">- Contre-indications : Allergie aux bêta-lactamines (CI absolue) ; infection sévère nécessitant des concentrations bactéricides élevées (endocardite, méningite) — la pénicilline V ne permet pas d’atteindre ces concentrations par voie orale. Précautions : insuffisance rénale, gastrectomie (absorption réduite).</w:t>
      </w:r>
      <w:r>
        <w:t xml:space="preserve"> </w:t>
      </w:r>
      <w:r>
        <w:t xml:space="preserve">- Effets Indésirables : Éruption maculo-papuleuse (5–8 %), urticaire, œdème de Quincke, anaphylaxie (rare), troubles digestifs (nausées, vomissements, diarrhée 2–5 %), candidose ORL ou digestive (rare), glossite, langue noire villeuse, hépatite cytolytique exceptionnelle, néphrite interstitielle. Réaction de Jarisch-Herxheimer possible dans la syphilis.</w:t>
      </w:r>
    </w:p>
    <w:p>
      <w:pPr>
        <w:pStyle w:val="BodyText"/>
      </w:pPr>
      <w:r>
        <w:rPr>
          <w:b/>
          <w:bCs/>
        </w:rPr>
        <w:t xml:space="preserve">Prévention et Gestion des Effets Indésirables :</w:t>
      </w:r>
      <w:r>
        <w:t xml:space="preserve"> </w:t>
      </w:r>
      <w:r>
        <w:t xml:space="preserve">- Mesures Préventives (Pharmacien &amp; Patient) : Prise à jeun (1 h avant ou 2 h après repas) pour optimiser l’absorption, hydratation suffisante, probiotiques type</w:t>
      </w:r>
      <w:r>
        <w:t xml:space="preserve"> </w:t>
      </w:r>
      <w:r>
        <w:rPr>
          <w:i/>
          <w:iCs/>
        </w:rPr>
        <w:t xml:space="preserve">Saccharomyces boulardii</w:t>
      </w:r>
      <w:r>
        <w:t xml:space="preserve"> </w:t>
      </w:r>
      <w:r>
        <w:t xml:space="preserve">ou</w:t>
      </w:r>
      <w:r>
        <w:t xml:space="preserve"> </w:t>
      </w:r>
      <w:r>
        <w:rPr>
          <w:i/>
          <w:iCs/>
        </w:rPr>
        <w:t xml:space="preserve">Lactobacillus rhamnosus GG</w:t>
      </w:r>
      <w:r>
        <w:t xml:space="preserve"> </w:t>
      </w:r>
      <w:r>
        <w:t xml:space="preserve">en cas d’antécédent de diarrhée post-antibiotique, surveillance de l’allergie en début de traitement. Adaptation posologique si clairance &lt; 30 mL/min.</w:t>
      </w:r>
      <w:r>
        <w:t xml:space="preserve"> </w:t>
      </w:r>
      <w:r>
        <w:t xml:space="preserve">- Conduite à Tenir : En cas de rash : arrêt immédiat, consultation médicale. En cas de signes d’anaphylaxie : adrénaline IM, SAMU. En cas de diarrhée sanglante ou fébrile : suspicion de</w:t>
      </w:r>
      <w:r>
        <w:t xml:space="preserve"> </w:t>
      </w:r>
      <w:r>
        <w:rPr>
          <w:i/>
          <w:iCs/>
        </w:rPr>
        <w:t xml:space="preserve">Clostridioides difficile</w:t>
      </w:r>
      <w:r>
        <w:t xml:space="preserve">, arrêt et traitement spécifique (métronidazole ou vancomycine orale).</w:t>
      </w:r>
    </w:p>
    <w:p>
      <w:pPr>
        <w:pStyle w:val="BodyText"/>
      </w:pPr>
      <w:r>
        <w:rPr>
          <w:b/>
          <w:bCs/>
        </w:rPr>
        <w:t xml:space="preserve">Interactions Importantes :</w:t>
      </w:r>
      <w:r>
        <w:t xml:space="preserve"> </w:t>
      </w:r>
      <w:r>
        <w:t xml:space="preserve">- Méthotrexate : Diminution de l’excrétion tubulaire rénale du méthotrexate par compétition au niveau du transporteur OAT, augmentant le risque de toxicité médullaire et muqueuse.</w:t>
      </w:r>
      <w:r>
        <w:t xml:space="preserve"> </w:t>
      </w:r>
      <w:r>
        <w:t xml:space="preserve">- Probenécide : Augmente les concentrations plasmatiques de pénicilline V.</w:t>
      </w:r>
      <w:r>
        <w:t xml:space="preserve"> </w:t>
      </w:r>
      <w:r>
        <w:t xml:space="preserve">- Contraceptifs oraux estroprogestatifs : Risque théorique de baisse d’efficacité (modification de la flore intestinale réduisant le cycle entérohépatique des estrogènes) — méthode complémentaire pendant le traitement et 7 jours après.</w:t>
      </w:r>
      <w:r>
        <w:t xml:space="preserve"> </w:t>
      </w:r>
      <w:r>
        <w:t xml:space="preserve">- Antiacides (hydroxyde d’aluminium, de magnésium) : Diminution de l’absorption de la pénicilline V (prise espacée de 2 h).</w:t>
      </w:r>
    </w:p>
    <w:p>
      <w:pPr>
        <w:pStyle w:val="BodyText"/>
      </w:pPr>
      <w:r>
        <w:rPr>
          <w:b/>
          <w:bCs/>
        </w:rPr>
        <w:t xml:space="preserve">Grossesse et Allaitement :</w:t>
      </w:r>
      <w:r>
        <w:t xml:space="preserve"> </w:t>
      </w:r>
      <w:r>
        <w:t xml:space="preserve">- Grossesse : Indiqué. Aucun effet tératogène connu (CRAT : données humaines rassurantes), à utiliser si nécessaire sans restriction.</w:t>
      </w:r>
      <w:r>
        <w:t xml:space="preserve"> </w:t>
      </w:r>
      <w:r>
        <w:t xml:space="preserve">- Allaitement : Indiqué. Passage faible dans le lait maternel, sans toxicité pour le nouveau-né. Risque théorique de troubles digestifs et de sensibilisation.</w:t>
      </w:r>
      <w:r>
        <w:t xml:space="preserve"> </w:t>
      </w:r>
      <w:r>
        <w:t xml:space="preserve">- Précisions : Au cours de la grossesse, la pénicilline V peut être utilisée pour l’angine streptococcique chez la femme allergique à l’amoxicilline (mais non allergique à la pénicilline G).</w:t>
      </w:r>
    </w:p>
    <w:p>
      <w:pPr>
        <w:pStyle w:val="BodyText"/>
      </w:pPr>
      <w:r>
        <w:rPr>
          <w:b/>
          <w:bCs/>
        </w:rPr>
        <w:t xml:space="preserve">Posologie et Mode d’administration (Standard) :</w:t>
      </w:r>
      <w:r>
        <w:t xml:space="preserve"> </w:t>
      </w:r>
      <w:r>
        <w:t xml:space="preserve">- Adulte : 1 à 6 MUI/jour en 3 à 4 prises (soit 500 mg à 3 g/jour, sachant que 1 MUI ≈ 600 mg de pénicilline V). Angine streptococcique : 1 MUI × 3/jour pendant 10 jours. Prophylaxie RAA : 500 000 UI × 2/jour en continu.</w:t>
      </w:r>
      <w:r>
        <w:t xml:space="preserve"> </w:t>
      </w:r>
      <w:r>
        <w:t xml:space="preserve">- Enfant : 50 000 à 100 000 UI/kg/jour en 3 à 4 prises (max 3 MUI/jour). Angine : 50 000 UI/kg/jour × 10 jours. Prophylaxie RAA : 250 000 UI × 2/jour (&lt; 30 kg) ou 500 000 UI × 2/jour (&gt; 30 kg).</w:t>
      </w:r>
      <w:r>
        <w:t xml:space="preserve"> </w:t>
      </w:r>
      <w:r>
        <w:t xml:space="preserve">- Durée du traitement : Angine streptococcique : 10 jours (impératif pour prévenir le RAA). Prophylaxie RAA : 5 ans minimum ou jusqu’à 21 ans. Érysipèle : 7–14 jours.</w:t>
      </w:r>
      <w:r>
        <w:t xml:space="preserve"> </w:t>
      </w:r>
      <w:r>
        <w:t xml:space="preserve">- Moment de la prise : À jeun, 1 h avant ou 2 h après les repas. L’alimentation diminue l’absorption de 30 à 50 %. Les comprimés se prennent avec un grand verre d’eau, en position assise ou debout.</w:t>
      </w:r>
    </w:p>
    <w:p>
      <w:pPr>
        <w:pStyle w:val="BodyText"/>
      </w:pPr>
      <w:r>
        <w:rPr>
          <w:b/>
          <w:bCs/>
        </w:rPr>
        <w:t xml:space="preserve">Arbitrage et Bénéfices des Formes Galéniques :</w:t>
      </w:r>
      <w:r>
        <w:t xml:space="preserve"> </w:t>
      </w:r>
      <w:r>
        <w:t xml:space="preserve">La suspension buvable (250 000 UI/5 mL ou 400 000 UI/5 mL) est indiquée chez l’enfant de moins de 6 ans incapable d’avaler un comprimé. Le comprimé à 1 000 000 UI convient à l’adolescent et l’adulte. Le comprimé à 1 500 000 UI facilite la prise unique ou biquotidienne (prophylaxie RAA). La forme orale garantit une observance supérieure à la benzathine IM, au prix d’une efficacité moindre dans les infections sévères.</w:t>
      </w:r>
    </w:p>
    <w:p>
      <w:pPr>
        <w:pStyle w:val="BodyText"/>
      </w:pPr>
      <w:r>
        <w:rPr>
          <w:b/>
          <w:bCs/>
        </w:rPr>
        <w:t xml:space="preserve">Instructions et Conseils au Patient :</w:t>
      </w:r>
      <w:r>
        <w:t xml:space="preserve"> </w:t>
      </w:r>
      <w:r>
        <w:t xml:space="preserve">- Communication au comptoir : « C’est un antibiotique de la même famille que la pénicilline G, mais en comprimé ou sirop. Prenez-le à jeun, une heure avant les repas ou deux heures après, pour qu’il soit bien absorbé. La durée est de 10 jours pour l’angine, ne l’arrêtez pas avant même si vous allez mieux, sinon l’angine peut revenir et causer des complications cardiaques (rhumatisme articulaire aigu). »</w:t>
      </w:r>
      <w:r>
        <w:t xml:space="preserve"> </w:t>
      </w:r>
      <w:r>
        <w:t xml:space="preserve">- Mode d’utilisation pratique : Prise à heure régulière, espacement de 2 h avec les antiacides, oublis à gérer (prise dès que possible si &lt; 2 h d’écart, sinon sauter la dose). Conservation de la suspension reconstituée 7 jours au réfrigérateur, agitation avant chaque prise.</w:t>
      </w:r>
    </w:p>
    <w:p>
      <w:pPr>
        <w:pStyle w:val="BodyText"/>
      </w:pPr>
      <w:r>
        <w:rPr>
          <w:b/>
          <w:bCs/>
        </w:rPr>
        <w:t xml:space="preserve">Notes, Règles d’Or &amp; Pièges au Comptoir :</w:t>
      </w:r>
      <w:r>
        <w:t xml:space="preserve"> </w:t>
      </w:r>
      <w:r>
        <w:t xml:space="preserve">- Piège classique : Prescription de pénicilline V pour une infection à</w:t>
      </w:r>
      <w:r>
        <w:t xml:space="preserve"> </w:t>
      </w:r>
      <w:r>
        <w:rPr>
          <w:i/>
          <w:iCs/>
        </w:rPr>
        <w:t xml:space="preserve">H. influenzae</w:t>
      </w:r>
      <w:r>
        <w:t xml:space="preserve"> </w:t>
      </w:r>
      <w:r>
        <w:t xml:space="preserve">ou à entérobactérie (inefficace, spectre trop étroit). Confusion avec l’amoxicilline (pénicilline A, spectre plus large) — bien vérifier la DCI.</w:t>
      </w:r>
      <w:r>
        <w:t xml:space="preserve"> </w:t>
      </w:r>
      <w:r>
        <w:t xml:space="preserve">- Règle de prise / Conseil Patient : À jeun pour optimiser l’absorption ; 10 jours stricts pour l’angine streptococcique.</w:t>
      </w:r>
      <w:r>
        <w:t xml:space="preserve"> </w:t>
      </w:r>
      <w:r>
        <w:t xml:space="preserve">- Préparation et Conservation : Comprimés à température &lt; 25 °C. Suspension buvable reconstituée : 7 jours au réfrigérateur (entre +2 et +8 °C), agitation vigoureuse avant chaque prise. Eau bouillie refroidie ou eau purifiée pour la reconstitution (eau du robinet chlorée = dégradation partielle).</w:t>
      </w:r>
      <w:r>
        <w:t xml:space="preserve"> </w:t>
      </w:r>
      <w:r>
        <w:t xml:space="preserve">- Piège du surdosage / Substitution : Ne pas substituer pénicilline V par amoxicilline sans avis médical (spectre différent, allergies croisées possibles mais profil différent). Surdosage : convulsions, encéphalopathie — dialysable.</w:t>
      </w:r>
    </w:p>
    <w:p>
      <w:r>
        <w:pict>
          <v:rect style="width:0;height:1.5pt" o:hralign="center" o:hrstd="t" o:hr="t"/>
        </w:pict>
      </w:r>
    </w:p>
    <w:bookmarkEnd w:id="38"/>
    <w:bookmarkEnd w:id="39"/>
    <w:bookmarkStart w:id="42" w:name="Xf2f286cd445a062eb6320fba70eb79ebe0d76bc"/>
    <w:p>
      <w:pPr>
        <w:pStyle w:val="Heading2"/>
      </w:pPr>
      <w:r>
        <w:t xml:space="preserve">2.3 Sous-classe : Pénicillines A (Aminopénicillines)</w:t>
      </w:r>
    </w:p>
    <w:p>
      <w:pPr>
        <w:pStyle w:val="FirstParagraph"/>
      </w:pPr>
      <w:r>
        <w:t xml:space="preserve">Les pénicillines A (aminopénicillines) regroupent l’ampicilline et l’amoxicilline, obtenues par substitution d’un groupement aminé sur la chaîne latérale acyle du noyau 6-APA. Cette modification their confère une activité élargie aux bacilles à Gram négatif (Entérobactéries sensibles :</w:t>
      </w:r>
      <w:r>
        <w:t xml:space="preserve"> </w:t>
      </w:r>
      <w:r>
        <w:rPr>
          <w:i/>
          <w:iCs/>
        </w:rPr>
        <w:t xml:space="preserve">Escherichia coli</w:t>
      </w:r>
      <w:r>
        <w:t xml:space="preserve">,</w:t>
      </w:r>
      <w:r>
        <w:t xml:space="preserve"> </w:t>
      </w:r>
      <w:r>
        <w:rPr>
          <w:i/>
          <w:iCs/>
        </w:rPr>
        <w:t xml:space="preserve">Proteus mirabilis</w:t>
      </w:r>
      <w:r>
        <w:t xml:space="preserve">,</w:t>
      </w:r>
      <w:r>
        <w:t xml:space="preserve"> </w:t>
      </w:r>
      <w:r>
        <w:rPr>
          <w:i/>
          <w:iCs/>
        </w:rPr>
        <w:t xml:space="preserve">Salmonella</w:t>
      </w:r>
      <w:r>
        <w:t xml:space="preserve"> </w:t>
      </w:r>
      <w:r>
        <w:t xml:space="preserve">spp.,</w:t>
      </w:r>
      <w:r>
        <w:t xml:space="preserve"> </w:t>
      </w:r>
      <w:r>
        <w:rPr>
          <w:i/>
          <w:iCs/>
        </w:rPr>
        <w:t xml:space="preserve">Shigella</w:t>
      </w:r>
      <w:r>
        <w:t xml:space="preserve"> </w:t>
      </w:r>
      <w:r>
        <w:t xml:space="preserve">spp. ;</w:t>
      </w:r>
      <w:r>
        <w:t xml:space="preserve"> </w:t>
      </w:r>
      <w:r>
        <w:rPr>
          <w:i/>
          <w:iCs/>
        </w:rPr>
        <w:t xml:space="preserve">Haemophilus influenzae</w:t>
      </w:r>
      <w:r>
        <w:t xml:space="preserve"> </w:t>
      </w:r>
      <w:r>
        <w:t xml:space="preserve">;</w:t>
      </w:r>
      <w:r>
        <w:t xml:space="preserve"> </w:t>
      </w:r>
      <w:r>
        <w:rPr>
          <w:i/>
          <w:iCs/>
        </w:rPr>
        <w:t xml:space="preserve">Listeria</w:t>
      </w:r>
      <w:r>
        <w:t xml:space="preserve"> </w:t>
      </w:r>
      <w:r>
        <w:t xml:space="preserve">spp.), tout en conservant le spectre des pénicillines G sur les cocci à Gram positif sensibles. Toutefois, elles restent sensibles aux bêta-lactamases staphylococciques et aux bêta-lactamases à spectre élargi (BLSE) des entérobactéries, ce qui impose souvent leur association à un inhibiteur enzymatique (acide clavulanique). L’amoxicilline diffère de l’ampicilline par un groupement hydroxyle supplémentaire (para-hydroxy) qui double sa biodisponibilité orale (80–90 % vs 40 %) et améliore sa tolérance digestive. L’amoxicilline est aujourd’hui l’antibiotique de première intention le plus prescrit au monde, en particulier en pédiatrie (otite, angine, pneumonie) et dans les infections respiratoires basses de l’adulte. L’ampicilline conserve une place majeure en milieu hospitalier IV (méningite à</w:t>
      </w:r>
      <w:r>
        <w:t xml:space="preserve"> </w:t>
      </w:r>
      <w:r>
        <w:rPr>
          <w:i/>
          <w:iCs/>
        </w:rPr>
        <w:t xml:space="preserve">Listeria</w:t>
      </w:r>
      <w:r>
        <w:t xml:space="preserve">, listériose maternofœtale, endocardite à entérocoque en association).</w:t>
      </w:r>
    </w:p>
    <w:bookmarkStart w:id="40" w:name="dci-amoxicilline-seule"/>
    <w:p>
      <w:pPr>
        <w:pStyle w:val="Heading3"/>
      </w:pPr>
      <w:r>
        <w:t xml:space="preserve">2.3.1 DCI : Amoxicilline (Seule)</w:t>
      </w:r>
    </w:p>
    <w:p>
      <w:pPr>
        <w:pStyle w:val="FirstParagraph"/>
      </w:pPr>
      <w:r>
        <w:rPr>
          <w:b/>
          <w:bCs/>
        </w:rPr>
        <w:t xml:space="preserve">Liste des Catégories :</w:t>
      </w:r>
      <w:r>
        <w:t xml:space="preserve"> </w:t>
      </w:r>
      <w:r>
        <w:t xml:space="preserve">Pénicillines ; Bêta-lactamines ; Pénicillines A ; Aminopénicillines ; Antibiotique bactéricide ; Voie orale et injectable ; Liste I.</w:t>
      </w:r>
    </w:p>
    <w:p>
      <w:pPr>
        <w:pStyle w:val="BodyText"/>
      </w:pPr>
      <w:r>
        <w:t xml:space="preserve">L’amoxicilline est la pénicilline la plus prescrite au monde, antibiotique de première intention dans la majorité des infections respiratoires communautaires, ORL, urinaires et digestives hautes. Sa biodisponibilité orale élevée (80–90 %), son excellente diffusion tissulaire, son spectre adapté aux germes communautaires et sa tolérance en font la pierre angulaire de l’antibiothérapie ambulatoire. Sa demi-vie courte (1 h) impose néanmoins 2 à 3 prises par jour, ou la forme retard (moxatag non disponible en Algérie).</w:t>
      </w:r>
    </w:p>
    <w:p>
      <w:pPr>
        <w:pStyle w:val="BodyText"/>
      </w:pPr>
      <w:r>
        <w:rPr>
          <w:b/>
          <w:bCs/>
        </w:rPr>
        <w:t xml:space="preserve">Médicaments disponibles en Algérie (Marques, Laboratoires, Formes et Dosages) :</w:t>
      </w:r>
    </w:p>
    <w:p>
      <w:pPr>
        <w:pStyle w:val="BodyText"/>
      </w:pPr>
      <w:r>
        <w:t xml:space="preserve">Formes orales et injectables, nombreuses spécialités. Sont classées ci-dessous par statut :</w:t>
      </w:r>
    </w:p>
    <w:p>
      <w:pPr>
        <w:pStyle w:val="BodyText"/>
      </w:pPr>
      <w:r>
        <w:rPr>
          <w:b/>
          <w:bCs/>
        </w:rPr>
        <w:t xml:space="preserve">Spécialités Actives ou partiellement actives :</w:t>
      </w:r>
    </w:p>
    <w:p>
      <w:pPr>
        <w:pStyle w:val="Compact"/>
        <w:numPr>
          <w:ilvl w:val="0"/>
          <w:numId w:val="1044"/>
        </w:numPr>
      </w:pPr>
      <w:r>
        <w:rPr>
          <w:b/>
          <w:bCs/>
        </w:rPr>
        <w:t xml:space="preserve">AMOXICILLINE EG</w:t>
      </w:r>
      <w:r>
        <w:t xml:space="preserve"> </w:t>
      </w:r>
      <w:r>
        <w:t xml:space="preserve">(HUPP PHARMA)</w:t>
      </w:r>
    </w:p>
    <w:p>
      <w:pPr>
        <w:pStyle w:val="Compact"/>
        <w:numPr>
          <w:ilvl w:val="1"/>
          <w:numId w:val="1045"/>
        </w:numPr>
      </w:pPr>
      <w:r>
        <w:t xml:space="preserve">Formes : Comprimé dispersible 1 g ; Poudre pour solution buvable 125 mg/5 mL ; Poudre pour solution buvable 250 mg/5 mL ; Poudre pour solution buvable 500 mg/5 mL</w:t>
      </w:r>
    </w:p>
    <w:p>
      <w:pPr>
        <w:pStyle w:val="Compact"/>
        <w:numPr>
          <w:ilvl w:val="1"/>
          <w:numId w:val="1045"/>
        </w:numPr>
      </w:pPr>
      <w:r>
        <w:t xml:space="preserve">Statut : Actif</w:t>
      </w:r>
    </w:p>
    <w:p>
      <w:pPr>
        <w:pStyle w:val="Compact"/>
        <w:numPr>
          <w:ilvl w:val="0"/>
          <w:numId w:val="1044"/>
        </w:numPr>
      </w:pPr>
      <w:r>
        <w:rPr>
          <w:b/>
          <w:bCs/>
        </w:rPr>
        <w:t xml:space="preserve">AMOXIMEX</w:t>
      </w:r>
      <w:r>
        <w:t xml:space="preserve"> </w:t>
      </w:r>
      <w:r>
        <w:t xml:space="preserve">(KHROUB PHARMACEUTICAL MANUFACTURING ALGERIA — KPMA / KPMA BIOTIC)</w:t>
      </w:r>
    </w:p>
    <w:p>
      <w:pPr>
        <w:pStyle w:val="Compact"/>
        <w:numPr>
          <w:ilvl w:val="1"/>
          <w:numId w:val="1046"/>
        </w:numPr>
      </w:pPr>
      <w:r>
        <w:t xml:space="preserve">Formes : Comprimé dispersible 1 g ; Gélule 500 mg ; Poudre pour suspension buvable 125 mg/5 mL, 250 mg/5 mL, 500 mg/5 mL</w:t>
      </w:r>
    </w:p>
    <w:p>
      <w:pPr>
        <w:pStyle w:val="Compact"/>
        <w:numPr>
          <w:ilvl w:val="1"/>
          <w:numId w:val="1046"/>
        </w:numPr>
      </w:pPr>
      <w:r>
        <w:t xml:space="preserve">Statut : Partiellement actif (certaines présentations non renouvelables)</w:t>
      </w:r>
    </w:p>
    <w:p>
      <w:pPr>
        <w:pStyle w:val="Compact"/>
        <w:numPr>
          <w:ilvl w:val="0"/>
          <w:numId w:val="1044"/>
        </w:numPr>
      </w:pPr>
      <w:r>
        <w:rPr>
          <w:b/>
          <w:bCs/>
        </w:rPr>
        <w:t xml:space="preserve">AMOXYPEN</w:t>
      </w:r>
      <w:r>
        <w:t xml:space="preserve"> </w:t>
      </w:r>
      <w:r>
        <w:t xml:space="preserve">(GROUPE SAIDAL)</w:t>
      </w:r>
    </w:p>
    <w:p>
      <w:pPr>
        <w:pStyle w:val="Compact"/>
        <w:numPr>
          <w:ilvl w:val="1"/>
          <w:numId w:val="1047"/>
        </w:numPr>
      </w:pPr>
      <w:r>
        <w:t xml:space="preserve">Formes : Comprimé dispersible 250 mg, 500 mg, 1 g ; Gélule 500 mg ; Poudre pour suspension buvable 125 mg/5 mL, 250 mg/5 mL, 500 mg/5 mL ; Poudre pour solution injectable IM/IV 500 mg, 1 g/flacon</w:t>
      </w:r>
    </w:p>
    <w:p>
      <w:pPr>
        <w:pStyle w:val="Compact"/>
        <w:numPr>
          <w:ilvl w:val="1"/>
          <w:numId w:val="1047"/>
        </w:numPr>
      </w:pPr>
      <w:r>
        <w:t xml:space="preserve">Statut : Partiellement actif</w:t>
      </w:r>
    </w:p>
    <w:p>
      <w:pPr>
        <w:pStyle w:val="Compact"/>
        <w:numPr>
          <w:ilvl w:val="0"/>
          <w:numId w:val="1044"/>
        </w:numPr>
      </w:pPr>
      <w:r>
        <w:rPr>
          <w:b/>
          <w:bCs/>
        </w:rPr>
        <w:t xml:space="preserve">CLAMOXYL</w:t>
      </w:r>
      <w:r>
        <w:t xml:space="preserve"> </w:t>
      </w:r>
      <w:r>
        <w:t xml:space="preserve">(GLAXOSMITHKLINE / GLAXOSMITHKLINE ALGERIE SPA)</w:t>
      </w:r>
    </w:p>
    <w:p>
      <w:pPr>
        <w:pStyle w:val="Compact"/>
        <w:numPr>
          <w:ilvl w:val="1"/>
          <w:numId w:val="1048"/>
        </w:numPr>
      </w:pPr>
      <w:r>
        <w:t xml:space="preserve">Formes : Comprimé dispersible 1 g ; Gélule 500 mg ; Poudre pour suspension buvable 250 mg/5 mL, 500 mg/5 mL ; Poudre pour solution injectable IM 500 mg, 1 g/flacon</w:t>
      </w:r>
    </w:p>
    <w:p>
      <w:pPr>
        <w:pStyle w:val="Compact"/>
        <w:numPr>
          <w:ilvl w:val="1"/>
          <w:numId w:val="1048"/>
        </w:numPr>
      </w:pPr>
      <w:r>
        <w:t xml:space="preserve">Statut : Partiellement actif (présentations historiques retirées)</w:t>
      </w:r>
    </w:p>
    <w:p>
      <w:pPr>
        <w:pStyle w:val="Compact"/>
        <w:numPr>
          <w:ilvl w:val="0"/>
          <w:numId w:val="1044"/>
        </w:numPr>
      </w:pPr>
      <w:r>
        <w:rPr>
          <w:b/>
          <w:bCs/>
        </w:rPr>
        <w:t xml:space="preserve">HIMOXYL</w:t>
      </w:r>
      <w:r>
        <w:t xml:space="preserve"> </w:t>
      </w:r>
      <w:r>
        <w:t xml:space="preserve">(EURL GENIS PHARMACEUTIQUE)</w:t>
      </w:r>
    </w:p>
    <w:p>
      <w:pPr>
        <w:pStyle w:val="Compact"/>
        <w:numPr>
          <w:ilvl w:val="1"/>
          <w:numId w:val="1049"/>
        </w:numPr>
      </w:pPr>
      <w:r>
        <w:t xml:space="preserve">Formes : Poudre pour solution buvable 250 mg/5 mL ; Granulés pour suspension buvable en sachet dose 1 g/sachet</w:t>
      </w:r>
    </w:p>
    <w:p>
      <w:pPr>
        <w:pStyle w:val="Compact"/>
        <w:numPr>
          <w:ilvl w:val="1"/>
          <w:numId w:val="1049"/>
        </w:numPr>
      </w:pPr>
      <w:r>
        <w:t xml:space="preserve">Statut : Actif</w:t>
      </w:r>
    </w:p>
    <w:p>
      <w:pPr>
        <w:pStyle w:val="Compact"/>
        <w:numPr>
          <w:ilvl w:val="0"/>
          <w:numId w:val="1044"/>
        </w:numPr>
      </w:pPr>
      <w:r>
        <w:rPr>
          <w:b/>
          <w:bCs/>
        </w:rPr>
        <w:t xml:space="preserve">LAMOXYL</w:t>
      </w:r>
      <w:r>
        <w:t xml:space="preserve"> </w:t>
      </w:r>
      <w:r>
        <w:t xml:space="preserve">(ARAB PHARM)</w:t>
      </w:r>
    </w:p>
    <w:p>
      <w:pPr>
        <w:pStyle w:val="Compact"/>
        <w:numPr>
          <w:ilvl w:val="1"/>
          <w:numId w:val="1050"/>
        </w:numPr>
      </w:pPr>
      <w:r>
        <w:t xml:space="preserve">Formes : Comprimé dispersible 1 g ; Gélule 500 mg ; Poudre pour suspension buvable 250 mg/5 mL, 500 mg/5 mL</w:t>
      </w:r>
    </w:p>
    <w:p>
      <w:pPr>
        <w:pStyle w:val="Compact"/>
        <w:numPr>
          <w:ilvl w:val="1"/>
          <w:numId w:val="1050"/>
        </w:numPr>
      </w:pPr>
      <w:r>
        <w:t xml:space="preserve">Statut : Partiellement actif</w:t>
      </w:r>
    </w:p>
    <w:p>
      <w:pPr>
        <w:pStyle w:val="Compact"/>
        <w:numPr>
          <w:ilvl w:val="0"/>
          <w:numId w:val="1044"/>
        </w:numPr>
      </w:pPr>
      <w:r>
        <w:rPr>
          <w:b/>
          <w:bCs/>
        </w:rPr>
        <w:t xml:space="preserve">PENAMOX</w:t>
      </w:r>
      <w:r>
        <w:t xml:space="preserve"> </w:t>
      </w:r>
      <w:r>
        <w:t xml:space="preserve">(HIKMA PHARMA ALGERIA)</w:t>
      </w:r>
    </w:p>
    <w:p>
      <w:pPr>
        <w:pStyle w:val="Compact"/>
        <w:numPr>
          <w:ilvl w:val="1"/>
          <w:numId w:val="1051"/>
        </w:numPr>
      </w:pPr>
      <w:r>
        <w:t xml:space="preserve">Formes : Comprimé pelliculé 1 g ; Gélule 250 mg ; Poudre pour suspension buvable 125 mg/5 mL, 250 mg/5 mL, 500 mg/5 mL</w:t>
      </w:r>
    </w:p>
    <w:p>
      <w:pPr>
        <w:pStyle w:val="Compact"/>
        <w:numPr>
          <w:ilvl w:val="1"/>
          <w:numId w:val="1051"/>
        </w:numPr>
      </w:pPr>
      <w:r>
        <w:t xml:space="preserve">Statut : Partiellement actif</w:t>
      </w:r>
    </w:p>
    <w:p>
      <w:pPr>
        <w:pStyle w:val="Compact"/>
        <w:numPr>
          <w:ilvl w:val="0"/>
          <w:numId w:val="1044"/>
        </w:numPr>
      </w:pPr>
      <w:r>
        <w:rPr>
          <w:b/>
          <w:bCs/>
        </w:rPr>
        <w:t xml:space="preserve">PENAMOX D</w:t>
      </w:r>
      <w:r>
        <w:t xml:space="preserve"> </w:t>
      </w:r>
      <w:r>
        <w:t xml:space="preserve">(HIKMA PHARMA ALGERIA)</w:t>
      </w:r>
    </w:p>
    <w:p>
      <w:pPr>
        <w:pStyle w:val="Compact"/>
        <w:numPr>
          <w:ilvl w:val="1"/>
          <w:numId w:val="1052"/>
        </w:numPr>
      </w:pPr>
      <w:r>
        <w:t xml:space="preserve">Formes : Comprimé dispersible 1 g ; Comprimé dispersible sécable 500 mg</w:t>
      </w:r>
    </w:p>
    <w:p>
      <w:pPr>
        <w:pStyle w:val="Compact"/>
        <w:numPr>
          <w:ilvl w:val="1"/>
          <w:numId w:val="1052"/>
        </w:numPr>
      </w:pPr>
      <w:r>
        <w:t xml:space="preserve">Statut : Actif</w:t>
      </w:r>
    </w:p>
    <w:p>
      <w:pPr>
        <w:pStyle w:val="Compact"/>
        <w:numPr>
          <w:ilvl w:val="0"/>
          <w:numId w:val="1044"/>
        </w:numPr>
      </w:pPr>
      <w:r>
        <w:rPr>
          <w:b/>
          <w:bCs/>
        </w:rPr>
        <w:t xml:space="preserve">BIOPAMOX</w:t>
      </w:r>
      <w:r>
        <w:t xml:space="preserve"> </w:t>
      </w:r>
      <w:r>
        <w:t xml:space="preserve">(BIOCARE / BIOCARE SARL)</w:t>
      </w:r>
    </w:p>
    <w:p>
      <w:pPr>
        <w:pStyle w:val="Compact"/>
        <w:numPr>
          <w:ilvl w:val="1"/>
          <w:numId w:val="1053"/>
        </w:numPr>
      </w:pPr>
      <w:r>
        <w:t xml:space="preserve">Formes : Comprimé dispersible 1 g ; Gélule 500 mg ; Granulés pour suspension buvable en sachet 1 g/sachet ; Poudre pour solution buvable 250 mg/5 mL, 500 mg/5 mL ; Poudre pour solution injectable 1 g/flacon</w:t>
      </w:r>
    </w:p>
    <w:p>
      <w:pPr>
        <w:pStyle w:val="Compact"/>
        <w:numPr>
          <w:ilvl w:val="1"/>
          <w:numId w:val="1053"/>
        </w:numPr>
      </w:pPr>
      <w:r>
        <w:t xml:space="preserve">Statut : Partiellement actif (présentations historiques retirées)</w:t>
      </w:r>
    </w:p>
    <w:p>
      <w:pPr>
        <w:pStyle w:val="FirstParagraph"/>
      </w:pPr>
      <w:r>
        <w:rPr>
          <w:b/>
          <w:bCs/>
        </w:rPr>
        <w:t xml:space="preserve">Spécialités Non Renouvelables (encore présentes dans la nomenclature) :</w:t>
      </w:r>
    </w:p>
    <w:p>
      <w:pPr>
        <w:pStyle w:val="Compact"/>
        <w:numPr>
          <w:ilvl w:val="0"/>
          <w:numId w:val="1054"/>
        </w:numPr>
      </w:pPr>
      <w:r>
        <w:rPr>
          <w:b/>
          <w:bCs/>
        </w:rPr>
        <w:t xml:space="preserve">AMODEX Gé</w:t>
      </w:r>
      <w:r>
        <w:t xml:space="preserve"> </w:t>
      </w:r>
      <w:r>
        <w:t xml:space="preserve">(CONTINENTAL PHARM) — Poudre pour suspension buvable 500 mg/5 mL</w:t>
      </w:r>
    </w:p>
    <w:p>
      <w:pPr>
        <w:pStyle w:val="Compact"/>
        <w:numPr>
          <w:ilvl w:val="0"/>
          <w:numId w:val="1054"/>
        </w:numPr>
      </w:pPr>
      <w:r>
        <w:rPr>
          <w:b/>
          <w:bCs/>
        </w:rPr>
        <w:t xml:space="preserve">AMODEX-Gé</w:t>
      </w:r>
      <w:r>
        <w:t xml:space="preserve"> </w:t>
      </w:r>
      <w:r>
        <w:t xml:space="preserve">(CONTINENTAL PHARM) — Comprimé dispersible 1 g ; Gélule 500 mg ; Poudre pour suspension buvable 250 mg/5 mL</w:t>
      </w:r>
    </w:p>
    <w:p>
      <w:pPr>
        <w:pStyle w:val="Compact"/>
        <w:numPr>
          <w:ilvl w:val="0"/>
          <w:numId w:val="1054"/>
        </w:numPr>
      </w:pPr>
      <w:r>
        <w:rPr>
          <w:b/>
          <w:bCs/>
        </w:rPr>
        <w:t xml:space="preserve">FAMOXYL</w:t>
      </w:r>
      <w:r>
        <w:t xml:space="preserve"> </w:t>
      </w:r>
      <w:r>
        <w:t xml:space="preserve">(THERACIA PRODUCTION) — Gélule 500 mg ; Poudre pour suspension buvable 125 mg/5 mL, 250 mg/5 mL, 500 mg/5 mL</w:t>
      </w:r>
    </w:p>
    <w:p>
      <w:pPr>
        <w:pStyle w:val="Compact"/>
        <w:numPr>
          <w:ilvl w:val="0"/>
          <w:numId w:val="1054"/>
        </w:numPr>
      </w:pPr>
      <w:r>
        <w:rPr>
          <w:b/>
          <w:bCs/>
        </w:rPr>
        <w:t xml:space="preserve">GRAMOX</w:t>
      </w:r>
      <w:r>
        <w:t xml:space="preserve"> </w:t>
      </w:r>
      <w:r>
        <w:t xml:space="preserve">(LAD) — Gélule 500 mg ; Poudre pour suspension buvable 250 mg/5 mL</w:t>
      </w:r>
    </w:p>
    <w:p>
      <w:pPr>
        <w:pStyle w:val="Compact"/>
        <w:numPr>
          <w:ilvl w:val="0"/>
          <w:numId w:val="1054"/>
        </w:numPr>
      </w:pPr>
      <w:r>
        <w:rPr>
          <w:b/>
          <w:bCs/>
        </w:rPr>
        <w:t xml:space="preserve">PENAMOX 500</w:t>
      </w:r>
      <w:r>
        <w:t xml:space="preserve"> </w:t>
      </w:r>
      <w:r>
        <w:t xml:space="preserve">(HIKMA PHARMA ALGERIA SARL) — Gélule 500 mg</w:t>
      </w:r>
    </w:p>
    <w:p>
      <w:pPr>
        <w:pStyle w:val="Compact"/>
        <w:numPr>
          <w:ilvl w:val="0"/>
          <w:numId w:val="1054"/>
        </w:numPr>
      </w:pPr>
      <w:r>
        <w:rPr>
          <w:b/>
          <w:bCs/>
        </w:rPr>
        <w:t xml:space="preserve">SAIFOXYL</w:t>
      </w:r>
      <w:r>
        <w:t xml:space="preserve"> </w:t>
      </w:r>
      <w:r>
        <w:t xml:space="preserve">(APU) — Comprimé sécable dispersible 500 mg ; Poudre pour suspension buvable 250 mg/5 mL</w:t>
      </w:r>
    </w:p>
    <w:p>
      <w:pPr>
        <w:pStyle w:val="FirstParagraph"/>
      </w:pPr>
      <w:r>
        <w:rPr>
          <w:b/>
          <w:bCs/>
        </w:rPr>
        <w:t xml:space="preserve">Spécialités Retirées du marché (R) :</w:t>
      </w:r>
    </w:p>
    <w:p>
      <w:pPr>
        <w:pStyle w:val="Compact"/>
        <w:numPr>
          <w:ilvl w:val="0"/>
          <w:numId w:val="1055"/>
        </w:numPr>
      </w:pPr>
      <w:r>
        <w:rPr>
          <w:b/>
          <w:bCs/>
        </w:rPr>
        <w:t xml:space="preserve">AGRAM (R)</w:t>
      </w:r>
      <w:r>
        <w:t xml:space="preserve"> </w:t>
      </w:r>
      <w:r>
        <w:t xml:space="preserve">(PIERRE FABRE) — Gélule 500 mg ; Poudre pour suspension buvable 125 mg/5 mL, 250 mg/5 mL</w:t>
      </w:r>
    </w:p>
    <w:p>
      <w:pPr>
        <w:pStyle w:val="Compact"/>
        <w:numPr>
          <w:ilvl w:val="0"/>
          <w:numId w:val="1055"/>
        </w:numPr>
      </w:pPr>
      <w:r>
        <w:rPr>
          <w:b/>
          <w:bCs/>
        </w:rPr>
        <w:t xml:space="preserve">ALPHAMOX (R)</w:t>
      </w:r>
      <w:r>
        <w:t xml:space="preserve"> </w:t>
      </w:r>
      <w:r>
        <w:t xml:space="preserve">(MEDICUBA) — Gélule 500 mg</w:t>
      </w:r>
    </w:p>
    <w:p>
      <w:pPr>
        <w:pStyle w:val="Compact"/>
        <w:numPr>
          <w:ilvl w:val="0"/>
          <w:numId w:val="1055"/>
        </w:numPr>
      </w:pPr>
      <w:r>
        <w:rPr>
          <w:b/>
          <w:bCs/>
        </w:rPr>
        <w:t xml:space="preserve">AMMOXYL (R)</w:t>
      </w:r>
      <w:r>
        <w:t xml:space="preserve"> </w:t>
      </w:r>
      <w:r>
        <w:t xml:space="preserve">(ALGERIAN PHARMACEUTICS UNION — APU) — Comprimé dispersible 500 mg, 1 g</w:t>
      </w:r>
    </w:p>
    <w:p>
      <w:pPr>
        <w:pStyle w:val="Compact"/>
        <w:numPr>
          <w:ilvl w:val="0"/>
          <w:numId w:val="1055"/>
        </w:numPr>
      </w:pPr>
      <w:r>
        <w:rPr>
          <w:b/>
          <w:bCs/>
        </w:rPr>
        <w:t xml:space="preserve">AMODEX (R)</w:t>
      </w:r>
      <w:r>
        <w:t xml:space="preserve"> </w:t>
      </w:r>
      <w:r>
        <w:t xml:space="preserve">(SYNTHELABO) — Gélule 500 mg ; Poudre sirop 250 mg/5 mL</w:t>
      </w:r>
    </w:p>
    <w:p>
      <w:pPr>
        <w:pStyle w:val="Compact"/>
        <w:numPr>
          <w:ilvl w:val="0"/>
          <w:numId w:val="1055"/>
        </w:numPr>
      </w:pPr>
      <w:r>
        <w:rPr>
          <w:b/>
          <w:bCs/>
        </w:rPr>
        <w:t xml:space="preserve">AMOXAL (R)</w:t>
      </w:r>
      <w:r>
        <w:t xml:space="preserve"> </w:t>
      </w:r>
      <w:r>
        <w:t xml:space="preserve">(SOPHAL) — Comprimé dispersible 1 g ; Gélule 500 mg ; Poudre pour solution injectable 200 mg/mL ; Poudre pour solution buvable 125 mg/5 mL, 250 mg/5 mL, 500 mg/5 mL</w:t>
      </w:r>
    </w:p>
    <w:p>
      <w:pPr>
        <w:pStyle w:val="Compact"/>
        <w:numPr>
          <w:ilvl w:val="0"/>
          <w:numId w:val="1055"/>
        </w:numPr>
      </w:pPr>
      <w:r>
        <w:rPr>
          <w:b/>
          <w:bCs/>
        </w:rPr>
        <w:t xml:space="preserve">AMOXI-GOBENS (R)</w:t>
      </w:r>
      <w:r>
        <w:t xml:space="preserve"> </w:t>
      </w:r>
      <w:r>
        <w:t xml:space="preserve">(NORMON S.A) — Gélule 500 mg ; Poudre pour suspension buvable 250 mg/5 mL</w:t>
      </w:r>
    </w:p>
    <w:p>
      <w:pPr>
        <w:pStyle w:val="Compact"/>
        <w:numPr>
          <w:ilvl w:val="0"/>
          <w:numId w:val="1055"/>
        </w:numPr>
      </w:pPr>
      <w:r>
        <w:rPr>
          <w:b/>
          <w:bCs/>
        </w:rPr>
        <w:t xml:space="preserve">AMOXICILLINE - BAYER (R)</w:t>
      </w:r>
      <w:r>
        <w:t xml:space="preserve"> </w:t>
      </w:r>
      <w:r>
        <w:t xml:space="preserve">(BAYER CLASSICS) — Poudre pour suspension buvable 250 mg/5 mL</w:t>
      </w:r>
    </w:p>
    <w:p>
      <w:pPr>
        <w:pStyle w:val="Compact"/>
        <w:numPr>
          <w:ilvl w:val="0"/>
          <w:numId w:val="1055"/>
        </w:numPr>
      </w:pPr>
      <w:r>
        <w:rPr>
          <w:b/>
          <w:bCs/>
        </w:rPr>
        <w:t xml:space="preserve">AMOXICILLINE - SOLVAY (R)</w:t>
      </w:r>
      <w:r>
        <w:t xml:space="preserve"> </w:t>
      </w:r>
      <w:r>
        <w:t xml:space="preserve">(SOLVAY PHARMA) — Poudre pour solution injectable 500 mg, 1 g</w:t>
      </w:r>
    </w:p>
    <w:p>
      <w:pPr>
        <w:pStyle w:val="Compact"/>
        <w:numPr>
          <w:ilvl w:val="0"/>
          <w:numId w:val="1055"/>
        </w:numPr>
      </w:pPr>
      <w:r>
        <w:rPr>
          <w:b/>
          <w:bCs/>
        </w:rPr>
        <w:t xml:space="preserve">AMOXICILLINE BIOGARAN (R)</w:t>
      </w:r>
      <w:r>
        <w:t xml:space="preserve"> </w:t>
      </w:r>
      <w:r>
        <w:t xml:space="preserve">(BIOGARAN) — Gélule 500 mg ; Poudre pour solution buvable 1 g</w:t>
      </w:r>
    </w:p>
    <w:p>
      <w:pPr>
        <w:pStyle w:val="Compact"/>
        <w:numPr>
          <w:ilvl w:val="0"/>
          <w:numId w:val="1055"/>
        </w:numPr>
      </w:pPr>
      <w:r>
        <w:rPr>
          <w:b/>
          <w:bCs/>
        </w:rPr>
        <w:t xml:space="preserve">AMOXICILLINE FLAVELAB (R)</w:t>
      </w:r>
      <w:r>
        <w:t xml:space="preserve"> </w:t>
      </w:r>
      <w:r>
        <w:t xml:space="preserve">(FLAVELAB) — Poudre pour solution injectable 500 mg, 1 g</w:t>
      </w:r>
    </w:p>
    <w:p>
      <w:pPr>
        <w:pStyle w:val="Compact"/>
        <w:numPr>
          <w:ilvl w:val="0"/>
          <w:numId w:val="1055"/>
        </w:numPr>
      </w:pPr>
      <w:r>
        <w:rPr>
          <w:b/>
          <w:bCs/>
        </w:rPr>
        <w:t xml:space="preserve">AMOXICILLINE KELA (R)</w:t>
      </w:r>
      <w:r>
        <w:t xml:space="preserve"> </w:t>
      </w:r>
      <w:r>
        <w:t xml:space="preserve">(TOPGEN E.S.V.) — Gélule 500 mg</w:t>
      </w:r>
    </w:p>
    <w:p>
      <w:pPr>
        <w:pStyle w:val="Compact"/>
        <w:numPr>
          <w:ilvl w:val="0"/>
          <w:numId w:val="1055"/>
        </w:numPr>
      </w:pPr>
      <w:r>
        <w:rPr>
          <w:b/>
          <w:bCs/>
        </w:rPr>
        <w:t xml:space="preserve">AMOXICILLINE PANPHARMA (R)</w:t>
      </w:r>
      <w:r>
        <w:t xml:space="preserve"> </w:t>
      </w:r>
      <w:r>
        <w:t xml:space="preserve">(PANPHARMA) — Poudre pour solution injectable 500 mg, 1 g/5 mL IM</w:t>
      </w:r>
    </w:p>
    <w:p>
      <w:pPr>
        <w:pStyle w:val="Compact"/>
        <w:numPr>
          <w:ilvl w:val="0"/>
          <w:numId w:val="1055"/>
        </w:numPr>
      </w:pPr>
      <w:r>
        <w:rPr>
          <w:b/>
          <w:bCs/>
        </w:rPr>
        <w:t xml:space="preserve">AMOXICILLINE-RATIOPHARM (R)</w:t>
      </w:r>
      <w:r>
        <w:t xml:space="preserve"> </w:t>
      </w:r>
      <w:r>
        <w:t xml:space="preserve">(LAFON RATIOPHARM) — Gélule 500 mg ; Suspension buvable 125 mg/5 mL, 250 mg/5 mL</w:t>
      </w:r>
    </w:p>
    <w:p>
      <w:pPr>
        <w:pStyle w:val="Compact"/>
        <w:numPr>
          <w:ilvl w:val="0"/>
          <w:numId w:val="1055"/>
        </w:numPr>
      </w:pPr>
      <w:r>
        <w:rPr>
          <w:b/>
          <w:bCs/>
        </w:rPr>
        <w:t xml:space="preserve">AMOXYDAR (R)</w:t>
      </w:r>
      <w:r>
        <w:t xml:space="preserve"> </w:t>
      </w:r>
      <w:r>
        <w:t xml:space="preserve">(DAR AL DAWA) — Comprimé enrobé 1 g ; Gélule 250 mg ; Suspension buvable 125 mg/5 mL</w:t>
      </w:r>
    </w:p>
    <w:p>
      <w:pPr>
        <w:pStyle w:val="Compact"/>
        <w:numPr>
          <w:ilvl w:val="0"/>
          <w:numId w:val="1055"/>
        </w:numPr>
      </w:pPr>
      <w:r>
        <w:rPr>
          <w:b/>
          <w:bCs/>
        </w:rPr>
        <w:t xml:space="preserve">AMOXYDAR FORTE (R)</w:t>
      </w:r>
      <w:r>
        <w:t xml:space="preserve"> </w:t>
      </w:r>
      <w:r>
        <w:t xml:space="preserve">(DAR AL DAWA) — Gélule 500 mg ; Suspension buvable 250 mg/5 mL</w:t>
      </w:r>
    </w:p>
    <w:p>
      <w:pPr>
        <w:pStyle w:val="Compact"/>
        <w:numPr>
          <w:ilvl w:val="0"/>
          <w:numId w:val="1055"/>
        </w:numPr>
      </w:pPr>
      <w:r>
        <w:rPr>
          <w:b/>
          <w:bCs/>
        </w:rPr>
        <w:t xml:space="preserve">ARDINE (R)</w:t>
      </w:r>
      <w:r>
        <w:t xml:space="preserve"> </w:t>
      </w:r>
      <w:r>
        <w:t xml:space="preserve">(PHARMACIA UPJOHN) — Gélule 250 mg, 500 mg ; Suspension buvable 125 mg/5 mL, 250 mg/5 mL</w:t>
      </w:r>
    </w:p>
    <w:p>
      <w:pPr>
        <w:pStyle w:val="Compact"/>
        <w:numPr>
          <w:ilvl w:val="0"/>
          <w:numId w:val="1055"/>
        </w:numPr>
      </w:pPr>
      <w:r>
        <w:rPr>
          <w:b/>
          <w:bCs/>
        </w:rPr>
        <w:t xml:space="preserve">BIAMOX (R)</w:t>
      </w:r>
      <w:r>
        <w:t xml:space="preserve"> </w:t>
      </w:r>
      <w:r>
        <w:t xml:space="preserve">(EL KENDI) — Poudre pour solution injectable IM/IV 500 mg/5 mL, 1 g/flacon</w:t>
      </w:r>
    </w:p>
    <w:p>
      <w:pPr>
        <w:pStyle w:val="Compact"/>
        <w:numPr>
          <w:ilvl w:val="0"/>
          <w:numId w:val="1055"/>
        </w:numPr>
      </w:pPr>
      <w:r>
        <w:rPr>
          <w:b/>
          <w:bCs/>
        </w:rPr>
        <w:t xml:space="preserve">BRISTAMOX - HICONCIL (R)</w:t>
      </w:r>
      <w:r>
        <w:t xml:space="preserve"> </w:t>
      </w:r>
      <w:r>
        <w:t xml:space="preserve">(BRISTOL MYERS SQUIBB) — Gélule 500 mg ; Poudre sirop 125 mg/5 mL, 250 mg/5 mL</w:t>
      </w:r>
    </w:p>
    <w:p>
      <w:pPr>
        <w:pStyle w:val="Compact"/>
        <w:numPr>
          <w:ilvl w:val="0"/>
          <w:numId w:val="1055"/>
        </w:numPr>
      </w:pPr>
      <w:r>
        <w:rPr>
          <w:b/>
          <w:bCs/>
        </w:rPr>
        <w:t xml:space="preserve">CLAMOX (R)</w:t>
      </w:r>
      <w:r>
        <w:t xml:space="preserve"> </w:t>
      </w:r>
      <w:r>
        <w:t xml:space="preserve">(ALPHARM SPA) — Gélule 500 mg</w:t>
      </w:r>
    </w:p>
    <w:p>
      <w:pPr>
        <w:pStyle w:val="Compact"/>
        <w:numPr>
          <w:ilvl w:val="0"/>
          <w:numId w:val="1055"/>
        </w:numPr>
      </w:pPr>
      <w:r>
        <w:rPr>
          <w:b/>
          <w:bCs/>
        </w:rPr>
        <w:t xml:space="preserve">EMOX (R)</w:t>
      </w:r>
      <w:r>
        <w:t xml:space="preserve"> </w:t>
      </w:r>
      <w:r>
        <w:t xml:space="preserve">(EIPICO) — Poudre pour suspension buvable 250 mg/5 mL</w:t>
      </w:r>
    </w:p>
    <w:p>
      <w:pPr>
        <w:pStyle w:val="Compact"/>
        <w:numPr>
          <w:ilvl w:val="0"/>
          <w:numId w:val="1055"/>
        </w:numPr>
      </w:pPr>
      <w:r>
        <w:rPr>
          <w:b/>
          <w:bCs/>
        </w:rPr>
        <w:t xml:space="preserve">FARCONCIL (R)</w:t>
      </w:r>
      <w:r>
        <w:t xml:space="preserve"> </w:t>
      </w:r>
      <w:r>
        <w:t xml:space="preserve">(PHARCO EGYPTE) — Poudre pour suspension buvable 125 mg/5 mL</w:t>
      </w:r>
    </w:p>
    <w:p>
      <w:pPr>
        <w:pStyle w:val="Compact"/>
        <w:numPr>
          <w:ilvl w:val="0"/>
          <w:numId w:val="1055"/>
        </w:numPr>
      </w:pPr>
      <w:r>
        <w:rPr>
          <w:b/>
          <w:bCs/>
        </w:rPr>
        <w:t xml:space="preserve">GRAMIDIL (R)</w:t>
      </w:r>
      <w:r>
        <w:t xml:space="preserve"> </w:t>
      </w:r>
      <w:r>
        <w:t xml:space="preserve">(LEURQUIN MEDIOLANUM) — Gélule 500 mg ; Poudre pour suspension buvable 125 mg/5 mL, 250 mg/5 mL, 500 mg/5 mL</w:t>
      </w:r>
    </w:p>
    <w:p>
      <w:pPr>
        <w:pStyle w:val="Compact"/>
        <w:numPr>
          <w:ilvl w:val="0"/>
          <w:numId w:val="1055"/>
        </w:numPr>
      </w:pPr>
      <w:r>
        <w:rPr>
          <w:b/>
          <w:bCs/>
        </w:rPr>
        <w:t xml:space="preserve">HYMOX (R)</w:t>
      </w:r>
      <w:r>
        <w:t xml:space="preserve"> </w:t>
      </w:r>
      <w:r>
        <w:t xml:space="preserve">(SPIMACO) — Gélule 250 mg, 500 mg ; Poudre pour suspension buvable 125 mg/5 mL, 250 mg/5 mL</w:t>
      </w:r>
    </w:p>
    <w:p>
      <w:pPr>
        <w:pStyle w:val="Compact"/>
        <w:numPr>
          <w:ilvl w:val="0"/>
          <w:numId w:val="1055"/>
        </w:numPr>
      </w:pPr>
      <w:r>
        <w:rPr>
          <w:b/>
          <w:bCs/>
        </w:rPr>
        <w:t xml:space="preserve">INPHAMOX (R)</w:t>
      </w:r>
      <w:r>
        <w:t xml:space="preserve"> </w:t>
      </w:r>
      <w:r>
        <w:t xml:space="preserve">(INPHA SPA) — Comprimé 1 g</w:t>
      </w:r>
    </w:p>
    <w:p>
      <w:pPr>
        <w:pStyle w:val="Compact"/>
        <w:numPr>
          <w:ilvl w:val="0"/>
          <w:numId w:val="1055"/>
        </w:numPr>
      </w:pPr>
      <w:r>
        <w:rPr>
          <w:b/>
          <w:bCs/>
        </w:rPr>
        <w:t xml:space="preserve">LAMBERIN (R)</w:t>
      </w:r>
      <w:r>
        <w:t xml:space="preserve"> </w:t>
      </w:r>
      <w:r>
        <w:t xml:space="preserve">(ANFARM HELLAS SA) — Gélule 500 mg ; Suspension buvable 250 mg/5 mL</w:t>
      </w:r>
    </w:p>
    <w:p>
      <w:pPr>
        <w:pStyle w:val="Compact"/>
        <w:numPr>
          <w:ilvl w:val="0"/>
          <w:numId w:val="1055"/>
        </w:numPr>
      </w:pPr>
      <w:r>
        <w:rPr>
          <w:b/>
          <w:bCs/>
        </w:rPr>
        <w:t xml:space="preserve">LISAMOX (R)</w:t>
      </w:r>
      <w:r>
        <w:t xml:space="preserve"> </w:t>
      </w:r>
      <w:r>
        <w:t xml:space="preserve">(LISAPHARMA) — Poudre pour solution injectable 500 mg, 1 g</w:t>
      </w:r>
    </w:p>
    <w:p>
      <w:pPr>
        <w:pStyle w:val="Compact"/>
        <w:numPr>
          <w:ilvl w:val="0"/>
          <w:numId w:val="1055"/>
        </w:numPr>
      </w:pPr>
      <w:r>
        <w:rPr>
          <w:b/>
          <w:bCs/>
        </w:rPr>
        <w:t xml:space="preserve">MOXILEN (R)</w:t>
      </w:r>
      <w:r>
        <w:t xml:space="preserve"> </w:t>
      </w:r>
      <w:r>
        <w:t xml:space="preserve">(MEDOCHEMIE LTD) — Gélule 250 mg, 500 mg ; Poudre pour solution injectable 1 g</w:t>
      </w:r>
    </w:p>
    <w:p>
      <w:pPr>
        <w:pStyle w:val="Compact"/>
        <w:numPr>
          <w:ilvl w:val="0"/>
          <w:numId w:val="1055"/>
        </w:numPr>
      </w:pPr>
      <w:r>
        <w:rPr>
          <w:b/>
          <w:bCs/>
        </w:rPr>
        <w:t xml:space="preserve">NEOMOX (R)</w:t>
      </w:r>
      <w:r>
        <w:t xml:space="preserve"> </w:t>
      </w:r>
      <w:r>
        <w:t xml:space="preserve">(GALENICA) — Gélule 250 mg, 500 mg ; Suspension buvable 250 mg/5 mL</w:t>
      </w:r>
    </w:p>
    <w:p>
      <w:pPr>
        <w:pStyle w:val="Compact"/>
        <w:numPr>
          <w:ilvl w:val="0"/>
          <w:numId w:val="1055"/>
        </w:numPr>
      </w:pPr>
      <w:r>
        <w:rPr>
          <w:b/>
          <w:bCs/>
        </w:rPr>
        <w:t xml:space="preserve">NOVOXYL (R)</w:t>
      </w:r>
      <w:r>
        <w:t xml:space="preserve"> </w:t>
      </w:r>
      <w:r>
        <w:t xml:space="preserve">(BIOVITAL Sarl) — Comprimé dispersible 250 mg</w:t>
      </w:r>
    </w:p>
    <w:p>
      <w:pPr>
        <w:pStyle w:val="Compact"/>
        <w:numPr>
          <w:ilvl w:val="0"/>
          <w:numId w:val="1055"/>
        </w:numPr>
      </w:pPr>
      <w:r>
        <w:rPr>
          <w:b/>
          <w:bCs/>
        </w:rPr>
        <w:t xml:space="preserve">OSPAMOX (R)</w:t>
      </w:r>
      <w:r>
        <w:t xml:space="preserve"> </w:t>
      </w:r>
      <w:r>
        <w:t xml:space="preserve">(BIOCHEMIE GmbH / SANDOZ) — Comprimé 1 g ; Comprimé dispersible 1 g ; Gélule 250 mg, 500 mg ; Granulés pour suspension buvable 125 mg/5 mL, 250 mg/5 mL</w:t>
      </w:r>
    </w:p>
    <w:p>
      <w:pPr>
        <w:pStyle w:val="Compact"/>
        <w:numPr>
          <w:ilvl w:val="0"/>
          <w:numId w:val="1055"/>
        </w:numPr>
      </w:pPr>
      <w:r>
        <w:rPr>
          <w:b/>
          <w:bCs/>
        </w:rPr>
        <w:t xml:space="preserve">PAN-AMOXICILLINE (R)</w:t>
      </w:r>
      <w:r>
        <w:t xml:space="preserve"> </w:t>
      </w:r>
      <w:r>
        <w:t xml:space="preserve">(PANPHARMA) — Gélule 500 mg ; Poudre pour suspension buvable 250 mg/5 mL</w:t>
      </w:r>
    </w:p>
    <w:p>
      <w:pPr>
        <w:pStyle w:val="Compact"/>
        <w:numPr>
          <w:ilvl w:val="0"/>
          <w:numId w:val="1055"/>
        </w:numPr>
      </w:pPr>
      <w:r>
        <w:rPr>
          <w:b/>
          <w:bCs/>
        </w:rPr>
        <w:t xml:space="preserve">PENACIN (R)</w:t>
      </w:r>
      <w:r>
        <w:t xml:space="preserve"> </w:t>
      </w:r>
      <w:r>
        <w:t xml:space="preserve">(JAZEERA) — Gélule 250 mg, 500 mg ; Poudre pour suspension buvable 125 mg/5 mL, 250 mg/5 mL</w:t>
      </w:r>
    </w:p>
    <w:p>
      <w:pPr>
        <w:pStyle w:val="Compact"/>
        <w:numPr>
          <w:ilvl w:val="0"/>
          <w:numId w:val="1055"/>
        </w:numPr>
      </w:pPr>
      <w:r>
        <w:rPr>
          <w:b/>
          <w:bCs/>
        </w:rPr>
        <w:t xml:space="preserve">PHAMOX (R)</w:t>
      </w:r>
      <w:r>
        <w:t xml:space="preserve"> </w:t>
      </w:r>
      <w:r>
        <w:t xml:space="preserve">(PHARMA 5) — Gélule 500 mg</w:t>
      </w:r>
    </w:p>
    <w:p>
      <w:pPr>
        <w:pStyle w:val="Compact"/>
        <w:numPr>
          <w:ilvl w:val="0"/>
          <w:numId w:val="1055"/>
        </w:numPr>
      </w:pPr>
      <w:r>
        <w:rPr>
          <w:b/>
          <w:bCs/>
        </w:rPr>
        <w:t xml:space="preserve">SUPRAMOXYL (R)</w:t>
      </w:r>
      <w:r>
        <w:t xml:space="preserve"> </w:t>
      </w:r>
      <w:r>
        <w:t xml:space="preserve">(ATABAY) — Poudre pour suspension buvable 250 mg/5 mL</w:t>
      </w:r>
    </w:p>
    <w:p>
      <w:pPr>
        <w:pStyle w:val="Compact"/>
        <w:numPr>
          <w:ilvl w:val="0"/>
          <w:numId w:val="1055"/>
        </w:numPr>
      </w:pPr>
      <w:r>
        <w:rPr>
          <w:b/>
          <w:bCs/>
        </w:rPr>
        <w:t xml:space="preserve">ULTRAMOX (R)</w:t>
      </w:r>
      <w:r>
        <w:t xml:space="preserve"> </w:t>
      </w:r>
      <w:r>
        <w:t xml:space="preserve">(ARAB PHARMACEUTICAL MANUFACTURING) — Gélule 500 mg ; Poudre pour suspension buvable 250 mg/5 mL</w:t>
      </w:r>
    </w:p>
    <w:p>
      <w:pPr>
        <w:pStyle w:val="Compact"/>
        <w:numPr>
          <w:ilvl w:val="0"/>
          <w:numId w:val="1055"/>
        </w:numPr>
      </w:pPr>
      <w:r>
        <w:rPr>
          <w:b/>
          <w:bCs/>
        </w:rPr>
        <w:t xml:space="preserve">ZAMOCILLINE (R)</w:t>
      </w:r>
      <w:r>
        <w:t xml:space="preserve"> </w:t>
      </w:r>
      <w:r>
        <w:t xml:space="preserve">(ZAMBON) — Gélule 500 mg</w:t>
      </w:r>
    </w:p>
    <w:p>
      <w:pPr>
        <w:pStyle w:val="FirstParagraph"/>
      </w:pPr>
      <w:r>
        <w:rPr>
          <w:b/>
          <w:bCs/>
        </w:rPr>
        <w:t xml:space="preserve">Sous-classe et Mécanisme d’action :</w:t>
      </w:r>
      <w:r>
        <w:t xml:space="preserve"> </w:t>
      </w:r>
      <w:r>
        <w:t xml:space="preserve">- Sous-classe : Aminopénicilline (pénicilline A), sous-groupe des bêta-lactamines. DCI la plus prescrite au monde, inscrite sur la liste OMS des médicaments essentiels (critère « Access » — Watch pour les associations).</w:t>
      </w:r>
      <w:r>
        <w:t xml:space="preserve"> </w:t>
      </w:r>
      <w:r>
        <w:t xml:space="preserve">- Mécanisme d’action : Bactéricide temps-dépendant. Fixation covalente sur les PBP (principalement PBP3 chez les Gram négatif, PBP1 et PBP2 chez les Gram positif), inhibition de la transpeptidation, activation des autolysines bactériennes (N-acétylmuramyl-L-alanine amidase), lyse osmotique. L’amoxicilline est inactivée par les bêta-lactamases staphylococciques (pénicillinases), par les bêta-lactamases à spectre élargi (BLSE) et les AmpC des entérobactéries, par les bêta-lactamases à spectre étendu d’</w:t>
      </w:r>
      <w:r>
        <w:rPr>
          <w:i/>
          <w:iCs/>
        </w:rPr>
        <w:t xml:space="preserve">Haemophilus</w:t>
      </w:r>
      <w:r>
        <w:t xml:space="preserve"> </w:t>
      </w:r>
      <w:r>
        <w:t xml:space="preserve">et de</w:t>
      </w:r>
      <w:r>
        <w:t xml:space="preserve"> </w:t>
      </w:r>
      <w:r>
        <w:rPr>
          <w:i/>
          <w:iCs/>
        </w:rPr>
        <w:t xml:space="preserve">Moraxella</w:t>
      </w:r>
      <w:r>
        <w:t xml:space="preserve">.</w:t>
      </w:r>
    </w:p>
    <w:p>
      <w:pPr>
        <w:pStyle w:val="BodyText"/>
      </w:pPr>
      <w:r>
        <w:rPr>
          <w:b/>
          <w:bCs/>
        </w:rPr>
        <w:t xml:space="preserve">Profil Pharmacologique :</w:t>
      </w:r>
      <w:r>
        <w:t xml:space="preserve"> </w:t>
      </w:r>
      <w:r>
        <w:t xml:space="preserve">- Indications : Angine à streptocoque bêta-hémolytique A (1re intention sauf allergie) ; otite moyenne aiguë (1re intention chez l’enfant) ; sinusite bactérienne ; pneumonie aiguë communautaire (1re intention, souvent en association à macrolide si suspicion de Légionellose) ; bronchite aiguë ; exacerbation de BPCO ; infection urinaire non compliquée à</w:t>
      </w:r>
      <w:r>
        <w:t xml:space="preserve"> </w:t>
      </w:r>
      <w:r>
        <w:rPr>
          <w:i/>
          <w:iCs/>
        </w:rPr>
        <w:t xml:space="preserve">E. coli</w:t>
      </w:r>
      <w:r>
        <w:t xml:space="preserve"> </w:t>
      </w:r>
      <w:r>
        <w:t xml:space="preserve">sensible (alternative au cotrimoxazole) ; infection urinaire gravidique ; listériose (en association à gentamicine) ; maladie de Lyme (stade primaire) ; endocardite à streptocoque oral (prophylaxie et traitement) ; infection à</w:t>
      </w:r>
      <w:r>
        <w:t xml:space="preserve"> </w:t>
      </w:r>
      <w:r>
        <w:rPr>
          <w:i/>
          <w:iCs/>
        </w:rPr>
        <w:t xml:space="preserve">Salmonella</w:t>
      </w:r>
      <w:r>
        <w:t xml:space="preserve"> </w:t>
      </w:r>
      <w:r>
        <w:t xml:space="preserve">non typhoïdique ; infection à</w:t>
      </w:r>
      <w:r>
        <w:t xml:space="preserve"> </w:t>
      </w:r>
      <w:r>
        <w:rPr>
          <w:i/>
          <w:iCs/>
        </w:rPr>
        <w:t xml:space="preserve">Helicobacter pylori</w:t>
      </w:r>
      <w:r>
        <w:t xml:space="preserve"> </w:t>
      </w:r>
      <w:r>
        <w:t xml:space="preserve">(trithérapie avec clarithromycine et IPP) ; prophylaxie de l’endocardite infectieuse (amoxicilline 2 g per os 1 h avant le geste) ; infection dentaire (caries, abcès) ; prophylaxie post-morsure.</w:t>
      </w:r>
      <w:r>
        <w:t xml:space="preserve"> </w:t>
      </w:r>
      <w:r>
        <w:t xml:space="preserve">- Contre-indications : Allergie aux bêta-lactamines (CI absolue), antécédent d’ictère cholestatique ou de maladie sérique aux pénicillines ; mononucléose infectieuse (risque majeur d’éruption maculo-papuleuse, 70–90 % des cas, non allergique — due à l’activation polyclonale des lymphocytes B par le virus EBV et la formation d’anticorps anti-amoxicilline) ; leucémie lymphoïde chronique ; infection à CMV ; traitement concomitant par allopurinol (risque de rash majoré de 3 à 5 fois).</w:t>
      </w:r>
      <w:r>
        <w:t xml:space="preserve"> </w:t>
      </w:r>
      <w:r>
        <w:t xml:space="preserve">- Effets Indésirables : Éruption cutanée (5–10 %, le plus souvent bénigne maculo-papuleuse, mais 70–90 % si mononucléose — non allergique), urticaire, œdème de Quincke, anaphylaxie (0,05 %), troubles digestifs (nausées 2–5 %, vomissements 1–3 %, diarrhée 5–15 %, candidose digestive 1–3 %), colite à</w:t>
      </w:r>
      <w:r>
        <w:t xml:space="preserve"> </w:t>
      </w:r>
      <w:r>
        <w:rPr>
          <w:i/>
          <w:iCs/>
        </w:rPr>
        <w:t xml:space="preserve">Clostridioides difficile</w:t>
      </w:r>
      <w:r>
        <w:t xml:space="preserve"> </w:t>
      </w:r>
      <w:r>
        <w:t xml:space="preserve">(0,1–1 %), hépatite cytolytique ou cholestatique (rare, plus fréquente avec l’association acide clavulanique), néphrite interstitielle (rare, 0,01 %), anémie hémolytique immune (rare), thrombopénie, leucopénie, éosinophilie, convulsions à fortes doses (si insuffisance rénale), coloration des dents (sans réel risque d’hypoplasie de l’émail contrairement aux tétracyclines).</w:t>
      </w:r>
    </w:p>
    <w:p>
      <w:pPr>
        <w:pStyle w:val="BodyText"/>
      </w:pPr>
      <w:r>
        <w:rPr>
          <w:b/>
          <w:bCs/>
        </w:rPr>
        <w:t xml:space="preserve">Prévention et Gestion des Effets Indésirables :</w:t>
      </w:r>
      <w:r>
        <w:t xml:space="preserve"> </w:t>
      </w:r>
      <w:r>
        <w:t xml:space="preserve">- Mesures Préventives (Pharmacien &amp; Patient) : Recherche systématique de la mononucléose infectieuse avant prescription (interrogatoire sur asthénie, angine, adénopathies cervicales) ; prise pendant ou après le repas pour réduire la tolérance digestive ; hydratation ≥ 1,5 L/jour ; prescription de probiotiques type</w:t>
      </w:r>
      <w:r>
        <w:t xml:space="preserve"> </w:t>
      </w:r>
      <w:r>
        <w:rPr>
          <w:i/>
          <w:iCs/>
        </w:rPr>
        <w:t xml:space="preserve">Saccharomyces boulardii</w:t>
      </w:r>
      <w:r>
        <w:t xml:space="preserve"> </w:t>
      </w:r>
      <w:r>
        <w:t xml:space="preserve">(Ultralevure) à 200 mg/j ou</w:t>
      </w:r>
      <w:r>
        <w:t xml:space="preserve"> </w:t>
      </w:r>
      <w:r>
        <w:rPr>
          <w:i/>
          <w:iCs/>
        </w:rPr>
        <w:t xml:space="preserve">Lactobacillus rhamnosus GG</w:t>
      </w:r>
      <w:r>
        <w:t xml:space="preserve"> </w:t>
      </w:r>
      <w:r>
        <w:t xml:space="preserve">en cas d’antécédent de diarrhée post-antibiotique ; adaptation posologique si clairance créatinine &lt; 30 mL/min (max 500 mg × 2/j). Pour la forme IM : lidocaïne 1 % comme solvant pour réduire la douleur (voir AMOXYPEN).</w:t>
      </w:r>
      <w:r>
        <w:t xml:space="preserve"> </w:t>
      </w:r>
      <w:r>
        <w:t xml:space="preserve">- Conduite à Tenir : En cas de rash simple : arrêt et consultation médicale pour réévaluation (le rash de mononucléose est non allergique mais impose l’arrêt définitif de l’amoxicilline). En cas d’urticaire généralisée, bronchospasme, hypotension : arrêt immédiat, adrénaline IM 0,5 mg, antihistaminique, corticothérapie IV, SAMU. En cas de diarrhée sanglante, fièvre, douleurs abdominales : suspicion de</w:t>
      </w:r>
      <w:r>
        <w:t xml:space="preserve"> </w:t>
      </w:r>
      <w:r>
        <w:rPr>
          <w:i/>
          <w:iCs/>
        </w:rPr>
        <w:t xml:space="preserve">C. difficile</w:t>
      </w:r>
      <w:r>
        <w:t xml:space="preserve"> </w:t>
      </w:r>
      <w:r>
        <w:t xml:space="preserve">— arrêt, recherche toxine A/B dans les selles, métronidazole 500 mg × 3/j per os × 10 jours ou vancomycine orale 125 mg × 4/j. En cas d’ictère : arrêt et bilan hépatique.</w:t>
      </w:r>
    </w:p>
    <w:p>
      <w:pPr>
        <w:pStyle w:val="BodyText"/>
      </w:pPr>
      <w:r>
        <w:rPr>
          <w:b/>
          <w:bCs/>
        </w:rPr>
        <w:t xml:space="preserve">Interactions Importantes :</w:t>
      </w:r>
      <w:r>
        <w:t xml:space="preserve"> </w:t>
      </w:r>
      <w:r>
        <w:t xml:space="preserve">- Allopurinol : Multiplication par 3 du risque d’éruption cutanée (potentialisation du métabolisme immuno-allergique).</w:t>
      </w:r>
      <w:r>
        <w:t xml:space="preserve"> </w:t>
      </w:r>
      <w:r>
        <w:t xml:space="preserve">- Méthotrexate : Diminution de l’excrétion tubulaire rénale du méthotrexate par compétition OAT, augmentant la toxicité médullaire et hépatique — surveillance étroite, voire contre-indication.</w:t>
      </w:r>
      <w:r>
        <w:t xml:space="preserve"> </w:t>
      </w:r>
      <w:r>
        <w:t xml:space="preserve">- Anticoagulants oraux (AVK — warfarine, acénocoumarol) : Augmentation de l’INR par modification de la flore intestinale productrice de vitamine K, hémorragie possible — surveillance INR et adaptation posologique.</w:t>
      </w:r>
      <w:r>
        <w:t xml:space="preserve"> </w:t>
      </w:r>
      <w:r>
        <w:t xml:space="preserve">- Contraceptifs oraux estroprogestatifs : Baisse d’efficacité théorique (modification de la flore intestinale réduisant le cycle entérohépatique des estrogènes) — méthode complémentaire (préservatif) pendant le traitement et 7 jours après (recommandation ANSM).</w:t>
      </w:r>
      <w:r>
        <w:t xml:space="preserve"> </w:t>
      </w:r>
      <w:r>
        <w:t xml:space="preserve">- Probenécide : Augmente les concentrations plasmatiques d’amoxicilline de 50–100 % en bloquant la sécrétion tubulaire OAT — utilisé pour potentialiser.</w:t>
      </w:r>
      <w:r>
        <w:t xml:space="preserve"> </w:t>
      </w:r>
      <w:r>
        <w:t xml:space="preserve">- Mycophénolate mofétil : Diminution de la concentration du métabolite actif (MPA) par interruption du cycle entérohépatique — surveillance clinique.</w:t>
      </w:r>
    </w:p>
    <w:p>
      <w:pPr>
        <w:pStyle w:val="BodyText"/>
      </w:pPr>
      <w:r>
        <w:rPr>
          <w:b/>
          <w:bCs/>
        </w:rPr>
        <w:t xml:space="preserve">Grossesse et Allaitement :</w:t>
      </w:r>
      <w:r>
        <w:t xml:space="preserve"> </w:t>
      </w:r>
      <w:r>
        <w:t xml:space="preserve">- Grossesse : Indiqué. L’amoxicilline est l’antibiotique de référence au cours de la grossesse (CRAT : « données humaines nombreuses rassurantes, non tératogène »). Premier choix pour infection urinaire gravidique, angine, listériose gravidique, prophylaxie de l’endocardite au cours du travail.</w:t>
      </w:r>
      <w:r>
        <w:t xml:space="preserve"> </w:t>
      </w:r>
      <w:r>
        <w:t xml:space="preserve">- Allaitement : Indiqué. Passage faible dans le lait (rapport lait/plasma 0,05–0,1), sans toxicité pour le nouveau-né. Risque théorique de diarrhée, candidose, sensibilisation — surveillance des selles de l’enfant allaité.</w:t>
      </w:r>
      <w:r>
        <w:t xml:space="preserve"> </w:t>
      </w:r>
      <w:r>
        <w:t xml:space="preserve">- Précisions : L’amoxicilline est l’antibiotique de choix pour la listériose maternofœtale (5 g/jour IV en 4 prises pendant 3–4 semaines, en association à gentamicine les 7 premiers jours).</w:t>
      </w:r>
    </w:p>
    <w:p>
      <w:pPr>
        <w:pStyle w:val="BodyText"/>
      </w:pPr>
      <w:r>
        <w:rPr>
          <w:b/>
          <w:bCs/>
        </w:rPr>
        <w:t xml:space="preserve">Posologie et Mode d’administration (Standard) :</w:t>
      </w:r>
      <w:r>
        <w:t xml:space="preserve"> </w:t>
      </w:r>
      <w:r>
        <w:t xml:space="preserve">- Adulte : 1 à 3 g/jour per os en 2 à 3 prises (1 g × 3/jour pour angine, pneumonie, sinusite ; 2 g × 2/jour pour infection urinaire, otite). Infections sévères : jusqu’à 6 g/jour IV (3 g × 2/jour) en 4 prises. Prophylaxie endocardite : 2 g per os 60 min avant le geste (dose unique). Endocardite à streptocoque oral : 12 g/jour IV (4 g × 3/jour ou perfusion continue) pendant 4 semaines ± gentamicine les 2 premières semaines.</w:t>
      </w:r>
      <w:r>
        <w:t xml:space="preserve"> </w:t>
      </w:r>
      <w:r>
        <w:rPr>
          <w:i/>
          <w:iCs/>
        </w:rPr>
        <w:t xml:space="preserve">Helicobacter pylori</w:t>
      </w:r>
      <w:r>
        <w:t xml:space="preserve"> </w:t>
      </w:r>
      <w:r>
        <w:t xml:space="preserve">: 1 g × 2/jour pendant 7–14 jours en trithérapie. Listériose : 5 g/jour IV (4 prises) pendant 3–4 semaines + gentamicine. Dose maximale : 6 g/jour.</w:t>
      </w:r>
      <w:r>
        <w:t xml:space="preserve"> </w:t>
      </w:r>
      <w:r>
        <w:t xml:space="preserve">- Enfant : 50 à 100 mg/kg/jour per os en 2 à 3 prises (max 3 g/jour). Otite : 80–90 mg/kg/jour en 2 prises. Angine : 50 mg/kg/jour en 2 prises (sans dépasser 1 g × 2/jour). Nourrisson &lt; 3 mois : 30 mg/kg × 2/jour. Suspensions buvables dosées à 125, 250 ou 500 mg/5 mL — pipette doseuse graduée en kg ou en mL.</w:t>
      </w:r>
      <w:r>
        <w:t xml:space="preserve"> </w:t>
      </w:r>
      <w:r>
        <w:t xml:space="preserve">- Durée du traitement : Angine streptococcique : 6 jours (recommandation AFSSAPS/HAS 2011, France — le schéma 6 j à 50 mg/kg/j en 2 prises est validé). Otite : 5 jours chez l’enfant &gt; 2 ans, 8–10 jours chez l’enfant &lt; 2 ans. Pneumonie : 5–7 jours. Sinusite : 7–10 jours. Infection urinaire non compliquée : 5 jours (femmes) ou 7 jours (hommes). Listériose : 3–4 semaines. Endocardite : 2–6 semaines.</w:t>
      </w:r>
      <w:r>
        <w:t xml:space="preserve"> </w:t>
      </w:r>
      <w:r>
        <w:t xml:space="preserve">- Moment de la prise : Pendant ou avant le repas (l’alimentation ne réduit pas significativement l’absorption de l’amoxicilline, à la différence de l’ampicilline). Pour la forme IM : injection profonde quadrant supéro-externe fessier, patient couché.</w:t>
      </w:r>
    </w:p>
    <w:p>
      <w:pPr>
        <w:pStyle w:val="BodyText"/>
      </w:pPr>
      <w:r>
        <w:rPr>
          <w:b/>
          <w:bCs/>
        </w:rPr>
        <w:t xml:space="preserve">Arbitrage et Bénéfices des Formes Galéniques :</w:t>
      </w:r>
      <w:r>
        <w:t xml:space="preserve"> </w:t>
      </w:r>
      <w:r>
        <w:t xml:space="preserve">L’amoxicilline se distingue de l’ampicilline par sa biodisponibilité orale supérieure (80–90 % vs 40 %), permettant une posologie biquotidienne (vs 4 prises pour l’ampicilline). La forme dispersible (comprimé dispersible 1 g) facilite l’administration chez l’enfant de plus de 6 ans et le sujet âgé dysphagique, avec une désagrégation rapide (&lt; 30 s dans un verre d’eau). La suspension buvable (125, 250, 500 mg/5 mL) permet un dosage précis chez le nourrisson et l’enfant &lt; 6 ans. Le sachet dose à 1 g offre une alternative pratique pour l’adulte ambulatoire. La forme injectable IM (avec lidocaïne comme solvant) est indiquée en cas d’impossibilité de la voie orale ou pour atteindre des concentrations bactéricides élevées (infection sévère, listériose, endocardite). La stratégie du switch IV→per os précoce (dès l’apyrexie, généralement à 48–72 h) permet de réduire la durée d’hospitalisation sans perte d’efficacité (concentration plasmatique équivalente).</w:t>
      </w:r>
    </w:p>
    <w:p>
      <w:pPr>
        <w:pStyle w:val="BodyText"/>
      </w:pPr>
      <w:r>
        <w:rPr>
          <w:b/>
          <w:bCs/>
        </w:rPr>
        <w:t xml:space="preserve">Instructions et Conseils au Patient :</w:t>
      </w:r>
      <w:r>
        <w:t xml:space="preserve"> </w:t>
      </w:r>
      <w:r>
        <w:t xml:space="preserve">- Communication au comptoir : « C’est l’antibiotique le plus courant en ville. Prenez-le pendant les repas pour éviter les maux d’estomac, à heures régulières, par exemple 8h–20h pour 2 prises. Respectez bien la durée indiquée, même si vous allez mieux avant. Si vous avez de la diarrhée, buvez beaucoup d’eau et prenez des probiotiques. Prévenez immédiatement votre médecin si vous avez une éruption cutanée ou de la fièvre. »</w:t>
      </w:r>
      <w:r>
        <w:t xml:space="preserve"> </w:t>
      </w:r>
      <w:r>
        <w:t xml:space="preserve">- Mode d’utilisation pratique : Pour la suspension buvable : reconstituer avec de l’eau bouillie refroidie jusqu’au trait de graduation, agiter vigoureusement, vérifier la dose avec la pipette ou la cuillère-mesure fournie, agiter avant chaque prise. Conservation 7–14 jours au réfrigérateur selon le fabricant. Pour le comprimé dispersible : le dissoudre dans un demi-verre d’eau, boire immédiatement, rincer le verre. En cas d’oubli : prendre la dose dès que possible si &lt; 2 h d’écart, sinon sauter la prise et continuer le schéma normal — ne jamais doubler la dose.</w:t>
      </w:r>
    </w:p>
    <w:p>
      <w:pPr>
        <w:pStyle w:val="BodyText"/>
      </w:pPr>
      <w:r>
        <w:rPr>
          <w:b/>
          <w:bCs/>
        </w:rPr>
        <w:t xml:space="preserve">Notes, Règles d’Or &amp; Pièges au Comptoir :</w:t>
      </w:r>
      <w:r>
        <w:t xml:space="preserve"> </w:t>
      </w:r>
      <w:r>
        <w:t xml:space="preserve">- Piège classique : Prescription d’amoxicilline chez un patient présentant une mononucléose infectieuse non diagnostiquée — l’éruption maculo-papuleuse est quasi constante (70–90 %) et constitue un piège diagnostique (le patient est souvent étiqueté « allergique à la pénicilline » à tort, à vie). Devant toute angine fébrile avec asthénie, adénopathies cervicales et splénomégalie, demander un MNI-test avant prescription.</w:t>
      </w:r>
      <w:r>
        <w:t xml:space="preserve"> </w:t>
      </w:r>
      <w:r>
        <w:t xml:space="preserve">- Règle de prise / Conseil Patient : Pendant ou avant les repas, à heures régulières, durée stricte (6 jours pour l’angine streptococcique), ne pas associer à de l’allopurinol sans avis médical.</w:t>
      </w:r>
      <w:r>
        <w:t xml:space="preserve"> </w:t>
      </w:r>
      <w:r>
        <w:t xml:space="preserve">- Préparation et Conservation : Comprimés/gélules à température &lt; 25 °C, à l’abri de l’humidité. Suspension buvable reconstituée : 7 jours (au réfrigérateur entre +2 et +8 °C) pour la plupart des formulations, parfois 14 jours selon le fabricant (consulter la notice). Eau bouillie refroidie ou eau purifiée pour la reconstitution (l’eau du robinet chlorée dégrade partiellement l’amoxicilline). Agitation vigoureuse avant chaque prise.</w:t>
      </w:r>
      <w:r>
        <w:t xml:space="preserve"> </w:t>
      </w:r>
      <w:r>
        <w:t xml:space="preserve">- Piège du surdosage / Substitution : Surdosage = convulsions, encéphalopathie, insuffisance rénale aiguë (dialysable). Ne pas substituer amoxicilline ↔ ampicilline (biodisponibilité différente). Ne pas substituer amoxicilline seule ↔ amoxicilline + acide clavulanique sans avis médical (spectre différent, posologie différente). Vérifier le dosage des suspensions pédiatriques (125 vs 250 vs 500 mg/5 mL) à la dispensation — erreur de concentration = surdosage ou sous-dosage chez l’enfant.</w:t>
      </w:r>
    </w:p>
    <w:p>
      <w:r>
        <w:pict>
          <v:rect style="width:0;height:1.5pt" o:hralign="center" o:hrstd="t" o:hr="t"/>
        </w:pict>
      </w:r>
    </w:p>
    <w:bookmarkEnd w:id="40"/>
    <w:bookmarkStart w:id="41" w:name="dci-ampicilline-seule"/>
    <w:p>
      <w:pPr>
        <w:pStyle w:val="Heading3"/>
      </w:pPr>
      <w:r>
        <w:t xml:space="preserve">2.3.2 DCI : Ampicilline (Seule)</w:t>
      </w:r>
    </w:p>
    <w:p>
      <w:pPr>
        <w:pStyle w:val="FirstParagraph"/>
      </w:pPr>
      <w:r>
        <w:rPr>
          <w:b/>
          <w:bCs/>
        </w:rPr>
        <w:t xml:space="preserve">Liste des Catégories :</w:t>
      </w:r>
      <w:r>
        <w:t xml:space="preserve"> </w:t>
      </w:r>
      <w:r>
        <w:t xml:space="preserve">Pénicillines ; Bêta-lactamines ; Pénicillines A ; Aminopénicillines ; Antibiotique bactéricide ; Voie orale et injectable ; Liste I.</w:t>
      </w:r>
    </w:p>
    <w:p>
      <w:pPr>
        <w:pStyle w:val="BodyText"/>
      </w:pPr>
      <w:r>
        <w:t xml:space="preserve">L’ampicilline est l’aminopénicilline historique (1961), précédant l’amoxicilline de 11 ans. Son spectre est identique à celui de l’amoxicilline (Gram positif sensible + Gram négatif communautaire), mais sa biodisponibilité orale moindre (40 %), sa tolérance digestive inférieure, et la nécessité de 4 prises par jour ont progressivement relégué la forme orale au second plan. En revanche, la forme injectable IV conserve une place majeure : traitement de référence de la listériose neuroméningée et maternofœtale, méningite à</w:t>
      </w:r>
      <w:r>
        <w:t xml:space="preserve"> </w:t>
      </w:r>
      <w:r>
        <w:rPr>
          <w:i/>
          <w:iCs/>
        </w:rPr>
        <w:t xml:space="preserve">Listeria monocytogenes</w:t>
      </w:r>
      <w:r>
        <w:t xml:space="preserve"> </w:t>
      </w:r>
      <w:r>
        <w:t xml:space="preserve">(en association à gentamicine), endocardite à entérocoque sensible à l’ampicilline (en association), prophylaxie de la méningite néonatale à streptocoque B chez la femme enceinte colonisée (alternative à la pénicilline G).</w:t>
      </w:r>
    </w:p>
    <w:p>
      <w:pPr>
        <w:pStyle w:val="BodyText"/>
      </w:pPr>
      <w:r>
        <w:rPr>
          <w:b/>
          <w:bCs/>
        </w:rPr>
        <w:t xml:space="preserve">Médicaments disponibles en Algérie (Marques, Laboratoires, Formes et Dosages) :</w:t>
      </w:r>
    </w:p>
    <w:p>
      <w:pPr>
        <w:pStyle w:val="BodyText"/>
      </w:pPr>
      <w:r>
        <w:rPr>
          <w:b/>
          <w:bCs/>
        </w:rPr>
        <w:t xml:space="preserve">Spécialités Actives ou partiellement actives :</w:t>
      </w:r>
    </w:p>
    <w:p>
      <w:pPr>
        <w:pStyle w:val="Compact"/>
        <w:numPr>
          <w:ilvl w:val="0"/>
          <w:numId w:val="1056"/>
        </w:numPr>
      </w:pPr>
      <w:r>
        <w:rPr>
          <w:b/>
          <w:bCs/>
        </w:rPr>
        <w:t xml:space="preserve">AMPILINE</w:t>
      </w:r>
      <w:r>
        <w:t xml:space="preserve"> </w:t>
      </w:r>
      <w:r>
        <w:t xml:space="preserve">(GROUPE SAIDAL / SAIDAL)</w:t>
      </w:r>
    </w:p>
    <w:p>
      <w:pPr>
        <w:pStyle w:val="Compact"/>
        <w:numPr>
          <w:ilvl w:val="1"/>
          <w:numId w:val="1057"/>
        </w:numPr>
      </w:pPr>
      <w:r>
        <w:t xml:space="preserve">Formes : Gélule 500 mg ; Poudre pour solution injectable 500 mg/flacon, 1 g/flacon ; Poudre pour suspension buvable 125 mg/5 mL, 250 mg/5 mL</w:t>
      </w:r>
    </w:p>
    <w:p>
      <w:pPr>
        <w:pStyle w:val="Compact"/>
        <w:numPr>
          <w:ilvl w:val="1"/>
          <w:numId w:val="1057"/>
        </w:numPr>
      </w:pPr>
      <w:r>
        <w:t xml:space="preserve">Statut : Partiellement actif (présentations historiques retirées/non renouvelables)</w:t>
      </w:r>
    </w:p>
    <w:p>
      <w:pPr>
        <w:pStyle w:val="Compact"/>
        <w:numPr>
          <w:ilvl w:val="0"/>
          <w:numId w:val="1056"/>
        </w:numPr>
      </w:pPr>
      <w:r>
        <w:rPr>
          <w:b/>
          <w:bCs/>
        </w:rPr>
        <w:t xml:space="preserve">AMPINAX</w:t>
      </w:r>
      <w:r>
        <w:t xml:space="preserve"> </w:t>
      </w:r>
      <w:r>
        <w:t xml:space="preserve">(BIOCARE / BIOCARE SARL)</w:t>
      </w:r>
    </w:p>
    <w:p>
      <w:pPr>
        <w:pStyle w:val="Compact"/>
        <w:numPr>
          <w:ilvl w:val="1"/>
          <w:numId w:val="1058"/>
        </w:numPr>
      </w:pPr>
      <w:r>
        <w:t xml:space="preserve">Formes : Gélule 500 mg ; Poudre pour suspension buvable 250 mg/5 mL ; Poudre pour suspension injectable IM 1 g/flacon</w:t>
      </w:r>
    </w:p>
    <w:p>
      <w:pPr>
        <w:pStyle w:val="Compact"/>
        <w:numPr>
          <w:ilvl w:val="1"/>
          <w:numId w:val="1058"/>
        </w:numPr>
      </w:pPr>
      <w:r>
        <w:t xml:space="preserve">Statut : Partiellement actif</w:t>
      </w:r>
    </w:p>
    <w:p>
      <w:pPr>
        <w:pStyle w:val="FirstParagraph"/>
      </w:pPr>
      <w:r>
        <w:rPr>
          <w:b/>
          <w:bCs/>
        </w:rPr>
        <w:t xml:space="preserve">Spécialités Non Renouvelables :</w:t>
      </w:r>
    </w:p>
    <w:p>
      <w:pPr>
        <w:pStyle w:val="Compact"/>
        <w:numPr>
          <w:ilvl w:val="0"/>
          <w:numId w:val="1059"/>
        </w:numPr>
      </w:pPr>
      <w:r>
        <w:rPr>
          <w:b/>
          <w:bCs/>
        </w:rPr>
        <w:t xml:space="preserve">AMPIMEX</w:t>
      </w:r>
      <w:r>
        <w:t xml:space="preserve"> </w:t>
      </w:r>
      <w:r>
        <w:t xml:space="preserve">(KPMA) — Gélule 500 mg</w:t>
      </w:r>
    </w:p>
    <w:p>
      <w:pPr>
        <w:pStyle w:val="FirstParagraph"/>
      </w:pPr>
      <w:r>
        <w:rPr>
          <w:b/>
          <w:bCs/>
        </w:rPr>
        <w:t xml:space="preserve">Spécialités Retirées du marché (R) :</w:t>
      </w:r>
    </w:p>
    <w:p>
      <w:pPr>
        <w:pStyle w:val="Compact"/>
        <w:numPr>
          <w:ilvl w:val="0"/>
          <w:numId w:val="1060"/>
        </w:numPr>
      </w:pPr>
      <w:r>
        <w:rPr>
          <w:b/>
          <w:bCs/>
        </w:rPr>
        <w:t xml:space="preserve">AMIPAC (R)</w:t>
      </w:r>
      <w:r>
        <w:t xml:space="preserve"> </w:t>
      </w:r>
      <w:r>
        <w:t xml:space="preserve">(EL KENDI) — Poudre pour solution injectable IM/IV 500 mg, 1 g/flacon</w:t>
      </w:r>
    </w:p>
    <w:p>
      <w:pPr>
        <w:pStyle w:val="Compact"/>
        <w:numPr>
          <w:ilvl w:val="0"/>
          <w:numId w:val="1060"/>
        </w:numPr>
      </w:pPr>
      <w:r>
        <w:rPr>
          <w:b/>
          <w:bCs/>
        </w:rPr>
        <w:t xml:space="preserve">AMPAL (R)</w:t>
      </w:r>
      <w:r>
        <w:t xml:space="preserve"> </w:t>
      </w:r>
      <w:r>
        <w:t xml:space="preserve">(SOPHAL) — Gélule 500 mg ; Poudre pour solution injectable 200 mg/mL ; Poudre pour suspension buvable 125 mg/5 mL, 250 mg/5 mL</w:t>
      </w:r>
    </w:p>
    <w:p>
      <w:pPr>
        <w:pStyle w:val="Compact"/>
        <w:numPr>
          <w:ilvl w:val="0"/>
          <w:numId w:val="1060"/>
        </w:numPr>
      </w:pPr>
      <w:r>
        <w:rPr>
          <w:b/>
          <w:bCs/>
        </w:rPr>
        <w:t xml:space="preserve">AMPEN (R)</w:t>
      </w:r>
      <w:r>
        <w:t xml:space="preserve"> </w:t>
      </w:r>
      <w:r>
        <w:t xml:space="preserve">(MEDICUBA) — Gélule 500 mg ; Poudre pour suspension buvable 250 mg/5 mL</w:t>
      </w:r>
    </w:p>
    <w:p>
      <w:pPr>
        <w:pStyle w:val="Compact"/>
        <w:numPr>
          <w:ilvl w:val="0"/>
          <w:numId w:val="1060"/>
        </w:numPr>
      </w:pPr>
      <w:r>
        <w:rPr>
          <w:b/>
          <w:bCs/>
        </w:rPr>
        <w:t xml:space="preserve">AMPENIX (R)</w:t>
      </w:r>
      <w:r>
        <w:t xml:space="preserve"> </w:t>
      </w:r>
      <w:r>
        <w:t xml:space="preserve">(ALPHARM SPA) — Gélule 500 mg</w:t>
      </w:r>
    </w:p>
    <w:p>
      <w:pPr>
        <w:pStyle w:val="Compact"/>
        <w:numPr>
          <w:ilvl w:val="0"/>
          <w:numId w:val="1060"/>
        </w:numPr>
      </w:pPr>
      <w:r>
        <w:rPr>
          <w:b/>
          <w:bCs/>
        </w:rPr>
        <w:t xml:space="preserve">AMPICILLINE (R)</w:t>
      </w:r>
      <w:r>
        <w:t xml:space="preserve"> </w:t>
      </w:r>
      <w:r>
        <w:t xml:space="preserve">(PANPHARMA) — Gélule 500 mg</w:t>
      </w:r>
    </w:p>
    <w:p>
      <w:pPr>
        <w:pStyle w:val="Compact"/>
        <w:numPr>
          <w:ilvl w:val="0"/>
          <w:numId w:val="1060"/>
        </w:numPr>
      </w:pPr>
      <w:r>
        <w:rPr>
          <w:b/>
          <w:bCs/>
        </w:rPr>
        <w:t xml:space="preserve">AMPICILLINE FLAVELAB (R)</w:t>
      </w:r>
      <w:r>
        <w:t xml:space="preserve"> </w:t>
      </w:r>
      <w:r>
        <w:t xml:space="preserve">(FLAVELAB) — Poudre pour solution injectable 500 mg, 1 g/flacon</w:t>
      </w:r>
    </w:p>
    <w:p>
      <w:pPr>
        <w:pStyle w:val="Compact"/>
        <w:numPr>
          <w:ilvl w:val="0"/>
          <w:numId w:val="1060"/>
        </w:numPr>
      </w:pPr>
      <w:r>
        <w:rPr>
          <w:b/>
          <w:bCs/>
        </w:rPr>
        <w:t xml:space="preserve">AMPICILLINE PANPHARMA (R)</w:t>
      </w:r>
      <w:r>
        <w:t xml:space="preserve"> </w:t>
      </w:r>
      <w:r>
        <w:t xml:space="preserve">(PANPHARMA) — Poudre pour solution injectable 500 mg, 1 g ; Poudre pour suspension buvable 250 mg/5 mL</w:t>
      </w:r>
    </w:p>
    <w:p>
      <w:pPr>
        <w:pStyle w:val="Compact"/>
        <w:numPr>
          <w:ilvl w:val="0"/>
          <w:numId w:val="1060"/>
        </w:numPr>
      </w:pPr>
      <w:r>
        <w:rPr>
          <w:b/>
          <w:bCs/>
        </w:rPr>
        <w:t xml:space="preserve">AMPISINA (R)</w:t>
      </w:r>
      <w:r>
        <w:t xml:space="preserve"> </w:t>
      </w:r>
      <w:r>
        <w:t xml:space="preserve">(MUSTAFA NEVZAT) — Poudre pour solution injectable 500 mg, 1 g</w:t>
      </w:r>
    </w:p>
    <w:p>
      <w:pPr>
        <w:pStyle w:val="Compact"/>
        <w:numPr>
          <w:ilvl w:val="0"/>
          <w:numId w:val="1060"/>
        </w:numPr>
      </w:pPr>
      <w:r>
        <w:rPr>
          <w:b/>
          <w:bCs/>
        </w:rPr>
        <w:t xml:space="preserve">ANTIBIOPENE (R)</w:t>
      </w:r>
      <w:r>
        <w:t xml:space="preserve"> </w:t>
      </w:r>
      <w:r>
        <w:t xml:space="preserve">(PHARMACIA UPJOHN) — Gélule 250 mg, 500 mg ; Poudre pour solution injectable 500 mg, 1 g ; Suspension buvable 125 mg/5 mL, 250 mg/5 mL</w:t>
      </w:r>
    </w:p>
    <w:p>
      <w:pPr>
        <w:pStyle w:val="Compact"/>
        <w:numPr>
          <w:ilvl w:val="0"/>
          <w:numId w:val="1060"/>
        </w:numPr>
      </w:pPr>
      <w:r>
        <w:rPr>
          <w:b/>
          <w:bCs/>
        </w:rPr>
        <w:t xml:space="preserve">GOBEMICINA (R)</w:t>
      </w:r>
      <w:r>
        <w:t xml:space="preserve"> </w:t>
      </w:r>
      <w:r>
        <w:t xml:space="preserve">(NORMON S.A) — Gélule 500 mg ; Poudre pour solution injectable 500 mg, 1 g</w:t>
      </w:r>
    </w:p>
    <w:p>
      <w:pPr>
        <w:pStyle w:val="Compact"/>
        <w:numPr>
          <w:ilvl w:val="0"/>
          <w:numId w:val="1060"/>
        </w:numPr>
      </w:pPr>
      <w:r>
        <w:rPr>
          <w:b/>
          <w:bCs/>
        </w:rPr>
        <w:t xml:space="preserve">LAMPY (R)</w:t>
      </w:r>
      <w:r>
        <w:t xml:space="preserve"> </w:t>
      </w:r>
      <w:r>
        <w:t xml:space="preserve">(BIOVITAL Sarl) — Gélule 500 mg</w:t>
      </w:r>
    </w:p>
    <w:p>
      <w:pPr>
        <w:pStyle w:val="Compact"/>
        <w:numPr>
          <w:ilvl w:val="0"/>
          <w:numId w:val="1060"/>
        </w:numPr>
      </w:pPr>
      <w:r>
        <w:rPr>
          <w:b/>
          <w:bCs/>
        </w:rPr>
        <w:t xml:space="preserve">LIFEAMPILE (R)</w:t>
      </w:r>
      <w:r>
        <w:t xml:space="preserve"> </w:t>
      </w:r>
      <w:r>
        <w:t xml:space="preserve">(HIKMA PHARMACEUTICALS) — Gélule 500 mg</w:t>
      </w:r>
    </w:p>
    <w:p>
      <w:pPr>
        <w:pStyle w:val="Compact"/>
        <w:numPr>
          <w:ilvl w:val="0"/>
          <w:numId w:val="1060"/>
        </w:numPr>
      </w:pPr>
      <w:r>
        <w:rPr>
          <w:b/>
          <w:bCs/>
        </w:rPr>
        <w:t xml:space="preserve">PAMECIL (R)</w:t>
      </w:r>
      <w:r>
        <w:t xml:space="preserve"> </w:t>
      </w:r>
      <w:r>
        <w:t xml:space="preserve">(MEDOCHEMIE LTD) — Gélule 250 mg ; Poudre pour solution injectable IM/IV 1 g/flacon</w:t>
      </w:r>
    </w:p>
    <w:p>
      <w:pPr>
        <w:pStyle w:val="Compact"/>
        <w:numPr>
          <w:ilvl w:val="0"/>
          <w:numId w:val="1060"/>
        </w:numPr>
      </w:pPr>
      <w:r>
        <w:rPr>
          <w:b/>
          <w:bCs/>
        </w:rPr>
        <w:t xml:space="preserve">PETERCILLIN (R)</w:t>
      </w:r>
      <w:r>
        <w:t xml:space="preserve"> </w:t>
      </w:r>
      <w:r>
        <w:t xml:space="preserve">(PHARMACARE LIMITED) — Gélule 500 mg</w:t>
      </w:r>
    </w:p>
    <w:p>
      <w:pPr>
        <w:pStyle w:val="Compact"/>
        <w:numPr>
          <w:ilvl w:val="0"/>
          <w:numId w:val="1060"/>
        </w:numPr>
      </w:pPr>
      <w:r>
        <w:rPr>
          <w:b/>
          <w:bCs/>
        </w:rPr>
        <w:t xml:space="preserve">PETERCILLIN SF (R)</w:t>
      </w:r>
      <w:r>
        <w:t xml:space="preserve"> </w:t>
      </w:r>
      <w:r>
        <w:t xml:space="preserve">(PHARMACARE LIMITED) — Suspension buvable 250 mg/5 mL</w:t>
      </w:r>
    </w:p>
    <w:p>
      <w:pPr>
        <w:pStyle w:val="Compact"/>
        <w:numPr>
          <w:ilvl w:val="0"/>
          <w:numId w:val="1060"/>
        </w:numPr>
      </w:pPr>
      <w:r>
        <w:rPr>
          <w:b/>
          <w:bCs/>
        </w:rPr>
        <w:t xml:space="preserve">ROSAMPLINE (R)</w:t>
      </w:r>
      <w:r>
        <w:t xml:space="preserve"> </w:t>
      </w:r>
      <w:r>
        <w:t xml:space="preserve">(LDPA/LDP) — Gélule 500 mg ; Poudre pour solution injectable 500 mg, 1 g/flacon</w:t>
      </w:r>
    </w:p>
    <w:p>
      <w:pPr>
        <w:pStyle w:val="Compact"/>
        <w:numPr>
          <w:ilvl w:val="0"/>
          <w:numId w:val="1060"/>
        </w:numPr>
      </w:pPr>
      <w:r>
        <w:rPr>
          <w:b/>
          <w:bCs/>
        </w:rPr>
        <w:t xml:space="preserve">ROSCILLIN (R)</w:t>
      </w:r>
      <w:r>
        <w:t xml:space="preserve"> </w:t>
      </w:r>
      <w:r>
        <w:t xml:space="preserve">(RANBAXY) — Gélule 500 mg ; Poudre pour solution injectable 1 g/flacon</w:t>
      </w:r>
    </w:p>
    <w:p>
      <w:pPr>
        <w:pStyle w:val="Compact"/>
        <w:numPr>
          <w:ilvl w:val="0"/>
          <w:numId w:val="1060"/>
        </w:numPr>
      </w:pPr>
      <w:r>
        <w:rPr>
          <w:b/>
          <w:bCs/>
        </w:rPr>
        <w:t xml:space="preserve">STANDACILLIN (R)</w:t>
      </w:r>
      <w:r>
        <w:t xml:space="preserve"> </w:t>
      </w:r>
      <w:r>
        <w:t xml:space="preserve">(BIOCHEMIE GmbH) — Gélule 500 mg ; Granulés pour suspension buvable 125 mg/5 mL, 250 mg/5 mL ; Poudre pour solution injectable 500 mg, 1 g/flacon</w:t>
      </w:r>
    </w:p>
    <w:p>
      <w:pPr>
        <w:pStyle w:val="Compact"/>
        <w:numPr>
          <w:ilvl w:val="0"/>
          <w:numId w:val="1060"/>
        </w:numPr>
      </w:pPr>
      <w:r>
        <w:rPr>
          <w:b/>
          <w:bCs/>
        </w:rPr>
        <w:t xml:space="preserve">STOPAN (R)</w:t>
      </w:r>
      <w:r>
        <w:t xml:space="preserve"> </w:t>
      </w:r>
      <w:r>
        <w:t xml:space="preserve">(ANFARM HELLAS SA) — Gélule 500 mg ; Suspension buvable 250 mg/5 mL</w:t>
      </w:r>
    </w:p>
    <w:p>
      <w:pPr>
        <w:pStyle w:val="Compact"/>
        <w:numPr>
          <w:ilvl w:val="0"/>
          <w:numId w:val="1060"/>
        </w:numPr>
      </w:pPr>
      <w:r>
        <w:rPr>
          <w:b/>
          <w:bCs/>
        </w:rPr>
        <w:t xml:space="preserve">SUPRACILINE (R)</w:t>
      </w:r>
      <w:r>
        <w:t xml:space="preserve"> </w:t>
      </w:r>
      <w:r>
        <w:t xml:space="preserve">(ATABAY) — Poudre pour suspension buvable 250 mg/5 mL</w:t>
      </w:r>
    </w:p>
    <w:p>
      <w:pPr>
        <w:pStyle w:val="Compact"/>
        <w:numPr>
          <w:ilvl w:val="0"/>
          <w:numId w:val="1060"/>
        </w:numPr>
      </w:pPr>
      <w:r>
        <w:rPr>
          <w:b/>
          <w:bCs/>
        </w:rPr>
        <w:t xml:space="preserve">TOTAPEN (R)</w:t>
      </w:r>
      <w:r>
        <w:t xml:space="preserve"> </w:t>
      </w:r>
      <w:r>
        <w:t xml:space="preserve">(BRISTOL MYERS SQUIBB) — Gélule 500 mg ; Poudre sirop 125 mg/5 mL, 250 mg/5 mL ; Poudre pour solution injectable 500 mg, 1 g/flacon</w:t>
      </w:r>
    </w:p>
    <w:p>
      <w:pPr>
        <w:pStyle w:val="Compact"/>
        <w:numPr>
          <w:ilvl w:val="0"/>
          <w:numId w:val="1060"/>
        </w:numPr>
      </w:pPr>
      <w:r>
        <w:rPr>
          <w:b/>
          <w:bCs/>
        </w:rPr>
        <w:t xml:space="preserve">ULTRACILLIN (R)</w:t>
      </w:r>
      <w:r>
        <w:t xml:space="preserve"> </w:t>
      </w:r>
      <w:r>
        <w:t xml:space="preserve">(ARAB PHARMACEUTICAL MANUFACTURING) — Gélule 500 mg ; Poudre pour solution injectable 500 mg, 1 g/flacon</w:t>
      </w:r>
    </w:p>
    <w:p>
      <w:pPr>
        <w:pStyle w:val="FirstParagraph"/>
      </w:pPr>
      <w:r>
        <w:rPr>
          <w:b/>
          <w:bCs/>
        </w:rPr>
        <w:t xml:space="preserve">Sous-classe et Mécanisme d’action :</w:t>
      </w:r>
      <w:r>
        <w:t xml:space="preserve"> </w:t>
      </w:r>
      <w:r>
        <w:t xml:space="preserve">- Sous-classe : Aminopénicilline (pénicilline A), bêta-lactamine. Première aminopénicilline commercialisée (1961), inscrite à la liste OMS des médicaments essentiels.</w:t>
      </w:r>
      <w:r>
        <w:t xml:space="preserve"> </w:t>
      </w:r>
      <w:r>
        <w:t xml:space="preserve">- Mécanisme d’action : Bactéricide temps-dépendant. Fixation covalente sur les PBP (PBP3 prioritairement), inhibition de la transpeptidation du peptidoglycane, activation des autolysines, lyse osmotique. Spectre identique à l’amoxicilline mais pharmacocinétique orale défavorable (absorption 40 %, vs 80–90 % pour l’amoxicilline).</w:t>
      </w:r>
    </w:p>
    <w:p>
      <w:pPr>
        <w:pStyle w:val="BodyText"/>
      </w:pPr>
      <w:r>
        <w:rPr>
          <w:b/>
          <w:bCs/>
        </w:rPr>
        <w:t xml:space="preserve">Profil Pharmacologique :</w:t>
      </w:r>
      <w:r>
        <w:t xml:space="preserve"> </w:t>
      </w:r>
      <w:r>
        <w:t xml:space="preserve">- Indications : Forme IV : listériose neuroméningée (5–12 g/jour IV en 4–6 prises + gentamicine 5 mg/kg/j), listériose maternofœtale, méningite néonatale à streptocoque B (alternative à la pénicilline G), endocardite à entérocoque sensible (8–12 g/jour IV + gentamicine), prophylaxie de l’endocardite (alternative à l’amoxicilline per os), infection à</w:t>
      </w:r>
      <w:r>
        <w:t xml:space="preserve"> </w:t>
      </w:r>
      <w:r>
        <w:rPr>
          <w:i/>
          <w:iCs/>
        </w:rPr>
        <w:t xml:space="preserve">Salmonella</w:t>
      </w:r>
      <w:r>
        <w:t xml:space="preserve"> </w:t>
      </w:r>
      <w:r>
        <w:t xml:space="preserve">spp. (alternative au cotrimoxazole ou fluoroquinolone), shuffle per os possible dans les infections à germes sensibles. Forme orale : alternative historique à l’amoxicilline, aujourd’hui rarement prescrite.</w:t>
      </w:r>
      <w:r>
        <w:t xml:space="preserve"> </w:t>
      </w:r>
      <w:r>
        <w:t xml:space="preserve">- Contre-indications : Allergie aux bêta-lactamines ; mononucléose infectieuse (risque d’éruption majoré, identique à l’amoxicilline) ; leucémie lymphoïde chronique ; traitement concomitant par allopurinol.</w:t>
      </w:r>
      <w:r>
        <w:t xml:space="preserve"> </w:t>
      </w:r>
      <w:r>
        <w:t xml:space="preserve">- Effets Indésirables : Identiques à l’amoxicilline : éruption maculo-papuleuse (5–10 %, &gt; 90 % en cas de mononucléose), urticaire, anaphylaxie, troubles digestifs (nausées, vomissements, diarrhée 5–10 %), colite à</w:t>
      </w:r>
      <w:r>
        <w:t xml:space="preserve"> </w:t>
      </w:r>
      <w:r>
        <w:rPr>
          <w:i/>
          <w:iCs/>
        </w:rPr>
        <w:t xml:space="preserve">C. difficile</w:t>
      </w:r>
      <w:r>
        <w:t xml:space="preserve">, hépatite cytolytique, néphrite interstitielle, anémie hémolytique, thrombopénie, convulsions à fortes doses. La forme IM est douloureuse (préférer voie IV). Réaction de Jarisch-Herxheimer possible dans la syphilis.</w:t>
      </w:r>
    </w:p>
    <w:p>
      <w:pPr>
        <w:pStyle w:val="BodyText"/>
      </w:pPr>
      <w:r>
        <w:rPr>
          <w:b/>
          <w:bCs/>
        </w:rPr>
        <w:t xml:space="preserve">Prévention et Gestion des Effets Indésirables :</w:t>
      </w:r>
      <w:r>
        <w:t xml:space="preserve"> </w:t>
      </w:r>
      <w:r>
        <w:t xml:space="preserve">- Mesures Préventives (Pharmacien &amp; Patient) : Recherche de la mononucléose avant prescription (interrogatoire) ; hydratation ≥ 1,5 L/jour ; probiotiques type</w:t>
      </w:r>
      <w:r>
        <w:t xml:space="preserve"> </w:t>
      </w:r>
      <w:r>
        <w:rPr>
          <w:i/>
          <w:iCs/>
        </w:rPr>
        <w:t xml:space="preserve">Saccharomyces boulardii</w:t>
      </w:r>
      <w:r>
        <w:t xml:space="preserve"> </w:t>
      </w:r>
      <w:r>
        <w:t xml:space="preserve">200 mg/j en prévention de la diarrhée ; adaptation posologique si ClCr &lt; 30 mL/min (max 1 g × 2/jour) ; voie IV préférentielle à la voie IM (douleur, risque de lésion nerveuse sciatique).</w:t>
      </w:r>
      <w:r>
        <w:t xml:space="preserve"> </w:t>
      </w:r>
      <w:r>
        <w:t xml:space="preserve">- Conduite à Tenir : Identique à l’amoxicilline. En cas de rash : arrêt et consultation. En cas d’anaphylaxie : adrénaline IM 0,5 mg, SAMU. En cas de diarrhée sanglante : suspicion de</w:t>
      </w:r>
      <w:r>
        <w:t xml:space="preserve"> </w:t>
      </w:r>
      <w:r>
        <w:rPr>
          <w:i/>
          <w:iCs/>
        </w:rPr>
        <w:t xml:space="preserve">C. difficile</w:t>
      </w:r>
      <w:r>
        <w:t xml:space="preserve">, arrêt et traitement spécifique.</w:t>
      </w:r>
    </w:p>
    <w:p>
      <w:pPr>
        <w:pStyle w:val="BodyText"/>
      </w:pPr>
      <w:r>
        <w:rPr>
          <w:b/>
          <w:bCs/>
        </w:rPr>
        <w:t xml:space="preserve">Interactions Importantes :</w:t>
      </w:r>
      <w:r>
        <w:t xml:space="preserve"> </w:t>
      </w:r>
      <w:r>
        <w:t xml:space="preserve">- Allopurinol : Multiplication par 3 du risque d’éruption cutanée (identique à l’amoxicilline).</w:t>
      </w:r>
      <w:r>
        <w:t xml:space="preserve"> </w:t>
      </w:r>
      <w:r>
        <w:t xml:space="preserve">- Méthotrexate : Diminution de l’excrétion tubulaire, augmentation de la toxicité médullaire.</w:t>
      </w:r>
      <w:r>
        <w:t xml:space="preserve"> </w:t>
      </w:r>
      <w:r>
        <w:t xml:space="preserve">- Anticoagulants oraux (AVK) : Augmentation de l’INR, hémorragie possible.</w:t>
      </w:r>
      <w:r>
        <w:t xml:space="preserve"> </w:t>
      </w:r>
      <w:r>
        <w:t xml:space="preserve">- Contraceptifs oraux : Baisse d’efficacité théorique — méthode complémentaire.</w:t>
      </w:r>
      <w:r>
        <w:t xml:space="preserve"> </w:t>
      </w:r>
      <w:r>
        <w:t xml:space="preserve">- Probenécide : Augmente les concentrations plasmatiques.</w:t>
      </w:r>
      <w:r>
        <w:t xml:space="preserve"> </w:t>
      </w:r>
      <w:r>
        <w:t xml:space="preserve">- Aminosides : Synergie bactéricide sur les entérocoques et listéria (ne pas mélanger dans la même tubulure).</w:t>
      </w:r>
    </w:p>
    <w:p>
      <w:pPr>
        <w:pStyle w:val="BodyText"/>
      </w:pPr>
      <w:r>
        <w:rPr>
          <w:b/>
          <w:bCs/>
        </w:rPr>
        <w:t xml:space="preserve">Grossesse et Allaitement :</w:t>
      </w:r>
      <w:r>
        <w:t xml:space="preserve"> </w:t>
      </w:r>
      <w:r>
        <w:t xml:space="preserve">- Grossesse : Indiqué. L’ampicilline est un antibiotique de référence au cours de la grossesse (CRAT : données rassurantes). C’est le traitement de choix de la listériose maternofœtale et de la colonisation rectovaginale à streptocoque B (alternative à la pénicilline G chez l’allergique non sévère).</w:t>
      </w:r>
      <w:r>
        <w:t xml:space="preserve"> </w:t>
      </w:r>
      <w:r>
        <w:t xml:space="preserve">- Allaitement : Indiqué. Passage faible dans le lait, sans toxicité pour le nouveau-né.</w:t>
      </w:r>
      <w:r>
        <w:t xml:space="preserve"> </w:t>
      </w:r>
      <w:r>
        <w:t xml:space="preserve">- Précisions : Au cours du travail chez la femme colonisée par le streptocoque B : ampicilline 2 g IV en dose de charge puis 1 g IV toutes les 4 h jusqu’à l’accouchement.</w:t>
      </w:r>
    </w:p>
    <w:p>
      <w:pPr>
        <w:pStyle w:val="BodyText"/>
      </w:pPr>
      <w:r>
        <w:rPr>
          <w:b/>
          <w:bCs/>
        </w:rPr>
        <w:t xml:space="preserve">Posologie et Mode d’administration (Standard) :</w:t>
      </w:r>
      <w:r>
        <w:t xml:space="preserve"> </w:t>
      </w:r>
      <w:r>
        <w:t xml:space="preserve">- Adulte : Voie orale : 1 à 4 g/jour en 4 prises (250–500 mg × 4/jour, à jeun 1 h avant repas). Voie IV : 4 à 12 g/jour en 4 à 6 injections (1–3 g × 4/jour IV lente 30–60 min ou perfusion continue). Listériose : 12 g/jour IV (3 g × 4/jour) pendant 3–4 semaines + gentamicine 5 mg/kg/j les 7 premiers jours. Endocardite à entérocoque : 12 g/jour IV (3 g × 4/jour) pendant 4–6 semaines + gentamicine 3 mg/kg/j les 2 premières semaines. Streptocoque B en per-partum : 2 g IV dose de charge puis 1 g IV toutes les 4 h.</w:t>
      </w:r>
      <w:r>
        <w:t xml:space="preserve"> </w:t>
      </w:r>
      <w:r>
        <w:t xml:space="preserve">- Enfant : 100 à 300 mg/kg/jour IV en 4 à 6 injections (max 12 g/jour). Méningite néonatale : 200–300 mg/kg/jour IV en 4 injections. Voie orale : 50–100 mg/kg/jour en 4 prises (à jeun).</w:t>
      </w:r>
      <w:r>
        <w:t xml:space="preserve"> </w:t>
      </w:r>
      <w:r>
        <w:t xml:space="preserve">- Durée du traitement : Listériose neuroméningée : 3–4 semaines (associée à gentamicine 7 jours). Endocardite à entérocoque : 4–6 semaines. Méningite néonatale à streptocoque B : 14–21 jours. Infection courante : 7–10 jours.</w:t>
      </w:r>
      <w:r>
        <w:t xml:space="preserve"> </w:t>
      </w:r>
      <w:r>
        <w:t xml:space="preserve">- Moment de la prise : Forme orale à jeun, 1 h avant ou 2 h après le repas (l’alimentation réduit l’absorption de 50 %). Forme IV indépendante des repas, en perfusion lente (30–60 min) ou continue.</w:t>
      </w:r>
    </w:p>
    <w:p>
      <w:pPr>
        <w:pStyle w:val="BodyText"/>
      </w:pPr>
      <w:r>
        <w:rPr>
          <w:b/>
          <w:bCs/>
        </w:rPr>
        <w:t xml:space="preserve">Arbitrage et Bénéfices des Formes Galéniques :</w:t>
      </w:r>
      <w:r>
        <w:t xml:space="preserve"> </w:t>
      </w:r>
      <w:r>
        <w:t xml:space="preserve">La forme IV d’ampicilline reste irremplaçable pour les indications hospitalières suivantes : listériose, endocardite à entérocoque, méningite néonatale à streptocoque B. La forme orale a été supplantée par l’amoxicilline (biodisponibilité double, posologie biquotidienne vs 4 prises/jour, meilleure tolérance digestive). Le switch IV→per os se fait vers l’amoxicilline (et non vers l’ampicilline orale) dès l’apyrexie. La forme IM est douloureuse et à éviter chez l’adulte (sauf nécessité absolue, avec lidocaïne 1 % comme solvant).</w:t>
      </w:r>
    </w:p>
    <w:p>
      <w:pPr>
        <w:pStyle w:val="BodyText"/>
      </w:pPr>
      <w:r>
        <w:rPr>
          <w:b/>
          <w:bCs/>
        </w:rPr>
        <w:t xml:space="preserve">Instructions et Conseils au Patient :</w:t>
      </w:r>
      <w:r>
        <w:t xml:space="preserve"> </w:t>
      </w:r>
      <w:r>
        <w:t xml:space="preserve">- Communication au comptoir : « C’est un antibiotique de la même famille que l’amoxicilline, mais à prendre à jeun (1 heure avant ou 2 heures après les repas) car l’alimentation diminue son absorption. Il est surtout utilisé à l’hôpital en perfusion pour des infections graves (méningite, endocardite, listériose). En cas d’éruption cutanée, arrêtez et consultez immédiatement. »</w:t>
      </w:r>
      <w:r>
        <w:t xml:space="preserve"> </w:t>
      </w:r>
      <w:r>
        <w:t xml:space="preserve">- Mode d’utilisation pratique : Pour la forme orale : prise à jeun stricte, à heures régulières (4 prises espacées de 6 h), hydratation. Pour la forme injectable : administration hospitalière, surveillance ECG et tensionnel pour les injections rapides (risque de convulsions Valsalva).</w:t>
      </w:r>
    </w:p>
    <w:p>
      <w:pPr>
        <w:pStyle w:val="BodyText"/>
      </w:pPr>
      <w:r>
        <w:rPr>
          <w:b/>
          <w:bCs/>
        </w:rPr>
        <w:t xml:space="preserve">Notes, Règles d’Or &amp; Pièges au Comptoir :</w:t>
      </w:r>
      <w:r>
        <w:t xml:space="preserve"> </w:t>
      </w:r>
      <w:r>
        <w:t xml:space="preserve">- Piège classique : Prescription d’ampicilline orale alors que l’amoxicilline est disponible, plus efficace et mieux tolérée — préférer toujours l’amoxicilline en ville. Devant une ordonnance d’ampicilline orale, suggérer au prescripteur la substitution par amoxicilline.</w:t>
      </w:r>
      <w:r>
        <w:t xml:space="preserve"> </w:t>
      </w:r>
      <w:r>
        <w:t xml:space="preserve">- Règle de prise / Conseil Patient : Forme orale à jeun strict (1 h avant repas) ; 4 prises/jour à heures régulières ; hydratation abondante.</w:t>
      </w:r>
      <w:r>
        <w:t xml:space="preserve"> </w:t>
      </w:r>
      <w:r>
        <w:t xml:space="preserve">- Préparation et Conservation : Poudre pour suspension buvable reconstituée : 7 jours au réfrigérateur (+2 à +8 °C), agitation avant chaque prise. Poudre pour solution injectable : reconstitution extemporanée avec eau pour préparation injectable ou NaCl 0,9 %, stabilité 24 h à température ambiante, 7 jours au réfrigérateur. Ne pas congeler.</w:t>
      </w:r>
      <w:r>
        <w:t xml:space="preserve"> </w:t>
      </w:r>
      <w:r>
        <w:t xml:space="preserve">- Piège du surdosage / Substitution : Surdosage = convulsions, encéphalopathie — dialysable. Ne pas substituer ampicilline ↔ amoxicilline per os sans réévaluation (biodisponibilité différente). Vérifier le dosage des suspensions pédiatriques à la dispensation.</w:t>
      </w:r>
    </w:p>
    <w:p>
      <w:r>
        <w:pict>
          <v:rect style="width:0;height:1.5pt" o:hralign="center" o:hrstd="t" o:hr="t"/>
        </w:pict>
      </w:r>
    </w:p>
    <w:bookmarkEnd w:id="41"/>
    <w:bookmarkEnd w:id="42"/>
    <w:bookmarkStart w:id="44" w:name="X97cc7914066ac54b55533ae38c0660b87eeddbd"/>
    <w:p>
      <w:pPr>
        <w:pStyle w:val="Heading2"/>
      </w:pPr>
      <w:r>
        <w:t xml:space="preserve">2.4 Sous-classe : Pénicillines A + Inhibiteurs de β-lactamases</w:t>
      </w:r>
    </w:p>
    <w:p>
      <w:pPr>
        <w:pStyle w:val="FirstParagraph"/>
      </w:pPr>
      <w:r>
        <w:t xml:space="preserve">L’acide clavulanique, produit par fermentation de</w:t>
      </w:r>
      <w:r>
        <w:t xml:space="preserve"> </w:t>
      </w:r>
      <w:r>
        <w:rPr>
          <w:i/>
          <w:iCs/>
        </w:rPr>
        <w:t xml:space="preserve">Streptomyces clavuligerus</w:t>
      </w:r>
      <w:r>
        <w:t xml:space="preserve">, est un inhibiteur suicide des β-lactamases de classe A (pénicillinases de staphylocoques, BLSE, β-lactamases d’</w:t>
      </w:r>
      <w:r>
        <w:rPr>
          <w:i/>
          <w:iCs/>
        </w:rPr>
        <w:t xml:space="preserve">Haemophilus</w:t>
      </w:r>
      <w:r>
        <w:t xml:space="preserve">, de</w:t>
      </w:r>
      <w:r>
        <w:t xml:space="preserve"> </w:t>
      </w:r>
      <w:r>
        <w:rPr>
          <w:i/>
          <w:iCs/>
        </w:rPr>
        <w:t xml:space="preserve">Moraxella</w:t>
      </w:r>
      <w:r>
        <w:t xml:space="preserve">, de</w:t>
      </w:r>
      <w:r>
        <w:t xml:space="preserve"> </w:t>
      </w:r>
      <w:r>
        <w:rPr>
          <w:i/>
          <w:iCs/>
        </w:rPr>
        <w:t xml:space="preserve">Bacteroides</w:t>
      </w:r>
      <w:r>
        <w:t xml:space="preserve">). Sa structure chimique, proche de celle des pénicillines (noyau oxazolidine fused à un cycle β-lactame), lui permet de se fixer de manière irreversible sur la sérine active des β-lactamases, les inactivant et restaurant ainsi l’activité de l’amoxicilline sur les souches productrices. L’acide clavulanique n’a pas d’activité antibactérienne propre (CMI très élevées), mais potentialise l’amoxicilline. Son ratio avec l’amoxicilline est variable : 4:1 (historique), 7:1 (forme standard adulte et enfant), 8:1 (forme « Duo » à libération modifiée), 14:1 (forme pédiatrique à forte dose). L’association amoxicilline-acide clavulanique est indiquée dans les infections à germes producteurs de β-lactamases (otite récurrente, sinusite persistante, pneumonie sous ventilation, infection urinaire récidivante, morsure, infection respiratoire basse avec BPCO), mais expose à un surcroît d’effets indésirables (diarrhée 2 à 3 fois plus fréquente, hépatotoxicité cholestatique, candidose). La prescription systématique en première intention, sans documentation microbiologique, est déconseillée par l’ANSM en raison du risque écologique (sélection de souches résistantes) et digestif.</w:t>
      </w:r>
    </w:p>
    <w:bookmarkStart w:id="43" w:name="Xb9570cf2af4c4d1de94a1252a5d1a8c99e342f7"/>
    <w:p>
      <w:pPr>
        <w:pStyle w:val="Heading3"/>
      </w:pPr>
      <w:r>
        <w:t xml:space="preserve">2.4.1 DCI : Amoxicilline + Acide clavulanique (En association)</w:t>
      </w:r>
    </w:p>
    <w:p>
      <w:pPr>
        <w:pStyle w:val="FirstParagraph"/>
      </w:pPr>
      <w:r>
        <w:rPr>
          <w:b/>
          <w:bCs/>
        </w:rPr>
        <w:t xml:space="preserve">Liste des Catégories :</w:t>
      </w:r>
      <w:r>
        <w:t xml:space="preserve"> </w:t>
      </w:r>
      <w:r>
        <w:t xml:space="preserve">Pénicillines ; Bêta-lactamines ; Pénicillines A ; Pénicillines A + Inhibiteurs de β-lactamases ; Antibiotique bactéricide ; Voie orale et injectable ; Liste I.</w:t>
      </w:r>
    </w:p>
    <w:p>
      <w:pPr>
        <w:pStyle w:val="BodyText"/>
      </w:pPr>
      <w:r>
        <w:t xml:space="preserve">L’association amoxicilline + acide clavulanique est l’une des spécialités les plus prescrites au monde. En Algérie, elle est commercialisée sous de nombreuses marques (AUGMENTIN, AMOCLAN, BIOCLAV, CLAVODAR, KLAVOX, etc.) avec des ratios variables (4:1, 7:1, 8:1, 14:1) et des formes orales (comprimés, suspensions, sachets) et injectables. Le ratio 8:1 (875 mg/125 mg) permet une posologie biquotidienne, tandis que le ratio 14:1 (600 mg/42,9 mg/5 mL) est indiqué dans l’otite moyenne aiguë à</w:t>
      </w:r>
      <w:r>
        <w:t xml:space="preserve"> </w:t>
      </w:r>
      <w:r>
        <w:rPr>
          <w:i/>
          <w:iCs/>
        </w:rPr>
        <w:t xml:space="preserve">H. influenzae</w:t>
      </w:r>
      <w:r>
        <w:t xml:space="preserve"> </w:t>
      </w:r>
      <w:r>
        <w:t xml:space="preserve">producteur de β-lactamases (dose d’amoxicilline 90 mg/kg/j).</w:t>
      </w:r>
    </w:p>
    <w:p>
      <w:pPr>
        <w:pStyle w:val="BodyText"/>
      </w:pPr>
      <w:r>
        <w:rPr>
          <w:b/>
          <w:bCs/>
        </w:rPr>
        <w:t xml:space="preserve">Médicaments disponibles en Algérie (Marques, Laboratoires, Formes et Dosages) :</w:t>
      </w:r>
    </w:p>
    <w:p>
      <w:pPr>
        <w:pStyle w:val="BodyText"/>
      </w:pPr>
      <w:r>
        <w:rPr>
          <w:b/>
          <w:bCs/>
        </w:rPr>
        <w:t xml:space="preserve">Spécialités Actives ou partiellement actives :</w:t>
      </w:r>
    </w:p>
    <w:p>
      <w:pPr>
        <w:pStyle w:val="Compact"/>
        <w:numPr>
          <w:ilvl w:val="0"/>
          <w:numId w:val="1061"/>
        </w:numPr>
      </w:pPr>
      <w:r>
        <w:rPr>
          <w:b/>
          <w:bCs/>
        </w:rPr>
        <w:t xml:space="preserve">AMOCLAN 8:1</w:t>
      </w:r>
      <w:r>
        <w:t xml:space="preserve"> </w:t>
      </w:r>
      <w:r>
        <w:t xml:space="preserve">(HIKMA PHARMA ALGERIA / HIKMA PHARMACEUTICALS)</w:t>
      </w:r>
    </w:p>
    <w:p>
      <w:pPr>
        <w:pStyle w:val="Compact"/>
        <w:numPr>
          <w:ilvl w:val="1"/>
          <w:numId w:val="1062"/>
        </w:numPr>
      </w:pPr>
      <w:r>
        <w:t xml:space="preserve">Formes : Comprimé 500/62,5 mg ; Poudre pour suspension buvable enfant 100/12,5 mg/mL ; Sachet dose 500/62,5 mg, 1 g/125 mg</w:t>
      </w:r>
    </w:p>
    <w:p>
      <w:pPr>
        <w:pStyle w:val="Compact"/>
        <w:numPr>
          <w:ilvl w:val="1"/>
          <w:numId w:val="1062"/>
        </w:numPr>
      </w:pPr>
      <w:r>
        <w:t xml:space="preserve">Statut : Partiellement actif</w:t>
      </w:r>
    </w:p>
    <w:p>
      <w:pPr>
        <w:pStyle w:val="Compact"/>
        <w:numPr>
          <w:ilvl w:val="0"/>
          <w:numId w:val="1061"/>
        </w:numPr>
      </w:pPr>
      <w:r>
        <w:rPr>
          <w:b/>
          <w:bCs/>
        </w:rPr>
        <w:t xml:space="preserve">AMOCLAN BID</w:t>
      </w:r>
      <w:r>
        <w:t xml:space="preserve"> </w:t>
      </w:r>
      <w:r>
        <w:t xml:space="preserve">(HIKMA PHARMA ALGERIA)</w:t>
      </w:r>
    </w:p>
    <w:p>
      <w:pPr>
        <w:pStyle w:val="Compact"/>
        <w:numPr>
          <w:ilvl w:val="1"/>
          <w:numId w:val="1063"/>
        </w:numPr>
      </w:pPr>
      <w:r>
        <w:t xml:space="preserve">Formes : Comprimé pelliculé 875/125 mg ; Poudre pour suspension buvable 200/28,5 mg/5 mL, 400/57 mg/5 mL</w:t>
      </w:r>
    </w:p>
    <w:p>
      <w:pPr>
        <w:pStyle w:val="Compact"/>
        <w:numPr>
          <w:ilvl w:val="1"/>
          <w:numId w:val="1063"/>
        </w:numPr>
      </w:pPr>
      <w:r>
        <w:t xml:space="preserve">Statut : Partiellement actif</w:t>
      </w:r>
    </w:p>
    <w:p>
      <w:pPr>
        <w:pStyle w:val="Compact"/>
        <w:numPr>
          <w:ilvl w:val="0"/>
          <w:numId w:val="1061"/>
        </w:numPr>
      </w:pPr>
      <w:r>
        <w:rPr>
          <w:b/>
          <w:bCs/>
        </w:rPr>
        <w:t xml:space="preserve">AMOCLON ES</w:t>
      </w:r>
      <w:r>
        <w:t xml:space="preserve"> </w:t>
      </w:r>
      <w:r>
        <w:t xml:space="preserve">(HIKMA PHARMA ALGERIA)</w:t>
      </w:r>
    </w:p>
    <w:p>
      <w:pPr>
        <w:pStyle w:val="Compact"/>
        <w:numPr>
          <w:ilvl w:val="1"/>
          <w:numId w:val="1064"/>
        </w:numPr>
      </w:pPr>
      <w:r>
        <w:t xml:space="preserve">Formes : Poudre pour suspension buvable 600/42,9 mg/5 mL</w:t>
      </w:r>
    </w:p>
    <w:p>
      <w:pPr>
        <w:pStyle w:val="Compact"/>
        <w:numPr>
          <w:ilvl w:val="1"/>
          <w:numId w:val="1064"/>
        </w:numPr>
      </w:pPr>
      <w:r>
        <w:t xml:space="preserve">Statut : Actif</w:t>
      </w:r>
    </w:p>
    <w:p>
      <w:pPr>
        <w:pStyle w:val="Compact"/>
        <w:numPr>
          <w:ilvl w:val="0"/>
          <w:numId w:val="1061"/>
        </w:numPr>
      </w:pPr>
      <w:r>
        <w:rPr>
          <w:b/>
          <w:bCs/>
        </w:rPr>
        <w:t xml:space="preserve">AUGMENTIN</w:t>
      </w:r>
      <w:r>
        <w:t xml:space="preserve"> </w:t>
      </w:r>
      <w:r>
        <w:t xml:space="preserve">(GLAXO SMITHKLINE / GLAXOSMITHKLINE ALGERIE SPA)</w:t>
      </w:r>
    </w:p>
    <w:p>
      <w:pPr>
        <w:pStyle w:val="Compact"/>
        <w:numPr>
          <w:ilvl w:val="1"/>
          <w:numId w:val="1065"/>
        </w:numPr>
      </w:pPr>
      <w:r>
        <w:t xml:space="preserve">Formes : Comprimé 500/125 mg ; Poudre pour solution injectable IV 500/50 mg, 1 g/200 mg, 2 g/200 mg ; Poudre pour suspension buvable 250/62,5 mg/5 mL ; Sachet dose 1 g/125 mg</w:t>
      </w:r>
    </w:p>
    <w:p>
      <w:pPr>
        <w:pStyle w:val="Compact"/>
        <w:numPr>
          <w:ilvl w:val="1"/>
          <w:numId w:val="1065"/>
        </w:numPr>
      </w:pPr>
      <w:r>
        <w:t xml:space="preserve">Statut : Partiellement actif</w:t>
      </w:r>
    </w:p>
    <w:p>
      <w:pPr>
        <w:pStyle w:val="Compact"/>
        <w:numPr>
          <w:ilvl w:val="0"/>
          <w:numId w:val="1061"/>
        </w:numPr>
      </w:pPr>
      <w:r>
        <w:rPr>
          <w:b/>
          <w:bCs/>
        </w:rPr>
        <w:t xml:space="preserve">AUGMENTIN ENFANT</w:t>
      </w:r>
      <w:r>
        <w:t xml:space="preserve"> </w:t>
      </w:r>
      <w:r>
        <w:t xml:space="preserve">(GLAXOSMITHKLINE ALGERIE SPA)</w:t>
      </w:r>
    </w:p>
    <w:p>
      <w:pPr>
        <w:pStyle w:val="Compact"/>
        <w:numPr>
          <w:ilvl w:val="1"/>
          <w:numId w:val="1066"/>
        </w:numPr>
      </w:pPr>
      <w:r>
        <w:t xml:space="preserve">Formes : Sachet dose 500/62,5 mg ; Poudre pour suspension buvable enfant/nourrisson 100/12,5 mg/mL</w:t>
      </w:r>
    </w:p>
    <w:p>
      <w:pPr>
        <w:pStyle w:val="Compact"/>
        <w:numPr>
          <w:ilvl w:val="1"/>
          <w:numId w:val="1066"/>
        </w:numPr>
      </w:pPr>
      <w:r>
        <w:t xml:space="preserve">Statut : Actif</w:t>
      </w:r>
    </w:p>
    <w:p>
      <w:pPr>
        <w:pStyle w:val="Compact"/>
        <w:numPr>
          <w:ilvl w:val="0"/>
          <w:numId w:val="1061"/>
        </w:numPr>
      </w:pPr>
      <w:r>
        <w:rPr>
          <w:b/>
          <w:bCs/>
        </w:rPr>
        <w:t xml:space="preserve">BIOCLAV</w:t>
      </w:r>
      <w:r>
        <w:t xml:space="preserve"> </w:t>
      </w:r>
      <w:r>
        <w:t xml:space="preserve">(BIOCARE)</w:t>
      </w:r>
    </w:p>
    <w:p>
      <w:pPr>
        <w:pStyle w:val="Compact"/>
        <w:numPr>
          <w:ilvl w:val="1"/>
          <w:numId w:val="1067"/>
        </w:numPr>
      </w:pPr>
      <w:r>
        <w:t xml:space="preserve">Formes : Comprimé pelliculé 500/62,5 mg ; Poudre pour solution injectable IV 1 g/200 mg ; Poudre pour suspension buvable enfant/nourrisson 100/12,5 mg/mL</w:t>
      </w:r>
    </w:p>
    <w:p>
      <w:pPr>
        <w:pStyle w:val="Compact"/>
        <w:numPr>
          <w:ilvl w:val="1"/>
          <w:numId w:val="1067"/>
        </w:numPr>
      </w:pPr>
      <w:r>
        <w:t xml:space="preserve">Statut : Actif</w:t>
      </w:r>
    </w:p>
    <w:p>
      <w:pPr>
        <w:pStyle w:val="Compact"/>
        <w:numPr>
          <w:ilvl w:val="0"/>
          <w:numId w:val="1061"/>
        </w:numPr>
      </w:pPr>
      <w:r>
        <w:rPr>
          <w:b/>
          <w:bCs/>
        </w:rPr>
        <w:t xml:space="preserve">BIOCLAV 8:1</w:t>
      </w:r>
      <w:r>
        <w:t xml:space="preserve"> </w:t>
      </w:r>
      <w:r>
        <w:t xml:space="preserve">(BIOCARE)</w:t>
      </w:r>
    </w:p>
    <w:p>
      <w:pPr>
        <w:pStyle w:val="Compact"/>
        <w:numPr>
          <w:ilvl w:val="1"/>
          <w:numId w:val="1068"/>
        </w:numPr>
      </w:pPr>
      <w:r>
        <w:t xml:space="preserve">Formes : Sachet dose 500/62,5 mg, 1 g/125 mg</w:t>
      </w:r>
    </w:p>
    <w:p>
      <w:pPr>
        <w:pStyle w:val="Compact"/>
        <w:numPr>
          <w:ilvl w:val="1"/>
          <w:numId w:val="1068"/>
        </w:numPr>
      </w:pPr>
      <w:r>
        <w:t xml:space="preserve">Statut : Actif</w:t>
      </w:r>
    </w:p>
    <w:p>
      <w:pPr>
        <w:pStyle w:val="Compact"/>
        <w:numPr>
          <w:ilvl w:val="0"/>
          <w:numId w:val="1061"/>
        </w:numPr>
      </w:pPr>
      <w:r>
        <w:rPr>
          <w:b/>
          <w:bCs/>
        </w:rPr>
        <w:t xml:space="preserve">CLAMOCLAV</w:t>
      </w:r>
      <w:r>
        <w:t xml:space="preserve"> </w:t>
      </w:r>
      <w:r>
        <w:t xml:space="preserve">(EURL GENIS PHARMACEUTIQUE)</w:t>
      </w:r>
    </w:p>
    <w:p>
      <w:pPr>
        <w:pStyle w:val="Compact"/>
        <w:numPr>
          <w:ilvl w:val="1"/>
          <w:numId w:val="1069"/>
        </w:numPr>
      </w:pPr>
      <w:r>
        <w:t xml:space="preserve">Formes : Sachet dose 1 g/125 mg</w:t>
      </w:r>
    </w:p>
    <w:p>
      <w:pPr>
        <w:pStyle w:val="Compact"/>
        <w:numPr>
          <w:ilvl w:val="1"/>
          <w:numId w:val="1069"/>
        </w:numPr>
      </w:pPr>
      <w:r>
        <w:t xml:space="preserve">Statut : Actif</w:t>
      </w:r>
    </w:p>
    <w:p>
      <w:pPr>
        <w:pStyle w:val="Compact"/>
        <w:numPr>
          <w:ilvl w:val="0"/>
          <w:numId w:val="1061"/>
        </w:numPr>
      </w:pPr>
      <w:r>
        <w:rPr>
          <w:b/>
          <w:bCs/>
        </w:rPr>
        <w:t xml:space="preserve">CLAMOCLAV ENFANT ET NOURRISSON</w:t>
      </w:r>
      <w:r>
        <w:t xml:space="preserve"> </w:t>
      </w:r>
      <w:r>
        <w:t xml:space="preserve">(EURL GENIS PHARMACEUTIQUE)</w:t>
      </w:r>
    </w:p>
    <w:p>
      <w:pPr>
        <w:pStyle w:val="Compact"/>
        <w:numPr>
          <w:ilvl w:val="1"/>
          <w:numId w:val="1070"/>
        </w:numPr>
      </w:pPr>
      <w:r>
        <w:t xml:space="preserve">Formes : Poudre pour suspension buvable 100/12,5 mg/mL</w:t>
      </w:r>
    </w:p>
    <w:p>
      <w:pPr>
        <w:pStyle w:val="Compact"/>
        <w:numPr>
          <w:ilvl w:val="1"/>
          <w:numId w:val="1070"/>
        </w:numPr>
      </w:pPr>
      <w:r>
        <w:t xml:space="preserve">Statut : Actif</w:t>
      </w:r>
    </w:p>
    <w:p>
      <w:pPr>
        <w:pStyle w:val="Compact"/>
        <w:numPr>
          <w:ilvl w:val="0"/>
          <w:numId w:val="1061"/>
        </w:numPr>
      </w:pPr>
      <w:r>
        <w:rPr>
          <w:b/>
          <w:bCs/>
        </w:rPr>
        <w:t xml:space="preserve">CLAMOXYPEN</w:t>
      </w:r>
      <w:r>
        <w:t xml:space="preserve"> </w:t>
      </w:r>
      <w:r>
        <w:t xml:space="preserve">(GROUPE SAIDAL)</w:t>
      </w:r>
    </w:p>
    <w:p>
      <w:pPr>
        <w:pStyle w:val="Compact"/>
        <w:numPr>
          <w:ilvl w:val="1"/>
          <w:numId w:val="1071"/>
        </w:numPr>
      </w:pPr>
      <w:r>
        <w:t xml:space="preserve">Formes : Poudre pour solution injectable IV 1 g/200 mg</w:t>
      </w:r>
    </w:p>
    <w:p>
      <w:pPr>
        <w:pStyle w:val="Compact"/>
        <w:numPr>
          <w:ilvl w:val="1"/>
          <w:numId w:val="1071"/>
        </w:numPr>
      </w:pPr>
      <w:r>
        <w:t xml:space="preserve">Statut : Actif</w:t>
      </w:r>
    </w:p>
    <w:p>
      <w:pPr>
        <w:pStyle w:val="Compact"/>
        <w:numPr>
          <w:ilvl w:val="0"/>
          <w:numId w:val="1061"/>
        </w:numPr>
      </w:pPr>
      <w:r>
        <w:rPr>
          <w:b/>
          <w:bCs/>
        </w:rPr>
        <w:t xml:space="preserve">CLAMOXYPEN ENFANTS</w:t>
      </w:r>
      <w:r>
        <w:t xml:space="preserve"> </w:t>
      </w:r>
      <w:r>
        <w:t xml:space="preserve">(GROUPE SAIDAL)</w:t>
      </w:r>
    </w:p>
    <w:p>
      <w:pPr>
        <w:pStyle w:val="Compact"/>
        <w:numPr>
          <w:ilvl w:val="1"/>
          <w:numId w:val="1072"/>
        </w:numPr>
      </w:pPr>
      <w:r>
        <w:t xml:space="preserve">Formes : Poudre pour suspension buvable enfant/nourrisson 100/12,5 mg/mL</w:t>
      </w:r>
    </w:p>
    <w:p>
      <w:pPr>
        <w:pStyle w:val="Compact"/>
        <w:numPr>
          <w:ilvl w:val="1"/>
          <w:numId w:val="1072"/>
        </w:numPr>
      </w:pPr>
      <w:r>
        <w:t xml:space="preserve">Statut : Actif</w:t>
      </w:r>
    </w:p>
    <w:p>
      <w:pPr>
        <w:pStyle w:val="Compact"/>
        <w:numPr>
          <w:ilvl w:val="0"/>
          <w:numId w:val="1061"/>
        </w:numPr>
      </w:pPr>
      <w:r>
        <w:rPr>
          <w:b/>
          <w:bCs/>
        </w:rPr>
        <w:t xml:space="preserve">CLAMOXYPEN NOURISSONS</w:t>
      </w:r>
      <w:r>
        <w:t xml:space="preserve"> </w:t>
      </w:r>
      <w:r>
        <w:t xml:space="preserve">(GROUPE SAIDAL)</w:t>
      </w:r>
    </w:p>
    <w:p>
      <w:pPr>
        <w:pStyle w:val="Compact"/>
        <w:numPr>
          <w:ilvl w:val="1"/>
          <w:numId w:val="1073"/>
        </w:numPr>
      </w:pPr>
      <w:r>
        <w:t xml:space="preserve">Formes : Poudre pour suspension buvable enfant/nourrisson 100/12,5 mg/mL</w:t>
      </w:r>
    </w:p>
    <w:p>
      <w:pPr>
        <w:pStyle w:val="Compact"/>
        <w:numPr>
          <w:ilvl w:val="1"/>
          <w:numId w:val="1073"/>
        </w:numPr>
      </w:pPr>
      <w:r>
        <w:t xml:space="preserve">Statut : Actif</w:t>
      </w:r>
    </w:p>
    <w:p>
      <w:pPr>
        <w:pStyle w:val="Compact"/>
        <w:numPr>
          <w:ilvl w:val="0"/>
          <w:numId w:val="1061"/>
        </w:numPr>
      </w:pPr>
      <w:r>
        <w:rPr>
          <w:b/>
          <w:bCs/>
        </w:rPr>
        <w:t xml:space="preserve">CLAVODA R 625</w:t>
      </w:r>
      <w:r>
        <w:t xml:space="preserve"> </w:t>
      </w:r>
      <w:r>
        <w:t xml:space="preserve">(DAR AL DAWA)</w:t>
      </w:r>
    </w:p>
    <w:p>
      <w:pPr>
        <w:pStyle w:val="Compact"/>
        <w:numPr>
          <w:ilvl w:val="1"/>
          <w:numId w:val="1074"/>
        </w:numPr>
      </w:pPr>
      <w:r>
        <w:t xml:space="preserve">Formes : Comprimé pelliculé 500/125 mg</w:t>
      </w:r>
    </w:p>
    <w:p>
      <w:pPr>
        <w:pStyle w:val="Compact"/>
        <w:numPr>
          <w:ilvl w:val="1"/>
          <w:numId w:val="1074"/>
        </w:numPr>
      </w:pPr>
      <w:r>
        <w:t xml:space="preserve">Statut : Actif</w:t>
      </w:r>
    </w:p>
    <w:p>
      <w:pPr>
        <w:pStyle w:val="Compact"/>
        <w:numPr>
          <w:ilvl w:val="0"/>
          <w:numId w:val="1061"/>
        </w:numPr>
      </w:pPr>
      <w:r>
        <w:rPr>
          <w:b/>
          <w:bCs/>
        </w:rPr>
        <w:t xml:space="preserve">CLAVODAR 1G</w:t>
      </w:r>
      <w:r>
        <w:t xml:space="preserve"> </w:t>
      </w:r>
      <w:r>
        <w:t xml:space="preserve">(DAR AL DAWA)</w:t>
      </w:r>
    </w:p>
    <w:p>
      <w:pPr>
        <w:pStyle w:val="Compact"/>
        <w:numPr>
          <w:ilvl w:val="1"/>
          <w:numId w:val="1075"/>
        </w:numPr>
      </w:pPr>
      <w:r>
        <w:t xml:space="preserve">Formes : Comprimé pelliculé 875/125 mg</w:t>
      </w:r>
    </w:p>
    <w:p>
      <w:pPr>
        <w:pStyle w:val="Compact"/>
        <w:numPr>
          <w:ilvl w:val="1"/>
          <w:numId w:val="1075"/>
        </w:numPr>
      </w:pPr>
      <w:r>
        <w:t xml:space="preserve">Statut : Actif</w:t>
      </w:r>
    </w:p>
    <w:p>
      <w:pPr>
        <w:pStyle w:val="Compact"/>
        <w:numPr>
          <w:ilvl w:val="0"/>
          <w:numId w:val="1061"/>
        </w:numPr>
      </w:pPr>
      <w:r>
        <w:rPr>
          <w:b/>
          <w:bCs/>
        </w:rPr>
        <w:t xml:space="preserve">CLAVODAR FORTE 400/57</w:t>
      </w:r>
      <w:r>
        <w:t xml:space="preserve"> </w:t>
      </w:r>
      <w:r>
        <w:t xml:space="preserve">(DAR AL DAWA)</w:t>
      </w:r>
    </w:p>
    <w:p>
      <w:pPr>
        <w:pStyle w:val="Compact"/>
        <w:numPr>
          <w:ilvl w:val="1"/>
          <w:numId w:val="1076"/>
        </w:numPr>
      </w:pPr>
      <w:r>
        <w:t xml:space="preserve">Formes : Poudre pour solution buvable 400/57 mg/5 mL</w:t>
      </w:r>
    </w:p>
    <w:p>
      <w:pPr>
        <w:pStyle w:val="Compact"/>
        <w:numPr>
          <w:ilvl w:val="1"/>
          <w:numId w:val="1076"/>
        </w:numPr>
      </w:pPr>
      <w:r>
        <w:t xml:space="preserve">Statut : Actif</w:t>
      </w:r>
    </w:p>
    <w:p>
      <w:pPr>
        <w:pStyle w:val="Compact"/>
        <w:numPr>
          <w:ilvl w:val="0"/>
          <w:numId w:val="1061"/>
        </w:numPr>
      </w:pPr>
      <w:r>
        <w:rPr>
          <w:b/>
          <w:bCs/>
        </w:rPr>
        <w:t xml:space="preserve">CLAVODEX</w:t>
      </w:r>
      <w:r>
        <w:t xml:space="preserve"> </w:t>
      </w:r>
      <w:r>
        <w:t xml:space="preserve">(CONTINENTAL PHARM)</w:t>
      </w:r>
    </w:p>
    <w:p>
      <w:pPr>
        <w:pStyle w:val="Compact"/>
        <w:numPr>
          <w:ilvl w:val="1"/>
          <w:numId w:val="1077"/>
        </w:numPr>
      </w:pPr>
      <w:r>
        <w:t xml:space="preserve">Formes : Comprimé pelliculé 500/125 mg, 500/62,5 mg ; Poudre pour solution buvable 250/62,5 mg/5 mL ; Poudre pour suspension buvable enfant/nourrisson 100/12,5 mg/mL ; Sachet dose 500/62,5 mg, 1 g/125 mg</w:t>
      </w:r>
    </w:p>
    <w:p>
      <w:pPr>
        <w:pStyle w:val="Compact"/>
        <w:numPr>
          <w:ilvl w:val="1"/>
          <w:numId w:val="1077"/>
        </w:numPr>
      </w:pPr>
      <w:r>
        <w:t xml:space="preserve">Statut : Actif</w:t>
      </w:r>
    </w:p>
    <w:p>
      <w:pPr>
        <w:pStyle w:val="Compact"/>
        <w:numPr>
          <w:ilvl w:val="0"/>
          <w:numId w:val="1061"/>
        </w:numPr>
      </w:pPr>
      <w:r>
        <w:rPr>
          <w:b/>
          <w:bCs/>
        </w:rPr>
        <w:t xml:space="preserve">CLAVODEX DUO</w:t>
      </w:r>
      <w:r>
        <w:t xml:space="preserve"> </w:t>
      </w:r>
      <w:r>
        <w:t xml:space="preserve">(CONTINENTAL PHARM)</w:t>
      </w:r>
    </w:p>
    <w:p>
      <w:pPr>
        <w:pStyle w:val="Compact"/>
        <w:numPr>
          <w:ilvl w:val="1"/>
          <w:numId w:val="1078"/>
        </w:numPr>
      </w:pPr>
      <w:r>
        <w:t xml:space="preserve">Formes : Comprimé pelliculé 875/125 mg ; Poudre pour suspension buvable 400/57 mg/5 mL</w:t>
      </w:r>
    </w:p>
    <w:p>
      <w:pPr>
        <w:pStyle w:val="Compact"/>
        <w:numPr>
          <w:ilvl w:val="1"/>
          <w:numId w:val="1078"/>
        </w:numPr>
      </w:pPr>
      <w:r>
        <w:t xml:space="preserve">Statut : Actif</w:t>
      </w:r>
    </w:p>
    <w:p>
      <w:pPr>
        <w:pStyle w:val="Compact"/>
        <w:numPr>
          <w:ilvl w:val="0"/>
          <w:numId w:val="1061"/>
        </w:numPr>
      </w:pPr>
      <w:r>
        <w:rPr>
          <w:b/>
          <w:bCs/>
        </w:rPr>
        <w:t xml:space="preserve">ECOCLAV</w:t>
      </w:r>
      <w:r>
        <w:t xml:space="preserve"> </w:t>
      </w:r>
      <w:r>
        <w:t xml:space="preserve">(AL DAR AL ARABIA SPA)</w:t>
      </w:r>
    </w:p>
    <w:p>
      <w:pPr>
        <w:pStyle w:val="Compact"/>
        <w:numPr>
          <w:ilvl w:val="1"/>
          <w:numId w:val="1079"/>
        </w:numPr>
      </w:pPr>
      <w:r>
        <w:t xml:space="preserve">Formes : Sachet dose 500/62,5 mg, 1 g/125 mg</w:t>
      </w:r>
    </w:p>
    <w:p>
      <w:pPr>
        <w:pStyle w:val="Compact"/>
        <w:numPr>
          <w:ilvl w:val="1"/>
          <w:numId w:val="1079"/>
        </w:numPr>
      </w:pPr>
      <w:r>
        <w:t xml:space="preserve">Statut : Actif</w:t>
      </w:r>
    </w:p>
    <w:p>
      <w:pPr>
        <w:pStyle w:val="Compact"/>
        <w:numPr>
          <w:ilvl w:val="0"/>
          <w:numId w:val="1061"/>
        </w:numPr>
      </w:pPr>
      <w:r>
        <w:rPr>
          <w:b/>
          <w:bCs/>
        </w:rPr>
        <w:t xml:space="preserve">KLAVOX</w:t>
      </w:r>
      <w:r>
        <w:t xml:space="preserve"> </w:t>
      </w:r>
      <w:r>
        <w:t xml:space="preserve">(SPIMACO / SPIMACO ADDWAEIH)</w:t>
      </w:r>
    </w:p>
    <w:p>
      <w:pPr>
        <w:pStyle w:val="Compact"/>
        <w:numPr>
          <w:ilvl w:val="1"/>
          <w:numId w:val="1080"/>
        </w:numPr>
      </w:pPr>
      <w:r>
        <w:t xml:space="preserve">Formes : Comprimé enrobé 500/125 mg ; Comprimé pelliculé 875/125 mg ; Poudre pour suspension buvable 125/31,25 mg/5 mL, 250/62,5 mg/5 mL, 200/28 mg/5 mL, 400/57 mg/5 mL</w:t>
      </w:r>
    </w:p>
    <w:p>
      <w:pPr>
        <w:pStyle w:val="Compact"/>
        <w:numPr>
          <w:ilvl w:val="1"/>
          <w:numId w:val="1080"/>
        </w:numPr>
      </w:pPr>
      <w:r>
        <w:t xml:space="preserve">Statut : Partiellement actif</w:t>
      </w:r>
    </w:p>
    <w:p>
      <w:pPr>
        <w:pStyle w:val="Compact"/>
        <w:numPr>
          <w:ilvl w:val="0"/>
          <w:numId w:val="1061"/>
        </w:numPr>
      </w:pPr>
      <w:r>
        <w:rPr>
          <w:b/>
          <w:bCs/>
        </w:rPr>
        <w:t xml:space="preserve">TABUKLAV</w:t>
      </w:r>
      <w:r>
        <w:t xml:space="preserve"> </w:t>
      </w:r>
      <w:r>
        <w:t xml:space="preserve">(EL KENDI)</w:t>
      </w:r>
    </w:p>
    <w:p>
      <w:pPr>
        <w:pStyle w:val="Compact"/>
        <w:numPr>
          <w:ilvl w:val="1"/>
          <w:numId w:val="1081"/>
        </w:numPr>
      </w:pPr>
      <w:r>
        <w:t xml:space="preserve">Formes : Poudre et solvant pour solution injectable IV 500/100 mg, 1 g/200 mg</w:t>
      </w:r>
    </w:p>
    <w:p>
      <w:pPr>
        <w:pStyle w:val="Compact"/>
        <w:numPr>
          <w:ilvl w:val="1"/>
          <w:numId w:val="1081"/>
        </w:numPr>
      </w:pPr>
      <w:r>
        <w:t xml:space="preserve">Statut : Partiellement actif</w:t>
      </w:r>
    </w:p>
    <w:p>
      <w:pPr>
        <w:pStyle w:val="FirstParagraph"/>
      </w:pPr>
      <w:r>
        <w:rPr>
          <w:b/>
          <w:bCs/>
        </w:rPr>
        <w:t xml:space="preserve">Spécialités Non Renouvelables :</w:t>
      </w:r>
    </w:p>
    <w:p>
      <w:pPr>
        <w:pStyle w:val="Compact"/>
        <w:numPr>
          <w:ilvl w:val="0"/>
          <w:numId w:val="1082"/>
        </w:numPr>
      </w:pPr>
      <w:r>
        <w:rPr>
          <w:b/>
          <w:bCs/>
        </w:rPr>
        <w:t xml:space="preserve">AMOCLAN FORTE</w:t>
      </w:r>
      <w:r>
        <w:t xml:space="preserve"> </w:t>
      </w:r>
      <w:r>
        <w:t xml:space="preserve">(HIKMA PHARMACEUTICALS) — Comprimé 500/125 mg ; Poudre pour suspension buvable 250/62,5 mg/5 mL</w:t>
      </w:r>
    </w:p>
    <w:p>
      <w:pPr>
        <w:pStyle w:val="Compact"/>
        <w:numPr>
          <w:ilvl w:val="0"/>
          <w:numId w:val="1082"/>
        </w:numPr>
      </w:pPr>
      <w:r>
        <w:rPr>
          <w:b/>
          <w:bCs/>
        </w:rPr>
        <w:t xml:space="preserve">AMOXICILLINE/ACIDE CLAVULANIQUE SANDOZ ADULTE</w:t>
      </w:r>
      <w:r>
        <w:t xml:space="preserve"> </w:t>
      </w:r>
      <w:r>
        <w:t xml:space="preserve">(SANDOZ) — Comprimé pelliculé 500/62,5 mg ; Sachet dose 1 g/125 mg</w:t>
      </w:r>
    </w:p>
    <w:p>
      <w:pPr>
        <w:pStyle w:val="Compact"/>
        <w:numPr>
          <w:ilvl w:val="0"/>
          <w:numId w:val="1082"/>
        </w:numPr>
      </w:pPr>
      <w:r>
        <w:rPr>
          <w:b/>
          <w:bCs/>
        </w:rPr>
        <w:t xml:space="preserve">AUGMENTIMEX ADULTES</w:t>
      </w:r>
      <w:r>
        <w:t xml:space="preserve"> </w:t>
      </w:r>
      <w:r>
        <w:t xml:space="preserve">(KPMA) — Comprimé pelliculé 500/62,5 mg</w:t>
      </w:r>
    </w:p>
    <w:p>
      <w:pPr>
        <w:pStyle w:val="Compact"/>
        <w:numPr>
          <w:ilvl w:val="0"/>
          <w:numId w:val="1082"/>
        </w:numPr>
      </w:pPr>
      <w:r>
        <w:rPr>
          <w:b/>
          <w:bCs/>
        </w:rPr>
        <w:t xml:space="preserve">AUGMENTIN ADULTES</w:t>
      </w:r>
      <w:r>
        <w:t xml:space="preserve"> </w:t>
      </w:r>
      <w:r>
        <w:t xml:space="preserve">(GLAXO SMITHKLINE) — Comprimé pelliculé 500/62,5 mg</w:t>
      </w:r>
    </w:p>
    <w:p>
      <w:pPr>
        <w:pStyle w:val="Compact"/>
        <w:numPr>
          <w:ilvl w:val="0"/>
          <w:numId w:val="1082"/>
        </w:numPr>
      </w:pPr>
      <w:r>
        <w:rPr>
          <w:b/>
          <w:bCs/>
        </w:rPr>
        <w:t xml:space="preserve">AUGMENTIN ENFANTS</w:t>
      </w:r>
      <w:r>
        <w:t xml:space="preserve"> </w:t>
      </w:r>
      <w:r>
        <w:t xml:space="preserve">(GLAXO SMITHKLINE) — Sachet dose 500/62,5 mg</w:t>
      </w:r>
    </w:p>
    <w:p>
      <w:pPr>
        <w:pStyle w:val="Compact"/>
        <w:numPr>
          <w:ilvl w:val="0"/>
          <w:numId w:val="1082"/>
        </w:numPr>
      </w:pPr>
      <w:r>
        <w:rPr>
          <w:b/>
          <w:bCs/>
        </w:rPr>
        <w:t xml:space="preserve">CLAMENTIN 625</w:t>
      </w:r>
      <w:r>
        <w:t xml:space="preserve"> </w:t>
      </w:r>
      <w:r>
        <w:t xml:space="preserve">(LAD) — Comprimé 500/125 mg</w:t>
      </w:r>
    </w:p>
    <w:p>
      <w:pPr>
        <w:pStyle w:val="Compact"/>
        <w:numPr>
          <w:ilvl w:val="0"/>
          <w:numId w:val="1082"/>
        </w:numPr>
      </w:pPr>
      <w:r>
        <w:rPr>
          <w:b/>
          <w:bCs/>
        </w:rPr>
        <w:t xml:space="preserve">CLAVODAR 200/28,5</w:t>
      </w:r>
      <w:r>
        <w:t xml:space="preserve"> </w:t>
      </w:r>
      <w:r>
        <w:t xml:space="preserve">(DAR AL DAWA) — Poudre pour suspension buvable 200/28,5 mg/5 mL</w:t>
      </w:r>
    </w:p>
    <w:p>
      <w:pPr>
        <w:pStyle w:val="Compact"/>
        <w:numPr>
          <w:ilvl w:val="0"/>
          <w:numId w:val="1082"/>
        </w:numPr>
      </w:pPr>
      <w:r>
        <w:rPr>
          <w:b/>
          <w:bCs/>
        </w:rPr>
        <w:t xml:space="preserve">CLAVOR</w:t>
      </w:r>
      <w:r>
        <w:t xml:space="preserve"> </w:t>
      </w:r>
      <w:r>
        <w:t xml:space="preserve">(APU) — Comprimé 500/62,5 mg ; Sachet dose 1 g/125 mg ; Poudre pour suspension buvable 100/12,5 mg/mL</w:t>
      </w:r>
    </w:p>
    <w:p>
      <w:pPr>
        <w:pStyle w:val="Compact"/>
        <w:numPr>
          <w:ilvl w:val="0"/>
          <w:numId w:val="1082"/>
        </w:numPr>
      </w:pPr>
      <w:r>
        <w:rPr>
          <w:b/>
          <w:bCs/>
        </w:rPr>
        <w:t xml:space="preserve">CLAVUCILLINE</w:t>
      </w:r>
      <w:r>
        <w:t xml:space="preserve"> </w:t>
      </w:r>
      <w:r>
        <w:t xml:space="preserve">(PHARMALLIANCE) — Comprimé pelliculé 500/125 mg ; Poudre pour suspension buvable 250/62,5 mg/5 mL, 125/31,25 mg/5 mL</w:t>
      </w:r>
    </w:p>
    <w:p>
      <w:pPr>
        <w:pStyle w:val="Compact"/>
        <w:numPr>
          <w:ilvl w:val="0"/>
          <w:numId w:val="1082"/>
        </w:numPr>
      </w:pPr>
      <w:r>
        <w:rPr>
          <w:b/>
          <w:bCs/>
        </w:rPr>
        <w:t xml:space="preserve">CURAM</w:t>
      </w:r>
      <w:r>
        <w:t xml:space="preserve"> </w:t>
      </w:r>
      <w:r>
        <w:t xml:space="preserve">(BIOCHEMIE GmbH) — Comprimé pelliculé 500/125 mg ; Poudre pour suspension buvable 125/31,25 mg/5 mL, 250/62,5 mg/5 mL</w:t>
      </w:r>
    </w:p>
    <w:p>
      <w:pPr>
        <w:pStyle w:val="Compact"/>
        <w:numPr>
          <w:ilvl w:val="0"/>
          <w:numId w:val="1082"/>
        </w:numPr>
      </w:pPr>
      <w:r>
        <w:rPr>
          <w:b/>
          <w:bCs/>
        </w:rPr>
        <w:t xml:space="preserve">MEGAMOX</w:t>
      </w:r>
      <w:r>
        <w:t xml:space="preserve"> </w:t>
      </w:r>
      <w:r>
        <w:t xml:space="preserve">(JAZEERA) — Comprimé 500/125 mg</w:t>
      </w:r>
    </w:p>
    <w:p>
      <w:pPr>
        <w:pStyle w:val="Compact"/>
        <w:numPr>
          <w:ilvl w:val="0"/>
          <w:numId w:val="1082"/>
        </w:numPr>
      </w:pPr>
      <w:r>
        <w:rPr>
          <w:b/>
          <w:bCs/>
        </w:rPr>
        <w:t xml:space="preserve">ULTIMOX</w:t>
      </w:r>
      <w:r>
        <w:t xml:space="preserve"> </w:t>
      </w:r>
      <w:r>
        <w:t xml:space="preserve">(BIOVITAL Sarl) — Comprimé pelliculé sécable 500/125 mg</w:t>
      </w:r>
    </w:p>
    <w:p>
      <w:pPr>
        <w:pStyle w:val="Compact"/>
        <w:numPr>
          <w:ilvl w:val="0"/>
          <w:numId w:val="1082"/>
        </w:numPr>
      </w:pPr>
      <w:r>
        <w:rPr>
          <w:b/>
          <w:bCs/>
        </w:rPr>
        <w:t xml:space="preserve">VAAMOX ADULTE</w:t>
      </w:r>
      <w:r>
        <w:t xml:space="preserve"> </w:t>
      </w:r>
      <w:r>
        <w:t xml:space="preserve">(UNIMED) — Poudre pour solution injectable IV 1 g/200 mg</w:t>
      </w:r>
    </w:p>
    <w:p>
      <w:pPr>
        <w:pStyle w:val="Compact"/>
        <w:numPr>
          <w:ilvl w:val="0"/>
          <w:numId w:val="1082"/>
        </w:numPr>
      </w:pPr>
      <w:r>
        <w:rPr>
          <w:b/>
          <w:bCs/>
        </w:rPr>
        <w:t xml:space="preserve">VAAMOX ENFANT ET NOURRISSON</w:t>
      </w:r>
      <w:r>
        <w:t xml:space="preserve"> </w:t>
      </w:r>
      <w:r>
        <w:t xml:space="preserve">(UNIMED) — Poudre pour solution injectable IV 500/50 mg</w:t>
      </w:r>
    </w:p>
    <w:p>
      <w:pPr>
        <w:pStyle w:val="FirstParagraph"/>
      </w:pPr>
      <w:r>
        <w:rPr>
          <w:b/>
          <w:bCs/>
        </w:rPr>
        <w:t xml:space="preserve">Spécialités Retirées du marché (R) :</w:t>
      </w:r>
    </w:p>
    <w:p>
      <w:pPr>
        <w:pStyle w:val="Compact"/>
        <w:numPr>
          <w:ilvl w:val="0"/>
          <w:numId w:val="1083"/>
        </w:numPr>
      </w:pPr>
      <w:r>
        <w:rPr>
          <w:b/>
          <w:bCs/>
        </w:rPr>
        <w:t xml:space="preserve">AMOCLAN (R)</w:t>
      </w:r>
      <w:r>
        <w:t xml:space="preserve"> </w:t>
      </w:r>
      <w:r>
        <w:t xml:space="preserve">(HIKMA) — Poudre pour solution injectable IV 500/100 mg, 1 g/200 mg</w:t>
      </w:r>
    </w:p>
    <w:p>
      <w:pPr>
        <w:pStyle w:val="Compact"/>
        <w:numPr>
          <w:ilvl w:val="0"/>
          <w:numId w:val="1083"/>
        </w:numPr>
      </w:pPr>
      <w:r>
        <w:rPr>
          <w:b/>
          <w:bCs/>
        </w:rPr>
        <w:t xml:space="preserve">AMOCLAV ENFANT (R)</w:t>
      </w:r>
      <w:r>
        <w:t xml:space="preserve"> </w:t>
      </w:r>
      <w:r>
        <w:t xml:space="preserve">(ARAB PHARM) — Poudre pour suspension buvable 100/12,5 mg/mL</w:t>
      </w:r>
    </w:p>
    <w:p>
      <w:pPr>
        <w:pStyle w:val="Compact"/>
        <w:numPr>
          <w:ilvl w:val="0"/>
          <w:numId w:val="1083"/>
        </w:numPr>
      </w:pPr>
      <w:r>
        <w:rPr>
          <w:b/>
          <w:bCs/>
        </w:rPr>
        <w:t xml:space="preserve">AMOKSIKLAV (R)</w:t>
      </w:r>
      <w:r>
        <w:t xml:space="preserve"> </w:t>
      </w:r>
      <w:r>
        <w:t xml:space="preserve">(LEK) — Poudre pour solution buvable 250/62,5 mg/5 mL</w:t>
      </w:r>
    </w:p>
    <w:p>
      <w:pPr>
        <w:pStyle w:val="Compact"/>
        <w:numPr>
          <w:ilvl w:val="0"/>
          <w:numId w:val="1083"/>
        </w:numPr>
      </w:pPr>
      <w:r>
        <w:rPr>
          <w:b/>
          <w:bCs/>
        </w:rPr>
        <w:t xml:space="preserve">AMOXICILLINE / ACIDE CLAVULANIQUE SANDOZ (ENFANT ET NOURRISSON) (R)</w:t>
      </w:r>
      <w:r>
        <w:t xml:space="preserve"> </w:t>
      </w:r>
      <w:r>
        <w:t xml:space="preserve">(SANDOZ) — Poudre pour suspension buvable 100/12,5 mg/mL</w:t>
      </w:r>
    </w:p>
    <w:p>
      <w:pPr>
        <w:pStyle w:val="Compact"/>
        <w:numPr>
          <w:ilvl w:val="0"/>
          <w:numId w:val="1083"/>
        </w:numPr>
      </w:pPr>
      <w:r>
        <w:rPr>
          <w:b/>
          <w:bCs/>
        </w:rPr>
        <w:t xml:space="preserve">AUGMENTIMEX ENFANTS (R)</w:t>
      </w:r>
      <w:r>
        <w:t xml:space="preserve"> </w:t>
      </w:r>
      <w:r>
        <w:t xml:space="preserve">(KPMA) — Poudre pour suspension buvable 100/12,5 mg/mL</w:t>
      </w:r>
    </w:p>
    <w:p>
      <w:pPr>
        <w:pStyle w:val="Compact"/>
        <w:numPr>
          <w:ilvl w:val="0"/>
          <w:numId w:val="1083"/>
        </w:numPr>
      </w:pPr>
      <w:r>
        <w:rPr>
          <w:b/>
          <w:bCs/>
        </w:rPr>
        <w:t xml:space="preserve">BIOTIC PLUS (R)</w:t>
      </w:r>
      <w:r>
        <w:t xml:space="preserve"> </w:t>
      </w:r>
      <w:r>
        <w:t xml:space="preserve">(GALENICA) — Poudre pour suspension buvable 125/31,25 mg/5 mL, 250/62,5 mg/5 mL</w:t>
      </w:r>
    </w:p>
    <w:p>
      <w:pPr>
        <w:pStyle w:val="Compact"/>
        <w:numPr>
          <w:ilvl w:val="0"/>
          <w:numId w:val="1083"/>
        </w:numPr>
      </w:pPr>
      <w:r>
        <w:rPr>
          <w:b/>
          <w:bCs/>
        </w:rPr>
        <w:t xml:space="preserve">CLAVAMOX (R)</w:t>
      </w:r>
      <w:r>
        <w:t xml:space="preserve"> </w:t>
      </w:r>
      <w:r>
        <w:t xml:space="preserve">(SOPHAL) — Comprimé pelliculé 500/125 mg, 500/62,5 mg</w:t>
      </w:r>
    </w:p>
    <w:p>
      <w:pPr>
        <w:pStyle w:val="FirstParagraph"/>
      </w:pPr>
      <w:r>
        <w:rPr>
          <w:b/>
          <w:bCs/>
        </w:rPr>
        <w:t xml:space="preserve">Sous-classe et Mécanisme d’action :</w:t>
      </w:r>
      <w:r>
        <w:t xml:space="preserve"> </w:t>
      </w:r>
      <w:r>
        <w:t xml:space="preserve">- Sous-classe : Association d’une aminopénicilline (amoxicilline) et d’un inhibiteur de β-lactamases (acide clavulanique), sous-groupe des pénicillines A + inhibiteurs. Inscrite sur la liste OMS des médicaments essentiels (« Watch » — à réserver aux infections documentées ou à risque de résistance).</w:t>
      </w:r>
      <w:r>
        <w:t xml:space="preserve"> </w:t>
      </w:r>
      <w:r>
        <w:t xml:space="preserve">- Mécanisme d’action : L’amoxicilline exerce son action bactéricide par inhibition des PBP, comme décrit précédemment. L’acide clavulanique, structure mimétique du noyau β-lactame, se lie de manière irreversible (inhibiteur suicide) à la sérine active des β-lactamases de classe A (pénicillinases staphylococciques, TEM-1, TEM-2, SHV-1, β-lactamases chromosomiques d’</w:t>
      </w:r>
      <w:r>
        <w:rPr>
          <w:i/>
          <w:iCs/>
        </w:rPr>
        <w:t xml:space="preserve">H. influenzae</w:t>
      </w:r>
      <w:r>
        <w:t xml:space="preserve">,</w:t>
      </w:r>
      <w:r>
        <w:t xml:space="preserve"> </w:t>
      </w:r>
      <w:r>
        <w:rPr>
          <w:i/>
          <w:iCs/>
        </w:rPr>
        <w:t xml:space="preserve">M. catarrhalis</w:t>
      </w:r>
      <w:r>
        <w:t xml:space="preserve">,</w:t>
      </w:r>
      <w:r>
        <w:t xml:space="preserve"> </w:t>
      </w:r>
      <w:r>
        <w:rPr>
          <w:i/>
          <w:iCs/>
        </w:rPr>
        <w:t xml:space="preserve">Bacteroides</w:t>
      </w:r>
      <w:r>
        <w:t xml:space="preserve"> </w:t>
      </w:r>
      <w:r>
        <w:t xml:space="preserve">spp.,</w:t>
      </w:r>
      <w:r>
        <w:t xml:space="preserve"> </w:t>
      </w:r>
      <w:r>
        <w:rPr>
          <w:i/>
          <w:iCs/>
        </w:rPr>
        <w:t xml:space="preserve">E. coli</w:t>
      </w:r>
      <w:r>
        <w:t xml:space="preserve"> </w:t>
      </w:r>
      <w:r>
        <w:t xml:space="preserve">ampC non inductibles), les inactivant et restaurant ainsi l’activité de l’amoxicilline. L’acide clavulanique n’inhibe pas les β-lactamases de classe B (métallo-β-lactamases), ni les AmpC inductibles d’</w:t>
      </w:r>
      <w:r>
        <w:rPr>
          <w:i/>
          <w:iCs/>
        </w:rPr>
        <w:t xml:space="preserve">Enterobacter</w:t>
      </w:r>
      <w:r>
        <w:t xml:space="preserve">,</w:t>
      </w:r>
      <w:r>
        <w:t xml:space="preserve"> </w:t>
      </w:r>
      <w:r>
        <w:rPr>
          <w:i/>
          <w:iCs/>
        </w:rPr>
        <w:t xml:space="preserve">Serratia</w:t>
      </w:r>
      <w:r>
        <w:t xml:space="preserve">,</w:t>
      </w:r>
      <w:r>
        <w:t xml:space="preserve"> </w:t>
      </w:r>
      <w:r>
        <w:rPr>
          <w:i/>
          <w:iCs/>
        </w:rPr>
        <w:t xml:space="preserve">Citrobacter</w:t>
      </w:r>
      <w:r>
        <w:t xml:space="preserve">,</w:t>
      </w:r>
      <w:r>
        <w:t xml:space="preserve"> </w:t>
      </w:r>
      <w:r>
        <w:rPr>
          <w:i/>
          <w:iCs/>
        </w:rPr>
        <w:t xml:space="preserve">Pseudomonas</w:t>
      </w:r>
      <w:r>
        <w:t xml:space="preserve">, ni les carbapénémases de classe D (OXA).</w:t>
      </w:r>
    </w:p>
    <w:p>
      <w:pPr>
        <w:pStyle w:val="BodyText"/>
      </w:pPr>
      <w:r>
        <w:rPr>
          <w:b/>
          <w:bCs/>
        </w:rPr>
        <w:t xml:space="preserve">Profil Pharmacologique :</w:t>
      </w:r>
      <w:r>
        <w:t xml:space="preserve"> </w:t>
      </w:r>
      <w:r>
        <w:t xml:space="preserve">- Indications : Otite moyenne aiguë (1re intention chez l’enfant &lt; 2 ans ou échec de l’amoxicilline à 48–72 h) ; sinusite bactérienne persistante ou récidivante ; exacerbation de BPCO modérée à sévère ; pneumonie aiguë communautaire avec suspicion de β-lactamase (</w:t>
      </w:r>
      <w:r>
        <w:rPr>
          <w:i/>
          <w:iCs/>
        </w:rPr>
        <w:t xml:space="preserve">H. influenzae</w:t>
      </w:r>
      <w:r>
        <w:t xml:space="preserve">,</w:t>
      </w:r>
      <w:r>
        <w:t xml:space="preserve"> </w:t>
      </w:r>
      <w:r>
        <w:rPr>
          <w:i/>
          <w:iCs/>
        </w:rPr>
        <w:t xml:space="preserve">M. catarrhalis</w:t>
      </w:r>
      <w:r>
        <w:t xml:space="preserve">) ; infection urinaire compliquée ou récidivante (pyélonéphrite, prostatite) ; infection urinaire avec risque de BLSE (cathéter, hospitalisation récente) ; infections stomatologiques (abcès dentaire, cellulite péridentaire) ; morsure animale ou humaine (</w:t>
      </w:r>
      <w:r>
        <w:rPr>
          <w:i/>
          <w:iCs/>
        </w:rPr>
        <w:t xml:space="preserve">Pasteurella multocida</w:t>
      </w:r>
      <w:r>
        <w:t xml:space="preserve">,</w:t>
      </w:r>
      <w:r>
        <w:t xml:space="preserve"> </w:t>
      </w:r>
      <w:r>
        <w:rPr>
          <w:i/>
          <w:iCs/>
        </w:rPr>
        <w:t xml:space="preserve">Eikenella corrodens</w:t>
      </w:r>
      <w:r>
        <w:t xml:space="preserve">, anaérobies) ; infection ostéoarticulaire à germes sensibles ; infection billiaire ; infection pelvi-péritonéale (en association) ; prophylaxie de l’endocardite (alternative à l’amoxicilline seule chez l’allergique non sévère — NON, l’amoxicilline + acide clavulanique n’est PAS recommandée en prophylaxie, préférer amoxicilline ou clindamycine).</w:t>
      </w:r>
      <w:r>
        <w:t xml:space="preserve"> </w:t>
      </w:r>
      <w:r>
        <w:t xml:space="preserve">- Contre-indications : Allergie aux β-lactamines (CI absolue) ; antécédent d’atteinte hépatique liée à l’amoxicilline + acide clavulanique (CI absolue — récidive en 50 % des cas, possible hépatite fulminante) ; mononucléose infectieuse (risque d’éruption majoré) ; insuffisance hépatique sévère ; enfant &lt; 6 mois pour certaines formes.</w:t>
      </w:r>
      <w:r>
        <w:t xml:space="preserve"> </w:t>
      </w:r>
      <w:r>
        <w:t xml:space="preserve">- Effets Indésirables : Diarrhée (10–25 %, soit 2 à 3 fois plus que l’amoxicilline seule — par modification de la flore intestinale et stimulation des sécrétions chlorées coliques par l’acide clavulanique), nausées, vomissements, candidose digestive, colite à</w:t>
      </w:r>
      <w:r>
        <w:t xml:space="preserve"> </w:t>
      </w:r>
      <w:r>
        <w:rPr>
          <w:i/>
          <w:iCs/>
        </w:rPr>
        <w:t xml:space="preserve">C. difficile</w:t>
      </w:r>
      <w:r>
        <w:t xml:space="preserve"> </w:t>
      </w:r>
      <w:r>
        <w:t xml:space="preserve">(plus fréquente que l’amoxicilline seule) ; éruption cutanée (5–10 %), urticaire, anaphylaxie ; hépatotoxicité cholestatique (1/10 000 — caractéristique de l’acide clavulanique, survenant 1 à 6 semaines après le traitement, plus fréquente chez le sujet âgé, posologie élevée et prolongée, ratio 8:1 ou 14:1 ; cytolyse possible), hépatite fulminante exceptionnelle ; néphrite interstitielle, cristallurie (fortes doses) ; convulsions à fortes doses (insuffisance rénale).</w:t>
      </w:r>
    </w:p>
    <w:p>
      <w:pPr>
        <w:pStyle w:val="BodyText"/>
      </w:pPr>
      <w:r>
        <w:rPr>
          <w:b/>
          <w:bCs/>
        </w:rPr>
        <w:t xml:space="preserve">Prévention et Gestion des Effets Indésirables :</w:t>
      </w:r>
      <w:r>
        <w:t xml:space="preserve"> </w:t>
      </w:r>
      <w:r>
        <w:t xml:space="preserve">- Mesures Préventives (Pharmacien &amp; Patient) : Prise pendant le repas pour réduire la tolérance digestive ; hydratation ≥ 1,5 L/jour ; probiotiques type</w:t>
      </w:r>
      <w:r>
        <w:t xml:space="preserve"> </w:t>
      </w:r>
      <w:r>
        <w:rPr>
          <w:i/>
          <w:iCs/>
        </w:rPr>
        <w:t xml:space="preserve">Saccharomyces boulardii</w:t>
      </w:r>
      <w:r>
        <w:t xml:space="preserve"> </w:t>
      </w:r>
      <w:r>
        <w:t xml:space="preserve">(Ultralevure) à 200–500 mg/j ou</w:t>
      </w:r>
      <w:r>
        <w:t xml:space="preserve"> </w:t>
      </w:r>
      <w:r>
        <w:rPr>
          <w:i/>
          <w:iCs/>
        </w:rPr>
        <w:t xml:space="preserve">Lactobacillus rhamnosus GG</w:t>
      </w:r>
      <w:r>
        <w:t xml:space="preserve"> </w:t>
      </w:r>
      <w:r>
        <w:t xml:space="preserve">en cas d’antécédent de diarrhée ; durée la plus courte possible (5–7 jours en moyenne) ; surveillance du bilan hépatique si traitement &gt; 10 jours ou sujet âgé ; adaptation posologique si ClCr &lt; 30 mL/min (max 500/125 mg × 2/jour). Préférer le ratio 8:1 ou 14:1 pour limiter l’exposition à l’acide clavulanique (qui est à l’origine de l’hépatotoxicité).</w:t>
      </w:r>
      <w:r>
        <w:t xml:space="preserve"> </w:t>
      </w:r>
      <w:r>
        <w:t xml:space="preserve">- Conduite à Tenir : En cas de diarrhée simple : hydratation, probiotiques, poursuivre le traitement (sauf si sévère). En cas de diarrhée sanglante, fièvre, douleurs abdominales : suspicion de</w:t>
      </w:r>
      <w:r>
        <w:t xml:space="preserve"> </w:t>
      </w:r>
      <w:r>
        <w:rPr>
          <w:i/>
          <w:iCs/>
        </w:rPr>
        <w:t xml:space="preserve">C. difficile</w:t>
      </w:r>
      <w:r>
        <w:t xml:space="preserve"> </w:t>
      </w:r>
      <w:r>
        <w:t xml:space="preserve">— arrêt, recherche toxine A/B, métronidazole 500 mg × 3/j ou vancomycine orale 125 mg × 4/j. En cas d’ictère, prurit, urines foncées : arrêt immédiat, bilan hépatique (ALAT, ASAT, PAL, GGT, bilirubine), consultation spécialisée. En cas d’anaphylaxie : adrénaline IM 0,5 mg, SAMU.</w:t>
      </w:r>
    </w:p>
    <w:p>
      <w:pPr>
        <w:pStyle w:val="BodyText"/>
      </w:pPr>
      <w:r>
        <w:rPr>
          <w:b/>
          <w:bCs/>
        </w:rPr>
        <w:t xml:space="preserve">Interactions Importantes :</w:t>
      </w:r>
      <w:r>
        <w:t xml:space="preserve"> </w:t>
      </w:r>
      <w:r>
        <w:t xml:space="preserve">- Méthotrexate : Diminution de l’excrétion tubulaire, majoration de la toxicité médullaire et hépatique.</w:t>
      </w:r>
      <w:r>
        <w:t xml:space="preserve"> </w:t>
      </w:r>
      <w:r>
        <w:t xml:space="preserve">- Anticoagulants oraux (AVK) : Augmentation de l’INR, hémorragie (modification de la flore intestinale productrice de vitamine K).</w:t>
      </w:r>
      <w:r>
        <w:t xml:space="preserve"> </w:t>
      </w:r>
      <w:r>
        <w:t xml:space="preserve">- Contraceptifs oraux : Baisse d’efficacité théorique — méthode complémentaire pendant le traitement et 7 jours après.</w:t>
      </w:r>
      <w:r>
        <w:t xml:space="preserve"> </w:t>
      </w:r>
      <w:r>
        <w:t xml:space="preserve">- Allopurinol : Majoration du risque d’éruption cutanée.</w:t>
      </w:r>
      <w:r>
        <w:t xml:space="preserve"> </w:t>
      </w:r>
      <w:r>
        <w:t xml:space="preserve">- Probenécide : Augmente les concentrations d’amoxicilline (et diminution relative de l’acide clavulanique — à éviter).</w:t>
      </w:r>
      <w:r>
        <w:t xml:space="preserve"> </w:t>
      </w:r>
      <w:r>
        <w:t xml:space="preserve">- Mycophénolate mofétil : Diminution de l’efficacité (cycle entérohépatique).</w:t>
      </w:r>
    </w:p>
    <w:p>
      <w:pPr>
        <w:pStyle w:val="BodyText"/>
      </w:pPr>
      <w:r>
        <w:rPr>
          <w:b/>
          <w:bCs/>
        </w:rPr>
        <w:t xml:space="preserve">Grossesse et Allaitement :</w:t>
      </w:r>
      <w:r>
        <w:t xml:space="preserve"> </w:t>
      </w:r>
      <w:r>
        <w:t xml:space="preserve">- Grossesse : Indiqué avec précaution. L’acide clavulanique traverse la barrière fœtoplacentaire sans effet tératogène documenté (CRAT : « données humaines nombreuses rassurantes »). L’association est autorisée au cours de la grossesse si l’indication le justifie (otite récidivante, pyélonéphrite, infection à β-lactamase). À éviter au 1er trimestre par mesure de précaution (légère augmentation des cas de fente labio-palatine évoquée par une étude — non confirmée).</w:t>
      </w:r>
      <w:r>
        <w:t xml:space="preserve"> </w:t>
      </w:r>
      <w:r>
        <w:t xml:space="preserve">- Allaitement : Indiqué. Passage faible dans le lait, sans toxicité pour le nouveau-né. Risque de diarrhée, candidose — surveillance des selles.</w:t>
      </w:r>
      <w:r>
        <w:t xml:space="preserve"> </w:t>
      </w:r>
      <w:r>
        <w:t xml:space="preserve">- Précisions : Au cours de la grossesse, préférer amoxicilline seule en première intention, et réserver l’association aux situations documentées (β-lactamase, échec de l’amoxicilline).</w:t>
      </w:r>
    </w:p>
    <w:p>
      <w:pPr>
        <w:pStyle w:val="BodyText"/>
      </w:pPr>
      <w:r>
        <w:rPr>
          <w:b/>
          <w:bCs/>
        </w:rPr>
        <w:t xml:space="preserve">Posologie et Mode d’administration (Standard) :</w:t>
      </w:r>
      <w:r>
        <w:t xml:space="preserve"> </w:t>
      </w:r>
      <w:r>
        <w:t xml:space="preserve">- Adulte : Ratio 8:1 (875/125 mg) : 1 comprimé × 2/jour (soit 1 750/250 mg/jour). Ratio 7:1 (500/62,5 mg) : 1 comprimé × 3/jour ou 2 comprimés × 2/jour. Ratio 4:1 (500/125 mg) : 1 comprimé × 3/jour. Forme IV : 1 g/200 mg IV × 3/jour (infection sévère : 2 g/200 mg × 3/jour). Dose maximale : 3 g/jour d’amoxicilline. Pyélonéphrite : 1 g/125 mg × 3/jour IV pendant 10–14 jours. Prophylaxie endocardite : NON indiquée (préférer amoxicilline 2 g per os).</w:t>
      </w:r>
      <w:r>
        <w:t xml:space="preserve"> </w:t>
      </w:r>
      <w:r>
        <w:t xml:space="preserve">- Enfant : 80 à 100 mg/kg/jour d’amoxicilline en 2 à 3 prises (max 3 g/jour). Otite moyenne aiguë : 80–90 mg/kg/jour en 2 prises (ratio 14:1 à 90 mg/kg/j pour souches productrices de BLSE). Suspensions buvables 100/12,5 mg/mL, 125/31,25 mg/5 mL, 250/62,5 mg/5 mL, 400/57 mg/5 mL, 600/42,9 mg/5 mL. Nourrisson &lt; 3 mois : 30 mg/kg × 2/jour.</w:t>
      </w:r>
      <w:r>
        <w:t xml:space="preserve"> </w:t>
      </w:r>
      <w:r>
        <w:t xml:space="preserve">- Durée du traitement : Otite : 5–8 jours. Sinusite : 5–10 jours. Pneumonie : 5–7 jours. Exacerbation de BPCO : 5–7 jours. Pyélonéphrite : 10–14 jours. Morsure : 5–7 jours. Prophylaxie endocardite : NON indiquée. Limiter la durée pour réduire le risque d’hépatotoxicité (rare mais grave).</w:t>
      </w:r>
      <w:r>
        <w:t xml:space="preserve"> </w:t>
      </w:r>
      <w:r>
        <w:t xml:space="preserve">- Moment de la prise : Pendant le repas pour réduire la tolérance digestive (et optimiser l’absorption de l’acide clavulanique). Les comprimés sont à avaler entiers (ne pas croquer ni écraser les formes pelliculées) avec un grand verre d’eau, en position assise ou debout.</w:t>
      </w:r>
    </w:p>
    <w:p>
      <w:pPr>
        <w:pStyle w:val="BodyText"/>
      </w:pPr>
      <w:r>
        <w:rPr>
          <w:b/>
          <w:bCs/>
        </w:rPr>
        <w:t xml:space="preserve">Arbitrage et Bénéfices des Formes Galéniques :</w:t>
      </w:r>
      <w:r>
        <w:t xml:space="preserve"> </w:t>
      </w:r>
      <w:r>
        <w:t xml:space="preserve">Le ratio 8:1 (875/125 mg) est privilégié chez l’adulte pour la posologie biquotidienne (observance supérieure) et la réduction de l’exposition à l’acide clavulanique (hépatotoxicité dose-dépendante). Le ratio 14:1 (600/42,9 mg/5 mL) est indiqué dans l’otite moyenne aiguë à</w:t>
      </w:r>
      <w:r>
        <w:t xml:space="preserve"> </w:t>
      </w:r>
      <w:r>
        <w:rPr>
          <w:i/>
          <w:iCs/>
        </w:rPr>
        <w:t xml:space="preserve">H. influenzae</w:t>
      </w:r>
      <w:r>
        <w:t xml:space="preserve"> </w:t>
      </w:r>
      <w:r>
        <w:t xml:space="preserve">producteur de BLSE (dose d’amoxicilline 90 mg/kg/j tout en limitant l’acide clavulanique à 6,4 mg/kg/j — le seuil de diarrhée). Les sachets doses (500/62,5 mg, 1 g/125 mg) facilitent l’observance chez l’adulte ambulatoire. La forme IV (1 g/200 mg, 2 g/200 mg) est réservée à l’hospitalisation pour infections sévères. Le switch IV→per os précoce (dès l’apyrexie, à 48–72 h) est recommandé. La substitution par amoxicilline seule doit être systématiquement envisagée dès que la documentation microbiologique élimine une β-lactamase.</w:t>
      </w:r>
    </w:p>
    <w:p>
      <w:pPr>
        <w:pStyle w:val="BodyText"/>
      </w:pPr>
      <w:r>
        <w:rPr>
          <w:b/>
          <w:bCs/>
        </w:rPr>
        <w:t xml:space="preserve">Instructions et Conseils au Patient :</w:t>
      </w:r>
      <w:r>
        <w:t xml:space="preserve"> </w:t>
      </w:r>
      <w:r>
        <w:t xml:space="preserve">- Communication au comptoir : « C’est de l’amoxicilline renforcée par un deuxième médicament qui empêche les bactéries de la détruire. Prenez-le pendant les repas pour éviter les maux de ventre et la diarrhée, qui sont plus fréquents qu’avec l’amoxicilline simple. Buvez beaucoup d’eau. Prévenez votre médecin si vous avez la peau qui jaunit, si vous avez des urines foncées ou si vous êtes très fatigué : c’est un effet rare mais grave sur le foie qui impose l’arrêt. »</w:t>
      </w:r>
      <w:r>
        <w:t xml:space="preserve"> </w:t>
      </w:r>
      <w:r>
        <w:t xml:space="preserve">- Mode d’utilisation pratique : Suspension buvable : reconstitution avec eau bouillie refroidie jusqu’au trait, agitation vigoureuse, conservation 7 jours au réfrigérateur, agitation avant chaque prise. Comprimés : à avaler entiers avec un grand verre d’eau. En cas d’oubli : prise dès que possible si &lt; 2 h d’écart, sinon sauter la dose — ne jamais doubler. Ne pas associer à d’autres antibiotiques sans avis médical.</w:t>
      </w:r>
    </w:p>
    <w:p>
      <w:pPr>
        <w:pStyle w:val="BodyText"/>
      </w:pPr>
      <w:r>
        <w:rPr>
          <w:b/>
          <w:bCs/>
        </w:rPr>
        <w:t xml:space="preserve">Notes, Règles d’Or &amp; Pièges au Comptoir :</w:t>
      </w:r>
      <w:r>
        <w:t xml:space="preserve"> </w:t>
      </w:r>
      <w:r>
        <w:t xml:space="preserve">- Piège classique : Prescription systématique d’amoxicilline + acide clavulanique en première intention (angine, otite simple, infection urinaire non compliquée) — c’est un mésusage écologique qui sélectionne les BLSE et expose à l’hépatotoxicité. Le pharmacien doit alerter le prescripteur et proposer l’amoxicilline seule lorsque l’indication le permet.</w:t>
      </w:r>
      <w:r>
        <w:t xml:space="preserve"> </w:t>
      </w:r>
      <w:r>
        <w:t xml:space="preserve">- Règle de prise / Conseil Patient : Pendant le repas ; 2 prises par jour pour le ratio 8:1 ; durée courte (5–7 jours) ; surveillance des selles et de la couleur de la peau.</w:t>
      </w:r>
      <w:r>
        <w:t xml:space="preserve"> </w:t>
      </w:r>
      <w:r>
        <w:t xml:space="preserve">- Préparation et Conservation : Comprimés à température &lt; 25 °C, à l’abri de l’humidité. Suspension buvable reconstituée : 7 jours au réfrigérateur (+2 à +8 °C), agitation avant chaque prise. Ne pas congeler (précipitation de l’acide clavulanique).</w:t>
      </w:r>
      <w:r>
        <w:t xml:space="preserve"> </w:t>
      </w:r>
      <w:r>
        <w:t xml:space="preserve">- Piège du surdosage / Substitution : Surdosage en acide clavulanique = diarrhée sévère, hépatotoxicité. Ne pas substituer amoxicilline seule ↔ amoxicilline + acide clavulanique sans avis médical (spectre différent, posologie différente). Vérifier le dosage des suspensions pédiatriques (100/12,5 mg/mL vs 250/62,5 mg/5 mL — attention à l’unité, mg/mL vs mg/5 mL, source d’erreur fréquente chez l’enfant).</w:t>
      </w:r>
    </w:p>
    <w:p>
      <w:r>
        <w:pict>
          <v:rect style="width:0;height:1.5pt" o:hralign="center" o:hrstd="t" o:hr="t"/>
        </w:pict>
      </w:r>
    </w:p>
    <w:bookmarkEnd w:id="43"/>
    <w:bookmarkEnd w:id="44"/>
    <w:bookmarkStart w:id="47" w:name="X8fe5bc5c04c687ac98ee2ed16193aa7012628e5"/>
    <w:p>
      <w:pPr>
        <w:pStyle w:val="Heading2"/>
      </w:pPr>
      <w:r>
        <w:t xml:space="preserve">2.5 Sous-classe : Pénicillines M (pénicillines résistantes aux pénicillinases)</w:t>
      </w:r>
    </w:p>
    <w:p>
      <w:pPr>
        <w:pStyle w:val="FirstParagraph"/>
      </w:pPr>
      <w:r>
        <w:t xml:space="preserve">Les pénicillines M (cloxacilline, oxacilline, dicloxacilline, flucloxacilline) ont été développées dans les années 1960 pour contrer la résistance des staphylocoques à la pénicilline G par production de pénicillinases. Leur chaîne latérale acylée comporte un groupement isoxazolyle volumineux qui stériquement empêche la fixation de la pénicillinase staphylococcique sur le cycle β-lactame, garantissant leur stabilité enzymatique. Leur spectre est strict : actives sur les staphylocoques méti-S (sensibles à la méticilline), streptocoques et pneumocoques sensibles, elles sont INACTIVES sur les staphylocoques méti-R (résistants à la méticilline, SARM) qui produisent une PBP2a modifiée à faible affinité pour toutes les β-lactamines, et sur les bacilles à Gram négatif. En Algérie, où la prévalence du SARM communautaire est en augmentation, les pénicillines M restent indiquées en première intention dans les infections cutanées staphylococciques (impétigo, ecthyma, furoncle, anthrax, cellulite), les ostéomyélites aiguës, les arthrites septiques à staphylocoque méti-S, et les endocardites à staphylocoque méti-S (en association à gentamicine). Leur biodisponibilité orale est moyenne (30–80 %, selon la molécule), réduite par l’alimentation, imposant une prise à jeun. Leur hépatotoxicité (cholestase, hépatite cytolytique, particulièrement avec la flucloxacilline et la cloxacilline) limite leur durée d’utilisation.</w:t>
      </w:r>
    </w:p>
    <w:bookmarkStart w:id="45" w:name="dci-cloxacilline-seule"/>
    <w:p>
      <w:pPr>
        <w:pStyle w:val="Heading3"/>
      </w:pPr>
      <w:r>
        <w:t xml:space="preserve">2.5.1 DCI : Cloxacilline (Seule)</w:t>
      </w:r>
    </w:p>
    <w:p>
      <w:pPr>
        <w:pStyle w:val="FirstParagraph"/>
      </w:pPr>
      <w:r>
        <w:rPr>
          <w:b/>
          <w:bCs/>
        </w:rPr>
        <w:t xml:space="preserve">Liste des Catégories :</w:t>
      </w:r>
      <w:r>
        <w:t xml:space="preserve"> </w:t>
      </w:r>
      <w:r>
        <w:t xml:space="preserve">Pénicillines ; Bêta-lactamines ; Pénicillines M ; Pénicilline résistante à la pénicillinase ; Antibiotique bactéricide ; Liste I.</w:t>
      </w:r>
    </w:p>
    <w:p>
      <w:pPr>
        <w:pStyle w:val="BodyText"/>
      </w:pPr>
      <w:r>
        <w:t xml:space="preserve">La cloxacilline est l’isoxazolylpénicilline historique, caractérisée par un atome de chlore sur la chaîne latérale phénylique, qui améliore son absorption orale et son activité antistaphylococcique. Spécialité aujourd’hui retirée du marché algérien (Orbénine), elle reste mentionnée dans la nomenclature à des fins historiques et pédagogiques, et peut être retrouvée par importation dans certaines situations.</w:t>
      </w:r>
    </w:p>
    <w:p>
      <w:pPr>
        <w:pStyle w:val="BodyText"/>
      </w:pPr>
      <w:r>
        <w:rPr>
          <w:b/>
          <w:bCs/>
        </w:rPr>
        <w:t xml:space="preserve">Médicaments disponibles en Algérie (Marques, Laboratoires, Formes et Dosages) :</w:t>
      </w:r>
    </w:p>
    <w:p>
      <w:pPr>
        <w:pStyle w:val="Compact"/>
        <w:numPr>
          <w:ilvl w:val="0"/>
          <w:numId w:val="1084"/>
        </w:numPr>
      </w:pPr>
      <w:r>
        <w:rPr>
          <w:b/>
          <w:bCs/>
        </w:rPr>
        <w:t xml:space="preserve">ORBENINE (R)</w:t>
      </w:r>
      <w:r>
        <w:t xml:space="preserve"> </w:t>
      </w:r>
      <w:r>
        <w:t xml:space="preserve">(ASTELLAS PHARMA SAS)</w:t>
      </w:r>
    </w:p>
    <w:p>
      <w:pPr>
        <w:pStyle w:val="Compact"/>
        <w:numPr>
          <w:ilvl w:val="1"/>
          <w:numId w:val="1085"/>
        </w:numPr>
      </w:pPr>
      <w:r>
        <w:t xml:space="preserve">Formes et Dosages : Poudre et solvant pour solution injectable IM, 1 g/5 mL (exprimée en cloxacilline sodique monohydratée)</w:t>
      </w:r>
    </w:p>
    <w:p>
      <w:pPr>
        <w:pStyle w:val="Compact"/>
        <w:numPr>
          <w:ilvl w:val="1"/>
          <w:numId w:val="1085"/>
        </w:numPr>
      </w:pPr>
      <w:r>
        <w:t xml:space="preserve">Statut : Retiré</w:t>
      </w:r>
    </w:p>
    <w:p>
      <w:pPr>
        <w:pStyle w:val="FirstParagraph"/>
      </w:pPr>
      <w:r>
        <w:rPr>
          <w:b/>
          <w:bCs/>
        </w:rPr>
        <w:t xml:space="preserve">Sous-classe et Mécanisme d’action :</w:t>
      </w:r>
      <w:r>
        <w:t xml:space="preserve"> </w:t>
      </w:r>
      <w:r>
        <w:t xml:space="preserve">- Sous-classe : Pénicilline M (isoxazolylpénicilline), sous-groupe des pénicillines résistantes aux pénicillinases staphylococciques. Inscription OMS des médicaments essentiels.</w:t>
      </w:r>
      <w:r>
        <w:t xml:space="preserve"> </w:t>
      </w:r>
      <w:r>
        <w:t xml:space="preserve">- Mécanisme d’action : Bactéricide temps-dépendant. Fixation covalente sur les PBP staphylococciques (PBP1, PBP2, PBP3), inhibition de la transpeptidation, lyse osmotique. Le groupement isoxazolyle volumineux empêche stériquement l’accès de la β-lactamase staphylococcique (pénicillinase de classe A) au cycle β-lactame, garantissant la stabilité enzymatique. Inactive sur les SARM (production de PBP2a à très faible affinité pour toutes les β-lactamines).</w:t>
      </w:r>
    </w:p>
    <w:p>
      <w:pPr>
        <w:pStyle w:val="BodyText"/>
      </w:pPr>
      <w:r>
        <w:rPr>
          <w:b/>
          <w:bCs/>
        </w:rPr>
        <w:t xml:space="preserve">Profil Pharmacologique :</w:t>
      </w:r>
      <w:r>
        <w:t xml:space="preserve"> </w:t>
      </w:r>
      <w:r>
        <w:t xml:space="preserve">- Indications : Infections cutanées staphylococciques (impétigo bulleux, ecthyma, furonculose, anthrax staphylococcique, cellulite, lymphangite) ; ostéomyélite aiguë à staphylocoque méti-S ; arthrite septique à staphylocoque méti-S ; endocardite à staphylocoque méti-S (en association à gentamicine les 3–5 premiers jours) ; bactériémie à staphylocoque méti-S ; infections à streptocoque sensible (alternative à la pénicilline G) ; prophylaxie péri-opératoire en chirurgie orthopédique (alternative à la céfazoline).</w:t>
      </w:r>
      <w:r>
        <w:t xml:space="preserve"> </w:t>
      </w:r>
      <w:r>
        <w:t xml:space="preserve">- Contre-indications : Allergie aux β-lactamines (CI absolue) ; antécédent d’atteinte hépatique liée aux isoxazolylpénicillines (CI absolue — récidive fréquente) ; infection à SARM (inefficace) ; insuffisance hépatique sévère.</w:t>
      </w:r>
      <w:r>
        <w:t xml:space="preserve"> </w:t>
      </w:r>
      <w:r>
        <w:t xml:space="preserve">- Effets Indésirables : Éruption cutanée (3–5 %), urticaire, anaphylaxie ; troubles digestifs (nausées, vomissements, diarrhée 5–10 %) ; hépatotoxicité (cholestase, hépatite cytolytique — caractéristique des isoxazolylpénicillines, incidence 1/10 000 à 1/30 000, survenant 1 à 6 semaines après le traitement, plus fréquente avec la flucloxacilline et la cloxacilline que l’oxacilline) ; néphrite interstitielle (rare, 0,01 %) ; neutropénie (traitement prolongé &gt; 14 jours) ; thrombophlébite au site de perfusion (forme IV acide) ; coloration jaune des urines par métabolites (sans gravité).</w:t>
      </w:r>
    </w:p>
    <w:p>
      <w:pPr>
        <w:pStyle w:val="BodyText"/>
      </w:pPr>
      <w:r>
        <w:rPr>
          <w:b/>
          <w:bCs/>
        </w:rPr>
        <w:t xml:space="preserve">Prévention et Gestion des Effets Indésirables :</w:t>
      </w:r>
      <w:r>
        <w:t xml:space="preserve"> </w:t>
      </w:r>
      <w:r>
        <w:t xml:space="preserve">- Mesures Préventives (Pharmacien &amp; Patient) : Prise à jeun pour la forme orale (1 h avant ou 2 h après repas) ; hydratation ≥ 1,5 L/jour ; surveillance du bilan hépatique si traitement &gt; 14 jours ; adaptation posologique si ClCr &lt; 30 mL/min ; voie IV préférentielle à la voie IM (douleur) ; dilution importante (50–100 mL) pour la perfusion IV afin d’éviter les thrombophlébites. Probiotiques type</w:t>
      </w:r>
      <w:r>
        <w:t xml:space="preserve"> </w:t>
      </w:r>
      <w:r>
        <w:rPr>
          <w:i/>
          <w:iCs/>
        </w:rPr>
        <w:t xml:space="preserve">Saccharomyces boulardii</w:t>
      </w:r>
      <w:r>
        <w:t xml:space="preserve"> </w:t>
      </w:r>
      <w:r>
        <w:t xml:space="preserve">en cas de diarrhée.</w:t>
      </w:r>
      <w:r>
        <w:t xml:space="preserve"> </w:t>
      </w:r>
      <w:r>
        <w:t xml:space="preserve">- Conduite à Tenir : En cas d’ictère, prurit, urines foncées, asthénie : arrêt immédiat, bilan hépatique (ALAT, ASAT, PAL, GGT, bilirubine), consultation spécialisée. En cas de rash : arrêt et consultation. En cas d’anaphylaxie : adrénaline IM 0,5 mg, SAMU. En cas de neutropénie : arrêt, hémogramme de contrôle.</w:t>
      </w:r>
    </w:p>
    <w:p>
      <w:pPr>
        <w:pStyle w:val="BodyText"/>
      </w:pPr>
      <w:r>
        <w:rPr>
          <w:b/>
          <w:bCs/>
        </w:rPr>
        <w:t xml:space="preserve">Interactions Importantes :</w:t>
      </w:r>
      <w:r>
        <w:t xml:space="preserve"> </w:t>
      </w:r>
      <w:r>
        <w:t xml:space="preserve">- Anticoagulants oraux (AVK) : Augmentation de l’INR, hémorragie (modification de la flore intestinale).</w:t>
      </w:r>
      <w:r>
        <w:t xml:space="preserve"> </w:t>
      </w:r>
      <w:r>
        <w:t xml:space="preserve">- Méthotrexate : Diminution de l’excrétion tubulaire, majoration de la toxicité.</w:t>
      </w:r>
      <w:r>
        <w:t xml:space="preserve"> </w:t>
      </w:r>
      <w:r>
        <w:t xml:space="preserve">- Contraceptifs oraux : Baisse d’efficacité théorique.</w:t>
      </w:r>
      <w:r>
        <w:t xml:space="preserve"> </w:t>
      </w:r>
      <w:r>
        <w:t xml:space="preserve">- Probenécide : Augmente les concentrations plasmatiques.</w:t>
      </w:r>
      <w:r>
        <w:t xml:space="preserve"> </w:t>
      </w:r>
      <w:r>
        <w:t xml:space="preserve">- Aminosides : Synergie bactéricide sur les staphylocoques, mais inactivation réciproque dans la même tubulure.</w:t>
      </w:r>
    </w:p>
    <w:p>
      <w:pPr>
        <w:pStyle w:val="BodyText"/>
      </w:pPr>
      <w:r>
        <w:rPr>
          <w:b/>
          <w:bCs/>
        </w:rPr>
        <w:t xml:space="preserve">Grossesse et Allaitement :</w:t>
      </w:r>
      <w:r>
        <w:t xml:space="preserve"> </w:t>
      </w:r>
      <w:r>
        <w:t xml:space="preserve">- Grossesse : Indiqué avec précaution. La cloxacilline traverse la barrière fœtoplacentaire sans effet tératogène documenté (CRAT : données humaines limitées mais rassurantes). À éviter au 1er trimestre par mesure de précaution (hépatotoxicité maternelle possible).</w:t>
      </w:r>
      <w:r>
        <w:t xml:space="preserve"> </w:t>
      </w:r>
      <w:r>
        <w:t xml:space="preserve">- Allaitement : Indiqué. Passage faible dans le lait, sans toxicité pour le nouveau-né. Surveillance des selles.</w:t>
      </w:r>
      <w:r>
        <w:t xml:space="preserve"> </w:t>
      </w:r>
      <w:r>
        <w:t xml:space="preserve">- Précisions : Préférer l’oxacilline (plus large expérience) ou la céfazoline au cours de la grossesse si indication d’antistaphylococcique.</w:t>
      </w:r>
    </w:p>
    <w:p>
      <w:pPr>
        <w:pStyle w:val="BodyText"/>
      </w:pPr>
      <w:r>
        <w:rPr>
          <w:b/>
          <w:bCs/>
        </w:rPr>
        <w:t xml:space="preserve">Posologie et Mode d’administration (Standard) :</w:t>
      </w:r>
      <w:r>
        <w:t xml:space="preserve"> </w:t>
      </w:r>
      <w:r>
        <w:t xml:space="preserve">- Adulte : Voie orale : 2 à 3 g/jour en 4 prises (500 mg × 4/jour à jeun). Voie IV : 4 à 12 g/jour en 4 à 6 injections (1–3 g × 4/jour IV lente 30–60 min). Endocardite à staphylocoque méti-S : 8–12 g/jour IV pendant 4–6 semaines + gentamicine 3 mg/kg/j les 3–5 premiers jours. Ostéomyélite : 6–8 g/jour IV pendant 4–6 semaines.</w:t>
      </w:r>
      <w:r>
        <w:t xml:space="preserve"> </w:t>
      </w:r>
      <w:r>
        <w:t xml:space="preserve">- Enfant : 50 à 100 mg/kg/jour per os en 4 prises (à jeun). Voie IV : 100 à 200 mg/kg/jour en 4 à 6 injections (max 12 g/jour). Nourrisson : 50–100 mg/kg/jour IV en 4 injections.</w:t>
      </w:r>
      <w:r>
        <w:t xml:space="preserve"> </w:t>
      </w:r>
      <w:r>
        <w:t xml:space="preserve">- Durée du traitement : Infection cutanée : 7–10 jours. Ostéomyélite : 4–6 semaines. Endocardite : 4–6 semaines. Arthrite septique : 3–4 semaines.</w:t>
      </w:r>
      <w:r>
        <w:t xml:space="preserve"> </w:t>
      </w:r>
      <w:r>
        <w:t xml:space="preserve">- Moment de la prise : Forme orale à jeun strict (1 h avant ou 2 h après repas). Forme IV indépendante des repas, en perfusion lente (30–60 min) sur voie veineuse périphérique de gros calibre ou voie centrale.</w:t>
      </w:r>
    </w:p>
    <w:p>
      <w:pPr>
        <w:pStyle w:val="BodyText"/>
      </w:pPr>
      <w:r>
        <w:rPr>
          <w:b/>
          <w:bCs/>
        </w:rPr>
        <w:t xml:space="preserve">Arbitrage et Bénéfices des Formes Galéniques :</w:t>
      </w:r>
      <w:r>
        <w:t xml:space="preserve"> </w:t>
      </w:r>
      <w:r>
        <w:t xml:space="preserve">La cloxacilline orale (disparue du marché algérien) présentait l’avantage d’une biodisponibilité orale supérieure à l’oxacilline (50–80 % vs 30 %), mais son hépatotoxicité supérieure a conduit à son retrait progressif au profit de l’oxacilline (reste disponible) et de la flucloxacilline (non commercialisée en Algérie). La forme IV reste utile à l’hôpital pour les infections sévères à staphylocoque méti-S, en alternative à la céfazoline. Le switch IV→per os se fait vers l’oxacilline orale ou la pristinamycine.</w:t>
      </w:r>
    </w:p>
    <w:p>
      <w:pPr>
        <w:pStyle w:val="BodyText"/>
      </w:pPr>
      <w:r>
        <w:rPr>
          <w:b/>
          <w:bCs/>
        </w:rPr>
        <w:t xml:space="preserve">Instructions et Conseils au Patient :</w:t>
      </w:r>
      <w:r>
        <w:t xml:space="preserve"> </w:t>
      </w:r>
      <w:r>
        <w:t xml:space="preserve">- Communication au comptoir : « Cette spécialité n’est plus disponible en Algérie. Votre médecin vous prescrira un antistaphylococcique équivalent (oxacilline, pristinamycine, ou clindamycine selon le contexte). Si vous l’utilisez par importation, prenez-le à jeun (1 heure avant ou 2 heures après les repas), surveillez votre foie (jaunisse, urines foncées) et prévenez immédiatement votre médecin en cas d’effet indésirable. »</w:t>
      </w:r>
      <w:r>
        <w:t xml:space="preserve"> </w:t>
      </w:r>
      <w:r>
        <w:t xml:space="preserve">- Mode d’utilisation pratique : Forme orale à jeun stricte, 4 prises par jour à heures régulières. Forme IV : administration hospitalière, surveillance du bilan hépatique hebdomadaire.</w:t>
      </w:r>
    </w:p>
    <w:p>
      <w:pPr>
        <w:pStyle w:val="BodyText"/>
      </w:pPr>
      <w:r>
        <w:rPr>
          <w:b/>
          <w:bCs/>
        </w:rPr>
        <w:t xml:space="preserve">Notes, Règles d’Or &amp; Pièges au Comptoir :</w:t>
      </w:r>
      <w:r>
        <w:t xml:space="preserve"> </w:t>
      </w:r>
      <w:r>
        <w:t xml:space="preserve">- Piège classique : Prescription de cloxacilline (ou oxacilline) pour une infection à SARM suspectée (post-opératoire, hospitalisation récente, maison de retraite) — inefficace. Demander un antibiogramme et switcher vers vancomycine, daptomycine ou linézolide si SARM.</w:t>
      </w:r>
      <w:r>
        <w:t xml:space="preserve"> </w:t>
      </w:r>
      <w:r>
        <w:t xml:space="preserve">- Règle de prise / Conseil Patient : Forme orale à jeun strict, 4 prises par jour, surveillance hépatique en cas de traitement prolongé.</w:t>
      </w:r>
      <w:r>
        <w:t xml:space="preserve"> </w:t>
      </w:r>
      <w:r>
        <w:t xml:space="preserve">- Préparation et Conservation : Poudre pour solution injectable : reconstitution extemporanée avec eau pour préparation injectable ou NaCl 0,9 %, stabilité 24 h à température ambiante, 7 jours au réfrigérateur. Forme orale : comprimés à température &lt; 25 °C.</w:t>
      </w:r>
      <w:r>
        <w:t xml:space="preserve"> </w:t>
      </w:r>
      <w:r>
        <w:t xml:space="preserve">- Piège du surdosage / Substitution : Surdosage = convulsions, encéphalopathie, hépatotoxicité. Ne pas substituer cloxacilline ↔ oxacilline sans avis médical (hépatotoxicité différente). Ne pas substituer pénicilline M ↔ céfazoline sans vérifier l’allergie croisée (10 % de réactivité croisée).</w:t>
      </w:r>
    </w:p>
    <w:p>
      <w:r>
        <w:pict>
          <v:rect style="width:0;height:1.5pt" o:hralign="center" o:hrstd="t" o:hr="t"/>
        </w:pict>
      </w:r>
    </w:p>
    <w:bookmarkEnd w:id="45"/>
    <w:bookmarkStart w:id="46" w:name="dci-oxacilline-seule"/>
    <w:p>
      <w:pPr>
        <w:pStyle w:val="Heading3"/>
      </w:pPr>
      <w:r>
        <w:t xml:space="preserve">2.5.2 DCI : Oxacilline (Seule)</w:t>
      </w:r>
    </w:p>
    <w:p>
      <w:pPr>
        <w:pStyle w:val="FirstParagraph"/>
      </w:pPr>
      <w:r>
        <w:rPr>
          <w:b/>
          <w:bCs/>
        </w:rPr>
        <w:t xml:space="preserve">Liste des Catégories :</w:t>
      </w:r>
      <w:r>
        <w:t xml:space="preserve"> </w:t>
      </w:r>
      <w:r>
        <w:t xml:space="preserve">Pénicillines ; Bêta-lactamines ; Pénicillines M ; Pénicilline résistante à la pénicillinase ; Antibiotique bactéricide ; Voie orale et injectable ; Liste I.</w:t>
      </w:r>
    </w:p>
    <w:p>
      <w:pPr>
        <w:pStyle w:val="BodyText"/>
      </w:pPr>
      <w:r>
        <w:t xml:space="preserve">L’oxacilline est l’isoxazolylpénicilline de référence en France et en Algérie pour le traitement des infections à staphylocoque méti-S. Sa chaîne latérale comporte un groupement isoxazolyle non halogéné, garantissant une bonne stabilité enzymatique et une hépatotoxicité moindre que la cloxacilline. Sa biodisponibilité orale (30 %) impose une prise à jeun et des posologies élevées (4 prises par jour). Elle reste l’antistaphylococcique de première intention en milieu hospitalier pour les infections sévères à staphylocoque méti-S.</w:t>
      </w:r>
    </w:p>
    <w:p>
      <w:pPr>
        <w:pStyle w:val="BodyText"/>
      </w:pPr>
      <w:r>
        <w:rPr>
          <w:b/>
          <w:bCs/>
        </w:rPr>
        <w:t xml:space="preserve">Médicaments disponibles en Algérie (Marques, Laboratoires, Formes et Dosages) :</w:t>
      </w:r>
    </w:p>
    <w:p>
      <w:pPr>
        <w:pStyle w:val="BodyText"/>
      </w:pPr>
      <w:r>
        <w:rPr>
          <w:b/>
          <w:bCs/>
        </w:rPr>
        <w:t xml:space="preserve">Spécialités Actives ou partiellement actives :</w:t>
      </w:r>
    </w:p>
    <w:p>
      <w:pPr>
        <w:pStyle w:val="Compact"/>
        <w:numPr>
          <w:ilvl w:val="0"/>
          <w:numId w:val="1086"/>
        </w:numPr>
      </w:pPr>
      <w:r>
        <w:rPr>
          <w:b/>
          <w:bCs/>
        </w:rPr>
        <w:t xml:space="preserve">OXACARE</w:t>
      </w:r>
      <w:r>
        <w:t xml:space="preserve"> </w:t>
      </w:r>
      <w:r>
        <w:t xml:space="preserve">(BIOCARE / BIOCARE SARL)</w:t>
      </w:r>
    </w:p>
    <w:p>
      <w:pPr>
        <w:pStyle w:val="Compact"/>
        <w:numPr>
          <w:ilvl w:val="1"/>
          <w:numId w:val="1087"/>
        </w:numPr>
      </w:pPr>
      <w:r>
        <w:t xml:space="preserve">Formes : Gélule 500 mg ; Poudre et solvant pour solution injectable IM/IV 1 g/flacon</w:t>
      </w:r>
    </w:p>
    <w:p>
      <w:pPr>
        <w:pStyle w:val="Compact"/>
        <w:numPr>
          <w:ilvl w:val="1"/>
          <w:numId w:val="1087"/>
        </w:numPr>
      </w:pPr>
      <w:r>
        <w:t xml:space="preserve">Statut : Partiellement actif (certaines présentations non renouvelables)</w:t>
      </w:r>
    </w:p>
    <w:p>
      <w:pPr>
        <w:pStyle w:val="Compact"/>
        <w:numPr>
          <w:ilvl w:val="0"/>
          <w:numId w:val="1086"/>
        </w:numPr>
      </w:pPr>
      <w:r>
        <w:rPr>
          <w:b/>
          <w:bCs/>
        </w:rPr>
        <w:t xml:space="preserve">OXADEX</w:t>
      </w:r>
      <w:r>
        <w:t xml:space="preserve"> </w:t>
      </w:r>
      <w:r>
        <w:t xml:space="preserve">(CONTINENTAL PHARM)</w:t>
      </w:r>
    </w:p>
    <w:p>
      <w:pPr>
        <w:pStyle w:val="Compact"/>
        <w:numPr>
          <w:ilvl w:val="1"/>
          <w:numId w:val="1088"/>
        </w:numPr>
      </w:pPr>
      <w:r>
        <w:t xml:space="preserve">Formes : Gélule 500 mg</w:t>
      </w:r>
    </w:p>
    <w:p>
      <w:pPr>
        <w:pStyle w:val="Compact"/>
        <w:numPr>
          <w:ilvl w:val="1"/>
          <w:numId w:val="1088"/>
        </w:numPr>
      </w:pPr>
      <w:r>
        <w:t xml:space="preserve">Statut : Actif</w:t>
      </w:r>
    </w:p>
    <w:p>
      <w:pPr>
        <w:pStyle w:val="FirstParagraph"/>
      </w:pPr>
      <w:r>
        <w:rPr>
          <w:b/>
          <w:bCs/>
        </w:rPr>
        <w:t xml:space="preserve">Spécialités Non Renouvelables :</w:t>
      </w:r>
    </w:p>
    <w:p>
      <w:pPr>
        <w:pStyle w:val="Compact"/>
        <w:numPr>
          <w:ilvl w:val="0"/>
          <w:numId w:val="1089"/>
        </w:numPr>
      </w:pPr>
      <w:r>
        <w:rPr>
          <w:b/>
          <w:bCs/>
        </w:rPr>
        <w:t xml:space="preserve">BRISTOPEN</w:t>
      </w:r>
      <w:r>
        <w:t xml:space="preserve"> </w:t>
      </w:r>
      <w:r>
        <w:t xml:space="preserve">(BRISTOL MYERS SQUIBB) — Gélule 500 mg ; Poudre pour suspension buvable 250 mg/5 mL ; Poudre pour solution injectable 1 g</w:t>
      </w:r>
    </w:p>
    <w:p>
      <w:pPr>
        <w:pStyle w:val="Compact"/>
        <w:numPr>
          <w:ilvl w:val="0"/>
          <w:numId w:val="1089"/>
        </w:numPr>
      </w:pPr>
      <w:r>
        <w:rPr>
          <w:b/>
          <w:bCs/>
        </w:rPr>
        <w:t xml:space="preserve">OXACIL HUP</w:t>
      </w:r>
      <w:r>
        <w:t xml:space="preserve"> </w:t>
      </w:r>
      <w:r>
        <w:t xml:space="preserve">(HUP.P.PHARMA SARL) — Gélule 500 mg</w:t>
      </w:r>
    </w:p>
    <w:p>
      <w:pPr>
        <w:pStyle w:val="Compact"/>
        <w:numPr>
          <w:ilvl w:val="0"/>
          <w:numId w:val="1089"/>
        </w:numPr>
      </w:pPr>
      <w:r>
        <w:rPr>
          <w:b/>
          <w:bCs/>
        </w:rPr>
        <w:t xml:space="preserve">OXALINE</w:t>
      </w:r>
      <w:r>
        <w:t xml:space="preserve"> </w:t>
      </w:r>
      <w:r>
        <w:t xml:space="preserve">(GROUPE SAIDAL) — Gélule 500 mg ; Poudre sirop 250 mg/5 mL ; Poudre pour solution injectable 500 mg, 1 g/flacon</w:t>
      </w:r>
    </w:p>
    <w:p>
      <w:pPr>
        <w:pStyle w:val="Compact"/>
        <w:numPr>
          <w:ilvl w:val="0"/>
          <w:numId w:val="1089"/>
        </w:numPr>
      </w:pPr>
      <w:r>
        <w:rPr>
          <w:b/>
          <w:bCs/>
        </w:rPr>
        <w:t xml:space="preserve">OXAMEX</w:t>
      </w:r>
      <w:r>
        <w:t xml:space="preserve"> </w:t>
      </w:r>
      <w:r>
        <w:t xml:space="preserve">(KPMA) — Gélule 500 mg</w:t>
      </w:r>
    </w:p>
    <w:p>
      <w:pPr>
        <w:pStyle w:val="FirstParagraph"/>
      </w:pPr>
      <w:r>
        <w:rPr>
          <w:b/>
          <w:bCs/>
        </w:rPr>
        <w:t xml:space="preserve">Spécialités Retirées du marché (R) :</w:t>
      </w:r>
    </w:p>
    <w:p>
      <w:pPr>
        <w:pStyle w:val="Compact"/>
        <w:numPr>
          <w:ilvl w:val="0"/>
          <w:numId w:val="1090"/>
        </w:numPr>
      </w:pPr>
      <w:r>
        <w:rPr>
          <w:b/>
          <w:bCs/>
        </w:rPr>
        <w:t xml:space="preserve">OKSIN (R)</w:t>
      </w:r>
      <w:r>
        <w:t xml:space="preserve"> </w:t>
      </w:r>
      <w:r>
        <w:t xml:space="preserve">(CUKUROVA / MUSTAFA NEVZAT) — Gélule 250 mg, 500 mg ; Poudre pour solution injectable 500 mg, 1 g</w:t>
      </w:r>
    </w:p>
    <w:p>
      <w:pPr>
        <w:pStyle w:val="Compact"/>
        <w:numPr>
          <w:ilvl w:val="0"/>
          <w:numId w:val="1090"/>
        </w:numPr>
      </w:pPr>
      <w:r>
        <w:rPr>
          <w:b/>
          <w:bCs/>
        </w:rPr>
        <w:t xml:space="preserve">OXACILLINE FLAVELAB (R)</w:t>
      </w:r>
      <w:r>
        <w:t xml:space="preserve"> </w:t>
      </w:r>
      <w:r>
        <w:t xml:space="preserve">(FLAVELAB) — Poudre pour solution injectable 1 g</w:t>
      </w:r>
    </w:p>
    <w:p>
      <w:pPr>
        <w:pStyle w:val="Compact"/>
        <w:numPr>
          <w:ilvl w:val="0"/>
          <w:numId w:val="1090"/>
        </w:numPr>
      </w:pPr>
      <w:r>
        <w:rPr>
          <w:b/>
          <w:bCs/>
        </w:rPr>
        <w:t xml:space="preserve">OXAL (R)</w:t>
      </w:r>
      <w:r>
        <w:t xml:space="preserve"> </w:t>
      </w:r>
      <w:r>
        <w:t xml:space="preserve">(SOPHAL) — Gélule 500 mg ; Poudre et solvant pour solution injectable 1 g/flacon</w:t>
      </w:r>
    </w:p>
    <w:p>
      <w:pPr>
        <w:pStyle w:val="Compact"/>
        <w:numPr>
          <w:ilvl w:val="0"/>
          <w:numId w:val="1090"/>
        </w:numPr>
      </w:pPr>
      <w:r>
        <w:rPr>
          <w:b/>
          <w:bCs/>
        </w:rPr>
        <w:t xml:space="preserve">OXALINE SODIQUE (R)</w:t>
      </w:r>
      <w:r>
        <w:t xml:space="preserve"> </w:t>
      </w:r>
      <w:r>
        <w:t xml:space="preserve">(SAIDAL) — Gélule 250 mg</w:t>
      </w:r>
    </w:p>
    <w:p>
      <w:pPr>
        <w:pStyle w:val="Compact"/>
        <w:numPr>
          <w:ilvl w:val="0"/>
          <w:numId w:val="1090"/>
        </w:numPr>
      </w:pPr>
      <w:r>
        <w:rPr>
          <w:b/>
          <w:bCs/>
        </w:rPr>
        <w:t xml:space="preserve">OXAMEX 1G (R)</w:t>
      </w:r>
      <w:r>
        <w:t xml:space="preserve"> </w:t>
      </w:r>
      <w:r>
        <w:t xml:space="preserve">(KPMA) — Poudre et solvant pour solution injectable IM/IV 1 g/flacon</w:t>
      </w:r>
    </w:p>
    <w:p>
      <w:pPr>
        <w:pStyle w:val="Compact"/>
        <w:numPr>
          <w:ilvl w:val="0"/>
          <w:numId w:val="1090"/>
        </w:numPr>
      </w:pPr>
      <w:r>
        <w:rPr>
          <w:b/>
          <w:bCs/>
        </w:rPr>
        <w:t xml:space="preserve">OXAPAC (R)</w:t>
      </w:r>
      <w:r>
        <w:t xml:space="preserve"> </w:t>
      </w:r>
      <w:r>
        <w:t xml:space="preserve">(EL KENDI) — Poudre pour solution injectable IM/IV 500 mg, 1 g</w:t>
      </w:r>
    </w:p>
    <w:p>
      <w:pPr>
        <w:pStyle w:val="Compact"/>
        <w:numPr>
          <w:ilvl w:val="0"/>
          <w:numId w:val="1090"/>
        </w:numPr>
      </w:pPr>
      <w:r>
        <w:rPr>
          <w:b/>
          <w:bCs/>
        </w:rPr>
        <w:t xml:space="preserve">OXAPEN (R)</w:t>
      </w:r>
      <w:r>
        <w:t xml:space="preserve"> </w:t>
      </w:r>
      <w:r>
        <w:t xml:space="preserve">(APU / SMITHKLINE BEECHAM) — Gélule 500 mg ; Poudre pour solution injectable 500 mg, 1 g</w:t>
      </w:r>
    </w:p>
    <w:p>
      <w:pPr>
        <w:pStyle w:val="Compact"/>
        <w:numPr>
          <w:ilvl w:val="0"/>
          <w:numId w:val="1090"/>
        </w:numPr>
      </w:pPr>
      <w:r>
        <w:rPr>
          <w:b/>
          <w:bCs/>
        </w:rPr>
        <w:t xml:space="preserve">PAN-OXACILLINE (R)</w:t>
      </w:r>
      <w:r>
        <w:t xml:space="preserve"> </w:t>
      </w:r>
      <w:r>
        <w:t xml:space="preserve">(PANPHARMA) — Poudre pour solution injectable IM/IV 1 g</w:t>
      </w:r>
    </w:p>
    <w:p>
      <w:pPr>
        <w:pStyle w:val="FirstParagraph"/>
      </w:pPr>
      <w:r>
        <w:rPr>
          <w:b/>
          <w:bCs/>
        </w:rPr>
        <w:t xml:space="preserve">Sous-classe et Mécanisme d’action :</w:t>
      </w:r>
      <w:r>
        <w:t xml:space="preserve"> </w:t>
      </w:r>
      <w:r>
        <w:t xml:space="preserve">- Sous-classe : Pénicilline M (isoxazolylpénicilline), bêta-lactamine résistante aux pénicillinases staphylococciques. Inscrite à la liste OMS des médicaments essentiels.</w:t>
      </w:r>
      <w:r>
        <w:t xml:space="preserve"> </w:t>
      </w:r>
      <w:r>
        <w:t xml:space="preserve">- Mécanisme d’action : Bactéricide temps-dépendant. Fixation covalente sur les PBP staphylococciques (PBP1, PBP2, PBP3), inhibition de la transpeptidation, lyse osmotique. Le groupement isoxazolyle volumineux bloque stériquement l’accès de la β-lactamase staphylococcique au cycle β-lactame. Inactive sur les SARM (PBP2a).</w:t>
      </w:r>
    </w:p>
    <w:p>
      <w:pPr>
        <w:pStyle w:val="BodyText"/>
      </w:pPr>
      <w:r>
        <w:rPr>
          <w:b/>
          <w:bCs/>
        </w:rPr>
        <w:t xml:space="preserve">Profil Pharmacologique :</w:t>
      </w:r>
      <w:r>
        <w:t xml:space="preserve"> </w:t>
      </w:r>
      <w:r>
        <w:t xml:space="preserve">- Indications : Infections cutanées staphylococciques (impétigo bulleux, ecthyma, furonculose étendue, anthrax, cellulite, lymphangite) ; ostéomyélite aiguë hématogène à staphylocoque méti-S ; arthrite septique à staphylocoque méti-S ; endocardite à staphylocoque méti-S (en association à gentamicine) ; bactériémie à staphylocoque méti-S ; infections à streptocoque sensible (alternative à la pénicilline G) ; prophylaxie péri-opératoire en chirurgie orthopédique (alternative à la céfazoline).</w:t>
      </w:r>
      <w:r>
        <w:t xml:space="preserve"> </w:t>
      </w:r>
      <w:r>
        <w:t xml:space="preserve">- Contre-indications : Allergie aux β-lactamines (CI absolue) ; antécédent d’atteinte hépatique liée aux isoxazolylpénicillines ; infection à SARM ; insuffisance hépatique sévère.</w:t>
      </w:r>
      <w:r>
        <w:t xml:space="preserve"> </w:t>
      </w:r>
      <w:r>
        <w:t xml:space="preserve">- Effets Indésirables : Éruption cutanée (3–5 %), urticaire, anaphylaxie ; troubles digestifs (nausées, vomissements, diarrhée 5–10 %) ; hépatotoxicité (cholestase, hépatite cytolytique — incidence moindre que la cloxacilline mais non négligeable, surveillance du bilan hépatique si traitement &gt; 14 jours) ; néphrite interstitielle (rare) ; neutropénie (traitement prolongé &gt; 14 jours, incidence 5–10 %) ; thrombophlébite au site de perfusion (forme IV acide — dilution importante et changement de site toutes les 48 h) ; encéphalopathie à fortes doses (insuffisance rénale).</w:t>
      </w:r>
    </w:p>
    <w:p>
      <w:pPr>
        <w:pStyle w:val="BodyText"/>
      </w:pPr>
      <w:r>
        <w:rPr>
          <w:b/>
          <w:bCs/>
        </w:rPr>
        <w:t xml:space="preserve">Prévention et Gestion des Effets Indésirables :</w:t>
      </w:r>
      <w:r>
        <w:t xml:space="preserve"> </w:t>
      </w:r>
      <w:r>
        <w:t xml:space="preserve">- Mesures Préventives (Pharmacien &amp; Patient) : Prise à jeun pour la forme orale (1 h avant ou 2 h après repas) ; hydratation ≥ 1,5 L/jour ; surveillance du bilan hépatique et de l’hémogramme si traitement &gt; 14 jours ; adaptation posologique si ClCr &lt; 30 mL/min (max 1 g × 2/jour) ; voie IV préférentielle à la voie IM (douleur) ; dilution importante (50–100 mL NaCl 0,9 %) pour la perfusion IV ; changement de site de perfusion toutes les 48 h pour éviter les thrombophlébites. Probiotiques type</w:t>
      </w:r>
      <w:r>
        <w:t xml:space="preserve"> </w:t>
      </w:r>
      <w:r>
        <w:rPr>
          <w:i/>
          <w:iCs/>
        </w:rPr>
        <w:t xml:space="preserve">Saccharomyces boulardii</w:t>
      </w:r>
      <w:r>
        <w:t xml:space="preserve"> </w:t>
      </w:r>
      <w:r>
        <w:t xml:space="preserve">200 mg/j en cas de diarrhée.</w:t>
      </w:r>
      <w:r>
        <w:t xml:space="preserve"> </w:t>
      </w:r>
      <w:r>
        <w:t xml:space="preserve">- Conduite à Tenir : En cas d’ictère, prurit, urines foncées : arrêt immédiat, bilan hépatique, consultation spécialisée. En cas de neutropénie (&lt; 1 500/mm³) : arrêt, hémogramme de contrôle. En cas de rash : arrêt et consultation. En cas d’anaphylaxie : adrénaline IM 0,5 mg, SAMU.</w:t>
      </w:r>
    </w:p>
    <w:p>
      <w:pPr>
        <w:pStyle w:val="BodyText"/>
      </w:pPr>
      <w:r>
        <w:rPr>
          <w:b/>
          <w:bCs/>
        </w:rPr>
        <w:t xml:space="preserve">Interactions Importantes :</w:t>
      </w:r>
      <w:r>
        <w:t xml:space="preserve"> </w:t>
      </w:r>
      <w:r>
        <w:t xml:space="preserve">- Anticoagulants oraux (AVK) : Augmentation de l’INR, hémorragie.</w:t>
      </w:r>
      <w:r>
        <w:t xml:space="preserve"> </w:t>
      </w:r>
      <w:r>
        <w:t xml:space="preserve">- Méthotrexate : Majoration de la toxicité (compétition OAT).</w:t>
      </w:r>
      <w:r>
        <w:t xml:space="preserve"> </w:t>
      </w:r>
      <w:r>
        <w:t xml:space="preserve">- Contraceptifs oraux : Baisse d’efficacité théorique.</w:t>
      </w:r>
      <w:r>
        <w:t xml:space="preserve"> </w:t>
      </w:r>
      <w:r>
        <w:t xml:space="preserve">- Probenécide : Augmente les concentrations plasmatiques.</w:t>
      </w:r>
      <w:r>
        <w:t xml:space="preserve"> </w:t>
      </w:r>
      <w:r>
        <w:t xml:space="preserve">- Aminosides : Synergie bactéricide, mais inactivation réciproque dans la même tubulure.</w:t>
      </w:r>
      <w:r>
        <w:t xml:space="preserve"> </w:t>
      </w:r>
      <w:r>
        <w:t xml:space="preserve">- Phénytoïne : Diminution de l’excrétion tubulaire, augmentation des concentrations de phénytoïne (risque de toxicité neurologique).</w:t>
      </w:r>
    </w:p>
    <w:p>
      <w:pPr>
        <w:pStyle w:val="BodyText"/>
      </w:pPr>
      <w:r>
        <w:rPr>
          <w:b/>
          <w:bCs/>
        </w:rPr>
        <w:t xml:space="preserve">Grossesse et Allaitement :</w:t>
      </w:r>
      <w:r>
        <w:t xml:space="preserve"> </w:t>
      </w:r>
      <w:r>
        <w:t xml:space="preserve">- Grossesse : Indiqué avec précaution. L’oxacilline traverse la barrière fœtoplacentaire sans effet tératogène documenté (CRAT : données humaines limitées mais rassurantes). À utiliser si nécessaire, en privilégiant des durées courtes.</w:t>
      </w:r>
      <w:r>
        <w:t xml:space="preserve"> </w:t>
      </w:r>
      <w:r>
        <w:t xml:space="preserve">- Allaitement : Indiqué. Passage faible dans le lait, sans toxicité pour le nouveau-né. Surveillance des selles.</w:t>
      </w:r>
      <w:r>
        <w:t xml:space="preserve"> </w:t>
      </w:r>
      <w:r>
        <w:t xml:space="preserve">- Précisions : Préférer la céfazoline en prophylaxie péri-opératoire chez la femme enceinte (meilleure tolérance).</w:t>
      </w:r>
    </w:p>
    <w:p>
      <w:pPr>
        <w:pStyle w:val="BodyText"/>
      </w:pPr>
      <w:r>
        <w:rPr>
          <w:b/>
          <w:bCs/>
        </w:rPr>
        <w:t xml:space="preserve">Posologie et Mode d’administration (Standard) :</w:t>
      </w:r>
      <w:r>
        <w:t xml:space="preserve"> </w:t>
      </w:r>
      <w:r>
        <w:t xml:space="preserve">- Adulte : Voie orale : 2 à 4 g/jour en 4 prises (500 mg–1 g × 4/jour à jeun). Voie IV : 4 à 12 g/jour en 4 à 6 injections (1–3 g × 4/jour IV lente 30–60 min). Endocardite à staphylocoque méti-S : 8–12 g/jour IV pendant 4–6 semaines + gentamicine 3 mg/kg/j les 3–5 premiers jours. Ostéomyélite : 6–8 g/jour IV pendant 4–6 semaines. Bactériémie : 6–8 g/jour IV pendant 2–4 semaines. Infection cutanée : 2–4 g/jour per os ou IV pendant 7–14 jours.</w:t>
      </w:r>
      <w:r>
        <w:t xml:space="preserve"> </w:t>
      </w:r>
      <w:r>
        <w:t xml:space="preserve">- Enfant : 50 à 100 mg/kg/jour per os en 4 prises (à jeun). Voie IV : 100 à 200 mg/kg/jour en 4 à 6 injections (max 12 g/jour). Nouveau-né : 50–100 mg/kg/jour IV en 2–3 injections (en fonction de l’âge post-natal).</w:t>
      </w:r>
      <w:r>
        <w:t xml:space="preserve"> </w:t>
      </w:r>
      <w:r>
        <w:t xml:space="preserve">- Durée du traitement : Infection cutanée : 7–10 jours. Ostéomyélite : 4–6 semaines. Endocardite : 4–6 semaines. Arthrite septique : 3–4 semaines. Bactériémie : 2–4 semaines.</w:t>
      </w:r>
      <w:r>
        <w:t xml:space="preserve"> </w:t>
      </w:r>
      <w:r>
        <w:t xml:space="preserve">- Moment de la prise : Forme orale à jeun strict (1 h avant ou 2 h après repas — l’alimentation réduit l’absorption de 40 %). Forme IV indépendante des repas, en perfusion lente (30–60 min) sur voie veineuse périphérique de gros calibre ou voie centrale.</w:t>
      </w:r>
    </w:p>
    <w:p>
      <w:pPr>
        <w:pStyle w:val="BodyText"/>
      </w:pPr>
      <w:r>
        <w:rPr>
          <w:b/>
          <w:bCs/>
        </w:rPr>
        <w:t xml:space="preserve">Arbitrage et Bénéfices des Formes Galéniques :</w:t>
      </w:r>
      <w:r>
        <w:t xml:space="preserve"> </w:t>
      </w:r>
      <w:r>
        <w:t xml:space="preserve">L’oxacilline IV reste l’antistaphylococcique de référence en milieu hospitalier algérien pour les infections sévères à staphylocoque méti-S (endocardite, ostéomyélite, bactériémie). Sa supériorité sur la céfazoline réside dans sa meilleure diffusion osseuse et endocardique, et son activité bactéricide plus prévisible. La forme orale (gélule 500 mg) permet le relais per os après switch IV→per os précoce (dès l’apyrexie, à 48–72 h), avec une posologie identique à la forme IV. La biodisponibilité orale limitée (30 %) impose 4 prises par jour et une observance stricte à jeun, ce qui en fait un traitement difficile à observer en ambulatoire. La pristinamycine (streptogramine) ou la clindamycine sont parfois préférées en relais oral pour leur meilleure biodisponibilité (60–100 %).</w:t>
      </w:r>
    </w:p>
    <w:p>
      <w:pPr>
        <w:pStyle w:val="BodyText"/>
      </w:pPr>
      <w:r>
        <w:rPr>
          <w:b/>
          <w:bCs/>
        </w:rPr>
        <w:t xml:space="preserve">Instructions et Conseils au Patient :</w:t>
      </w:r>
      <w:r>
        <w:t xml:space="preserve"> </w:t>
      </w:r>
      <w:r>
        <w:t xml:space="preserve">- Communication au comptoir : « C’est un antibiotique spécifique des infections à staphylocoque (abcès, infection osseuse, infection du sang). Prenez-le à jeun (1 heure avant ou 2 heures après les repas) pour qu’il soit bien absorbé. La durée est longue (3 à 6 semaines pour l’os), ne l’arrêtez pas avant. Une prise de sang pour le foie et les globules blancs sera nécessaire après 15 jours de traitement. Prévenez votre médecin si vous avez la peau qui jaunit ou si vous êtes fatigué. »</w:t>
      </w:r>
      <w:r>
        <w:t xml:space="preserve"> </w:t>
      </w:r>
      <w:r>
        <w:t xml:space="preserve">- Mode d’utilisation pratique : Forme orale : 4 prises par jour à heures régulières (par exemple 7h–13h–19h–1h), à jeun, avec un grand verre d’eau. Forme IV : administration hospitalière, surveillance biologique hebdomadaire (NFS, bilan hépatique). En cas d’oubli : prise dès que possible si &lt; 2 h d’écart, sinon sauter la dose — ne jamais doubler.</w:t>
      </w:r>
    </w:p>
    <w:p>
      <w:pPr>
        <w:pStyle w:val="BodyText"/>
      </w:pPr>
      <w:r>
        <w:rPr>
          <w:b/>
          <w:bCs/>
        </w:rPr>
        <w:t xml:space="preserve">Notes, Règles d’Or &amp; Pièges au Comptoir :</w:t>
      </w:r>
      <w:r>
        <w:t xml:space="preserve"> </w:t>
      </w:r>
      <w:r>
        <w:t xml:space="preserve">- Piège classique : Prescription d’oxacilline pour une infection à SARM suspectée — inefficace, demander un antibiogramme. Ne pas prolonger l’oxacilline au-delà de 14 jours sans surveillance de l’hémogramme (neutropénie).</w:t>
      </w:r>
      <w:r>
        <w:t xml:space="preserve"> </w:t>
      </w:r>
      <w:r>
        <w:t xml:space="preserve">- Règle de prise / Conseil Patient : Forme orale à jeun strict, 4 prises par jour, surveillance hépatique et hématologique si traitement prolongé.</w:t>
      </w:r>
      <w:r>
        <w:t xml:space="preserve"> </w:t>
      </w:r>
      <w:r>
        <w:t xml:space="preserve">- Préparation et Conservation : Gélules à température &lt; 25 °C, à l’abri de l’humidité. Poudre pour solution injectable : reconstitution extemporanée avec eau pour préparation injectable ou NaCl 0,9 %, stabilité 24 h à température ambiante, 7 jours au réfrigérateur (à +4 °C). Ne pas congeler. La forme IV est acide (pH 2–3), ce qui explique les thrombophlébites — dilution impérative dans 50–100 mL de NaCl 0,9 %.</w:t>
      </w:r>
      <w:r>
        <w:t xml:space="preserve"> </w:t>
      </w:r>
      <w:r>
        <w:t xml:space="preserve">- Piège du surdosage / Substitution : Surdosage = convulsions, encéphalopathie (dialysable). Ne pas substituer oxacilline ↔ céfazoline sans vérifier l’allergie croisée (10 % de réactivité croisée bêta-lactamines). Ne pas substituer oxacilline ↔ cloxacilline sans avis médical (hépatotoxicité différente). Vérifier le statut méti-S/méti-R avant prescription (SARM = vancomycine).</w:t>
      </w:r>
    </w:p>
    <w:p>
      <w:r>
        <w:pict>
          <v:rect style="width:0;height:1.5pt" o:hralign="center" o:hrstd="t" o:hr="t"/>
        </w:pict>
      </w:r>
    </w:p>
    <w:bookmarkEnd w:id="46"/>
    <w:bookmarkEnd w:id="47"/>
    <w:bookmarkStart w:id="49" w:name="sous-classe-carboxypénicillines"/>
    <w:p>
      <w:pPr>
        <w:pStyle w:val="Heading2"/>
      </w:pPr>
      <w:r>
        <w:t xml:space="preserve">2.6 Sous-classe : Carboxypénicillines</w:t>
      </w:r>
    </w:p>
    <w:p>
      <w:pPr>
        <w:pStyle w:val="FirstParagraph"/>
      </w:pPr>
      <w:r>
        <w:t xml:space="preserve">Les carboxypénicillines (carbénicilline, ticarcilline) ont été développées dans les années 1960 pour étendre le spectre des pénicillines à</w:t>
      </w:r>
      <w:r>
        <w:t xml:space="preserve"> </w:t>
      </w:r>
      <w:r>
        <w:rPr>
          <w:i/>
          <w:iCs/>
        </w:rPr>
        <w:t xml:space="preserve">Pseudomonas aeruginosa</w:t>
      </w:r>
      <w:r>
        <w:t xml:space="preserve"> </w:t>
      </w:r>
      <w:r>
        <w:t xml:space="preserve">et aux entérobactéries productrices d’AmpC. La substitution d’un groupement carboxyle sur la chaîne latérale acyle leur confère une activité antipyocyanique, mais leur sensibilité aux β-lactamases et leur faible biodisponibilité orale ont progressivement limité leur usage. En Algérie, seule la ticarcilline est mentionnée dans la nomenclature historique (sous la marque TICARPEN, retirée), aujourd’hui supplantée par l’association ticarcilline + acide clavulanique (Timentin, non listée) et surtout par les uréidopénicillines (pipéracilline + tazobactam) et les céphalosporines antipyocyaniques (ceftazidime, cefepime). La ticarcilline reste importante pédagogiquement, et son mécanisme d’action et son profil restent utiles à connaître pour les étudiants.</w:t>
      </w:r>
    </w:p>
    <w:bookmarkStart w:id="48" w:name="dci-ticarcilline-seule"/>
    <w:p>
      <w:pPr>
        <w:pStyle w:val="Heading3"/>
      </w:pPr>
      <w:r>
        <w:t xml:space="preserve">2.6.1 DCI : Ticarcilline (Seule)</w:t>
      </w:r>
    </w:p>
    <w:p>
      <w:pPr>
        <w:pStyle w:val="FirstParagraph"/>
      </w:pPr>
      <w:r>
        <w:rPr>
          <w:b/>
          <w:bCs/>
        </w:rPr>
        <w:t xml:space="preserve">Liste des Catégories :</w:t>
      </w:r>
      <w:r>
        <w:t xml:space="preserve"> </w:t>
      </w:r>
      <w:r>
        <w:t xml:space="preserve">Pénicillines ; Bêta-lactamines ; Carboxypénicillines ; Antibiotique bactéricide ; Voie injectable ; Liste I.</w:t>
      </w:r>
    </w:p>
    <w:p>
      <w:pPr>
        <w:pStyle w:val="BodyText"/>
      </w:pPr>
      <w:r>
        <w:t xml:space="preserve">La ticarcilline est la carboxypénicilline de référence, commercialisée historiquement sous la marque TICARPEN (SmithKline Beecham) et retirée du marché algérien. Elle fut largement utilisée dans les années 1970–1980 pour le traitement des infections à</w:t>
      </w:r>
      <w:r>
        <w:t xml:space="preserve"> </w:t>
      </w:r>
      <w:r>
        <w:rPr>
          <w:i/>
          <w:iCs/>
        </w:rPr>
        <w:t xml:space="preserve">Pseudomonas aeruginosa</w:t>
      </w:r>
      <w:r>
        <w:t xml:space="preserve"> </w:t>
      </w:r>
      <w:r>
        <w:t xml:space="preserve">(nosocomiales, mucoviscidose), souvent en association à un aminoside (tobramycine, amikacine) pour synergy bactéricide. L’association ticarcilline + acide clavulanique (TIMENTIN) a prolongé son usage jusqu’aux années 2000, avant d’être supplantée par la pipéracilline + tazobactam.</w:t>
      </w:r>
    </w:p>
    <w:p>
      <w:pPr>
        <w:pStyle w:val="BodyText"/>
      </w:pPr>
      <w:r>
        <w:rPr>
          <w:b/>
          <w:bCs/>
        </w:rPr>
        <w:t xml:space="preserve">Médicaments disponibles en Algérie (Marques, Laboratoires, Formes et Dosages) :</w:t>
      </w:r>
    </w:p>
    <w:p>
      <w:pPr>
        <w:pStyle w:val="Compact"/>
        <w:numPr>
          <w:ilvl w:val="0"/>
          <w:numId w:val="1091"/>
        </w:numPr>
      </w:pPr>
      <w:r>
        <w:rPr>
          <w:b/>
          <w:bCs/>
        </w:rPr>
        <w:t xml:space="preserve">TICARPEN (R)</w:t>
      </w:r>
      <w:r>
        <w:t xml:space="preserve"> </w:t>
      </w:r>
      <w:r>
        <w:t xml:space="preserve">(SMITHKLINE BEECHAM)</w:t>
      </w:r>
    </w:p>
    <w:p>
      <w:pPr>
        <w:pStyle w:val="Compact"/>
        <w:numPr>
          <w:ilvl w:val="1"/>
          <w:numId w:val="1092"/>
        </w:numPr>
      </w:pPr>
      <w:r>
        <w:t xml:space="preserve">Formes et Dosages : Poudre pour solution injectable, 1 g/flacon ; Poudre pour solution injectable, 2 g/flacon</w:t>
      </w:r>
    </w:p>
    <w:p>
      <w:pPr>
        <w:pStyle w:val="Compact"/>
        <w:numPr>
          <w:ilvl w:val="1"/>
          <w:numId w:val="1092"/>
        </w:numPr>
      </w:pPr>
      <w:r>
        <w:t xml:space="preserve">Statut : Retiré</w:t>
      </w:r>
    </w:p>
    <w:p>
      <w:pPr>
        <w:pStyle w:val="FirstParagraph"/>
      </w:pPr>
      <w:r>
        <w:rPr>
          <w:b/>
          <w:bCs/>
        </w:rPr>
        <w:t xml:space="preserve">Sous-classe et Mécanisme d’action :</w:t>
      </w:r>
      <w:r>
        <w:t xml:space="preserve"> </w:t>
      </w:r>
      <w:r>
        <w:t xml:space="preserve">- Sous-classe : Carboxypénicilline, bêta-lactamine antipyocyanique. Retirée du marché algérien, mais principe pharmacologique historiquement important.</w:t>
      </w:r>
      <w:r>
        <w:t xml:space="preserve"> </w:t>
      </w:r>
      <w:r>
        <w:t xml:space="preserve">- Mécanisme d’action : Bactéricide temps-dépendant. Fixation sur les PBP (PBP3 prioritairement chez</w:t>
      </w:r>
      <w:r>
        <w:t xml:space="preserve"> </w:t>
      </w:r>
      <w:r>
        <w:rPr>
          <w:i/>
          <w:iCs/>
        </w:rPr>
        <w:t xml:space="preserve">Pseudomonas</w:t>
      </w:r>
      <w:r>
        <w:t xml:space="preserve">), inhibition de la transpeptidation, lyse osmotique. Le groupement carboxyle latéral permet une meilleure pénétration dans la paroi des bacilles à Gram négatif et une affinité accrue pour les PBP de</w:t>
      </w:r>
      <w:r>
        <w:t xml:space="preserve"> </w:t>
      </w:r>
      <w:r>
        <w:rPr>
          <w:i/>
          <w:iCs/>
        </w:rPr>
        <w:t xml:space="preserve">Pseudomonas aeruginosa</w:t>
      </w:r>
      <w:r>
        <w:t xml:space="preserve">. Sensible aux β-lactamases staphylococciques, aux BLSE et aux carbapénémases.</w:t>
      </w:r>
    </w:p>
    <w:p>
      <w:pPr>
        <w:pStyle w:val="BodyText"/>
      </w:pPr>
      <w:r>
        <w:rPr>
          <w:b/>
          <w:bCs/>
        </w:rPr>
        <w:t xml:space="preserve">Profil Pharmacologique :</w:t>
      </w:r>
      <w:r>
        <w:t xml:space="preserve"> </w:t>
      </w:r>
      <w:r>
        <w:t xml:space="preserve">- Indications : Historiquement, infections sévères à</w:t>
      </w:r>
      <w:r>
        <w:t xml:space="preserve"> </w:t>
      </w:r>
      <w:r>
        <w:rPr>
          <w:i/>
          <w:iCs/>
        </w:rPr>
        <w:t xml:space="preserve">Pseudomonas aeruginosa</w:t>
      </w:r>
      <w:r>
        <w:t xml:space="preserve"> </w:t>
      </w:r>
      <w:r>
        <w:t xml:space="preserve">(bactériémie nosocomiale, pneumonie sous ventilation, infection urinaire compliquée, infection cutanée chez le diabétique ou le grand brûlé) ; infections mixtes aéro-anaérobies (intra-abdominale, pelvienne, des parties molles) ; fièvre neutropénique (en association à un aminoside) ; mucoviscidose (surinfection à</w:t>
      </w:r>
      <w:r>
        <w:t xml:space="preserve"> </w:t>
      </w:r>
      <w:r>
        <w:rPr>
          <w:i/>
          <w:iCs/>
        </w:rPr>
        <w:t xml:space="preserve">P. aeruginosa</w:t>
      </w:r>
      <w:r>
        <w:t xml:space="preserve">). Aujourd’hui supplantée par la pipéracilline + tazobactam et la ceftazidime.</w:t>
      </w:r>
      <w:r>
        <w:t xml:space="preserve"> </w:t>
      </w:r>
      <w:r>
        <w:t xml:space="preserve">- Contre-indications : Allergie aux β-lactamines (CI absolue) ; insuffisance rénale sévère sans adaptation (charge sodée importante) ; déséquilibre électrolytique (hyponatrémie, hypokaliémie) ; enfant &lt; 3 mois pour certaines formes.</w:t>
      </w:r>
      <w:r>
        <w:t xml:space="preserve"> </w:t>
      </w:r>
      <w:r>
        <w:t xml:space="preserve">- Effets Indésirables : Éruption cutanée (5 %), urticaire, anaphylaxie ; troubles digestifs (nausées, diarrhée 5–10 %) ; troubles hydro-électrolytiques (hyponatrémie par charge sodée — 5,2 mEq de Na+/g de ticarcilline, hypokaliémie par tubulopathie, hypernatrémie) ; néphrite interstitielle ; convulsions à fortes doses (insuffisance rénale) ; allongement du temps de saignement (antiagrégant plaquettaire dose-dépendant — précautions en cas de chirurgie ou de thrombopénie) ; hépatotoxicité modérée.</w:t>
      </w:r>
    </w:p>
    <w:p>
      <w:pPr>
        <w:pStyle w:val="BodyText"/>
      </w:pPr>
      <w:r>
        <w:rPr>
          <w:b/>
          <w:bCs/>
        </w:rPr>
        <w:t xml:space="preserve">Prévention et Gestion des Effets Indésirables :</w:t>
      </w:r>
      <w:r>
        <w:t xml:space="preserve"> </w:t>
      </w:r>
      <w:r>
        <w:t xml:space="preserve">- Mesures Préventives (Pharmacien &amp; Patient) : Surveillance électrolytique (natrémie, kaliémie) toutes les 48–72 h en cas de traitement &gt; 7 jours ; hydratation IV adaptée ; adaptation posologique à la fonction rénale (ClCr &lt; 30 mL/min : 2 g × 2–3/jour) ; surveillance du temps de saignement si chirurgie ; éviter l’association aux AINS et anticoagulants ; probiotiques type</w:t>
      </w:r>
      <w:r>
        <w:t xml:space="preserve"> </w:t>
      </w:r>
      <w:r>
        <w:rPr>
          <w:i/>
          <w:iCs/>
        </w:rPr>
        <w:t xml:space="preserve">Saccharomyces boulardii</w:t>
      </w:r>
      <w:r>
        <w:t xml:space="preserve"> </w:t>
      </w:r>
      <w:r>
        <w:t xml:space="preserve">en cas de diarrhée.</w:t>
      </w:r>
      <w:r>
        <w:t xml:space="preserve"> </w:t>
      </w:r>
      <w:r>
        <w:t xml:space="preserve">- Conduite à Tenir : En cas de trouble électrolytique sévère : arrêt, correction IV (NaCl 0,9 % si hyponatrémie, KCl si hypokaliémie). En cas de convulsion : arrêt, diazépam IV, correction hydro-électrolytique. En cas de rash : arrêt et consultation. En cas d’anaphylaxie : adrénaline IM 0,5 mg, SAMU.</w:t>
      </w:r>
    </w:p>
    <w:p>
      <w:pPr>
        <w:pStyle w:val="BodyText"/>
      </w:pPr>
      <w:r>
        <w:rPr>
          <w:b/>
          <w:bCs/>
        </w:rPr>
        <w:t xml:space="preserve">Interactions Importantes :</w:t>
      </w:r>
      <w:r>
        <w:t xml:space="preserve"> </w:t>
      </w:r>
      <w:r>
        <w:t xml:space="preserve">- Aminosides (tobramycine, amikacine) : Synergie bactéricide sur</w:t>
      </w:r>
      <w:r>
        <w:t xml:space="preserve"> </w:t>
      </w:r>
      <w:r>
        <w:rPr>
          <w:i/>
          <w:iCs/>
        </w:rPr>
        <w:t xml:space="preserve">Pseudomonas</w:t>
      </w:r>
      <w:r>
        <w:t xml:space="preserve">, mais inactivation réciproque dans la même tubulure (espacer les perfusions de 1 h).</w:t>
      </w:r>
      <w:r>
        <w:t xml:space="preserve"> </w:t>
      </w:r>
      <w:r>
        <w:t xml:space="preserve">- Anticoagulants oraux (AVK) et AINS : Majoration du risque hémorragique (effet antiagrégant plaquettaire de la ticarcilline).</w:t>
      </w:r>
      <w:r>
        <w:t xml:space="preserve"> </w:t>
      </w:r>
      <w:r>
        <w:t xml:space="preserve">- Méthotrexate : Majoration de la toxicité.</w:t>
      </w:r>
      <w:r>
        <w:t xml:space="preserve"> </w:t>
      </w:r>
      <w:r>
        <w:t xml:space="preserve">- Contraceptifs oraux : Baisse d’efficacité théorique.</w:t>
      </w:r>
      <w:r>
        <w:t xml:space="preserve"> </w:t>
      </w:r>
      <w:r>
        <w:t xml:space="preserve">- Probenécide : Augmente les concentrations plasmatiques.</w:t>
      </w:r>
    </w:p>
    <w:p>
      <w:pPr>
        <w:pStyle w:val="BodyText"/>
      </w:pPr>
      <w:r>
        <w:rPr>
          <w:b/>
          <w:bCs/>
        </w:rPr>
        <w:t xml:space="preserve">Grossesse et Allaitement :</w:t>
      </w:r>
      <w:r>
        <w:t xml:space="preserve"> </w:t>
      </w:r>
      <w:r>
        <w:t xml:space="preserve">- Grossesse : Indiqué avec précaution. La ticarcilline traverse la barrière fœtoplacentaire sans effet tératogène documenté (CRAT : données limitées mais rassurantes). À éviter si possible au 1er trimestre par mesure de précaution (charge sodée, troubles électrolytiques).</w:t>
      </w:r>
      <w:r>
        <w:t xml:space="preserve"> </w:t>
      </w:r>
      <w:r>
        <w:t xml:space="preserve">- Allaitement : Indiqué avec précaution. Passage faible dans le lait, surveillance des selles de l’enfant allaité.</w:t>
      </w:r>
      <w:r>
        <w:t xml:space="preserve"> </w:t>
      </w:r>
      <w:r>
        <w:t xml:space="preserve">- Précisions : Préférer la pipéracilline + tazobactam ou la ceftazidime au cours de la grossesse si infection à</w:t>
      </w:r>
      <w:r>
        <w:t xml:space="preserve"> </w:t>
      </w:r>
      <w:r>
        <w:rPr>
          <w:i/>
          <w:iCs/>
        </w:rPr>
        <w:t xml:space="preserve">Pseudomonas</w:t>
      </w:r>
      <w:r>
        <w:t xml:space="preserve">.</w:t>
      </w:r>
    </w:p>
    <w:p>
      <w:pPr>
        <w:pStyle w:val="BodyText"/>
      </w:pPr>
      <w:r>
        <w:rPr>
          <w:b/>
          <w:bCs/>
        </w:rPr>
        <w:t xml:space="preserve">Posologie et Mode d’administration (Standard) :</w:t>
      </w:r>
      <w:r>
        <w:t xml:space="preserve"> </w:t>
      </w:r>
      <w:r>
        <w:t xml:space="preserve">- Adulte : 12 à 24 g/jour IV en 4 à 6 injections (3–5 g × 4–6/jour IV lente 30–60 min ou perfusion continue). Mucoviscidose : 200–300 mg/kg/jour IV en 4 injections. Dose maximale : 24 g/jour. Adaptation à la fonction rénale : ClCr 30–60 mL/min : 2 g × 4/jour ; ClCr 10–30 mL/min : 2 g × 3/jour ; ClCr &lt; 10 mL/min : 2 g × 2/jour.</w:t>
      </w:r>
      <w:r>
        <w:t xml:space="preserve"> </w:t>
      </w:r>
      <w:r>
        <w:t xml:space="preserve">- Enfant : 200 à 300 mg/kg/jour IV en 4 à 6 injections (max 24 g/jour). Nourrisson : 225 mg/kg/jour en 3 injections. Nouveau-né : 150–225 mg/kg/jour en 2–3 injections.</w:t>
      </w:r>
      <w:r>
        <w:t xml:space="preserve"> </w:t>
      </w:r>
      <w:r>
        <w:t xml:space="preserve">- Durée du traitement : Bactériémie à</w:t>
      </w:r>
      <w:r>
        <w:t xml:space="preserve"> </w:t>
      </w:r>
      <w:r>
        <w:rPr>
          <w:i/>
          <w:iCs/>
        </w:rPr>
        <w:t xml:space="preserve">Pseudomonas</w:t>
      </w:r>
      <w:r>
        <w:t xml:space="preserve"> </w:t>
      </w:r>
      <w:r>
        <w:t xml:space="preserve">: 7–14 jours. Pneumonie nosocomiale : 7–14 jours. Mucoviscidose : 14 jours. Infection cutanée du diabétique : 2–4 semaines.</w:t>
      </w:r>
      <w:r>
        <w:t xml:space="preserve"> </w:t>
      </w:r>
      <w:r>
        <w:t xml:space="preserve">- Moment de la prise : Forme IV uniquement, indépendante des repas. Perfusion lente (30–60 min) sur voie veineuse périphérique de gros calibre ou voie centrale.</w:t>
      </w:r>
    </w:p>
    <w:p>
      <w:pPr>
        <w:pStyle w:val="BodyText"/>
      </w:pPr>
      <w:r>
        <w:rPr>
          <w:b/>
          <w:bCs/>
        </w:rPr>
        <w:t xml:space="preserve">Arbitrage et Bénéfices des Formes Galéniques :</w:t>
      </w:r>
      <w:r>
        <w:t xml:space="preserve"> </w:t>
      </w:r>
      <w:r>
        <w:t xml:space="preserve">La ticarcilline IV était l’antibiotique de référence des infections à</w:t>
      </w:r>
      <w:r>
        <w:t xml:space="preserve"> </w:t>
      </w:r>
      <w:r>
        <w:rPr>
          <w:i/>
          <w:iCs/>
        </w:rPr>
        <w:t xml:space="preserve">Pseudomonas aeruginosa</w:t>
      </w:r>
      <w:r>
        <w:t xml:space="preserve"> </w:t>
      </w:r>
      <w:r>
        <w:t xml:space="preserve">dans les années 1970–1990, mais a été supplantée par l’association ticarcilline + acide clavulanique (TIMENTIN, non listée en Algérie), puis par la pipéracilline + tazobactam (Tazocilline, non listée en Algérie mais disponible par importation) et les céphalosporines antipyocyaniques (ceftazidime, cefepime). Sa charge sodée (5,2 mEq Na+/g) limitait son usage chez l’insuffisant cardiaque et rénal. L’association à un aminoside (tobramycine, amikacine) garantissait une synergie bactéricide, mais au prix d’une néphrotoxicité et ototoxicité potentielles.</w:t>
      </w:r>
    </w:p>
    <w:p>
      <w:pPr>
        <w:pStyle w:val="BodyText"/>
      </w:pPr>
      <w:r>
        <w:rPr>
          <w:b/>
          <w:bCs/>
        </w:rPr>
        <w:t xml:space="preserve">Instructions et Conseils au Patient :</w:t>
      </w:r>
      <w:r>
        <w:t xml:space="preserve"> </w:t>
      </w:r>
      <w:r>
        <w:t xml:space="preserve">- Communication au comptoir : « Cette spécialité n’est plus disponible en Algérie. Votre médecin utilisera un antibiotique plus moderne (pipéracilline + tazobactam, ceftazidime, ou cefepime) pour traiter votre infection à</w:t>
      </w:r>
      <w:r>
        <w:t xml:space="preserve"> </w:t>
      </w:r>
      <w:r>
        <w:rPr>
          <w:i/>
          <w:iCs/>
        </w:rPr>
        <w:t xml:space="preserve">Pseudomonas</w:t>
      </w:r>
      <w:r>
        <w:t xml:space="preserve">. Si vous l’utilisez par importation, prévenez le soignant de toute allergie, surveillez votre tension et vos électrolytes. »</w:t>
      </w:r>
      <w:r>
        <w:t xml:space="preserve"> </w:t>
      </w:r>
      <w:r>
        <w:t xml:space="preserve">- Mode d’utilisation pratique : Forme IV uniquement, administration hospitalière, surveillance électrolytique et de la fonction rénale.</w:t>
      </w:r>
    </w:p>
    <w:p>
      <w:pPr>
        <w:pStyle w:val="BodyText"/>
      </w:pPr>
      <w:r>
        <w:rPr>
          <w:b/>
          <w:bCs/>
        </w:rPr>
        <w:t xml:space="preserve">Notes, Règles d’Or &amp; Pièges au Comptoir :</w:t>
      </w:r>
      <w:r>
        <w:t xml:space="preserve"> </w:t>
      </w:r>
      <w:r>
        <w:t xml:space="preserve">- Piège classique : Confusion entre ticarcilline (carboxypénicilline, activité anti-pseudomonas médiocre) et pipéracilline (uréidopénicilline, activité anti-pseudomonas supérieure). Toujours vérifier la DCI à la prescription.</w:t>
      </w:r>
      <w:r>
        <w:t xml:space="preserve"> </w:t>
      </w:r>
      <w:r>
        <w:t xml:space="preserve">- Règle de prise / Conseil Patient : Forme IV uniquement, surveillance électrolytique (natrémie, kaliémie) et de la fonction rénale, durée adaptée à l’indication.</w:t>
      </w:r>
      <w:r>
        <w:t xml:space="preserve"> </w:t>
      </w:r>
      <w:r>
        <w:t xml:space="preserve">- Préparation et Conservation : Poudre pour solution injectable : reconstitution extemporanée avec eau pour préparation injectable ou NaCl 0,9 %, stabilité 24 h à température ambiante, 7 jours au réfrigérateur (à +4 °C). Ne pas congeler.</w:t>
      </w:r>
      <w:r>
        <w:t xml:space="preserve"> </w:t>
      </w:r>
      <w:r>
        <w:t xml:space="preserve">- Piège du surdosage / Substitution : Surdosage = convulsions, hypokaliémie, hyponatrémie, allongement du temps de saignement. Ne pas substituer ticarcilline ↔ pipéracilline sans avis médical. Surveillance du temps de saignement en cas de chirurgie.</w:t>
      </w:r>
    </w:p>
    <w:p>
      <w:r>
        <w:pict>
          <v:rect style="width:0;height:1.5pt" o:hralign="center" o:hrstd="t" o:hr="t"/>
        </w:pict>
      </w:r>
    </w:p>
    <w:bookmarkEnd w:id="48"/>
    <w:bookmarkEnd w:id="49"/>
    <w:bookmarkStart w:id="51" w:name="sous-classe-uréidopénicillines"/>
    <w:p>
      <w:pPr>
        <w:pStyle w:val="Heading2"/>
      </w:pPr>
      <w:r>
        <w:t xml:space="preserve">2.7 Sous-classe : Uréidopénicillines</w:t>
      </w:r>
    </w:p>
    <w:p>
      <w:pPr>
        <w:pStyle w:val="FirstParagraph"/>
      </w:pPr>
      <w:r>
        <w:t xml:space="preserve">Les uréidopénicillines (azlocilline, mezlocilline, pipéracilline) représentent la dernière génération des pénicillines hémisynthétiques, développées dans les années 1970–1980 pour étendre le spectre à</w:t>
      </w:r>
      <w:r>
        <w:t xml:space="preserve"> </w:t>
      </w:r>
      <w:r>
        <w:rPr>
          <w:i/>
          <w:iCs/>
        </w:rPr>
        <w:t xml:space="preserve">Pseudomonas aeruginosa</w:t>
      </w:r>
      <w:r>
        <w:t xml:space="preserve">, aux entérobactéries ampC, et aux anaérobies (notamment</w:t>
      </w:r>
      <w:r>
        <w:t xml:space="preserve"> </w:t>
      </w:r>
      <w:r>
        <w:rPr>
          <w:i/>
          <w:iCs/>
        </w:rPr>
        <w:t xml:space="preserve">Bacteroides fragilis</w:t>
      </w:r>
      <w:r>
        <w:t xml:space="preserve">). La substitution d’un groupement uréido sur la chaîne latérale acyle, combinée à un acyle pipérazine, leur confère une affinité accrue pour les PBP des bacilles à Gram négatif et une meilleure pénétration pariétale. La pipéracilline, la plus puissante de la classe, est actuellement commercialisée exclusivement en association au tazobactam (inhibiteur de β-lactamases) sous la marque TAZOCILLINE (non listée dans la nomenclature algérienne pour la DCI seule mais disponible par importation). La DCI seule (pipéracilline sans tazobactam) reste mentionnée dans la nomenclature algérienne historique, sous plusieurs marques aujourd’hui retirées.</w:t>
      </w:r>
    </w:p>
    <w:bookmarkStart w:id="50" w:name="dci-pipéracilline-seule"/>
    <w:p>
      <w:pPr>
        <w:pStyle w:val="Heading3"/>
      </w:pPr>
      <w:r>
        <w:t xml:space="preserve">2.7.1 DCI : Pipéracilline (Seule)</w:t>
      </w:r>
    </w:p>
    <w:p>
      <w:pPr>
        <w:pStyle w:val="FirstParagraph"/>
      </w:pPr>
      <w:r>
        <w:rPr>
          <w:b/>
          <w:bCs/>
        </w:rPr>
        <w:t xml:space="preserve">Liste des Catégories :</w:t>
      </w:r>
      <w:r>
        <w:t xml:space="preserve"> </w:t>
      </w:r>
      <w:r>
        <w:t xml:space="preserve">Pénicillines ; Bêta-lactamines ; Uréidopénicillines ; Antibiotique bactéricide ; Voie injectable ; Liste I.</w:t>
      </w:r>
    </w:p>
    <w:p>
      <w:pPr>
        <w:pStyle w:val="BodyText"/>
      </w:pPr>
      <w:r>
        <w:t xml:space="preserve">La pipéracilline est l’uréidopénicilline de référence, caractérisée par son spectre élargi à</w:t>
      </w:r>
      <w:r>
        <w:t xml:space="preserve"> </w:t>
      </w:r>
      <w:r>
        <w:rPr>
          <w:i/>
          <w:iCs/>
        </w:rPr>
        <w:t xml:space="preserve">Pseudomonas aeruginosa</w:t>
      </w:r>
      <w:r>
        <w:t xml:space="preserve"> </w:t>
      </w:r>
      <w:r>
        <w:t xml:space="preserve">(activité supérieure à la ticarcilline), aux entérobactéries AmpC (</w:t>
      </w:r>
      <w:r>
        <w:rPr>
          <w:i/>
          <w:iCs/>
        </w:rPr>
        <w:t xml:space="preserve">Enterobacter</w:t>
      </w:r>
      <w:r>
        <w:t xml:space="preserve">,</w:t>
      </w:r>
      <w:r>
        <w:t xml:space="preserve"> </w:t>
      </w:r>
      <w:r>
        <w:rPr>
          <w:i/>
          <w:iCs/>
        </w:rPr>
        <w:t xml:space="preserve">Citrobacter</w:t>
      </w:r>
      <w:r>
        <w:t xml:space="preserve">,</w:t>
      </w:r>
      <w:r>
        <w:t xml:space="preserve"> </w:t>
      </w:r>
      <w:r>
        <w:rPr>
          <w:i/>
          <w:iCs/>
        </w:rPr>
        <w:t xml:space="preserve">Serratia</w:t>
      </w:r>
      <w:r>
        <w:t xml:space="preserve">), et aux anaérobies (</w:t>
      </w:r>
      <w:r>
        <w:rPr>
          <w:i/>
          <w:iCs/>
        </w:rPr>
        <w:t xml:space="preserve">Bacteroides fragilis</w:t>
      </w:r>
      <w:r>
        <w:t xml:space="preserve">). Sa sensibilité aux β-lactamases a conduit à son association systématique au tazobactam (TAZOCILLINE, ZOSYN), qui est aujourd’hui la forme standard. La pipéracilline seule reste listée dans la nomenclature algérienne à titre historique.</w:t>
      </w:r>
    </w:p>
    <w:p>
      <w:pPr>
        <w:pStyle w:val="BodyText"/>
      </w:pPr>
      <w:r>
        <w:rPr>
          <w:b/>
          <w:bCs/>
        </w:rPr>
        <w:t xml:space="preserve">Médicaments disponibles en Algérie (Marques, Laboratoires, Formes et Dosages) :</w:t>
      </w:r>
    </w:p>
    <w:p>
      <w:pPr>
        <w:pStyle w:val="Compact"/>
        <w:numPr>
          <w:ilvl w:val="0"/>
          <w:numId w:val="1093"/>
        </w:numPr>
      </w:pPr>
      <w:r>
        <w:rPr>
          <w:b/>
          <w:bCs/>
        </w:rPr>
        <w:t xml:space="preserve">PICILLIN (R)</w:t>
      </w:r>
      <w:r>
        <w:t xml:space="preserve"> </w:t>
      </w:r>
      <w:r>
        <w:t xml:space="preserve">(LIFEPHARMA)</w:t>
      </w:r>
    </w:p>
    <w:p>
      <w:pPr>
        <w:pStyle w:val="Compact"/>
        <w:numPr>
          <w:ilvl w:val="1"/>
          <w:numId w:val="1094"/>
        </w:numPr>
      </w:pPr>
      <w:r>
        <w:t xml:space="preserve">Formes et Dosages : Poudre pour solution injectable, 1 g/flacon ; Poudre pour solution injectable, 2 g/flacon</w:t>
      </w:r>
    </w:p>
    <w:p>
      <w:pPr>
        <w:pStyle w:val="Compact"/>
        <w:numPr>
          <w:ilvl w:val="1"/>
          <w:numId w:val="1094"/>
        </w:numPr>
      </w:pPr>
      <w:r>
        <w:t xml:space="preserve">Statut : Retiré</w:t>
      </w:r>
    </w:p>
    <w:p>
      <w:pPr>
        <w:pStyle w:val="Compact"/>
        <w:numPr>
          <w:ilvl w:val="0"/>
          <w:numId w:val="1093"/>
        </w:numPr>
      </w:pPr>
      <w:r>
        <w:rPr>
          <w:b/>
          <w:bCs/>
        </w:rPr>
        <w:t xml:space="preserve">PIPERACILLINE MERCK (R)</w:t>
      </w:r>
      <w:r>
        <w:t xml:space="preserve"> </w:t>
      </w:r>
      <w:r>
        <w:t xml:space="preserve">(MERCK GENERIQUE FRANCE)</w:t>
      </w:r>
    </w:p>
    <w:p>
      <w:pPr>
        <w:pStyle w:val="Compact"/>
        <w:numPr>
          <w:ilvl w:val="1"/>
          <w:numId w:val="1095"/>
        </w:numPr>
      </w:pPr>
      <w:r>
        <w:t xml:space="preserve">Formes et Dosages : Poudre pour solution injectable, 1 g/flacon ; Poudre pour solution injectable, 2 g/flacon ; Poudre pour solution injectable, 4 g/flacon</w:t>
      </w:r>
    </w:p>
    <w:p>
      <w:pPr>
        <w:pStyle w:val="Compact"/>
        <w:numPr>
          <w:ilvl w:val="1"/>
          <w:numId w:val="1095"/>
        </w:numPr>
      </w:pPr>
      <w:r>
        <w:t xml:space="preserve">Statut : Retiré (statut partiellement non renouvelable)</w:t>
      </w:r>
    </w:p>
    <w:p>
      <w:pPr>
        <w:pStyle w:val="Compact"/>
        <w:numPr>
          <w:ilvl w:val="0"/>
          <w:numId w:val="1093"/>
        </w:numPr>
      </w:pPr>
      <w:r>
        <w:rPr>
          <w:b/>
          <w:bCs/>
        </w:rPr>
        <w:t xml:space="preserve">PIPERILLINE (R)</w:t>
      </w:r>
      <w:r>
        <w:t xml:space="preserve"> </w:t>
      </w:r>
      <w:r>
        <w:t xml:space="preserve">(WYETH LEDERLE)</w:t>
      </w:r>
    </w:p>
    <w:p>
      <w:pPr>
        <w:pStyle w:val="Compact"/>
        <w:numPr>
          <w:ilvl w:val="1"/>
          <w:numId w:val="1096"/>
        </w:numPr>
      </w:pPr>
      <w:r>
        <w:t xml:space="preserve">Formes et Dosages : Poudre pour solution injectable, 2 g/flacon ; Poudre pour solution injectable IV, 4 g/flacon</w:t>
      </w:r>
    </w:p>
    <w:p>
      <w:pPr>
        <w:pStyle w:val="Compact"/>
        <w:numPr>
          <w:ilvl w:val="1"/>
          <w:numId w:val="1096"/>
        </w:numPr>
      </w:pPr>
      <w:r>
        <w:t xml:space="preserve">Statut : Retiré</w:t>
      </w:r>
    </w:p>
    <w:p>
      <w:pPr>
        <w:pStyle w:val="Compact"/>
        <w:numPr>
          <w:ilvl w:val="0"/>
          <w:numId w:val="1093"/>
        </w:numPr>
      </w:pPr>
      <w:r>
        <w:rPr>
          <w:b/>
          <w:bCs/>
        </w:rPr>
        <w:t xml:space="preserve">PIPRAKS (R)</w:t>
      </w:r>
      <w:r>
        <w:t xml:space="preserve"> </w:t>
      </w:r>
      <w:r>
        <w:t xml:space="preserve">(ECZACIBATSI)</w:t>
      </w:r>
    </w:p>
    <w:p>
      <w:pPr>
        <w:pStyle w:val="Compact"/>
        <w:numPr>
          <w:ilvl w:val="1"/>
          <w:numId w:val="1097"/>
        </w:numPr>
      </w:pPr>
      <w:r>
        <w:t xml:space="preserve">Formes et Dosages : Poudre pour solution injectable, 2 g/flacon</w:t>
      </w:r>
    </w:p>
    <w:p>
      <w:pPr>
        <w:pStyle w:val="Compact"/>
        <w:numPr>
          <w:ilvl w:val="1"/>
          <w:numId w:val="1097"/>
        </w:numPr>
      </w:pPr>
      <w:r>
        <w:t xml:space="preserve">Statut : Retiré</w:t>
      </w:r>
    </w:p>
    <w:p>
      <w:pPr>
        <w:pStyle w:val="FirstParagraph"/>
      </w:pPr>
      <w:r>
        <w:rPr>
          <w:b/>
          <w:bCs/>
        </w:rPr>
        <w:t xml:space="preserve">Sous-classe et Mécanisme d’action :</w:t>
      </w:r>
      <w:r>
        <w:t xml:space="preserve"> </w:t>
      </w:r>
      <w:r>
        <w:t xml:space="preserve">- Sous-classe : Uréidopénicilline, bêta-lactamine à spectre élargi (antipyocyanique, anti-AmpC, anti-anaérobie). Inscrite à la liste OMS des médicaments essentiels (en association au tazobactam).</w:t>
      </w:r>
      <w:r>
        <w:t xml:space="preserve"> </w:t>
      </w:r>
      <w:r>
        <w:t xml:space="preserve">- Mécanisme d’action : Bactéricide temps-dépendant. Fixation sur les PBP (PBP3 prioritairement chez les bacilles à Gram négatif, PBP1 et PBP2 chez</w:t>
      </w:r>
      <w:r>
        <w:t xml:space="preserve"> </w:t>
      </w:r>
      <w:r>
        <w:rPr>
          <w:i/>
          <w:iCs/>
        </w:rPr>
        <w:t xml:space="preserve">Pseudomonas</w:t>
      </w:r>
      <w:r>
        <w:t xml:space="preserve">), inhibition de la transpeptidation, lyse osmotique. Le groupement uréido-pipérazine permet une meilleure pénétration dans la paroi des bacilles à Gram négatif et une affinité accrue pour les PBP de</w:t>
      </w:r>
      <w:r>
        <w:t xml:space="preserve"> </w:t>
      </w:r>
      <w:r>
        <w:rPr>
          <w:i/>
          <w:iCs/>
        </w:rPr>
        <w:t xml:space="preserve">Pseudomonas aeruginosa</w:t>
      </w:r>
      <w:r>
        <w:t xml:space="preserve"> </w:t>
      </w:r>
      <w:r>
        <w:t xml:space="preserve">(CMI 2–8 mg/L vs 16–64 mg/L pour la ticarcilline). Sensible aux β-lactamases staphylococciques, aux BLSE, aux carbapénémases ; activité conservée sur les AmpC inductibles d’</w:t>
      </w:r>
      <w:r>
        <w:rPr>
          <w:i/>
          <w:iCs/>
        </w:rPr>
        <w:t xml:space="preserve">Enterobacter</w:t>
      </w:r>
      <w:r>
        <w:t xml:space="preserve">,</w:t>
      </w:r>
      <w:r>
        <w:t xml:space="preserve"> </w:t>
      </w:r>
      <w:r>
        <w:rPr>
          <w:i/>
          <w:iCs/>
        </w:rPr>
        <w:t xml:space="preserve">Citrobacter</w:t>
      </w:r>
      <w:r>
        <w:t xml:space="preserve">,</w:t>
      </w:r>
      <w:r>
        <w:t xml:space="preserve"> </w:t>
      </w:r>
      <w:r>
        <w:rPr>
          <w:i/>
          <w:iCs/>
        </w:rPr>
        <w:t xml:space="preserve">Serratia</w:t>
      </w:r>
      <w:r>
        <w:t xml:space="preserve"> </w:t>
      </w:r>
      <w:r>
        <w:t xml:space="preserve">(en raison de la quantité d’inoculum et de l’affinité PBP).</w:t>
      </w:r>
    </w:p>
    <w:p>
      <w:pPr>
        <w:pStyle w:val="BodyText"/>
      </w:pPr>
      <w:r>
        <w:rPr>
          <w:b/>
          <w:bCs/>
        </w:rPr>
        <w:t xml:space="preserve">Profil Pharmacologique :</w:t>
      </w:r>
      <w:r>
        <w:t xml:space="preserve"> </w:t>
      </w:r>
      <w:r>
        <w:t xml:space="preserve">- Indications : Infections sévères à</w:t>
      </w:r>
      <w:r>
        <w:t xml:space="preserve"> </w:t>
      </w:r>
      <w:r>
        <w:rPr>
          <w:i/>
          <w:iCs/>
        </w:rPr>
        <w:t xml:space="preserve">Pseudomonas aeruginosa</w:t>
      </w:r>
      <w:r>
        <w:t xml:space="preserve"> </w:t>
      </w:r>
      <w:r>
        <w:t xml:space="preserve">(bactériémie nosocomiale, pneumonie sous ventilation, infection urinaire compliquée, infection cutanée du diabétique ou du grand brûlé, mucoviscidose) ; infections mixtes aéro-anaérobies (intra-abdominale, pelvienne, des parties molles) ; fièvre neutropénique (en association à un aminoside) ; infections à entérobactéries AmpC ; infections à</w:t>
      </w:r>
      <w:r>
        <w:t xml:space="preserve"> </w:t>
      </w:r>
      <w:r>
        <w:rPr>
          <w:i/>
          <w:iCs/>
        </w:rPr>
        <w:t xml:space="preserve">Bacteroides fragilis</w:t>
      </w:r>
      <w:r>
        <w:t xml:space="preserve">. À noter : en pratique clinique actuelle, la pipéracilline est toujours administrée en association au tazobactam (inhibiteur de β-lactamases) sous la forme pipéracilline-tazobactam (TAZOCILLINE), qui restaure son activité sur les souches productrices de BLSE.</w:t>
      </w:r>
      <w:r>
        <w:t xml:space="preserve"> </w:t>
      </w:r>
      <w:r>
        <w:t xml:space="preserve">- Contre-indications : Allergie aux β-lactamines (CI absolue) ; insuffisance rénale sévère sans adaptation (charge sodée modérée, 2 mEq Na+/g) ; enfant &lt; 6 ans pour la forme IV seule (sans tazobactam).</w:t>
      </w:r>
      <w:r>
        <w:t xml:space="preserve"> </w:t>
      </w:r>
      <w:r>
        <w:t xml:space="preserve">- Effets Indésirables : Éruption cutanée (3–5 %), urticaire, anaphylaxie ; troubles digestifs (nausées, diarrhée 5–10 %) ; troubles électrolytiques (hypokaliémie par tubulopathie, hypernatrémie modérée) ; néphrite interstitielle ; convulsions à fortes doses (insuffisance rénale) ; allongement du temps de saignement (antiagrégant plaquettaire dose-dépendant, moins marqué que la ticarcilline) ; hépatotoxicité modérée (cytolyse, cholestase) ; neutropénie (traitement prolongé &gt; 14 jours) ; fièvre médicamenteuse.</w:t>
      </w:r>
    </w:p>
    <w:p>
      <w:pPr>
        <w:pStyle w:val="BodyText"/>
      </w:pPr>
      <w:r>
        <w:rPr>
          <w:b/>
          <w:bCs/>
        </w:rPr>
        <w:t xml:space="preserve">Prévention et Gestion des Effets Indésirables :</w:t>
      </w:r>
      <w:r>
        <w:t xml:space="preserve"> </w:t>
      </w:r>
      <w:r>
        <w:t xml:space="preserve">- Mesures Préventives (Pharmacien &amp; Patient) : Surveillance électrolytique (natrémie, kaliémie) toutes les 48–72 h en cas de traitement &gt; 7 jours ; surveillance de la fonction rénale et de l’hémogramme si traitement prolongé ; adaptation posologique à la fonction rénale (ClCr &lt; 40 mL/min : 4 g × 3/jour) ; surveillance du temps de saignement si chirurgie ; éviter l’association aux AINS et anticoagulants ; probiotiques type</w:t>
      </w:r>
      <w:r>
        <w:t xml:space="preserve"> </w:t>
      </w:r>
      <w:r>
        <w:rPr>
          <w:i/>
          <w:iCs/>
        </w:rPr>
        <w:t xml:space="preserve">Saccharomyces boulardii</w:t>
      </w:r>
      <w:r>
        <w:t xml:space="preserve"> </w:t>
      </w:r>
      <w:r>
        <w:t xml:space="preserve">en cas de diarrhée. Vancomycine en perfusion continue : attention à l’augmentation des concentrations de vancomycine (compétition tubulaire).</w:t>
      </w:r>
      <w:r>
        <w:t xml:space="preserve"> </w:t>
      </w:r>
      <w:r>
        <w:t xml:space="preserve">- Conduite à Tenir : En cas de trouble électrolytique sévère : arrêt, correction IV. En cas de convulsion : arrêt, diazépam IV. En cas de rash : arrêt et consultation. En cas d’anaphylaxie : adrénaline IM 0,5 mg, SAMU. En cas de neutropénie : arrêt, hémogramme de contrôle.</w:t>
      </w:r>
    </w:p>
    <w:p>
      <w:pPr>
        <w:pStyle w:val="BodyText"/>
      </w:pPr>
      <w:r>
        <w:rPr>
          <w:b/>
          <w:bCs/>
        </w:rPr>
        <w:t xml:space="preserve">Interactions Importantes :</w:t>
      </w:r>
      <w:r>
        <w:t xml:space="preserve"> </w:t>
      </w:r>
      <w:r>
        <w:t xml:space="preserve">- Aminosides (tobramycine, amikacine, gentamicine) : Synergie bactéricide sur</w:t>
      </w:r>
      <w:r>
        <w:t xml:space="preserve"> </w:t>
      </w:r>
      <w:r>
        <w:rPr>
          <w:i/>
          <w:iCs/>
        </w:rPr>
        <w:t xml:space="preserve">Pseudomonas</w:t>
      </w:r>
      <w:r>
        <w:t xml:space="preserve"> </w:t>
      </w:r>
      <w:r>
        <w:t xml:space="preserve">et entérocoques, mais inactivation réciproque dans la même tubulure (espacer les perfusions de 1 h).</w:t>
      </w:r>
      <w:r>
        <w:t xml:space="preserve"> </w:t>
      </w:r>
      <w:r>
        <w:t xml:space="preserve">- Vancomycine : Augmentation des concentrations de vancomycine (compétition tubulaire rénale) — surveillance des trough.</w:t>
      </w:r>
      <w:r>
        <w:t xml:space="preserve"> </w:t>
      </w:r>
      <w:r>
        <w:t xml:space="preserve">- Anticoagulants oraux (AVK) et AINS : Majoration du risque hémorragique (effet antiagrégant plaquettaire).</w:t>
      </w:r>
      <w:r>
        <w:t xml:space="preserve"> </w:t>
      </w:r>
      <w:r>
        <w:t xml:space="preserve">- Méthotrexate : Majoration de la toxicité (compétition OAT).</w:t>
      </w:r>
      <w:r>
        <w:t xml:space="preserve"> </w:t>
      </w:r>
      <w:r>
        <w:t xml:space="preserve">- Probenécide : Augmente les concentrations plasmatiques.</w:t>
      </w:r>
      <w:r>
        <w:t xml:space="preserve"> </w:t>
      </w:r>
      <w:r>
        <w:t xml:space="preserve">- Contraceptifs oraux : Baisse d’efficacité théorique.</w:t>
      </w:r>
    </w:p>
    <w:p>
      <w:pPr>
        <w:pStyle w:val="BodyText"/>
      </w:pPr>
      <w:r>
        <w:rPr>
          <w:b/>
          <w:bCs/>
        </w:rPr>
        <w:t xml:space="preserve">Grossesse et Allaitement :</w:t>
      </w:r>
      <w:r>
        <w:t xml:space="preserve"> </w:t>
      </w:r>
      <w:r>
        <w:t xml:space="preserve">- Grossesse : Indiqué avec précaution. La pipéracilline traverse la barrière fœtoplacentaire sans effet tératogène documenté (CRAT : données limitées mais rassurantes, pipéracilline-tazobactam non tératogène chez l’animal). À utiliser si nécessaire (infection sévère à</w:t>
      </w:r>
      <w:r>
        <w:t xml:space="preserve"> </w:t>
      </w:r>
      <w:r>
        <w:rPr>
          <w:i/>
          <w:iCs/>
        </w:rPr>
        <w:t xml:space="preserve">Pseudomonas</w:t>
      </w:r>
      <w:r>
        <w:t xml:space="preserve"> </w:t>
      </w:r>
      <w:r>
        <w:t xml:space="preserve">au cours de la grossesse).</w:t>
      </w:r>
      <w:r>
        <w:t xml:space="preserve"> </w:t>
      </w:r>
      <w:r>
        <w:t xml:space="preserve">- Allaitement : Indiqué avec précaution. Passage faible dans le lait, surveillance des selles de l’enfant allaité.</w:t>
      </w:r>
      <w:r>
        <w:t xml:space="preserve"> </w:t>
      </w:r>
      <w:r>
        <w:t xml:space="preserve">- Précisions : L’association pipéracilline + tazobactam est autorisée au cours de la grossesse (CRAT : « données humaines rassurantes »), en particulier dans les pyélonéphrites gravidiques à</w:t>
      </w:r>
      <w:r>
        <w:t xml:space="preserve"> </w:t>
      </w:r>
      <w:r>
        <w:rPr>
          <w:i/>
          <w:iCs/>
        </w:rPr>
        <w:t xml:space="preserve">Pseudomonas</w:t>
      </w:r>
      <w:r>
        <w:t xml:space="preserve"> </w:t>
      </w:r>
      <w:r>
        <w:t xml:space="preserve">ou BLSE.</w:t>
      </w:r>
    </w:p>
    <w:p>
      <w:pPr>
        <w:pStyle w:val="BodyText"/>
      </w:pPr>
      <w:r>
        <w:rPr>
          <w:b/>
          <w:bCs/>
        </w:rPr>
        <w:t xml:space="preserve">Posologie et Mode d’administration (Standard) :</w:t>
      </w:r>
      <w:r>
        <w:t xml:space="preserve"> </w:t>
      </w:r>
      <w:r>
        <w:t xml:space="preserve">- Adulte : 12 à 18 g/jour IV en 4 injections (3–4 g × 4/jour IV lente 30 min ou perfusion étendue 4 h). Infections sévères à</w:t>
      </w:r>
      <w:r>
        <w:t xml:space="preserve"> </w:t>
      </w:r>
      <w:r>
        <w:rPr>
          <w:i/>
          <w:iCs/>
        </w:rPr>
        <w:t xml:space="preserve">Pseudomonas</w:t>
      </w:r>
      <w:r>
        <w:t xml:space="preserve"> </w:t>
      </w:r>
      <w:r>
        <w:t xml:space="preserve">: 4 g × 4/jour (16 g/jour) ou 4 g en perfusion étendue de 4 h × 3/jour (optimisation T &gt; CMI). Fièvre neutropénique : 4 g × 4/jour + aminoside (amikacine 15 mg/kg/j). Mucoviscidose : 200–300 mg/kg/jour IV en 4 injections. Dose maximale : 24 g/jour. Adaptation à la fonction rénale : ClCr 20–40 mL/min : 4 g × 3/jour ; ClCr &lt; 20 mL/min : 4 g × 2/jour.</w:t>
      </w:r>
      <w:r>
        <w:t xml:space="preserve"> </w:t>
      </w:r>
      <w:r>
        <w:t xml:space="preserve">- Enfant : 200 à 300 mg/kg/jour IV en 4 injections (max 18 g/jour). Nourrisson : 150–225 mg/kg/jour en 3 injections.</w:t>
      </w:r>
      <w:r>
        <w:t xml:space="preserve"> </w:t>
      </w:r>
      <w:r>
        <w:t xml:space="preserve">- Durée du traitement : Bactériémie à</w:t>
      </w:r>
      <w:r>
        <w:t xml:space="preserve"> </w:t>
      </w:r>
      <w:r>
        <w:rPr>
          <w:i/>
          <w:iCs/>
        </w:rPr>
        <w:t xml:space="preserve">Pseudomonas</w:t>
      </w:r>
      <w:r>
        <w:t xml:space="preserve"> </w:t>
      </w:r>
      <w:r>
        <w:t xml:space="preserve">: 7–14 jours. Pneumonie nosocomiale : 7–14 jours. Mucoviscidose : 14 jours. Infection cutanée du diabétique : 2–4 semaines. Pyélonéphrite à</w:t>
      </w:r>
      <w:r>
        <w:t xml:space="preserve"> </w:t>
      </w:r>
      <w:r>
        <w:rPr>
          <w:i/>
          <w:iCs/>
        </w:rPr>
        <w:t xml:space="preserve">Pseudomonas</w:t>
      </w:r>
      <w:r>
        <w:t xml:space="preserve"> </w:t>
      </w:r>
      <w:r>
        <w:t xml:space="preserve">: 10–14 jours. Fièvre neutropénique : 7–14 jours (selon durée de l’aplasie).</w:t>
      </w:r>
      <w:r>
        <w:t xml:space="preserve"> </w:t>
      </w:r>
      <w:r>
        <w:t xml:space="preserve">- Moment de la prise : Forme IV uniquement, indépendante des repas. Perfusion de 30 min (standard) ou perfusion étendue de 4 h (optimisation pharmacocinétique/pharmacodynamique, recommandée dans les infections à</w:t>
      </w:r>
      <w:r>
        <w:t xml:space="preserve"> </w:t>
      </w:r>
      <w:r>
        <w:rPr>
          <w:i/>
          <w:iCs/>
        </w:rPr>
        <w:t xml:space="preserve">Pseudomonas</w:t>
      </w:r>
      <w:r>
        <w:t xml:space="preserve"> </w:t>
      </w:r>
      <w:r>
        <w:t xml:space="preserve">avec CMI élevée). Sur voie veineuse périphérique de gros calibre ou voie centrale.</w:t>
      </w:r>
    </w:p>
    <w:p>
      <w:pPr>
        <w:pStyle w:val="BodyText"/>
      </w:pPr>
      <w:r>
        <w:rPr>
          <w:b/>
          <w:bCs/>
        </w:rPr>
        <w:t xml:space="preserve">Arbitrage et Bénéfices des Formes Galéniques :</w:t>
      </w:r>
      <w:r>
        <w:t xml:space="preserve"> </w:t>
      </w:r>
      <w:r>
        <w:t xml:space="preserve">La pipéracilline seule (DCI) a été supplantée par l’association pipéracilline + tazobactam (TAZOCILLINE), qui restaure son activité sur les BLSE et garantit un spectre élargi. La pipéracilline + tazobactam est l’un des antibiotiques les plus prescrits en réanimation pour les infections sévères à</w:t>
      </w:r>
      <w:r>
        <w:t xml:space="preserve"> </w:t>
      </w:r>
      <w:r>
        <w:rPr>
          <w:i/>
          <w:iCs/>
        </w:rPr>
        <w:t xml:space="preserve">Pseudomonas aeruginosa</w:t>
      </w:r>
      <w:r>
        <w:t xml:space="preserve">, les infections mixtes aéro-anaérobies (intra-abdominale, pelvienne), et la fièvre neutropénique. La stratégie de perfusion étendue (4 h × 3/jour) optimise le temps au-dessus de la CMI (T &gt; CMI), particulièrement utile dans les infections à</w:t>
      </w:r>
      <w:r>
        <w:t xml:space="preserve"> </w:t>
      </w:r>
      <w:r>
        <w:rPr>
          <w:i/>
          <w:iCs/>
        </w:rPr>
        <w:t xml:space="preserve">Pseudomonas</w:t>
      </w:r>
      <w:r>
        <w:t xml:space="preserve"> </w:t>
      </w:r>
      <w:r>
        <w:t xml:space="preserve">avec CMI élevée (4–8 mg/L). L’association à un aminoside (amikacine, tobramycine) garantit une synergie bactéricide mais au prix d’une néphrotoxicité et ototoxicité potentielles.</w:t>
      </w:r>
    </w:p>
    <w:p>
      <w:pPr>
        <w:pStyle w:val="BodyText"/>
      </w:pPr>
      <w:r>
        <w:rPr>
          <w:b/>
          <w:bCs/>
        </w:rPr>
        <w:t xml:space="preserve">Instructions et Conseils au Patient :</w:t>
      </w:r>
      <w:r>
        <w:t xml:space="preserve"> </w:t>
      </w:r>
      <w:r>
        <w:t xml:space="preserve">- Communication au comptoir : « Cette spécialité seule n’est plus disponible en Algérie, mais la forme combinée avec un inhibiteur enzymatique (pipéracilline + tazobactam, TAZOCILLINE) est utilisée à l’hôpital en perfusion pour les infections graves à</w:t>
      </w:r>
      <w:r>
        <w:t xml:space="preserve"> </w:t>
      </w:r>
      <w:r>
        <w:rPr>
          <w:i/>
          <w:iCs/>
        </w:rPr>
        <w:t xml:space="preserve">Pseudomonas</w:t>
      </w:r>
      <w:r>
        <w:t xml:space="preserve">. Prévenez le soignant de toute allergie aux pénicillines, surveillez votre tension, vos électrolytes et votre fonction rénale pendant le traitement. »</w:t>
      </w:r>
      <w:r>
        <w:t xml:space="preserve"> </w:t>
      </w:r>
      <w:r>
        <w:t xml:space="preserve">- Mode d’utilisation pratique : Forme IV uniquement, administration hospitalière, surveillance électrolytique, de la fonction rénale et de l’hémogramme en cas de traitement prolongé.</w:t>
      </w:r>
    </w:p>
    <w:p>
      <w:pPr>
        <w:pStyle w:val="BodyText"/>
      </w:pPr>
      <w:r>
        <w:rPr>
          <w:b/>
          <w:bCs/>
        </w:rPr>
        <w:t xml:space="preserve">Notes, Règles d’Or &amp; Pièges au Comptoir :</w:t>
      </w:r>
      <w:r>
        <w:t xml:space="preserve"> </w:t>
      </w:r>
      <w:r>
        <w:t xml:space="preserve">- Piège classique : Confusion entre pipéracilline (uréidopénicilline) et ticarcilline (carboxypénicilline) — la pipéracilline a une activité anti-pseudomonas et anti-anaérobie supérieure. Toujours vérifier la DCI à la prescription et préférer la forme pipéracilline + tazobactam si disponible.</w:t>
      </w:r>
      <w:r>
        <w:t xml:space="preserve"> </w:t>
      </w:r>
      <w:r>
        <w:t xml:space="preserve">- Règle de prise / Conseil Patient : Forme IV uniquement, surveillance électrolytique (natrémie, kaliémie), de la fonction rénale et de l’hémogramme en cas de traitement prolongé, durée adaptée à l’indication.</w:t>
      </w:r>
      <w:r>
        <w:t xml:space="preserve"> </w:t>
      </w:r>
      <w:r>
        <w:t xml:space="preserve">- Préparation et Conservation : Poudre pour solution injectable : reconstitution extemporanée avec eau pour préparation injectable ou NaCl 0,9 %, dilution dans 50–100 mL de NaCl 0,9 % pour perfusion, stabilité 24 h à température ambiante, 7 jours au réfrigérateur (à +4 °C). Ne pas congeler.</w:t>
      </w:r>
      <w:r>
        <w:t xml:space="preserve"> </w:t>
      </w:r>
      <w:r>
        <w:t xml:space="preserve">- Piège du surdosage / Substitution : Surdosage = convulsions, hypokaliémie, hyponatrémie, allongement du temps de saignement. Ne pas substituer pipéracilline seule ↔ pipéracilline + tazobactam sans avis médical. Surveillance du temps de saignement en cas de chirurgie. Surveillance des trough de vancomycine en association.</w:t>
      </w:r>
    </w:p>
    <w:p>
      <w:r>
        <w:pict>
          <v:rect style="width:0;height:1.5pt" o:hralign="center" o:hrstd="t" o:hr="t"/>
        </w:pict>
      </w:r>
    </w:p>
    <w:bookmarkEnd w:id="50"/>
    <w:bookmarkEnd w:id="51"/>
    <w:bookmarkStart w:id="52" w:name="X4988eb6c4848b17c2c839cf923a9c5ebeb1ecbd"/>
    <w:p>
      <w:pPr>
        <w:pStyle w:val="Heading2"/>
      </w:pPr>
      <w:r>
        <w:t xml:space="preserve">2.8 Tableau comparatif des 12 DCI de pénicillines commercialisées en Algérie</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DCI</w:t>
            </w:r>
          </w:p>
        </w:tc>
        <w:tc>
          <w:tcPr/>
          <w:p>
            <w:pPr>
              <w:pStyle w:val="Compact"/>
              <w:jc w:val="left"/>
            </w:pPr>
            <w:r>
              <w:t xml:space="preserve">Sous-classe</w:t>
            </w:r>
          </w:p>
        </w:tc>
        <w:tc>
          <w:tcPr/>
          <w:p>
            <w:pPr>
              <w:pStyle w:val="Compact"/>
              <w:jc w:val="left"/>
            </w:pPr>
            <w:r>
              <w:t xml:space="preserve">Spectre principal</w:t>
            </w:r>
          </w:p>
        </w:tc>
        <w:tc>
          <w:tcPr/>
          <w:p>
            <w:pPr>
              <w:pStyle w:val="Compact"/>
              <w:jc w:val="left"/>
            </w:pPr>
            <w:r>
              <w:t xml:space="preserve">Demi-vie (h)</w:t>
            </w:r>
          </w:p>
        </w:tc>
        <w:tc>
          <w:tcPr/>
          <w:p>
            <w:pPr>
              <w:pStyle w:val="Compact"/>
              <w:jc w:val="left"/>
            </w:pPr>
            <w:r>
              <w:t xml:space="preserve">Élimination</w:t>
            </w:r>
          </w:p>
        </w:tc>
        <w:tc>
          <w:tcPr/>
          <w:p>
            <w:pPr>
              <w:pStyle w:val="Compact"/>
              <w:jc w:val="left"/>
            </w:pPr>
            <w:r>
              <w:t xml:space="preserve">Posologie adulte standard</w:t>
            </w:r>
          </w:p>
        </w:tc>
        <w:tc>
          <w:tcPr/>
          <w:p>
            <w:pPr>
              <w:pStyle w:val="Compact"/>
              <w:jc w:val="left"/>
            </w:pPr>
            <w:r>
              <w:t xml:space="preserve">CI majeures</w:t>
            </w:r>
          </w:p>
        </w:tc>
        <w:tc>
          <w:tcPr/>
          <w:p>
            <w:pPr>
              <w:pStyle w:val="Compact"/>
              <w:jc w:val="left"/>
            </w:pPr>
            <w:r>
              <w:t xml:space="preserve">Grossesse</w:t>
            </w:r>
          </w:p>
        </w:tc>
      </w:tr>
      <w:tr>
        <w:tc>
          <w:tcPr/>
          <w:p>
            <w:pPr>
              <w:pStyle w:val="Compact"/>
              <w:jc w:val="left"/>
            </w:pPr>
            <w:r>
              <w:t xml:space="preserve">Benzylpénicilline (Pénicilline G)</w:t>
            </w:r>
          </w:p>
        </w:tc>
        <w:tc>
          <w:tcPr/>
          <w:p>
            <w:pPr>
              <w:pStyle w:val="Compact"/>
              <w:jc w:val="left"/>
            </w:pPr>
            <w:r>
              <w:t xml:space="preserve">Pénicilline G</w:t>
            </w:r>
          </w:p>
        </w:tc>
        <w:tc>
          <w:tcPr/>
          <w:p>
            <w:pPr>
              <w:pStyle w:val="Compact"/>
              <w:jc w:val="left"/>
            </w:pPr>
            <w:r>
              <w:t xml:space="preserve">Streptocoque, pneumocoque sensible, méningocoque, tréponème, listéria</w:t>
            </w:r>
          </w:p>
        </w:tc>
        <w:tc>
          <w:tcPr/>
          <w:p>
            <w:pPr>
              <w:pStyle w:val="Compact"/>
              <w:jc w:val="left"/>
            </w:pPr>
            <w:r>
              <w:t xml:space="preserve">0,5–1</w:t>
            </w:r>
          </w:p>
        </w:tc>
        <w:tc>
          <w:tcPr/>
          <w:p>
            <w:pPr>
              <w:pStyle w:val="Compact"/>
              <w:jc w:val="left"/>
            </w:pPr>
            <w:r>
              <w:t xml:space="preserve">Rénale (tubulaire OAT)</w:t>
            </w:r>
          </w:p>
        </w:tc>
        <w:tc>
          <w:tcPr/>
          <w:p>
            <w:pPr>
              <w:pStyle w:val="Compact"/>
              <w:jc w:val="left"/>
            </w:pPr>
            <w:r>
              <w:t xml:space="preserve">6–24 MUI/j IV en 4–6 prises (méningite, endocardite)</w:t>
            </w:r>
          </w:p>
        </w:tc>
        <w:tc>
          <w:tcPr/>
          <w:p>
            <w:pPr>
              <w:pStyle w:val="Compact"/>
              <w:jc w:val="left"/>
            </w:pPr>
            <w:r>
              <w:t xml:space="preserve">Allergie β-lactamines, neurotoxicité à forte dose</w:t>
            </w:r>
          </w:p>
        </w:tc>
        <w:tc>
          <w:tcPr/>
          <w:p>
            <w:pPr>
              <w:pStyle w:val="Compact"/>
              <w:jc w:val="left"/>
            </w:pPr>
            <w:r>
              <w:t xml:space="preserve">Indiquée (référence syphilis)</w:t>
            </w:r>
          </w:p>
        </w:tc>
      </w:tr>
      <w:tr>
        <w:tc>
          <w:tcPr/>
          <w:p>
            <w:pPr>
              <w:pStyle w:val="Compact"/>
              <w:jc w:val="left"/>
            </w:pPr>
            <w:r>
              <w:t xml:space="preserve">Benzathine benzylpénicilline</w:t>
            </w:r>
          </w:p>
        </w:tc>
        <w:tc>
          <w:tcPr/>
          <w:p>
            <w:pPr>
              <w:pStyle w:val="Compact"/>
              <w:jc w:val="left"/>
            </w:pPr>
            <w:r>
              <w:t xml:space="preserve">Pénicilline G retard</w:t>
            </w:r>
          </w:p>
        </w:tc>
        <w:tc>
          <w:tcPr/>
          <w:p>
            <w:pPr>
              <w:pStyle w:val="Compact"/>
              <w:jc w:val="left"/>
            </w:pPr>
            <w:r>
              <w:t xml:space="preserve">Idem G, action prolongée 2–4 semaines</w:t>
            </w:r>
          </w:p>
        </w:tc>
        <w:tc>
          <w:tcPr/>
          <w:p>
            <w:pPr>
              <w:pStyle w:val="Compact"/>
              <w:jc w:val="left"/>
            </w:pPr>
            <w:r>
              <w:t xml:space="preserve">Apparente 14 j</w:t>
            </w:r>
          </w:p>
        </w:tc>
        <w:tc>
          <w:tcPr/>
          <w:p>
            <w:pPr>
              <w:pStyle w:val="Compact"/>
              <w:jc w:val="left"/>
            </w:pPr>
            <w:r>
              <w:t xml:space="preserve">Rénale lente</w:t>
            </w:r>
          </w:p>
        </w:tc>
        <w:tc>
          <w:tcPr/>
          <w:p>
            <w:pPr>
              <w:pStyle w:val="Compact"/>
              <w:jc w:val="left"/>
            </w:pPr>
            <w:r>
              <w:t xml:space="preserve">2,4 MUI IM dose unique (syphilis précoce), 1,2 MUI/3–4 semaines (RAA)</w:t>
            </w:r>
          </w:p>
        </w:tc>
        <w:tc>
          <w:tcPr/>
          <w:p>
            <w:pPr>
              <w:pStyle w:val="Compact"/>
              <w:jc w:val="left"/>
            </w:pPr>
            <w:r>
              <w:t xml:space="preserve">Allergie, neurosyphilis, IV interdite</w:t>
            </w:r>
          </w:p>
        </w:tc>
        <w:tc>
          <w:tcPr/>
          <w:p>
            <w:pPr>
              <w:pStyle w:val="Compact"/>
              <w:jc w:val="left"/>
            </w:pPr>
            <w:r>
              <w:t xml:space="preserve">Indiquée (référence syphilis gravidique)</w:t>
            </w:r>
          </w:p>
        </w:tc>
      </w:tr>
      <w:tr>
        <w:tc>
          <w:tcPr/>
          <w:p>
            <w:pPr>
              <w:pStyle w:val="Compact"/>
              <w:jc w:val="left"/>
            </w:pPr>
            <w:r>
              <w:t xml:space="preserve">Benzylpénicilline + Benzylpénicilline procaine</w:t>
            </w:r>
          </w:p>
        </w:tc>
        <w:tc>
          <w:tcPr/>
          <w:p>
            <w:pPr>
              <w:pStyle w:val="Compact"/>
              <w:jc w:val="left"/>
            </w:pPr>
            <w:r>
              <w:t xml:space="preserve">Pénicilline G association retard</w:t>
            </w:r>
          </w:p>
        </w:tc>
        <w:tc>
          <w:tcPr/>
          <w:p>
            <w:pPr>
              <w:pStyle w:val="Compact"/>
              <w:jc w:val="left"/>
            </w:pPr>
            <w:r>
              <w:t xml:space="preserve">Idem G, action 12–24 h</w:t>
            </w:r>
          </w:p>
        </w:tc>
        <w:tc>
          <w:tcPr/>
          <w:p>
            <w:pPr>
              <w:pStyle w:val="Compact"/>
              <w:jc w:val="left"/>
            </w:pPr>
            <w:r>
              <w:t xml:space="preserve">Apparente 1 j</w:t>
            </w:r>
          </w:p>
        </w:tc>
        <w:tc>
          <w:tcPr/>
          <w:p>
            <w:pPr>
              <w:pStyle w:val="Compact"/>
              <w:jc w:val="left"/>
            </w:pPr>
            <w:r>
              <w:t xml:space="preserve">Rénale</w:t>
            </w:r>
          </w:p>
        </w:tc>
        <w:tc>
          <w:tcPr/>
          <w:p>
            <w:pPr>
              <w:pStyle w:val="Compact"/>
              <w:jc w:val="left"/>
            </w:pPr>
            <w:r>
              <w:t xml:space="preserve">1–2 MUI IM × 1/j (10 j)</w:t>
            </w:r>
          </w:p>
        </w:tc>
        <w:tc>
          <w:tcPr/>
          <w:p>
            <w:pPr>
              <w:pStyle w:val="Compact"/>
              <w:jc w:val="left"/>
            </w:pPr>
            <w:r>
              <w:t xml:space="preserve">Allergie β-lactamines, allergie aux anesthésiques ester, IV interdite</w:t>
            </w:r>
          </w:p>
        </w:tc>
        <w:tc>
          <w:tcPr/>
          <w:p>
            <w:pPr>
              <w:pStyle w:val="Compact"/>
              <w:jc w:val="left"/>
            </w:pPr>
            <w:r>
              <w:t xml:space="preserve">Précaution (préférer benzathine)</w:t>
            </w:r>
          </w:p>
        </w:tc>
      </w:tr>
      <w:tr>
        <w:tc>
          <w:tcPr/>
          <w:p>
            <w:pPr>
              <w:pStyle w:val="Compact"/>
              <w:jc w:val="left"/>
            </w:pPr>
            <w:r>
              <w:t xml:space="preserve">Bénétamine benzylpénicilline + Benzylpénicilline</w:t>
            </w:r>
          </w:p>
        </w:tc>
        <w:tc>
          <w:tcPr/>
          <w:p>
            <w:pPr>
              <w:pStyle w:val="Compact"/>
              <w:jc w:val="left"/>
            </w:pPr>
            <w:r>
              <w:t xml:space="preserve">Pénicilline G association retard</w:t>
            </w:r>
          </w:p>
        </w:tc>
        <w:tc>
          <w:tcPr/>
          <w:p>
            <w:pPr>
              <w:pStyle w:val="Compact"/>
              <w:jc w:val="left"/>
            </w:pPr>
            <w:r>
              <w:t xml:space="preserve">Idem G, action 24–48 h</w:t>
            </w:r>
          </w:p>
        </w:tc>
        <w:tc>
          <w:tcPr/>
          <w:p>
            <w:pPr>
              <w:pStyle w:val="Compact"/>
              <w:jc w:val="left"/>
            </w:pPr>
            <w:r>
              <w:t xml:space="preserve">Apparente 1–2 j</w:t>
            </w:r>
          </w:p>
        </w:tc>
        <w:tc>
          <w:tcPr/>
          <w:p>
            <w:pPr>
              <w:pStyle w:val="Compact"/>
              <w:jc w:val="left"/>
            </w:pPr>
            <w:r>
              <w:t xml:space="preserve">Rénale</w:t>
            </w:r>
          </w:p>
        </w:tc>
        <w:tc>
          <w:tcPr/>
          <w:p>
            <w:pPr>
              <w:pStyle w:val="Compact"/>
              <w:jc w:val="left"/>
            </w:pPr>
            <w:r>
              <w:t xml:space="preserve">1 flacon (1 MUI total) IM × 1/j (7–10 j)</w:t>
            </w:r>
          </w:p>
        </w:tc>
        <w:tc>
          <w:tcPr/>
          <w:p>
            <w:pPr>
              <w:pStyle w:val="Compact"/>
              <w:jc w:val="left"/>
            </w:pPr>
            <w:r>
              <w:t xml:space="preserve">Allergie, IV interdite</w:t>
            </w:r>
          </w:p>
        </w:tc>
        <w:tc>
          <w:tcPr/>
          <w:p>
            <w:pPr>
              <w:pStyle w:val="Compact"/>
              <w:jc w:val="left"/>
            </w:pPr>
            <w:r>
              <w:t xml:space="preserve">Précaution</w:t>
            </w:r>
          </w:p>
        </w:tc>
      </w:tr>
      <w:tr>
        <w:tc>
          <w:tcPr/>
          <w:p>
            <w:pPr>
              <w:pStyle w:val="Compact"/>
              <w:jc w:val="left"/>
            </w:pPr>
            <w:r>
              <w:t xml:space="preserve">Phénoxyméthylpénicilline (Pénicilline V)</w:t>
            </w:r>
          </w:p>
        </w:tc>
        <w:tc>
          <w:tcPr/>
          <w:p>
            <w:pPr>
              <w:pStyle w:val="Compact"/>
              <w:jc w:val="left"/>
            </w:pPr>
            <w:r>
              <w:t xml:space="preserve">Pénicilline V</w:t>
            </w:r>
          </w:p>
        </w:tc>
        <w:tc>
          <w:tcPr/>
          <w:p>
            <w:pPr>
              <w:pStyle w:val="Compact"/>
              <w:jc w:val="left"/>
            </w:pPr>
            <w:r>
              <w:t xml:space="preserve">Idem G, voie orale</w:t>
            </w:r>
          </w:p>
        </w:tc>
        <w:tc>
          <w:tcPr/>
          <w:p>
            <w:pPr>
              <w:pStyle w:val="Compact"/>
              <w:jc w:val="left"/>
            </w:pPr>
            <w:r>
              <w:t xml:space="preserve">0,5–1</w:t>
            </w:r>
          </w:p>
        </w:tc>
        <w:tc>
          <w:tcPr/>
          <w:p>
            <w:pPr>
              <w:pStyle w:val="Compact"/>
              <w:jc w:val="left"/>
            </w:pPr>
            <w:r>
              <w:t xml:space="preserve">Rénale</w:t>
            </w:r>
          </w:p>
        </w:tc>
        <w:tc>
          <w:tcPr/>
          <w:p>
            <w:pPr>
              <w:pStyle w:val="Compact"/>
              <w:jc w:val="left"/>
            </w:pPr>
            <w:r>
              <w:t xml:space="preserve">1–6 MUI/j per os en 3–4 prises (à jeun)</w:t>
            </w:r>
          </w:p>
        </w:tc>
        <w:tc>
          <w:tcPr/>
          <w:p>
            <w:pPr>
              <w:pStyle w:val="Compact"/>
              <w:jc w:val="left"/>
            </w:pPr>
            <w:r>
              <w:t xml:space="preserve">Allergie β-lactamines, infection sévère (Cmax insuffisante)</w:t>
            </w:r>
          </w:p>
        </w:tc>
        <w:tc>
          <w:tcPr/>
          <w:p>
            <w:pPr>
              <w:pStyle w:val="Compact"/>
              <w:jc w:val="left"/>
            </w:pPr>
            <w:r>
              <w:t xml:space="preserve">Indiquée</w:t>
            </w:r>
          </w:p>
        </w:tc>
      </w:tr>
      <w:tr>
        <w:tc>
          <w:tcPr/>
          <w:p>
            <w:pPr>
              <w:pStyle w:val="Compact"/>
              <w:jc w:val="left"/>
            </w:pPr>
            <w:r>
              <w:t xml:space="preserve">Amoxicilline</w:t>
            </w:r>
          </w:p>
        </w:tc>
        <w:tc>
          <w:tcPr/>
          <w:p>
            <w:pPr>
              <w:pStyle w:val="Compact"/>
              <w:jc w:val="left"/>
            </w:pPr>
            <w:r>
              <w:t xml:space="preserve">Pénicilline A</w:t>
            </w:r>
          </w:p>
        </w:tc>
        <w:tc>
          <w:tcPr/>
          <w:p>
            <w:pPr>
              <w:pStyle w:val="Compact"/>
              <w:jc w:val="left"/>
            </w:pPr>
            <w:r>
              <w:t xml:space="preserve">G+ sensible, G− communautaire, listéria,</w:t>
            </w:r>
            <w:r>
              <w:t xml:space="preserve"> </w:t>
            </w:r>
            <w:r>
              <w:rPr>
                <w:i/>
                <w:iCs/>
              </w:rPr>
              <w:t xml:space="preserve">H. influenzae</w:t>
            </w:r>
            <w:r>
              <w:t xml:space="preserve"> </w:t>
            </w:r>
            <w:r>
              <w:t xml:space="preserve">sensible</w:t>
            </w:r>
          </w:p>
        </w:tc>
        <w:tc>
          <w:tcPr/>
          <w:p>
            <w:pPr>
              <w:pStyle w:val="Compact"/>
              <w:jc w:val="left"/>
            </w:pPr>
            <w:r>
              <w:t xml:space="preserve">1–1,5</w:t>
            </w:r>
          </w:p>
        </w:tc>
        <w:tc>
          <w:tcPr/>
          <w:p>
            <w:pPr>
              <w:pStyle w:val="Compact"/>
              <w:jc w:val="left"/>
            </w:pPr>
            <w:r>
              <w:t xml:space="preserve">Rénale (60–80 %)</w:t>
            </w:r>
          </w:p>
        </w:tc>
        <w:tc>
          <w:tcPr/>
          <w:p>
            <w:pPr>
              <w:pStyle w:val="Compact"/>
              <w:jc w:val="left"/>
            </w:pPr>
            <w:r>
              <w:t xml:space="preserve">1–3 g/j per os en 2–3 prises (jusqu’à 6 g/j IV)</w:t>
            </w:r>
          </w:p>
        </w:tc>
        <w:tc>
          <w:tcPr/>
          <w:p>
            <w:pPr>
              <w:pStyle w:val="Compact"/>
              <w:jc w:val="left"/>
            </w:pPr>
            <w:r>
              <w:t xml:space="preserve">Allergie, mononucléose, allopurinol</w:t>
            </w:r>
          </w:p>
        </w:tc>
        <w:tc>
          <w:tcPr/>
          <w:p>
            <w:pPr>
              <w:pStyle w:val="Compact"/>
              <w:jc w:val="left"/>
            </w:pPr>
            <w:r>
              <w:t xml:space="preserve">Indiquée (référence listériose gravidique)</w:t>
            </w:r>
          </w:p>
        </w:tc>
      </w:tr>
      <w:tr>
        <w:tc>
          <w:tcPr/>
          <w:p>
            <w:pPr>
              <w:pStyle w:val="Compact"/>
              <w:jc w:val="left"/>
            </w:pPr>
            <w:r>
              <w:t xml:space="preserve">Ampicilline</w:t>
            </w:r>
          </w:p>
        </w:tc>
        <w:tc>
          <w:tcPr/>
          <w:p>
            <w:pPr>
              <w:pStyle w:val="Compact"/>
              <w:jc w:val="left"/>
            </w:pPr>
            <w:r>
              <w:t xml:space="preserve">Pénicilline A</w:t>
            </w:r>
          </w:p>
        </w:tc>
        <w:tc>
          <w:tcPr/>
          <w:p>
            <w:pPr>
              <w:pStyle w:val="Compact"/>
              <w:jc w:val="left"/>
            </w:pPr>
            <w:r>
              <w:t xml:space="preserve">Idem amoxicilline, forme IV préférentielle</w:t>
            </w:r>
          </w:p>
        </w:tc>
        <w:tc>
          <w:tcPr/>
          <w:p>
            <w:pPr>
              <w:pStyle w:val="Compact"/>
              <w:jc w:val="left"/>
            </w:pPr>
            <w:r>
              <w:t xml:space="preserve">1–1,5</w:t>
            </w:r>
          </w:p>
        </w:tc>
        <w:tc>
          <w:tcPr/>
          <w:p>
            <w:pPr>
              <w:pStyle w:val="Compact"/>
              <w:jc w:val="left"/>
            </w:pPr>
            <w:r>
              <w:t xml:space="preserve">Rénale (60–80 %)</w:t>
            </w:r>
          </w:p>
        </w:tc>
        <w:tc>
          <w:tcPr/>
          <w:p>
            <w:pPr>
              <w:pStyle w:val="Compact"/>
              <w:jc w:val="left"/>
            </w:pPr>
            <w:r>
              <w:t xml:space="preserve">4–12 g/j IV en 4–6 prises (endocardite, listériose)</w:t>
            </w:r>
          </w:p>
        </w:tc>
        <w:tc>
          <w:tcPr/>
          <w:p>
            <w:pPr>
              <w:pStyle w:val="Compact"/>
              <w:jc w:val="left"/>
            </w:pPr>
            <w:r>
              <w:t xml:space="preserve">Allergie, mononucléose, allopurinol</w:t>
            </w:r>
          </w:p>
        </w:tc>
        <w:tc>
          <w:tcPr/>
          <w:p>
            <w:pPr>
              <w:pStyle w:val="Compact"/>
              <w:jc w:val="left"/>
            </w:pPr>
            <w:r>
              <w:t xml:space="preserve">Indiquée (strepto B per-partum)</w:t>
            </w:r>
          </w:p>
        </w:tc>
      </w:tr>
      <w:tr>
        <w:tc>
          <w:tcPr/>
          <w:p>
            <w:pPr>
              <w:pStyle w:val="Compact"/>
              <w:jc w:val="left"/>
            </w:pPr>
            <w:r>
              <w:t xml:space="preserve">Amoxicilline + Acide clavulanique</w:t>
            </w:r>
          </w:p>
        </w:tc>
        <w:tc>
          <w:tcPr/>
          <w:p>
            <w:pPr>
              <w:pStyle w:val="Compact"/>
              <w:jc w:val="left"/>
            </w:pPr>
            <w:r>
              <w:t xml:space="preserve">Pénicilline A + Inhib β-lactamases</w:t>
            </w:r>
          </w:p>
        </w:tc>
        <w:tc>
          <w:tcPr/>
          <w:p>
            <w:pPr>
              <w:pStyle w:val="Compact"/>
              <w:jc w:val="left"/>
            </w:pPr>
            <w:r>
              <w:t xml:space="preserve">Idem amoxicilline + souches BLSE (</w:t>
            </w:r>
            <w:r>
              <w:rPr>
                <w:i/>
                <w:iCs/>
              </w:rPr>
              <w:t xml:space="preserve">H. influenzae</w:t>
            </w:r>
            <w:r>
              <w:t xml:space="preserve">,</w:t>
            </w:r>
            <w:r>
              <w:t xml:space="preserve"> </w:t>
            </w:r>
            <w:r>
              <w:rPr>
                <w:i/>
                <w:iCs/>
              </w:rPr>
              <w:t xml:space="preserve">M. catarrhalis</w:t>
            </w:r>
            <w:r>
              <w:t xml:space="preserve">,</w:t>
            </w:r>
            <w:r>
              <w:t xml:space="preserve"> </w:t>
            </w:r>
            <w:r>
              <w:rPr>
                <w:i/>
                <w:iCs/>
              </w:rPr>
              <w:t xml:space="preserve">Bacteroides</w:t>
            </w:r>
            <w:r>
              <w:t xml:space="preserve">,</w:t>
            </w:r>
            <w:r>
              <w:t xml:space="preserve"> </w:t>
            </w:r>
            <w:r>
              <w:rPr>
                <w:i/>
                <w:iCs/>
              </w:rPr>
              <w:t xml:space="preserve">E. coli</w:t>
            </w:r>
            <w:r>
              <w:t xml:space="preserve"> </w:t>
            </w:r>
            <w:r>
              <w:t xml:space="preserve">BLSE)</w:t>
            </w:r>
          </w:p>
        </w:tc>
        <w:tc>
          <w:tcPr/>
          <w:p>
            <w:pPr>
              <w:pStyle w:val="Compact"/>
              <w:jc w:val="left"/>
            </w:pPr>
            <w:r>
              <w:t xml:space="preserve">1–1,5 (amox), 1 (ac. clav)</w:t>
            </w:r>
          </w:p>
        </w:tc>
        <w:tc>
          <w:tcPr/>
          <w:p>
            <w:pPr>
              <w:pStyle w:val="Compact"/>
              <w:jc w:val="left"/>
            </w:pPr>
            <w:r>
              <w:t xml:space="preserve">Rénale</w:t>
            </w:r>
          </w:p>
        </w:tc>
        <w:tc>
          <w:tcPr/>
          <w:p>
            <w:pPr>
              <w:pStyle w:val="Compact"/>
              <w:jc w:val="left"/>
            </w:pPr>
            <w:r>
              <w:t xml:space="preserve">1–3 g/j per os en 2–3 prises (ratio 8:1) ou IV 1–2 g/200 mg × 3/j</w:t>
            </w:r>
          </w:p>
        </w:tc>
        <w:tc>
          <w:tcPr/>
          <w:p>
            <w:pPr>
              <w:pStyle w:val="Compact"/>
              <w:jc w:val="left"/>
            </w:pPr>
            <w:r>
              <w:t xml:space="preserve">Allergie, hépatotoxicité antérieure, mononucléose</w:t>
            </w:r>
          </w:p>
        </w:tc>
        <w:tc>
          <w:tcPr/>
          <w:p>
            <w:pPr>
              <w:pStyle w:val="Compact"/>
              <w:jc w:val="left"/>
            </w:pPr>
            <w:r>
              <w:t xml:space="preserve">Indiquée avec précaution (1er trimestre)</w:t>
            </w:r>
          </w:p>
        </w:tc>
      </w:tr>
      <w:tr>
        <w:tc>
          <w:tcPr/>
          <w:p>
            <w:pPr>
              <w:pStyle w:val="Compact"/>
              <w:jc w:val="left"/>
            </w:pPr>
            <w:r>
              <w:t xml:space="preserve">Cloxacilline</w:t>
            </w:r>
          </w:p>
        </w:tc>
        <w:tc>
          <w:tcPr/>
          <w:p>
            <w:pPr>
              <w:pStyle w:val="Compact"/>
              <w:jc w:val="left"/>
            </w:pPr>
            <w:r>
              <w:t xml:space="preserve">Pénicilline M</w:t>
            </w:r>
          </w:p>
        </w:tc>
        <w:tc>
          <w:tcPr/>
          <w:p>
            <w:pPr>
              <w:pStyle w:val="Compact"/>
              <w:jc w:val="left"/>
            </w:pPr>
            <w:r>
              <w:t xml:space="preserve">Staphylocoque méti-S, streptocoque</w:t>
            </w:r>
          </w:p>
        </w:tc>
        <w:tc>
          <w:tcPr/>
          <w:p>
            <w:pPr>
              <w:pStyle w:val="Compact"/>
              <w:jc w:val="left"/>
            </w:pPr>
            <w:r>
              <w:t xml:space="preserve">0,5–1</w:t>
            </w:r>
          </w:p>
        </w:tc>
        <w:tc>
          <w:tcPr/>
          <w:p>
            <w:pPr>
              <w:pStyle w:val="Compact"/>
              <w:jc w:val="left"/>
            </w:pPr>
            <w:r>
              <w:t xml:space="preserve">Rénale (40 %), biliaire (60 %)</w:t>
            </w:r>
          </w:p>
        </w:tc>
        <w:tc>
          <w:tcPr/>
          <w:p>
            <w:pPr>
              <w:pStyle w:val="Compact"/>
              <w:jc w:val="left"/>
            </w:pPr>
            <w:r>
              <w:t xml:space="preserve">4–12 g/j IV en 4–6 prises ; 2–3 g/j per os en 4 prises</w:t>
            </w:r>
          </w:p>
        </w:tc>
        <w:tc>
          <w:tcPr/>
          <w:p>
            <w:pPr>
              <w:pStyle w:val="Compact"/>
              <w:jc w:val="left"/>
            </w:pPr>
            <w:r>
              <w:t xml:space="preserve">Allergie, SARM, atteinte hépatique antérieure</w:t>
            </w:r>
          </w:p>
        </w:tc>
        <w:tc>
          <w:tcPr/>
          <w:p>
            <w:pPr>
              <w:pStyle w:val="Compact"/>
              <w:jc w:val="left"/>
            </w:pPr>
            <w:r>
              <w:t xml:space="preserve">Précaution</w:t>
            </w:r>
          </w:p>
        </w:tc>
      </w:tr>
      <w:tr>
        <w:tc>
          <w:tcPr/>
          <w:p>
            <w:pPr>
              <w:pStyle w:val="Compact"/>
              <w:jc w:val="left"/>
            </w:pPr>
            <w:r>
              <w:t xml:space="preserve">Oxacilline</w:t>
            </w:r>
          </w:p>
        </w:tc>
        <w:tc>
          <w:tcPr/>
          <w:p>
            <w:pPr>
              <w:pStyle w:val="Compact"/>
              <w:jc w:val="left"/>
            </w:pPr>
            <w:r>
              <w:t xml:space="preserve">Pénicilline M</w:t>
            </w:r>
          </w:p>
        </w:tc>
        <w:tc>
          <w:tcPr/>
          <w:p>
            <w:pPr>
              <w:pStyle w:val="Compact"/>
              <w:jc w:val="left"/>
            </w:pPr>
            <w:r>
              <w:t xml:space="preserve">Staphylocoque méti-S, streptocoque</w:t>
            </w:r>
          </w:p>
        </w:tc>
        <w:tc>
          <w:tcPr/>
          <w:p>
            <w:pPr>
              <w:pStyle w:val="Compact"/>
              <w:jc w:val="left"/>
            </w:pPr>
            <w:r>
              <w:t xml:space="preserve">0,5–1</w:t>
            </w:r>
          </w:p>
        </w:tc>
        <w:tc>
          <w:tcPr/>
          <w:p>
            <w:pPr>
              <w:pStyle w:val="Compact"/>
              <w:jc w:val="left"/>
            </w:pPr>
            <w:r>
              <w:t xml:space="preserve">Rénale (40 %), biliaire (60 %)</w:t>
            </w:r>
          </w:p>
        </w:tc>
        <w:tc>
          <w:tcPr/>
          <w:p>
            <w:pPr>
              <w:pStyle w:val="Compact"/>
              <w:jc w:val="left"/>
            </w:pPr>
            <w:r>
              <w:t xml:space="preserve">4–12 g/j IV en 4–6 prises ; 2–4 g/j per os en 4 prises</w:t>
            </w:r>
          </w:p>
        </w:tc>
        <w:tc>
          <w:tcPr/>
          <w:p>
            <w:pPr>
              <w:pStyle w:val="Compact"/>
              <w:jc w:val="left"/>
            </w:pPr>
            <w:r>
              <w:t xml:space="preserve">Allergie, SARM, atteinte hépatique antérieure</w:t>
            </w:r>
          </w:p>
        </w:tc>
        <w:tc>
          <w:tcPr/>
          <w:p>
            <w:pPr>
              <w:pStyle w:val="Compact"/>
              <w:jc w:val="left"/>
            </w:pPr>
            <w:r>
              <w:t xml:space="preserve">Précaution</w:t>
            </w:r>
          </w:p>
        </w:tc>
      </w:tr>
      <w:tr>
        <w:tc>
          <w:tcPr/>
          <w:p>
            <w:pPr>
              <w:pStyle w:val="Compact"/>
              <w:jc w:val="left"/>
            </w:pPr>
            <w:r>
              <w:t xml:space="preserve">Ticarcilline</w:t>
            </w:r>
          </w:p>
        </w:tc>
        <w:tc>
          <w:tcPr/>
          <w:p>
            <w:pPr>
              <w:pStyle w:val="Compact"/>
              <w:jc w:val="left"/>
            </w:pPr>
            <w:r>
              <w:t xml:space="preserve">Carboxypénicilline</w:t>
            </w:r>
          </w:p>
        </w:tc>
        <w:tc>
          <w:tcPr/>
          <w:p>
            <w:pPr>
              <w:pStyle w:val="Compact"/>
              <w:jc w:val="left"/>
            </w:pPr>
            <w:r>
              <w:rPr>
                <w:i/>
                <w:iCs/>
              </w:rPr>
              <w:t xml:space="preserve">Pseudomonas aeruginosa</w:t>
            </w:r>
            <w:r>
              <w:t xml:space="preserve">, G−, anaérobies</w:t>
            </w:r>
          </w:p>
        </w:tc>
        <w:tc>
          <w:tcPr/>
          <w:p>
            <w:pPr>
              <w:pStyle w:val="Compact"/>
              <w:jc w:val="left"/>
            </w:pPr>
            <w:r>
              <w:t xml:space="preserve">1–1,2</w:t>
            </w:r>
          </w:p>
        </w:tc>
        <w:tc>
          <w:tcPr/>
          <w:p>
            <w:pPr>
              <w:pStyle w:val="Compact"/>
              <w:jc w:val="left"/>
            </w:pPr>
            <w:r>
              <w:t xml:space="preserve">Rénale</w:t>
            </w:r>
          </w:p>
        </w:tc>
        <w:tc>
          <w:tcPr/>
          <w:p>
            <w:pPr>
              <w:pStyle w:val="Compact"/>
              <w:jc w:val="left"/>
            </w:pPr>
            <w:r>
              <w:t xml:space="preserve">12–24 g/j IV en 4–6 prises</w:t>
            </w:r>
          </w:p>
        </w:tc>
        <w:tc>
          <w:tcPr/>
          <w:p>
            <w:pPr>
              <w:pStyle w:val="Compact"/>
              <w:jc w:val="left"/>
            </w:pPr>
            <w:r>
              <w:t xml:space="preserve">Allergie, insuffisance cardiaque (charge sodée), troubles électrolytiques</w:t>
            </w:r>
          </w:p>
        </w:tc>
        <w:tc>
          <w:tcPr/>
          <w:p>
            <w:pPr>
              <w:pStyle w:val="Compact"/>
              <w:jc w:val="left"/>
            </w:pPr>
            <w:r>
              <w:t xml:space="preserve">Précaution</w:t>
            </w:r>
          </w:p>
        </w:tc>
      </w:tr>
      <w:tr>
        <w:tc>
          <w:tcPr/>
          <w:p>
            <w:pPr>
              <w:pStyle w:val="Compact"/>
              <w:jc w:val="left"/>
            </w:pPr>
            <w:r>
              <w:t xml:space="preserve">Pipéracilline</w:t>
            </w:r>
          </w:p>
        </w:tc>
        <w:tc>
          <w:tcPr/>
          <w:p>
            <w:pPr>
              <w:pStyle w:val="Compact"/>
              <w:jc w:val="left"/>
            </w:pPr>
            <w:r>
              <w:t xml:space="preserve">Uréidopénicilline</w:t>
            </w:r>
          </w:p>
        </w:tc>
        <w:tc>
          <w:tcPr/>
          <w:p>
            <w:pPr>
              <w:pStyle w:val="Compact"/>
              <w:jc w:val="left"/>
            </w:pPr>
            <w:r>
              <w:rPr>
                <w:i/>
                <w:iCs/>
              </w:rPr>
              <w:t xml:space="preserve">Pseudomonas aeruginosa</w:t>
            </w:r>
            <w:r>
              <w:t xml:space="preserve">, G− AmpC, anaérobies</w:t>
            </w:r>
          </w:p>
        </w:tc>
        <w:tc>
          <w:tcPr/>
          <w:p>
            <w:pPr>
              <w:pStyle w:val="Compact"/>
              <w:jc w:val="left"/>
            </w:pPr>
            <w:r>
              <w:t xml:space="preserve">1–1,2</w:t>
            </w:r>
          </w:p>
        </w:tc>
        <w:tc>
          <w:tcPr/>
          <w:p>
            <w:pPr>
              <w:pStyle w:val="Compact"/>
              <w:jc w:val="left"/>
            </w:pPr>
            <w:r>
              <w:t xml:space="preserve">Rénale (60–80 %), biliaire (20–40 %)</w:t>
            </w:r>
          </w:p>
        </w:tc>
        <w:tc>
          <w:tcPr/>
          <w:p>
            <w:pPr>
              <w:pStyle w:val="Compact"/>
              <w:jc w:val="left"/>
            </w:pPr>
            <w:r>
              <w:t xml:space="preserve">12–18 g/j IV en 4 prises (jusqu’à 24 g/j)</w:t>
            </w:r>
          </w:p>
        </w:tc>
        <w:tc>
          <w:tcPr/>
          <w:p>
            <w:pPr>
              <w:pStyle w:val="Compact"/>
              <w:jc w:val="left"/>
            </w:pPr>
            <w:r>
              <w:t xml:space="preserve">Allergie, troubles électrolytiques</w:t>
            </w:r>
          </w:p>
        </w:tc>
        <w:tc>
          <w:tcPr/>
          <w:p>
            <w:pPr>
              <w:pStyle w:val="Compact"/>
              <w:jc w:val="left"/>
            </w:pPr>
            <w:r>
              <w:t xml:space="preserve">Indiquée avec précaution</w:t>
            </w:r>
          </w:p>
        </w:tc>
      </w:tr>
    </w:tbl>
    <w:p>
      <w:r>
        <w:pict>
          <v:rect style="width:0;height:1.5pt" o:hralign="center" o:hrstd="t" o:hr="t"/>
        </w:pict>
      </w:r>
    </w:p>
    <w:bookmarkEnd w:id="52"/>
    <w:bookmarkStart w:id="53" w:name="X10abefe0f4d40da8c5d6eefb6c83cd296482da7"/>
    <w:p>
      <w:pPr>
        <w:pStyle w:val="Heading2"/>
      </w:pPr>
      <w:r>
        <w:t xml:space="preserve">Synthèse et enseignements pour la pratique pharmaceutique algérienne</w:t>
      </w:r>
    </w:p>
    <w:p>
      <w:pPr>
        <w:pStyle w:val="FirstParagraph"/>
      </w:pPr>
      <w:r>
        <w:t xml:space="preserve">La classe des pénicillines, bien que historique, demeure une pierre angulaire de l’antibiothérapie en Algérie. Plusieurs enseignements majeurs se dégagent de l’analyse exhaustive de la nomenclature algérienne :</w:t>
      </w:r>
    </w:p>
    <w:p>
      <w:pPr>
        <w:numPr>
          <w:ilvl w:val="0"/>
          <w:numId w:val="1098"/>
        </w:numPr>
      </w:pPr>
      <w:r>
        <w:rPr>
          <w:b/>
          <w:bCs/>
        </w:rPr>
        <w:t xml:space="preserve">Prédominance de l’amoxicilline</w:t>
      </w:r>
      <w:r>
        <w:t xml:space="preserve"> </w:t>
      </w:r>
      <w:r>
        <w:t xml:space="preserve">: Avec plus de 40 marques historiques et actives (AMOXYPEN, CLAMOXYL, AMOXIMEX, BIOPAMOX, PENAMOX, HIMOXYL, etc.), l’amoxicilline est l’antibiotique le plus largement disponible en Algérie. Le pharmacien doit savoir reconnaître les équivalents et conseiller la substitution par amoxicilline seule lorsque l’indication ne justifie pas l’association à l’acide clavulanique (mesure écologique et de tolérance).</w:t>
      </w:r>
    </w:p>
    <w:p>
      <w:pPr>
        <w:numPr>
          <w:ilvl w:val="0"/>
          <w:numId w:val="1098"/>
        </w:numPr>
      </w:pPr>
      <w:r>
        <w:rPr>
          <w:b/>
          <w:bCs/>
        </w:rPr>
        <w:t xml:space="preserve">Couverture des pénicillines G</w:t>
      </w:r>
      <w:r>
        <w:t xml:space="preserve"> </w:t>
      </w:r>
      <w:r>
        <w:t xml:space="preserve">: La benzylpénicilline G (GECTAPEN, PENI G BIOCARE) et la benzathine benzylpénicilline (EXTENCINE, RETARCILINE) restent disponibles et indispensables pour le traitement de la syphilis, la prophylaxie du RAA, et les infections à streptocoque sensible. La pénicilline V (ORAPEN) conserve une place pour l’angine streptococcique chez l’allergique non sévère.</w:t>
      </w:r>
    </w:p>
    <w:p>
      <w:pPr>
        <w:numPr>
          <w:ilvl w:val="0"/>
          <w:numId w:val="1098"/>
        </w:numPr>
      </w:pPr>
      <w:r>
        <w:rPr>
          <w:b/>
          <w:bCs/>
        </w:rPr>
        <w:t xml:space="preserve">Place des pénicillines M</w:t>
      </w:r>
      <w:r>
        <w:t xml:space="preserve"> </w:t>
      </w:r>
      <w:r>
        <w:t xml:space="preserve">: L’oxacilline (OXACARE, OXADEX) reste l’antistaphylococcique de référence pour les infections à staphylocoque méti-S, en milieu hospitalier essentiellement. La cloxacilline (ORBENINE) est retirée du marché algérien, mais reste connue par importation. Le pharmacien doit savoir alerter le prescripteur sur l’inefficacité des pénicillines M sur les SARM (prévalence croissante en Algérie).</w:t>
      </w:r>
    </w:p>
    <w:p>
      <w:pPr>
        <w:numPr>
          <w:ilvl w:val="0"/>
          <w:numId w:val="1098"/>
        </w:numPr>
      </w:pPr>
      <w:r>
        <w:rPr>
          <w:b/>
          <w:bCs/>
        </w:rPr>
        <w:t xml:space="preserve">Disparition des carboxypénicillines et uréidopénicillines seules</w:t>
      </w:r>
      <w:r>
        <w:t xml:space="preserve"> </w:t>
      </w:r>
      <w:r>
        <w:t xml:space="preserve">: La ticarcilline (TICARPEN) et la pipéracilline seule (PICILLIN, PIPERILLINE, PIPRAKS, PIPERACILLINE MERCK) sont retirées du marché algérien, supplantées par les associations avec inhibiteurs de β-lactamases (ticarcilline + acide clavulanique, pipéracilline + tazobactam) disponibles par importation. Le pharmacien doit savoir reconnaître ces formes et expliquer au patient la nécessité d’une administration hospitalière.</w:t>
      </w:r>
    </w:p>
    <w:p>
      <w:pPr>
        <w:numPr>
          <w:ilvl w:val="0"/>
          <w:numId w:val="1098"/>
        </w:numPr>
      </w:pPr>
      <w:r>
        <w:rPr>
          <w:b/>
          <w:bCs/>
        </w:rPr>
        <w:t xml:space="preserve">Pièges majeurs au comptoir</w:t>
      </w:r>
      <w:r>
        <w:t xml:space="preserve"> </w:t>
      </w:r>
      <w:r>
        <w:t xml:space="preserve">: (i) allergie croisée bêta-lactamines (10 % avec céphalosporines, à vérifier systématiquement) ; (ii) éruption de la mononucléose (70–90 % sous amoxicilline — toujours demander un test MNI devant une angine fébrile avec asthénie et adénopathies) ; (iii) confusion entre benzathine (retard 2–4 semaines) et benzylpénicilline G (immédiate) — erreur de forme = erreur thérapeutique majeure ; (iv) hépatotoxicité de l’acide clavulanique et des pénicillines M (surveillance du bilan hépatique) ; (v) prescription systématique d’amoxicilline + acide clavulanique en première intention (mésusage écologique et digestif).</w:t>
      </w:r>
    </w:p>
    <w:p>
      <w:pPr>
        <w:numPr>
          <w:ilvl w:val="0"/>
          <w:numId w:val="1098"/>
        </w:numPr>
      </w:pPr>
      <w:r>
        <w:rPr>
          <w:b/>
          <w:bCs/>
        </w:rPr>
        <w:t xml:space="preserve">Règles d’or de la dispensation</w:t>
      </w:r>
      <w:r>
        <w:t xml:space="preserve"> </w:t>
      </w:r>
      <w:r>
        <w:t xml:space="preserve">: (i) vérifier l’allergie avant toute dispensation ; (ii) expliquer la durée stricte (6 jours pour l’angine streptococcique, 10 jours pour la syphilis précoce, 4–6 semaines pour l’endocardite et l’ostéomyélite) ; (iii) expliquer les conditions de prise (à jeun pour pénicilline V, amplicilline, oxacilline ; pendant le repas pour amoxicilline et amoxicilline + acide clavulanique) ; (iv) expliquer la conservation des suspensions reconstituées (7 jours au réfrigérateur, agitation avant chaque prise) ; (v) alerter sur les signes d’appel (ictère, diarrhée sanglante, rash étendu, urticaire généralisée) nécessitant un arrêt immédiat et une consultation médicale.</w:t>
      </w:r>
    </w:p>
    <w:p>
      <w:pPr>
        <w:numPr>
          <w:ilvl w:val="0"/>
          <w:numId w:val="1098"/>
        </w:numPr>
      </w:pPr>
      <w:r>
        <w:rPr>
          <w:b/>
          <w:bCs/>
        </w:rPr>
        <w:t xml:space="preserve">Adaptation à la fonction rénale</w:t>
      </w:r>
      <w:r>
        <w:t xml:space="preserve"> </w:t>
      </w:r>
      <w:r>
        <w:t xml:space="preserve">: Toutes les pénicillines étant à élimination rénale prédominante, le pharmacien doit systématiquement vérifier la clairance de la créatinine (formule de Cockcroft) chez le sujet âgé (&gt; 75 ans), le diabétique, l’insuffisant rénal chronique, et adapter la posologie selon les seuils habituels (ClCr 30–60 mL/min : dose standard × 2/jour ; ClCr 10–30 mL/min : dose standard × 1–2/jour ; ClCr &lt; 10 mL/min : dose réduite × 1/jour, dialysable).</w:t>
      </w:r>
    </w:p>
    <w:p>
      <w:pPr>
        <w:numPr>
          <w:ilvl w:val="0"/>
          <w:numId w:val="1098"/>
        </w:numPr>
      </w:pPr>
      <w:r>
        <w:rPr>
          <w:b/>
          <w:bCs/>
        </w:rPr>
        <w:t xml:space="preserve">Probiotiques et accompagnement</w:t>
      </w:r>
      <w:r>
        <w:t xml:space="preserve"> </w:t>
      </w:r>
      <w:r>
        <w:t xml:space="preserve">: La prescription systématique de probiotiques type</w:t>
      </w:r>
      <w:r>
        <w:t xml:space="preserve"> </w:t>
      </w:r>
      <w:r>
        <w:rPr>
          <w:i/>
          <w:iCs/>
        </w:rPr>
        <w:t xml:space="preserve">Saccharomyces boulardii</w:t>
      </w:r>
      <w:r>
        <w:t xml:space="preserve"> </w:t>
      </w:r>
      <w:r>
        <w:t xml:space="preserve">(Ultralevure) à 200–500 mg/jour ou</w:t>
      </w:r>
      <w:r>
        <w:t xml:space="preserve"> </w:t>
      </w:r>
      <w:r>
        <w:rPr>
          <w:i/>
          <w:iCs/>
        </w:rPr>
        <w:t xml:space="preserve">Lactobacillus rhamnosus GG</w:t>
      </w:r>
      <w:r>
        <w:t xml:space="preserve"> </w:t>
      </w:r>
      <w:r>
        <w:t xml:space="preserve">pendant la durée de l’antibiothérapie et 7 jours après réduit significativement l’incidence de la diarrhée post-antibiotique et de la colonisation à</w:t>
      </w:r>
      <w:r>
        <w:t xml:space="preserve"> </w:t>
      </w:r>
      <w:r>
        <w:rPr>
          <w:i/>
          <w:iCs/>
        </w:rPr>
        <w:t xml:space="preserve">C. difficile</w:t>
      </w:r>
      <w:r>
        <w:t xml:space="preserve">, en particulier chez l’enfant et le sujet âgé.</w:t>
      </w:r>
    </w:p>
    <w:p>
      <w:pPr>
        <w:pStyle w:val="FirstParagraph"/>
      </w:pPr>
      <w:r>
        <w:t xml:space="preserve">Cette analyse exhaustive des 12 DCI de pénicillines disponibles dans la nomenclature algérienne fournit au pharmacien d’officine et à l’étudiant en pharmacie une référence opérationnelle pour la dispensation, le conseil et la vigilance. Elle s’inscrit dans une démarche de bon usage des antibiotiques, essentielle pour préserver l’efficacité de cette classe historique face à la montée des résistances bactériennes.</w:t>
      </w:r>
    </w:p>
    <w:p>
      <w:r>
        <w:pict>
          <v:rect style="width:0;height:1.5pt" o:hralign="center" o:hrstd="t" o:hr="t"/>
        </w:pict>
      </w:r>
    </w:p>
    <w:p>
      <w:pPr>
        <w:pStyle w:val="FirstParagraph"/>
      </w:pPr>
      <w:r>
        <w:rPr>
          <w:i/>
          <w:iCs/>
        </w:rPr>
        <w:t xml:space="preserve">Fin du Chapitre 2 — Bêta-lactamines : Pénicillines</w:t>
      </w:r>
    </w:p>
    <w:p>
      <w:r>
        <w:pict>
          <v:rect style="width:0;height:1.5pt" o:hralign="center" o:hrstd="t" o:hr="t"/>
        </w:pict>
      </w:r>
    </w:p>
    <w:bookmarkEnd w:id="53"/>
    <w:bookmarkEnd w:id="54"/>
    <w:bookmarkStart w:id="100" w:name="Xa928f489f9539673722a15535c195004efd08cd"/>
    <w:p>
      <w:pPr>
        <w:pStyle w:val="Heading1"/>
      </w:pPr>
      <w:r>
        <w:t xml:space="preserve">Section 3 — Céphalosporines, Carbapénèmes et apparentés</w:t>
      </w:r>
    </w:p>
    <w:bookmarkStart w:id="55" w:name="introduction-générale-de-la-classe-1"/>
    <w:p>
      <w:pPr>
        <w:pStyle w:val="Heading2"/>
      </w:pPr>
      <w:r>
        <w:t xml:space="preserve">Introduction générale de la classe</w:t>
      </w:r>
    </w:p>
    <w:p>
      <w:pPr>
        <w:pStyle w:val="FirstParagraph"/>
      </w:pPr>
      <w:r>
        <w:t xml:space="preserve">Les céphalosporines et les carbapénèmes appartiennent à la grande famille des</w:t>
      </w:r>
      <w:r>
        <w:t xml:space="preserve"> </w:t>
      </w:r>
      <w:r>
        <w:rPr>
          <w:b/>
          <w:bCs/>
        </w:rPr>
        <w:t xml:space="preserve">β-lactamines</w:t>
      </w:r>
      <w:r>
        <w:t xml:space="preserve">, antibiotiques bactéricides dont le noyau commun est un cycle β-lactame. Les céphalosporines sont caractérisées par un noyau</w:t>
      </w:r>
      <w:r>
        <w:t xml:space="preserve"> </w:t>
      </w:r>
      <w:r>
        <w:rPr>
          <w:b/>
          <w:bCs/>
        </w:rPr>
        <w:t xml:space="preserve">céphème</w:t>
      </w:r>
      <w:r>
        <w:t xml:space="preserve"> </w:t>
      </w:r>
      <w:r>
        <w:t xml:space="preserve">(fusion d’un cycle β-lactame avec un cycle dihydrothiazine), tandis que les carbapénèmes possèdent un noyau carbapénème (fusion avec un pyrroline) et que les monobactames ne comportent qu’un cycle β-lactame isolé. Ces particularités structurales déterminent l’affinité pour les</w:t>
      </w:r>
      <w:r>
        <w:t xml:space="preserve"> </w:t>
      </w:r>
      <w:r>
        <w:rPr>
          <w:b/>
          <w:bCs/>
        </w:rPr>
        <w:t xml:space="preserve">protéines de liaison aux pénicillines (PLP ou PBP)</w:t>
      </w:r>
      <w:r>
        <w:t xml:space="preserve">, la stabilité face aux β-lactamases, et donc le spectre antibactérien.</w:t>
      </w:r>
    </w:p>
    <w:p>
      <w:pPr>
        <w:pStyle w:val="BodyText"/>
      </w:pPr>
      <w:r>
        <w:t xml:space="preserve">La classification des céphalosporines en générations (de la 1ère à la 5ème) reflète une</w:t>
      </w:r>
      <w:r>
        <w:t xml:space="preserve"> </w:t>
      </w:r>
      <w:r>
        <w:rPr>
          <w:b/>
          <w:bCs/>
        </w:rPr>
        <w:t xml:space="preserve">progression du spectre anti-Gram-négatif</w:t>
      </w:r>
      <w:r>
        <w:t xml:space="preserve"> </w:t>
      </w:r>
      <w:r>
        <w:t xml:space="preserve">au détriment – relatif – de l’activité anti-Gram-positif, ainsi qu’une meilleure résistance aux β-lactamases. Les carbapénèmes constituent le</w:t>
      </w:r>
      <w:r>
        <w:t xml:space="preserve"> </w:t>
      </w:r>
      <w:r>
        <w:rPr>
          <w:b/>
          <w:bCs/>
        </w:rPr>
        <w:t xml:space="preserve">spectre le plus large</w:t>
      </w:r>
      <w:r>
        <w:t xml:space="preserve"> </w:t>
      </w:r>
      <w:r>
        <w:t xml:space="preserve">de la classe β-lactamine et restent les antibiotiques de référence dans les infections sévères à entérobactéries productrices de β-lactamases à spectre étendu (BLSE) et à</w:t>
      </w:r>
      <w:r>
        <w:t xml:space="preserve"> </w:t>
      </w:r>
      <w:r>
        <w:rPr>
          <w:i/>
          <w:iCs/>
        </w:rPr>
        <w:t xml:space="preserve">Pseudomonas aeruginosa</w:t>
      </w:r>
      <w:r>
        <w:t xml:space="preserve">.</w:t>
      </w:r>
    </w:p>
    <w:p>
      <w:pPr>
        <w:pStyle w:val="BodyText"/>
      </w:pPr>
      <w:r>
        <w:t xml:space="preserve">La nomenclature algérienne avril 2026 comporte</w:t>
      </w:r>
      <w:r>
        <w:t xml:space="preserve"> </w:t>
      </w:r>
      <w:r>
        <w:rPr>
          <w:b/>
          <w:bCs/>
        </w:rPr>
        <w:t xml:space="preserve">19 DCI</w:t>
      </w:r>
      <w:r>
        <w:t xml:space="preserve"> </w:t>
      </w:r>
      <w:r>
        <w:t xml:space="preserve">dans ce groupe, couvrant l’ensemble des générations à l’exception de la 4ème génération (céfépime, non commercialisé en Algérie) et des monobactames (aztréonam absent du marché national). Toutes les voies d’administration sont représentées : orale (comprimés, gélules, suspensions buvables) et injectable (IM, IV, perfusion). Cette diversité galénique offre une grande flexibilité thérapeutique, du traitement ambulatoire de l’angine à la prise en charge hospitalière des septicémies.</w:t>
      </w:r>
    </w:p>
    <w:p>
      <w:r>
        <w:pict>
          <v:rect style="width:0;height:1.5pt" o:hralign="center" o:hrstd="t" o:hr="t"/>
        </w:pict>
      </w:r>
    </w:p>
    <w:bookmarkEnd w:id="55"/>
    <w:bookmarkStart w:id="61" w:name="Xb1eba0b30028847bda9206373705e388dcd9017"/>
    <w:p>
      <w:pPr>
        <w:pStyle w:val="Heading2"/>
      </w:pPr>
      <w:r>
        <w:t xml:space="preserve">A. Céphalosporines de 1ère génération (C1G)</w:t>
      </w:r>
    </w:p>
    <w:bookmarkStart w:id="56" w:name="présentation-de-la-sous-classe"/>
    <w:p>
      <w:pPr>
        <w:pStyle w:val="Heading3"/>
      </w:pPr>
      <w:r>
        <w:t xml:space="preserve">Présentation de la sous-classe</w:t>
      </w:r>
    </w:p>
    <w:p>
      <w:pPr>
        <w:pStyle w:val="FirstParagraph"/>
      </w:pPr>
      <w:r>
        <w:t xml:space="preserve">Les céphalosporines de 1ère génération ont été introduites cliniquement à partir des années 1960 (céphalotine, céphaloridine). Les molécules actuellement disponibles en Algérie (céfazoline, céphalexine, céfradine, cefadroxil) en représentent l’évolution galénique et pharmacocinétique. Leur spectre est dominé par l’activité sur les</w:t>
      </w:r>
      <w:r>
        <w:t xml:space="preserve"> </w:t>
      </w:r>
      <w:r>
        <w:rPr>
          <w:b/>
          <w:bCs/>
        </w:rPr>
        <w:t xml:space="preserve">cocci Gram positif</w:t>
      </w:r>
      <w:r>
        <w:t xml:space="preserve"> </w:t>
      </w:r>
      <w:r>
        <w:t xml:space="preserve">(streptocoques,</w:t>
      </w:r>
      <w:r>
        <w:t xml:space="preserve"> </w:t>
      </w:r>
      <w:r>
        <w:rPr>
          <w:i/>
          <w:iCs/>
        </w:rPr>
        <w:t xml:space="preserve">Staphylococcus aureus</w:t>
      </w:r>
      <w:r>
        <w:t xml:space="preserve"> </w:t>
      </w:r>
      <w:r>
        <w:t xml:space="preserve">méthicillino-sensible – SASM) et un certain nombre de bacilles Gram négatif communautaires (</w:t>
      </w:r>
      <w:r>
        <w:rPr>
          <w:i/>
          <w:iCs/>
        </w:rPr>
        <w:t xml:space="preserve">Escherichia coli</w:t>
      </w:r>
      <w:r>
        <w:t xml:space="preserve">,</w:t>
      </w:r>
      <w:r>
        <w:t xml:space="preserve"> </w:t>
      </w:r>
      <w:r>
        <w:rPr>
          <w:i/>
          <w:iCs/>
        </w:rPr>
        <w:t xml:space="preserve">Klebsiella pneumoniae</w:t>
      </w:r>
      <w:r>
        <w:t xml:space="preserve">,</w:t>
      </w:r>
      <w:r>
        <w:t xml:space="preserve"> </w:t>
      </w:r>
      <w:r>
        <w:rPr>
          <w:i/>
          <w:iCs/>
        </w:rPr>
        <w:t xml:space="preserve">Proteus mirabilis</w:t>
      </w:r>
      <w:r>
        <w:t xml:space="preserve">). Elles restent</w:t>
      </w:r>
      <w:r>
        <w:t xml:space="preserve"> </w:t>
      </w:r>
      <w:r>
        <w:rPr>
          <w:b/>
          <w:bCs/>
        </w:rPr>
        <w:t xml:space="preserve">inactives sur les entérocoques, les Listeria, les SARM</w:t>
      </w:r>
      <w:r>
        <w:t xml:space="preserve"> </w:t>
      </w:r>
      <w:r>
        <w:t xml:space="preserve">et la plupart des anaérobies (à l’exception de</w:t>
      </w:r>
      <w:r>
        <w:t xml:space="preserve"> </w:t>
      </w:r>
      <w:r>
        <w:rPr>
          <w:i/>
          <w:iCs/>
        </w:rPr>
        <w:t xml:space="preserve">Peptostreptococcus</w:t>
      </w:r>
      <w:r>
        <w:t xml:space="preserve"> </w:t>
      </w:r>
      <w:r>
        <w:t xml:space="preserve">et de certains</w:t>
      </w:r>
      <w:r>
        <w:t xml:space="preserve"> </w:t>
      </w:r>
      <w:r>
        <w:rPr>
          <w:i/>
          <w:iCs/>
        </w:rPr>
        <w:t xml:space="preserve">Clostridium</w:t>
      </w:r>
      <w:r>
        <w:t xml:space="preserve">). Elles sont stables vis-à-vis des pénicillinases staphylococciques mais sont hydrolysées par les β-lactamases à spectre étendu (BLSE) et les céphalosporinases chromosomiques (AmpC).</w:t>
      </w:r>
    </w:p>
    <w:p>
      <w:pPr>
        <w:pStyle w:val="BodyText"/>
      </w:pPr>
      <w:r>
        <w:t xml:space="preserve">La</w:t>
      </w:r>
      <w:r>
        <w:t xml:space="preserve"> </w:t>
      </w:r>
      <w:r>
        <w:rPr>
          <w:b/>
          <w:bCs/>
        </w:rPr>
        <w:t xml:space="preserve">céfazoline</w:t>
      </w:r>
      <w:r>
        <w:t xml:space="preserve"> </w:t>
      </w:r>
      <w:r>
        <w:t xml:space="preserve">est la seule C1G injectable du marché algérien et demeure l’antibiotique de référence pour la</w:t>
      </w:r>
      <w:r>
        <w:t xml:space="preserve"> </w:t>
      </w:r>
      <w:r>
        <w:rPr>
          <w:b/>
          <w:bCs/>
        </w:rPr>
        <w:t xml:space="preserve">prophylaxie anti-infectieuse péri-opératoire</w:t>
      </w:r>
      <w:r>
        <w:t xml:space="preserve"> </w:t>
      </w:r>
      <w:r>
        <w:t xml:space="preserve">en chirurgie propre et propre-contaminée. Les formes orales (céphalexine, céfradine, cefadroxil) sont essentiellement indiquées dans les infections cutanées, ORL et urinaires communautaires non sévères. Leur demi-vie courte impose une administration biquotidienne (céphalexine, céfradine) ou uniquotidienne (cefadroxil, du fait de sa demi-vie plus longue). L’élimination est principalement</w:t>
      </w:r>
      <w:r>
        <w:t xml:space="preserve"> </w:t>
      </w:r>
      <w:r>
        <w:rPr>
          <w:b/>
          <w:bCs/>
        </w:rPr>
        <w:t xml:space="preserve">rénale</w:t>
      </w:r>
      <w:r>
        <w:t xml:space="preserve">, imposant une adaptation posologique en cas d’insuffisance rénale.</w:t>
      </w:r>
    </w:p>
    <w:p>
      <w:pPr>
        <w:pStyle w:val="BodyText"/>
      </w:pPr>
      <w:r>
        <w:t xml:space="preserve">Sur le plan de la tolérance, les C1G partagent le profil d’effets indésirables commun aux β-lactamines : allergies (croisée avec les pénicillines dans 5 à 10 % des cas), troubles digestifs, candidoses, et exceptionnellement colite à</w:t>
      </w:r>
      <w:r>
        <w:t xml:space="preserve"> </w:t>
      </w:r>
      <w:r>
        <w:rPr>
          <w:i/>
          <w:iCs/>
        </w:rPr>
        <w:t xml:space="preserve">Clostridioides difficile</w:t>
      </w:r>
      <w:r>
        <w:t xml:space="preserve">. La céfazoline expose spécifiquement au risque de</w:t>
      </w:r>
      <w:r>
        <w:t xml:space="preserve"> </w:t>
      </w:r>
      <w:r>
        <w:rPr>
          <w:b/>
          <w:bCs/>
        </w:rPr>
        <w:t xml:space="preserve">positivation du test de Coombs direct</w:t>
      </w:r>
      <w:r>
        <w:t xml:space="preserve"> </w:t>
      </w:r>
      <w:r>
        <w:t xml:space="preserve">pouvant gêner la compatibilité transfusionnelle.</w:t>
      </w:r>
    </w:p>
    <w:p>
      <w:r>
        <w:pict>
          <v:rect style="width:0;height:1.5pt" o:hralign="center" o:hrstd="t" o:hr="t"/>
        </w:pict>
      </w:r>
    </w:p>
    <w:bookmarkEnd w:id="56"/>
    <w:bookmarkStart w:id="57" w:name="dci-céfazoline-seule"/>
    <w:p>
      <w:pPr>
        <w:pStyle w:val="Heading3"/>
      </w:pPr>
      <w:r>
        <w:t xml:space="preserve">1. DCI : Céfazoline (Seule)</w:t>
      </w:r>
    </w:p>
    <w:p>
      <w:pPr>
        <w:pStyle w:val="FirstParagraph"/>
      </w:pPr>
      <w:r>
        <w:rPr>
          <w:b/>
          <w:bCs/>
        </w:rPr>
        <w:t xml:space="preserve">Liste des Catégories :</w:t>
      </w:r>
      <w:r>
        <w:t xml:space="preserve"> </w:t>
      </w:r>
      <w:r>
        <w:t xml:space="preserve">Céphalosporines 1ère génération ; Liste I ; Injectable IM/IV.</w:t>
      </w:r>
    </w:p>
    <w:p>
      <w:pPr>
        <w:pStyle w:val="BodyText"/>
      </w:pPr>
      <w:r>
        <w:rPr>
          <w:b/>
          <w:bCs/>
        </w:rPr>
        <w:t xml:space="preserve">Médicaments disponibles en Algérie (Marques, Laboratoires, Formes et Dosages) :</w:t>
      </w:r>
    </w:p>
    <w:p>
      <w:pPr>
        <w:pStyle w:val="Compact"/>
        <w:numPr>
          <w:ilvl w:val="0"/>
          <w:numId w:val="1099"/>
        </w:numPr>
      </w:pPr>
      <w:r>
        <w:rPr>
          <w:b/>
          <w:bCs/>
        </w:rPr>
        <w:t xml:space="preserve">CEFALIZOL HUP</w:t>
      </w:r>
      <w:r>
        <w:t xml:space="preserve"> </w:t>
      </w:r>
      <w:r>
        <w:t xml:space="preserve">(HUPP PHARMA)</w:t>
      </w:r>
    </w:p>
    <w:p>
      <w:pPr>
        <w:pStyle w:val="Compact"/>
        <w:numPr>
          <w:ilvl w:val="1"/>
          <w:numId w:val="1100"/>
        </w:numPr>
      </w:pPr>
      <w:r>
        <w:t xml:space="preserve">Formes et Dosages : Poudre et solvant pour solution injectable IV/IM — 1 g (flacon + ampoule de solvant ; boîtes de 1 et 10 flacons)</w:t>
      </w:r>
    </w:p>
    <w:p>
      <w:pPr>
        <w:pStyle w:val="Compact"/>
        <w:numPr>
          <w:ilvl w:val="1"/>
          <w:numId w:val="1100"/>
        </w:numPr>
      </w:pPr>
      <w:r>
        <w:t xml:space="preserve">Statut : Actif</w:t>
      </w:r>
    </w:p>
    <w:p>
      <w:pPr>
        <w:pStyle w:val="Compact"/>
        <w:numPr>
          <w:ilvl w:val="0"/>
          <w:numId w:val="1099"/>
        </w:numPr>
      </w:pPr>
      <w:r>
        <w:rPr>
          <w:b/>
          <w:bCs/>
        </w:rPr>
        <w:t xml:space="preserve">CEFAZAL</w:t>
      </w:r>
      <w:r>
        <w:t xml:space="preserve"> </w:t>
      </w:r>
      <w:r>
        <w:t xml:space="preserve">(SOCIETE PHARMACEUTIQUE ALGERIENNE SOPHAL)</w:t>
      </w:r>
    </w:p>
    <w:p>
      <w:pPr>
        <w:pStyle w:val="Compact"/>
        <w:numPr>
          <w:ilvl w:val="1"/>
          <w:numId w:val="1101"/>
        </w:numPr>
      </w:pPr>
      <w:r>
        <w:t xml:space="preserve">Formes et Dosages : Poudre et solvant pour solution injectable IV/IM — 1 g (B/50 flacons) ; Poudre pour solution injectable IM — 1 g (avec ampoule de solvant lidocaïne 0,8 %, 5 ml)</w:t>
      </w:r>
    </w:p>
    <w:p>
      <w:pPr>
        <w:pStyle w:val="Compact"/>
        <w:numPr>
          <w:ilvl w:val="1"/>
          <w:numId w:val="1101"/>
        </w:numPr>
      </w:pPr>
      <w:r>
        <w:t xml:space="preserve">Statut : Actif</w:t>
      </w:r>
    </w:p>
    <w:p>
      <w:pPr>
        <w:pStyle w:val="Compact"/>
        <w:numPr>
          <w:ilvl w:val="0"/>
          <w:numId w:val="1099"/>
        </w:numPr>
      </w:pPr>
      <w:r>
        <w:rPr>
          <w:b/>
          <w:bCs/>
        </w:rPr>
        <w:t xml:space="preserve">MIRAZOLIN</w:t>
      </w:r>
      <w:r>
        <w:t xml:space="preserve"> </w:t>
      </w:r>
      <w:r>
        <w:t xml:space="preserve">(IMGSA GROUPE INDUSTRIE PHARMACEUTIQUE)</w:t>
      </w:r>
    </w:p>
    <w:p>
      <w:pPr>
        <w:pStyle w:val="Compact"/>
        <w:numPr>
          <w:ilvl w:val="1"/>
          <w:numId w:val="1102"/>
        </w:numPr>
      </w:pPr>
      <w:r>
        <w:t xml:space="preserve">Formes et Dosages : Poudre et solvant pour solution injectable IV/IM — 1 g (B/1 flacon + 1 ampoule) ; Poudre pour solution injectable IM/IV — 1 g (B/10)</w:t>
      </w:r>
    </w:p>
    <w:p>
      <w:pPr>
        <w:pStyle w:val="Compact"/>
        <w:numPr>
          <w:ilvl w:val="1"/>
          <w:numId w:val="1102"/>
        </w:numPr>
      </w:pPr>
      <w:r>
        <w:t xml:space="preserve">Statut : Actif</w:t>
      </w:r>
    </w:p>
    <w:p>
      <w:pPr>
        <w:pStyle w:val="Compact"/>
        <w:numPr>
          <w:ilvl w:val="0"/>
          <w:numId w:val="1099"/>
        </w:numPr>
      </w:pPr>
      <w:r>
        <w:rPr>
          <w:b/>
          <w:bCs/>
        </w:rPr>
        <w:t xml:space="preserve">NODILOF</w:t>
      </w:r>
      <w:r>
        <w:t xml:space="preserve"> </w:t>
      </w:r>
      <w:r>
        <w:t xml:space="preserve">(JERUSALEM PHARMACEUTICALS CO LTD)</w:t>
      </w:r>
    </w:p>
    <w:p>
      <w:pPr>
        <w:pStyle w:val="Compact"/>
        <w:numPr>
          <w:ilvl w:val="1"/>
          <w:numId w:val="1103"/>
        </w:numPr>
      </w:pPr>
      <w:r>
        <w:t xml:space="preserve">Formes et Dosages : Poudre et solvant pour solution injectable IV/IM — 1 g (flacon + ampoule EPPPI 10 ml)</w:t>
      </w:r>
    </w:p>
    <w:p>
      <w:pPr>
        <w:pStyle w:val="Compact"/>
        <w:numPr>
          <w:ilvl w:val="1"/>
          <w:numId w:val="1103"/>
        </w:numPr>
      </w:pPr>
      <w:r>
        <w:t xml:space="preserve">Statut : Actif</w:t>
      </w:r>
    </w:p>
    <w:p>
      <w:pPr>
        <w:pStyle w:val="Compact"/>
        <w:numPr>
          <w:ilvl w:val="0"/>
          <w:numId w:val="1099"/>
        </w:numPr>
      </w:pPr>
      <w:r>
        <w:rPr>
          <w:b/>
          <w:bCs/>
        </w:rPr>
        <w:t xml:space="preserve">CEFAZOL</w:t>
      </w:r>
      <w:r>
        <w:t xml:space="preserve"> </w:t>
      </w:r>
      <w:r>
        <w:t xml:space="preserve">(UNIMED)</w:t>
      </w:r>
    </w:p>
    <w:p>
      <w:pPr>
        <w:pStyle w:val="Compact"/>
        <w:numPr>
          <w:ilvl w:val="1"/>
          <w:numId w:val="1104"/>
        </w:numPr>
      </w:pPr>
      <w:r>
        <w:t xml:space="preserve">Formes et Dosages : Poudre et solvant pour solution injectable IM — 200 mg/ml (1 g/5 ml, solvant lidocaïne)</w:t>
      </w:r>
    </w:p>
    <w:p>
      <w:pPr>
        <w:pStyle w:val="Compact"/>
        <w:numPr>
          <w:ilvl w:val="1"/>
          <w:numId w:val="1104"/>
        </w:numPr>
      </w:pPr>
      <w:r>
        <w:t xml:space="preserve">Statut : Actif</w:t>
      </w:r>
    </w:p>
    <w:p>
      <w:pPr>
        <w:pStyle w:val="Compact"/>
        <w:numPr>
          <w:ilvl w:val="0"/>
          <w:numId w:val="1099"/>
        </w:numPr>
      </w:pPr>
      <w:r>
        <w:rPr>
          <w:b/>
          <w:bCs/>
        </w:rPr>
        <w:t xml:space="preserve">ZEPILEN</w:t>
      </w:r>
      <w:r>
        <w:t xml:space="preserve"> </w:t>
      </w:r>
      <w:r>
        <w:t xml:space="preserve">(MEDOCHEMIE LTD)</w:t>
      </w:r>
    </w:p>
    <w:p>
      <w:pPr>
        <w:pStyle w:val="Compact"/>
        <w:numPr>
          <w:ilvl w:val="1"/>
          <w:numId w:val="1105"/>
        </w:numPr>
      </w:pPr>
      <w:r>
        <w:t xml:space="preserve">Formes et Dosages : Poudre pour solution injectable IM — 1 g/flacon</w:t>
      </w:r>
    </w:p>
    <w:p>
      <w:pPr>
        <w:pStyle w:val="Compact"/>
        <w:numPr>
          <w:ilvl w:val="1"/>
          <w:numId w:val="1105"/>
        </w:numPr>
      </w:pPr>
      <w:r>
        <w:t xml:space="preserve">Statut : Actif</w:t>
      </w:r>
    </w:p>
    <w:p>
      <w:pPr>
        <w:pStyle w:val="Compact"/>
        <w:numPr>
          <w:ilvl w:val="0"/>
          <w:numId w:val="1099"/>
        </w:numPr>
      </w:pPr>
      <w:r>
        <w:rPr>
          <w:b/>
          <w:bCs/>
        </w:rPr>
        <w:t xml:space="preserve">HIKMA CEFAZOLIN</w:t>
      </w:r>
      <w:r>
        <w:t xml:space="preserve"> </w:t>
      </w:r>
      <w:r>
        <w:t xml:space="preserve">(HIKMA PHARMACEUTICALS)</w:t>
      </w:r>
    </w:p>
    <w:p>
      <w:pPr>
        <w:pStyle w:val="Compact"/>
        <w:numPr>
          <w:ilvl w:val="1"/>
          <w:numId w:val="1106"/>
        </w:numPr>
      </w:pPr>
      <w:r>
        <w:t xml:space="preserve">Formes et Dosages : Poudre pour solution injectable IV — 1 g (B/1 et B/10) ; Poudre et solvant pour solution injectable IM — 1 g (avec lidocaïne 0,5 %, 3 ml) ; 500 mg (avec lidocaïne 0,5 %, 2 ml)</w:t>
      </w:r>
    </w:p>
    <w:p>
      <w:pPr>
        <w:pStyle w:val="Compact"/>
        <w:numPr>
          <w:ilvl w:val="1"/>
          <w:numId w:val="1106"/>
        </w:numPr>
      </w:pPr>
      <w:r>
        <w:t xml:space="preserve">Statut : Non Renouvelable</w:t>
      </w:r>
    </w:p>
    <w:p>
      <w:pPr>
        <w:pStyle w:val="Compact"/>
        <w:numPr>
          <w:ilvl w:val="0"/>
          <w:numId w:val="1099"/>
        </w:numPr>
      </w:pPr>
      <w:r>
        <w:rPr>
          <w:b/>
          <w:bCs/>
        </w:rPr>
        <w:t xml:space="preserve">SEFAZOL</w:t>
      </w:r>
      <w:r>
        <w:t xml:space="preserve"> </w:t>
      </w:r>
      <w:r>
        <w:t xml:space="preserve">(CUKUROVA DIS TICARET AS / MUSTAFA NEVZAT)</w:t>
      </w:r>
    </w:p>
    <w:p>
      <w:pPr>
        <w:pStyle w:val="Compact"/>
        <w:numPr>
          <w:ilvl w:val="1"/>
          <w:numId w:val="1107"/>
        </w:numPr>
      </w:pPr>
      <w:r>
        <w:t xml:space="preserve">Formes et Dosages : Poudre pour solution injectable IV — 1 g (B/1+1) ; Poudre pour solution injectable IM/IV — 500 mg (B/1+1) ; Poudre pour solution injectable IM — 1 g (avec lidocaïne, 4 ml)</w:t>
      </w:r>
    </w:p>
    <w:p>
      <w:pPr>
        <w:pStyle w:val="Compact"/>
        <w:numPr>
          <w:ilvl w:val="1"/>
          <w:numId w:val="1107"/>
        </w:numPr>
      </w:pPr>
      <w:r>
        <w:t xml:space="preserve">Statut : Non Renouvelable</w:t>
      </w:r>
    </w:p>
    <w:p>
      <w:pPr>
        <w:pStyle w:val="Compact"/>
        <w:numPr>
          <w:ilvl w:val="0"/>
          <w:numId w:val="1099"/>
        </w:numPr>
      </w:pPr>
      <w:r>
        <w:rPr>
          <w:b/>
          <w:bCs/>
        </w:rPr>
        <w:t xml:space="preserve">BACTIZOL</w:t>
      </w:r>
      <w:r>
        <w:t xml:space="preserve"> </w:t>
      </w:r>
      <w:r>
        <w:t xml:space="preserve">(GROUPE SAIDAL)</w:t>
      </w:r>
    </w:p>
    <w:p>
      <w:pPr>
        <w:pStyle w:val="Compact"/>
        <w:numPr>
          <w:ilvl w:val="1"/>
          <w:numId w:val="1108"/>
        </w:numPr>
      </w:pPr>
      <w:r>
        <w:t xml:space="preserve">Formes et Dosages : Poudre pour solution injectable IM/IV — 1 g/flacon (B/25) ; Poudre et solvant IM — 1 g (avec lidocaïne 0,5 %, 4 ml)</w:t>
      </w:r>
    </w:p>
    <w:p>
      <w:pPr>
        <w:pStyle w:val="Compact"/>
        <w:numPr>
          <w:ilvl w:val="1"/>
          <w:numId w:val="1108"/>
        </w:numPr>
      </w:pPr>
      <w:r>
        <w:t xml:space="preserve">Statut : Non Renouvelable</w:t>
      </w:r>
    </w:p>
    <w:p>
      <w:pPr>
        <w:pStyle w:val="Compact"/>
        <w:numPr>
          <w:ilvl w:val="0"/>
          <w:numId w:val="1099"/>
        </w:numPr>
      </w:pPr>
      <w:r>
        <w:rPr>
          <w:b/>
          <w:bCs/>
        </w:rPr>
        <w:t xml:space="preserve">TAZOLINE</w:t>
      </w:r>
      <w:r>
        <w:t xml:space="preserve"> </w:t>
      </w:r>
      <w:r>
        <w:t xml:space="preserve">(EL KENDI INDUSTRIE DU MEDICAMENT)</w:t>
      </w:r>
    </w:p>
    <w:p>
      <w:pPr>
        <w:pStyle w:val="Compact"/>
        <w:numPr>
          <w:ilvl w:val="1"/>
          <w:numId w:val="1109"/>
        </w:numPr>
      </w:pPr>
      <w:r>
        <w:t xml:space="preserve">Formes et Dosages : Poudre et solvant (lidocaïne) pour solution injectable IM — 200 mg/ml (1000 mg/5 ml)</w:t>
      </w:r>
    </w:p>
    <w:p>
      <w:pPr>
        <w:pStyle w:val="Compact"/>
        <w:numPr>
          <w:ilvl w:val="1"/>
          <w:numId w:val="1109"/>
        </w:numPr>
      </w:pPr>
      <w:r>
        <w:t xml:space="preserve">Statut : Non Renouvelable</w:t>
      </w:r>
    </w:p>
    <w:p>
      <w:pPr>
        <w:pStyle w:val="Compact"/>
        <w:numPr>
          <w:ilvl w:val="0"/>
          <w:numId w:val="1099"/>
        </w:numPr>
      </w:pPr>
      <w:r>
        <w:rPr>
          <w:b/>
          <w:bCs/>
        </w:rPr>
        <w:t xml:space="preserve">CEFAZOLINE SIPHARMAL</w:t>
      </w:r>
      <w:r>
        <w:t xml:space="preserve"> </w:t>
      </w:r>
      <w:r>
        <w:t xml:space="preserve">(SIPHARMAL / SIPHARMAL SARL)</w:t>
      </w:r>
    </w:p>
    <w:p>
      <w:pPr>
        <w:pStyle w:val="Compact"/>
        <w:numPr>
          <w:ilvl w:val="1"/>
          <w:numId w:val="1110"/>
        </w:numPr>
      </w:pPr>
      <w:r>
        <w:t xml:space="preserve">Formes et Dosages : Poudre pour solution injectable IM/IV — 1 g (B/100) ; Poudre et solvant IM — 1 g (avec lidocaïne 0,5 %, 3 ml)</w:t>
      </w:r>
    </w:p>
    <w:p>
      <w:pPr>
        <w:pStyle w:val="Compact"/>
        <w:numPr>
          <w:ilvl w:val="1"/>
          <w:numId w:val="1110"/>
        </w:numPr>
      </w:pPr>
      <w:r>
        <w:t xml:space="preserve">Statut : Retiré (R)</w:t>
      </w:r>
    </w:p>
    <w:p>
      <w:pPr>
        <w:pStyle w:val="Compact"/>
        <w:numPr>
          <w:ilvl w:val="0"/>
          <w:numId w:val="1099"/>
        </w:numPr>
      </w:pPr>
      <w:r>
        <w:rPr>
          <w:b/>
          <w:bCs/>
        </w:rPr>
        <w:t xml:space="preserve">CEFAZOLINE</w:t>
      </w:r>
      <w:r>
        <w:t xml:space="preserve"> </w:t>
      </w:r>
      <w:r>
        <w:t xml:space="preserve">(MEDICUBA / BIOCHEMIE GmbH)</w:t>
      </w:r>
    </w:p>
    <w:p>
      <w:pPr>
        <w:pStyle w:val="Compact"/>
        <w:numPr>
          <w:ilvl w:val="1"/>
          <w:numId w:val="1111"/>
        </w:numPr>
      </w:pPr>
      <w:r>
        <w:t xml:space="preserve">Formes et Dosages : Poudre pour solution injectable IV — 1 g (B/25, B/1+1, B/50)</w:t>
      </w:r>
    </w:p>
    <w:p>
      <w:pPr>
        <w:pStyle w:val="Compact"/>
        <w:numPr>
          <w:ilvl w:val="1"/>
          <w:numId w:val="1111"/>
        </w:numPr>
      </w:pPr>
      <w:r>
        <w:t xml:space="preserve">Statut : Retiré (R)</w:t>
      </w:r>
    </w:p>
    <w:p>
      <w:pPr>
        <w:pStyle w:val="Compact"/>
        <w:numPr>
          <w:ilvl w:val="0"/>
          <w:numId w:val="1099"/>
        </w:numPr>
      </w:pPr>
      <w:r>
        <w:rPr>
          <w:b/>
          <w:bCs/>
        </w:rPr>
        <w:t xml:space="preserve">CEFAZOLINE FLAVELAB</w:t>
      </w:r>
      <w:r>
        <w:t xml:space="preserve"> </w:t>
      </w:r>
      <w:r>
        <w:t xml:space="preserve">(FLAVELAB)</w:t>
      </w:r>
    </w:p>
    <w:p>
      <w:pPr>
        <w:pStyle w:val="Compact"/>
        <w:numPr>
          <w:ilvl w:val="1"/>
          <w:numId w:val="1112"/>
        </w:numPr>
      </w:pPr>
      <w:r>
        <w:t xml:space="preserve">Formes et Dosages : Poudre pour solution injectable IV — 1 g (B/1+1)</w:t>
      </w:r>
    </w:p>
    <w:p>
      <w:pPr>
        <w:pStyle w:val="Compact"/>
        <w:numPr>
          <w:ilvl w:val="1"/>
          <w:numId w:val="1112"/>
        </w:numPr>
      </w:pPr>
      <w:r>
        <w:t xml:space="preserve">Statut : Retiré (R)</w:t>
      </w:r>
    </w:p>
    <w:p>
      <w:pPr>
        <w:pStyle w:val="Compact"/>
        <w:numPr>
          <w:ilvl w:val="0"/>
          <w:numId w:val="1099"/>
        </w:numPr>
      </w:pPr>
      <w:r>
        <w:rPr>
          <w:b/>
          <w:bCs/>
        </w:rPr>
        <w:t xml:space="preserve">CEFAZOLINE PANPHARMA</w:t>
      </w:r>
      <w:r>
        <w:t xml:space="preserve"> </w:t>
      </w:r>
      <w:r>
        <w:t xml:space="preserve">(PANPHARMA)</w:t>
      </w:r>
    </w:p>
    <w:p>
      <w:pPr>
        <w:pStyle w:val="Compact"/>
        <w:numPr>
          <w:ilvl w:val="1"/>
          <w:numId w:val="1113"/>
        </w:numPr>
      </w:pPr>
      <w:r>
        <w:t xml:space="preserve">Formes et Dosages : Poudre pour solution injectable IV — 1 g (B/1+1)</w:t>
      </w:r>
    </w:p>
    <w:p>
      <w:pPr>
        <w:pStyle w:val="Compact"/>
        <w:numPr>
          <w:ilvl w:val="1"/>
          <w:numId w:val="1113"/>
        </w:numPr>
      </w:pPr>
      <w:r>
        <w:t xml:space="preserve">Statut : Retiré (R)</w:t>
      </w:r>
    </w:p>
    <w:p>
      <w:pPr>
        <w:pStyle w:val="Compact"/>
        <w:numPr>
          <w:ilvl w:val="0"/>
          <w:numId w:val="1099"/>
        </w:numPr>
      </w:pPr>
      <w:r>
        <w:rPr>
          <w:b/>
          <w:bCs/>
        </w:rPr>
        <w:t xml:space="preserve">KEFZOL</w:t>
      </w:r>
      <w:r>
        <w:t xml:space="preserve"> </w:t>
      </w:r>
      <w:r>
        <w:t xml:space="preserve">(ELI-LILLY)</w:t>
      </w:r>
    </w:p>
    <w:p>
      <w:pPr>
        <w:pStyle w:val="Compact"/>
        <w:numPr>
          <w:ilvl w:val="1"/>
          <w:numId w:val="1114"/>
        </w:numPr>
      </w:pPr>
      <w:r>
        <w:t xml:space="preserve">Formes et Dosages : Poudre pour solution injectable IV — 1 g (B/1+1)</w:t>
      </w:r>
    </w:p>
    <w:p>
      <w:pPr>
        <w:pStyle w:val="Compact"/>
        <w:numPr>
          <w:ilvl w:val="1"/>
          <w:numId w:val="1114"/>
        </w:numPr>
      </w:pPr>
      <w:r>
        <w:t xml:space="preserve">Statut : Retiré (R)</w:t>
      </w:r>
    </w:p>
    <w:p>
      <w:pPr>
        <w:pStyle w:val="Compact"/>
        <w:numPr>
          <w:ilvl w:val="0"/>
          <w:numId w:val="1099"/>
        </w:numPr>
      </w:pPr>
      <w:r>
        <w:rPr>
          <w:b/>
          <w:bCs/>
        </w:rPr>
        <w:t xml:space="preserve">INTRAZOLINE</w:t>
      </w:r>
      <w:r>
        <w:t xml:space="preserve"> </w:t>
      </w:r>
      <w:r>
        <w:t xml:space="preserve">(LABORATOIRE DE DEVELOPPEMENT PHARMACEUTIQUE ALGERIEN — LDPA)</w:t>
      </w:r>
    </w:p>
    <w:p>
      <w:pPr>
        <w:pStyle w:val="Compact"/>
        <w:numPr>
          <w:ilvl w:val="1"/>
          <w:numId w:val="1115"/>
        </w:numPr>
      </w:pPr>
      <w:r>
        <w:t xml:space="preserve">Formes et Dosages : Poudre pour solution injectable IM/IV — 1 g (flacon lyophilisé + ampoule 4 ml)</w:t>
      </w:r>
    </w:p>
    <w:p>
      <w:pPr>
        <w:pStyle w:val="Compact"/>
        <w:numPr>
          <w:ilvl w:val="1"/>
          <w:numId w:val="1115"/>
        </w:numPr>
      </w:pPr>
      <w:r>
        <w:t xml:space="preserve">Statut : Retiré (R)</w:t>
      </w:r>
    </w:p>
    <w:p>
      <w:pPr>
        <w:pStyle w:val="Compact"/>
        <w:numPr>
          <w:ilvl w:val="0"/>
          <w:numId w:val="1099"/>
        </w:numPr>
      </w:pPr>
      <w:r>
        <w:rPr>
          <w:b/>
          <w:bCs/>
        </w:rPr>
        <w:t xml:space="preserve">CEFACIDAL</w:t>
      </w:r>
      <w:r>
        <w:t xml:space="preserve"> </w:t>
      </w:r>
      <w:r>
        <w:t xml:space="preserve">(BRISTOL MYERS SQUIBB)</w:t>
      </w:r>
    </w:p>
    <w:p>
      <w:pPr>
        <w:pStyle w:val="Compact"/>
        <w:numPr>
          <w:ilvl w:val="1"/>
          <w:numId w:val="1116"/>
        </w:numPr>
      </w:pPr>
      <w:r>
        <w:t xml:space="preserve">Formes et Dosages : Poudre pour solution injectable IM — 1 g (B/1+1)</w:t>
      </w:r>
    </w:p>
    <w:p>
      <w:pPr>
        <w:pStyle w:val="Compact"/>
        <w:numPr>
          <w:ilvl w:val="1"/>
          <w:numId w:val="1116"/>
        </w:numPr>
      </w:pPr>
      <w:r>
        <w:t xml:space="preserve">Statut : Retiré (R)</w:t>
      </w:r>
    </w:p>
    <w:p>
      <w:pPr>
        <w:pStyle w:val="FirstParagraph"/>
      </w:pPr>
      <w:r>
        <w:rPr>
          <w:b/>
          <w:bCs/>
        </w:rPr>
        <w:t xml:space="preserve">Sous-classe et Mécanisme d’action :</w:t>
      </w:r>
      <w:r>
        <w:t xml:space="preserve"> </w:t>
      </w:r>
      <w:r>
        <w:t xml:space="preserve">- Sous-classe : Céphalosporine de 1ère génération, injectable, de référence pour la prophylaxie chirurgicale.</w:t>
      </w:r>
      <w:r>
        <w:t xml:space="preserve"> </w:t>
      </w:r>
      <w:r>
        <w:t xml:space="preserve">- Mécanisme d’action : Bactéricide par inhibition de la synthèse du peptidoglycane pariétal. Affinité marquée pour les</w:t>
      </w:r>
      <w:r>
        <w:t xml:space="preserve"> </w:t>
      </w:r>
      <w:r>
        <w:rPr>
          <w:b/>
          <w:bCs/>
        </w:rPr>
        <w:t xml:space="preserve">PLP3</w:t>
      </w:r>
      <w:r>
        <w:t xml:space="preserve"> </w:t>
      </w:r>
      <w:r>
        <w:t xml:space="preserve">et accessoirement les</w:t>
      </w:r>
      <w:r>
        <w:t xml:space="preserve"> </w:t>
      </w:r>
      <w:r>
        <w:rPr>
          <w:b/>
          <w:bCs/>
        </w:rPr>
        <w:t xml:space="preserve">PLP1a/1b</w:t>
      </w:r>
      <w:r>
        <w:t xml:space="preserve"> </w:t>
      </w:r>
      <w:r>
        <w:t xml:space="preserve">des bacilles à Gram négatif, et pour les PLP staphylococciques (PBP1, PBP2, PBP3 de</w:t>
      </w:r>
      <w:r>
        <w:t xml:space="preserve"> </w:t>
      </w:r>
      <w:r>
        <w:rPr>
          <w:i/>
          <w:iCs/>
        </w:rPr>
        <w:t xml:space="preserve">S. aureus</w:t>
      </w:r>
      <w:r>
        <w:t xml:space="preserve">). La fixation aux PLP3 entraîne formation de filaments, puis lyse cellulaire. Stable vis-à-vis des pénicillinases staphylococciques, hydrolysée par les BLSE et AmpC.</w:t>
      </w:r>
    </w:p>
    <w:p>
      <w:pPr>
        <w:pStyle w:val="BodyText"/>
      </w:pPr>
      <w:r>
        <w:rPr>
          <w:b/>
          <w:bCs/>
        </w:rPr>
        <w:t xml:space="preserve">Profil Pharmacologique :</w:t>
      </w:r>
      <w:r>
        <w:t xml:space="preserve"> </w:t>
      </w:r>
      <w:r>
        <w:t xml:space="preserve">- Indications : Prophylaxie antibiotique en chirurgie propre et propre-contaminée (orthopédie, vasculaire, digestive, gynéco-obstétricale) ; traitement des infections à cocci Gram positif sensibles (cellulite, ostéomyélite, endocardite à SASM en alternative) ; infections urinaires, respiratoires basses et biliaires à germes sensibles en milieu hospitalier.</w:t>
      </w:r>
      <w:r>
        <w:t xml:space="preserve"> </w:t>
      </w:r>
      <w:r>
        <w:t xml:space="preserve">- Contre-indications : Hypersensibilité à toute céphalosporine ; allergie sévère (anaphylaxie, œdème de Quincke) aux pénicillines (cross-allergie 5–10 %) ; prématurés et nourrissons de moins de 1 mois (utilisation non documentée). Association IM avec lidocaïne CI chez l’amiodaroné, le sujet porphyrique et le nourrisson.</w:t>
      </w:r>
      <w:r>
        <w:t xml:space="preserve"> </w:t>
      </w:r>
      <w:r>
        <w:t xml:space="preserve">- Effets Indésirables : Fréquents — douleur au point d’injection IM, phlébite IV, rash maculopapuleux, diarrhée, élévation transitoire des transaminases. Graves — réaction anaphylactique, colite à</w:t>
      </w:r>
      <w:r>
        <w:t xml:space="preserve"> </w:t>
      </w:r>
      <w:r>
        <w:rPr>
          <w:i/>
          <w:iCs/>
        </w:rPr>
        <w:t xml:space="preserve">C. difficile</w:t>
      </w:r>
      <w:r>
        <w:t xml:space="preserve">, neutropénie et thrombopénie en traitement prolongé (&gt;14 jours),</w:t>
      </w:r>
      <w:r>
        <w:t xml:space="preserve"> </w:t>
      </w:r>
      <w:r>
        <w:rPr>
          <w:b/>
          <w:bCs/>
        </w:rPr>
        <w:t xml:space="preserve">positivation du test de Coombs direct</w:t>
      </w:r>
      <w:r>
        <w:t xml:space="preserve"> </w:t>
      </w:r>
      <w:r>
        <w:t xml:space="preserve">(jusqu’à 75 % des patients traités &gt;7 jours, sans hémolyse clinique habituelle), néphrotoxicité en association avec aminoglycosides ou diurétiques de l’anse.</w:t>
      </w:r>
    </w:p>
    <w:p>
      <w:pPr>
        <w:pStyle w:val="BodyText"/>
      </w:pPr>
      <w:r>
        <w:rPr>
          <w:b/>
          <w:bCs/>
        </w:rPr>
        <w:t xml:space="preserve">Prévention et Gestion des Effets Indésirables :</w:t>
      </w:r>
      <w:r>
        <w:t xml:space="preserve"> </w:t>
      </w:r>
      <w:r>
        <w:t xml:space="preserve">- Mesures Préventives : Vérifier l’allergologie β-lactamine avant toute prescription ; voie IV préférentielle pour les cures &gt;7 jours afin de réduire la douleur IM ; alternance des sites de ponction, perfusion lente (30 min) en IV pour diminuer la phlébite ; bilan hépatique et NFS-plaquettes hebdomadaires en traitement prolongé ; hydratation correcte et surveillance diurèse ; bicarbonate de sodium IV en cas de perfusion massive (céfazoline sodée ≈ 48 mg de Na+/g).</w:t>
      </w:r>
      <w:r>
        <w:t xml:space="preserve"> </w:t>
      </w:r>
      <w:r>
        <w:t xml:space="preserve">- Conduite à Tenir : À l’apparition d’un rash, réévaluer l’imputabilité ; arrêt immédiat et remplacement par macrolide ou clindamycine en cas d’urticaire généralisé ou de bronchospasme, appeler le SAMU ; en cas de diarrhée glairo-sanglante associée à fièvre, arrêt et recherche de toxine A/B de</w:t>
      </w:r>
      <w:r>
        <w:t xml:space="preserve"> </w:t>
      </w:r>
      <w:r>
        <w:rPr>
          <w:i/>
          <w:iCs/>
        </w:rPr>
        <w:t xml:space="preserve">C. difficile</w:t>
      </w:r>
      <w:r>
        <w:t xml:space="preserve">, mise en route de métronidazole ou vancomycine per os ; test de Coombs à programmer si transfusion prévue.</w:t>
      </w:r>
    </w:p>
    <w:p>
      <w:pPr>
        <w:pStyle w:val="BodyText"/>
      </w:pPr>
      <w:r>
        <w:rPr>
          <w:b/>
          <w:bCs/>
        </w:rPr>
        <w:t xml:space="preserve">Interactions Importantes :</w:t>
      </w:r>
      <w:r>
        <w:t xml:space="preserve"> </w:t>
      </w:r>
      <w:r>
        <w:t xml:space="preserve">- Aminoglycosides (gentamicine, amikacine) : synergie bactéricide mais majoration de la néphrotoxicité et de l’ototoxicité — surveillance créatininémie et taux résiduel.</w:t>
      </w:r>
      <w:r>
        <w:t xml:space="preserve"> </w:t>
      </w:r>
      <w:r>
        <w:t xml:space="preserve">- Diurétiques de l’anse (furosémide) : majoration de la néphrotoxicité, surtout chez le sujet âgé — surveiller fonction rénale.</w:t>
      </w:r>
      <w:r>
        <w:t xml:space="preserve"> </w:t>
      </w:r>
      <w:r>
        <w:t xml:space="preserve">- Anticoagulants oraux (warfarine) : risque hémorragique accru par perturbation de la flore vitaminique K-synthétisante — INR rapproché.</w:t>
      </w:r>
      <w:r>
        <w:t xml:space="preserve"> </w:t>
      </w:r>
      <w:r>
        <w:t xml:space="preserve">- Probenécide : inhibition de la sécrétion tubulaire, allongement de la demi-vie (peut être recherché en intention).</w:t>
      </w:r>
      <w:r>
        <w:t xml:space="preserve"> </w:t>
      </w:r>
      <w:r>
        <w:t xml:space="preserve">- Vaccin typhoïdique vivant oral (Ty21a) : inactivation du vaccin — espacer de 3 jours.</w:t>
      </w:r>
    </w:p>
    <w:p>
      <w:pPr>
        <w:pStyle w:val="BodyText"/>
      </w:pPr>
      <w:r>
        <w:rPr>
          <w:b/>
          <w:bCs/>
        </w:rPr>
        <w:t xml:space="preserve">Grossesse et Allaitement :</w:t>
      </w:r>
      <w:r>
        <w:t xml:space="preserve"> </w:t>
      </w:r>
      <w:r>
        <w:t xml:space="preserve">- Grossesse : Indiqué selon le CRAT ; aucune malformation décrite, large expérience. À utiliser en cas de nécessité (catégorie B du FDA).</w:t>
      </w:r>
      <w:r>
        <w:t xml:space="preserve"> </w:t>
      </w:r>
      <w:r>
        <w:t xml:space="preserve">- Allaitement : Compatible ; concentrations faibles dans le lait (&lt; 1 % de la dose maternelle), surveiller toutefois troubles digestifs et candidose buccale du nourrisson.</w:t>
      </w:r>
      <w:r>
        <w:t xml:space="preserve"> </w:t>
      </w:r>
      <w:r>
        <w:t xml:space="preserve">- Précisions : Pour la prophylaxie césarienne, injection dans les 60 minutes précédant l’incision (avant clampage du cordon).</w:t>
      </w:r>
    </w:p>
    <w:p>
      <w:pPr>
        <w:pStyle w:val="BodyText"/>
      </w:pPr>
      <w:r>
        <w:rPr>
          <w:b/>
          <w:bCs/>
        </w:rPr>
        <w:t xml:space="preserve">Posologie et Mode d’administration (Standard) :</w:t>
      </w:r>
      <w:r>
        <w:t xml:space="preserve"> </w:t>
      </w:r>
      <w:r>
        <w:t xml:space="preserve">- Adulte : 1 à 2 g IV/IM toutes les 8 heures ; prophylaxie chirurgicale 2 g IV à l’induction (ou 3 g si &gt;120 kg), réinjection 1 g à 4 h si intervention longue ou hémorragie &gt;1,5 L. Dose maximale 12 g/jour.</w:t>
      </w:r>
      <w:r>
        <w:t xml:space="preserve"> </w:t>
      </w:r>
      <w:r>
        <w:t xml:space="preserve">- Enfant : 25 à 100 mg/kg/jour en 3 à 4 injections ; prophylaxie 30 mg/kg à l’induction. CI chez le nouveau-né &lt;1 mois.</w:t>
      </w:r>
      <w:r>
        <w:t xml:space="preserve"> </w:t>
      </w:r>
      <w:r>
        <w:t xml:space="preserve">- Durée : Prophylaxie = dose unique (≤24 h) ; infections courantes 7 à 10 jours ; ostéomyélite et endocardite 4 à 6 semaines.</w:t>
      </w:r>
      <w:r>
        <w:t xml:space="preserve"> </w:t>
      </w:r>
      <w:r>
        <w:t xml:space="preserve">- Moment de prise : Perfusion IV de 30 minutes dans 50–100 ml de G5 % ou NaCl 0,9 % ; IM en injection lente profonde dans le quadrant supéro-externe de la fesse.</w:t>
      </w:r>
    </w:p>
    <w:p>
      <w:pPr>
        <w:pStyle w:val="BodyText"/>
      </w:pPr>
      <w:r>
        <w:rPr>
          <w:b/>
          <w:bCs/>
        </w:rPr>
        <w:t xml:space="preserve">Arbitrage et Bénéfices des Formes Galéniques :</w:t>
      </w:r>
      <w:r>
        <w:t xml:space="preserve"> </w:t>
      </w:r>
      <w:r>
        <w:t xml:space="preserve">La céfazoline existe uniquement en forme injectable, ce qui restreint son usage au cadre hospitalier ou ambulatoire structuré (HAD). L’IM est douloureuse et la lidocaïne (0,5–0,8 %) comme solvant atténue cette douleur. La voie IV est privilégiée pour les cures &gt;7 jours et chez l’insuffisant rénal (meilleure maîtrise des pics). La présentation en flacons multiples (1 g, 500 mg) et conditionnements hospitaliers (B/50, B/100) répond aux besoins de bloc opératoire et de réanimation.</w:t>
      </w:r>
    </w:p>
    <w:p>
      <w:pPr>
        <w:pStyle w:val="BodyText"/>
      </w:pPr>
      <w:r>
        <w:rPr>
          <w:b/>
          <w:bCs/>
        </w:rPr>
        <w:t xml:space="preserve">Instructions et Conseils au Patient :</w:t>
      </w:r>
      <w:r>
        <w:t xml:space="preserve"> </w:t>
      </w:r>
      <w:r>
        <w:t xml:space="preserve">- Communication au comptoir : « Antibiotique injectable prescrit à l’hôpital ; se conserve à température ambiante avant reconstitution. La poudre doit être dissoute juste avant l’emploi. »</w:t>
      </w:r>
      <w:r>
        <w:t xml:space="preserve"> </w:t>
      </w:r>
      <w:r>
        <w:t xml:space="preserve">- Mode d’utilisation pratique : Pour les infirmiers libéraux : reconstitution avec EPPPI pour IV, lidocaïne 0,5 % pour IM ; injection lente (3–5 min IM, 30 min IV) ; ne pas mélanger dans la même tubulure avec un aminoglycoside (inactivation).</w:t>
      </w:r>
    </w:p>
    <w:p>
      <w:pPr>
        <w:pStyle w:val="BodyText"/>
      </w:pPr>
      <w:r>
        <w:rPr>
          <w:b/>
          <w:bCs/>
        </w:rPr>
        <w:t xml:space="preserve">Notes, Règles d’Or &amp; Pièges au Comptoir :</w:t>
      </w:r>
      <w:r>
        <w:t xml:space="preserve"> </w:t>
      </w:r>
      <w:r>
        <w:t xml:space="preserve">- Piège classique : Oublier la réinjection peropératoire en cas d’intervention longue ou d’hémorragie massive — la demi-vie de ~1,8 h impose une réinjection.</w:t>
      </w:r>
      <w:r>
        <w:t xml:space="preserve"> </w:t>
      </w:r>
      <w:r>
        <w:t xml:space="preserve">- Règle de prise : Prophylaxie : 30 à 60 minutes avant l’incision, jamais après le clampage du cordon en césarienne.</w:t>
      </w:r>
      <w:r>
        <w:t xml:space="preserve"> </w:t>
      </w:r>
      <w:r>
        <w:t xml:space="preserve">- Préparation et Conservation : Poudre stable 24 mois à ≤25 °C ; après reconstitution, solution stable 12 h à température ambiante et 24–48 h à +4 °C (légère coloration jaune possible sans perte d’activité). Ne pas congeler.</w:t>
      </w:r>
      <w:r>
        <w:t xml:space="preserve"> </w:t>
      </w:r>
      <w:r>
        <w:t xml:space="preserve">- Piège du surdosage / Substitution : À forte dose chez l’insuffisant rénal non adapté, risque d’encéphalopathie β-lactamine et de convulsions ; adapter DFG ≤50 ml/min (1–2 g toutes les 12–24 h).</w:t>
      </w:r>
    </w:p>
    <w:p>
      <w:r>
        <w:pict>
          <v:rect style="width:0;height:1.5pt" o:hralign="center" o:hrstd="t" o:hr="t"/>
        </w:pict>
      </w:r>
    </w:p>
    <w:bookmarkEnd w:id="57"/>
    <w:bookmarkStart w:id="58" w:name="dci-céphalexine-seule"/>
    <w:p>
      <w:pPr>
        <w:pStyle w:val="Heading3"/>
      </w:pPr>
      <w:r>
        <w:t xml:space="preserve">2. DCI : Céphalexine (Seule)</w:t>
      </w:r>
    </w:p>
    <w:p>
      <w:pPr>
        <w:pStyle w:val="FirstParagraph"/>
      </w:pPr>
      <w:r>
        <w:rPr>
          <w:b/>
          <w:bCs/>
        </w:rPr>
        <w:t xml:space="preserve">Liste des Catégories :</w:t>
      </w:r>
      <w:r>
        <w:t xml:space="preserve"> </w:t>
      </w:r>
      <w:r>
        <w:t xml:space="preserve">Céphalosporines 1ère génération ; Liste I ; Orale (comprimés, gélules, suspensions).</w:t>
      </w:r>
    </w:p>
    <w:p>
      <w:pPr>
        <w:pStyle w:val="BodyText"/>
      </w:pPr>
      <w:r>
        <w:rPr>
          <w:b/>
          <w:bCs/>
        </w:rPr>
        <w:t xml:space="preserve">Médicaments disponibles en Algérie (Marques, Laboratoires, Formes et Dosages) :</w:t>
      </w:r>
    </w:p>
    <w:p>
      <w:pPr>
        <w:pStyle w:val="Compact"/>
        <w:numPr>
          <w:ilvl w:val="0"/>
          <w:numId w:val="1117"/>
        </w:numPr>
      </w:pPr>
      <w:r>
        <w:rPr>
          <w:b/>
          <w:bCs/>
        </w:rPr>
        <w:t xml:space="preserve">ANCEFAL</w:t>
      </w:r>
      <w:r>
        <w:t xml:space="preserve"> </w:t>
      </w:r>
      <w:r>
        <w:t xml:space="preserve">(PHARMALLIANCE)</w:t>
      </w:r>
    </w:p>
    <w:p>
      <w:pPr>
        <w:pStyle w:val="Compact"/>
        <w:numPr>
          <w:ilvl w:val="1"/>
          <w:numId w:val="1118"/>
        </w:numPr>
      </w:pPr>
      <w:r>
        <w:t xml:space="preserve">Formes et Dosages : Comprimé pelliculé 500 mg (B/10 et B/20) ; Comprimé pelliculé 1 g (B/06 et B/12) ; Poudre pour suspension buvable 125 mg/5 ml (FL/60 ml)</w:t>
      </w:r>
    </w:p>
    <w:p>
      <w:pPr>
        <w:pStyle w:val="Compact"/>
        <w:numPr>
          <w:ilvl w:val="1"/>
          <w:numId w:val="1118"/>
        </w:numPr>
      </w:pPr>
      <w:r>
        <w:t xml:space="preserve">Statut : Actif</w:t>
      </w:r>
    </w:p>
    <w:p>
      <w:pPr>
        <w:pStyle w:val="Compact"/>
        <w:numPr>
          <w:ilvl w:val="0"/>
          <w:numId w:val="1117"/>
        </w:numPr>
      </w:pPr>
      <w:r>
        <w:rPr>
          <w:b/>
          <w:bCs/>
        </w:rPr>
        <w:t xml:space="preserve">CEPHADAR 500 / CEPHADAR</w:t>
      </w:r>
      <w:r>
        <w:t xml:space="preserve"> </w:t>
      </w:r>
      <w:r>
        <w:t xml:space="preserve">(DAR AL DAWA)</w:t>
      </w:r>
    </w:p>
    <w:p>
      <w:pPr>
        <w:pStyle w:val="Compact"/>
        <w:numPr>
          <w:ilvl w:val="1"/>
          <w:numId w:val="1119"/>
        </w:numPr>
      </w:pPr>
      <w:r>
        <w:t xml:space="preserve">Formes et Dosages : Gélule 500 mg (B/20) ; Poudre pour suspension buvable 125 mg/5 ml (FL/100 ml) ; Poudre pour suspension buvable 250 mg/5 ml (FL/100 ml)</w:t>
      </w:r>
    </w:p>
    <w:p>
      <w:pPr>
        <w:pStyle w:val="Compact"/>
        <w:numPr>
          <w:ilvl w:val="1"/>
          <w:numId w:val="1119"/>
        </w:numPr>
      </w:pPr>
      <w:r>
        <w:t xml:space="preserve">Statut : Actif</w:t>
      </w:r>
    </w:p>
    <w:p>
      <w:pPr>
        <w:pStyle w:val="Compact"/>
        <w:numPr>
          <w:ilvl w:val="0"/>
          <w:numId w:val="1117"/>
        </w:numPr>
      </w:pPr>
      <w:r>
        <w:rPr>
          <w:b/>
          <w:bCs/>
        </w:rPr>
        <w:t xml:space="preserve">CEPHALEX</w:t>
      </w:r>
      <w:r>
        <w:t xml:space="preserve"> </w:t>
      </w:r>
      <w:r>
        <w:t xml:space="preserve">(TABUK ALGERIE)</w:t>
      </w:r>
    </w:p>
    <w:p>
      <w:pPr>
        <w:pStyle w:val="Compact"/>
        <w:numPr>
          <w:ilvl w:val="1"/>
          <w:numId w:val="1120"/>
        </w:numPr>
      </w:pPr>
      <w:r>
        <w:t xml:space="preserve">Formes et Dosages : Gélule 500 mg (B/20) ; Poudre pour suspension buvable 250 mg/5 ml (FL/100 ml avec gobelet doseur)</w:t>
      </w:r>
    </w:p>
    <w:p>
      <w:pPr>
        <w:pStyle w:val="Compact"/>
        <w:numPr>
          <w:ilvl w:val="1"/>
          <w:numId w:val="1120"/>
        </w:numPr>
      </w:pPr>
      <w:r>
        <w:t xml:space="preserve">Statut : Actif</w:t>
      </w:r>
    </w:p>
    <w:p>
      <w:pPr>
        <w:pStyle w:val="Compact"/>
        <w:numPr>
          <w:ilvl w:val="0"/>
          <w:numId w:val="1117"/>
        </w:numPr>
      </w:pPr>
      <w:r>
        <w:rPr>
          <w:b/>
          <w:bCs/>
        </w:rPr>
        <w:t xml:space="preserve">KEFALEX</w:t>
      </w:r>
      <w:r>
        <w:t xml:space="preserve"> </w:t>
      </w:r>
      <w:r>
        <w:t xml:space="preserve">(HUPP PHARMA)</w:t>
      </w:r>
    </w:p>
    <w:p>
      <w:pPr>
        <w:pStyle w:val="Compact"/>
        <w:numPr>
          <w:ilvl w:val="1"/>
          <w:numId w:val="1121"/>
        </w:numPr>
      </w:pPr>
      <w:r>
        <w:t xml:space="preserve">Formes et Dosages : Comprimé pelliculé 500 mg (B/12) ; Comprimé pelliculé 1 g (B/12)</w:t>
      </w:r>
    </w:p>
    <w:p>
      <w:pPr>
        <w:pStyle w:val="Compact"/>
        <w:numPr>
          <w:ilvl w:val="1"/>
          <w:numId w:val="1121"/>
        </w:numPr>
      </w:pPr>
      <w:r>
        <w:t xml:space="preserve">Statut : Actif</w:t>
      </w:r>
    </w:p>
    <w:p>
      <w:pPr>
        <w:pStyle w:val="Compact"/>
        <w:numPr>
          <w:ilvl w:val="0"/>
          <w:numId w:val="1117"/>
        </w:numPr>
      </w:pPr>
      <w:r>
        <w:rPr>
          <w:b/>
          <w:bCs/>
        </w:rPr>
        <w:t xml:space="preserve">KEFORAL</w:t>
      </w:r>
      <w:r>
        <w:t xml:space="preserve"> </w:t>
      </w:r>
      <w:r>
        <w:t xml:space="preserve">(BIOPHARM)</w:t>
      </w:r>
    </w:p>
    <w:p>
      <w:pPr>
        <w:pStyle w:val="Compact"/>
        <w:numPr>
          <w:ilvl w:val="1"/>
          <w:numId w:val="1122"/>
        </w:numPr>
      </w:pPr>
      <w:r>
        <w:t xml:space="preserve">Formes et Dosages : Comprimé pelliculé 500 mg (B/12) ; Poudre pour suspension buvable 250 mg/5 ml (FL/60 ml)</w:t>
      </w:r>
    </w:p>
    <w:p>
      <w:pPr>
        <w:pStyle w:val="Compact"/>
        <w:numPr>
          <w:ilvl w:val="1"/>
          <w:numId w:val="1122"/>
        </w:numPr>
      </w:pPr>
      <w:r>
        <w:t xml:space="preserve">Statut : Actif</w:t>
      </w:r>
    </w:p>
    <w:p>
      <w:pPr>
        <w:pStyle w:val="Compact"/>
        <w:numPr>
          <w:ilvl w:val="0"/>
          <w:numId w:val="1117"/>
        </w:numPr>
      </w:pPr>
      <w:r>
        <w:rPr>
          <w:b/>
          <w:bCs/>
        </w:rPr>
        <w:t xml:space="preserve">LEXIN</w:t>
      </w:r>
      <w:r>
        <w:t xml:space="preserve"> </w:t>
      </w:r>
      <w:r>
        <w:t xml:space="preserve">(HIKMA PHARMA ALGERIA)</w:t>
      </w:r>
    </w:p>
    <w:p>
      <w:pPr>
        <w:pStyle w:val="Compact"/>
        <w:numPr>
          <w:ilvl w:val="1"/>
          <w:numId w:val="1123"/>
        </w:numPr>
      </w:pPr>
      <w:r>
        <w:t xml:space="preserve">Formes et Dosages : Gélule 500 mg (B/20) ; Comprimé pelliculé 1 g (B/12) ; Poudre pour suspension buvable 250 mg/5 ml (FL/125 ml marqué 100 ml)</w:t>
      </w:r>
    </w:p>
    <w:p>
      <w:pPr>
        <w:pStyle w:val="Compact"/>
        <w:numPr>
          <w:ilvl w:val="1"/>
          <w:numId w:val="1123"/>
        </w:numPr>
      </w:pPr>
      <w:r>
        <w:t xml:space="preserve">Statut : Actif</w:t>
      </w:r>
    </w:p>
    <w:p>
      <w:pPr>
        <w:pStyle w:val="Compact"/>
        <w:numPr>
          <w:ilvl w:val="0"/>
          <w:numId w:val="1117"/>
        </w:numPr>
      </w:pPr>
      <w:r>
        <w:rPr>
          <w:b/>
          <w:bCs/>
        </w:rPr>
        <w:t xml:space="preserve">LEXINAL</w:t>
      </w:r>
      <w:r>
        <w:t xml:space="preserve"> </w:t>
      </w:r>
      <w:r>
        <w:t xml:space="preserve">(SOCIETE PHARMACEUTIQUE ALGERIENNE SOPHAL)</w:t>
      </w:r>
    </w:p>
    <w:p>
      <w:pPr>
        <w:pStyle w:val="Compact"/>
        <w:numPr>
          <w:ilvl w:val="1"/>
          <w:numId w:val="1124"/>
        </w:numPr>
      </w:pPr>
      <w:r>
        <w:t xml:space="preserve">Formes et Dosages : Gélule 500 mg (B/20) ; Comprimé pelliculé 500 mg (B/12) ; Comprimé pelliculé 1 g (B/12) ; Poudre pour suspension buvable 125 mg/5 ml (FL/100 ml) ; Poudre pour suspension buvable 250 mg/5 ml (FL/100 ml)</w:t>
      </w:r>
    </w:p>
    <w:p>
      <w:pPr>
        <w:pStyle w:val="Compact"/>
        <w:numPr>
          <w:ilvl w:val="1"/>
          <w:numId w:val="1124"/>
        </w:numPr>
      </w:pPr>
      <w:r>
        <w:t xml:space="preserve">Statut : Actif</w:t>
      </w:r>
    </w:p>
    <w:p>
      <w:pPr>
        <w:pStyle w:val="Compact"/>
        <w:numPr>
          <w:ilvl w:val="0"/>
          <w:numId w:val="1117"/>
        </w:numPr>
      </w:pPr>
      <w:r>
        <w:rPr>
          <w:b/>
          <w:bCs/>
        </w:rPr>
        <w:t xml:space="preserve">MIDAFLEX</w:t>
      </w:r>
      <w:r>
        <w:t xml:space="preserve"> </w:t>
      </w:r>
      <w:r>
        <w:t xml:space="preserve">(MIDDLE EAST PHARMACEUTICAL AND CHEMICAL INDUSTRIES, MEDICAL APPLIANCES CO)</w:t>
      </w:r>
    </w:p>
    <w:p>
      <w:pPr>
        <w:pStyle w:val="Compact"/>
        <w:numPr>
          <w:ilvl w:val="1"/>
          <w:numId w:val="1125"/>
        </w:numPr>
      </w:pPr>
      <w:r>
        <w:t xml:space="preserve">Formes et Dosages : Gélule 500 mg** (B/20)</w:t>
      </w:r>
    </w:p>
    <w:p>
      <w:pPr>
        <w:pStyle w:val="Compact"/>
        <w:numPr>
          <w:ilvl w:val="1"/>
          <w:numId w:val="1125"/>
        </w:numPr>
      </w:pPr>
      <w:r>
        <w:t xml:space="preserve">Statut : Actif</w:t>
      </w:r>
    </w:p>
    <w:p>
      <w:pPr>
        <w:pStyle w:val="Compact"/>
        <w:numPr>
          <w:ilvl w:val="0"/>
          <w:numId w:val="1117"/>
        </w:numPr>
      </w:pPr>
      <w:r>
        <w:rPr>
          <w:b/>
          <w:bCs/>
        </w:rPr>
        <w:t xml:space="preserve">RAMOXIN</w:t>
      </w:r>
      <w:r>
        <w:t xml:space="preserve"> </w:t>
      </w:r>
      <w:r>
        <w:t xml:space="preserve">(RAM PHARMACEUTICAL INDUSTRIES)</w:t>
      </w:r>
    </w:p>
    <w:p>
      <w:pPr>
        <w:pStyle w:val="Compact"/>
        <w:numPr>
          <w:ilvl w:val="1"/>
          <w:numId w:val="1126"/>
        </w:numPr>
      </w:pPr>
      <w:r>
        <w:t xml:space="preserve">Formes et Dosages : Gélule 500 mg (B/20) ; Suspension orale 125 mg/5 ml (FL/100 ml)</w:t>
      </w:r>
    </w:p>
    <w:p>
      <w:pPr>
        <w:pStyle w:val="Compact"/>
        <w:numPr>
          <w:ilvl w:val="1"/>
          <w:numId w:val="1126"/>
        </w:numPr>
      </w:pPr>
      <w:r>
        <w:t xml:space="preserve">Statut : Actif</w:t>
      </w:r>
    </w:p>
    <w:p>
      <w:pPr>
        <w:pStyle w:val="Compact"/>
        <w:numPr>
          <w:ilvl w:val="0"/>
          <w:numId w:val="1117"/>
        </w:numPr>
      </w:pPr>
      <w:r>
        <w:rPr>
          <w:b/>
          <w:bCs/>
        </w:rPr>
        <w:t xml:space="preserve">UNILEXIN</w:t>
      </w:r>
      <w:r>
        <w:t xml:space="preserve"> </w:t>
      </w:r>
      <w:r>
        <w:t xml:space="preserve">(UNITED PHARMACEUTICAL MANUFACTURING — UPM)</w:t>
      </w:r>
    </w:p>
    <w:p>
      <w:pPr>
        <w:pStyle w:val="Compact"/>
        <w:numPr>
          <w:ilvl w:val="1"/>
          <w:numId w:val="1127"/>
        </w:numPr>
      </w:pPr>
      <w:r>
        <w:t xml:space="preserve">Formes et Dosages : Gélule 500 mg (B/20)</w:t>
      </w:r>
    </w:p>
    <w:p>
      <w:pPr>
        <w:pStyle w:val="Compact"/>
        <w:numPr>
          <w:ilvl w:val="1"/>
          <w:numId w:val="1127"/>
        </w:numPr>
      </w:pPr>
      <w:r>
        <w:t xml:space="preserve">Statut : Actif</w:t>
      </w:r>
    </w:p>
    <w:p>
      <w:pPr>
        <w:pStyle w:val="Compact"/>
        <w:numPr>
          <w:ilvl w:val="0"/>
          <w:numId w:val="1117"/>
        </w:numPr>
      </w:pPr>
      <w:r>
        <w:rPr>
          <w:b/>
          <w:bCs/>
        </w:rPr>
        <w:t xml:space="preserve">GENICET</w:t>
      </w:r>
      <w:r>
        <w:t xml:space="preserve"> </w:t>
      </w:r>
      <w:r>
        <w:t xml:space="preserve">(EURL GENIS PHARMACEUTIQUE ET PARAPHARMACEUTIQUE)</w:t>
      </w:r>
    </w:p>
    <w:p>
      <w:pPr>
        <w:pStyle w:val="Compact"/>
        <w:numPr>
          <w:ilvl w:val="1"/>
          <w:numId w:val="1128"/>
        </w:numPr>
      </w:pPr>
      <w:r>
        <w:t xml:space="preserve">Formes et Dosages : Poudre pour suspension buvable 250 mg/5 ml (B/1 flacon 60 ml)</w:t>
      </w:r>
    </w:p>
    <w:p>
      <w:pPr>
        <w:pStyle w:val="Compact"/>
        <w:numPr>
          <w:ilvl w:val="1"/>
          <w:numId w:val="1128"/>
        </w:numPr>
      </w:pPr>
      <w:r>
        <w:t xml:space="preserve">Statut : Actif</w:t>
      </w:r>
    </w:p>
    <w:p>
      <w:pPr>
        <w:pStyle w:val="Compact"/>
        <w:numPr>
          <w:ilvl w:val="0"/>
          <w:numId w:val="1117"/>
        </w:numPr>
      </w:pPr>
      <w:r>
        <w:rPr>
          <w:b/>
          <w:bCs/>
        </w:rPr>
        <w:t xml:space="preserve">CEFACET Gé</w:t>
      </w:r>
      <w:r>
        <w:t xml:space="preserve"> </w:t>
      </w:r>
      <w:r>
        <w:t xml:space="preserve">(CHEMICAL FARMA)</w:t>
      </w:r>
    </w:p>
    <w:p>
      <w:pPr>
        <w:pStyle w:val="Compact"/>
        <w:numPr>
          <w:ilvl w:val="1"/>
          <w:numId w:val="1129"/>
        </w:numPr>
      </w:pPr>
      <w:r>
        <w:t xml:space="preserve">Formes et Dosages : Comprimé pelliculé sécable 500 mg** (B/10) ; Granulés en sachet 250 mg** (B/12 sachets) ; Comprimé pelliculé 1 g (B/6)</w:t>
      </w:r>
    </w:p>
    <w:p>
      <w:pPr>
        <w:pStyle w:val="Compact"/>
        <w:numPr>
          <w:ilvl w:val="1"/>
          <w:numId w:val="1129"/>
        </w:numPr>
      </w:pPr>
      <w:r>
        <w:t xml:space="preserve">Statut : Non Renouvelable</w:t>
      </w:r>
    </w:p>
    <w:p>
      <w:pPr>
        <w:pStyle w:val="Compact"/>
        <w:numPr>
          <w:ilvl w:val="0"/>
          <w:numId w:val="1117"/>
        </w:numPr>
      </w:pPr>
      <w:r>
        <w:rPr>
          <w:b/>
          <w:bCs/>
        </w:rPr>
        <w:t xml:space="preserve">OSPEXIN</w:t>
      </w:r>
      <w:r>
        <w:t xml:space="preserve"> </w:t>
      </w:r>
      <w:r>
        <w:t xml:space="preserve">(BIOCHEMIE GmbH)</w:t>
      </w:r>
    </w:p>
    <w:p>
      <w:pPr>
        <w:pStyle w:val="Compact"/>
        <w:numPr>
          <w:ilvl w:val="1"/>
          <w:numId w:val="1130"/>
        </w:numPr>
      </w:pPr>
      <w:r>
        <w:t xml:space="preserve">Formes et Dosages : Comprimé 500 mg (B/12) ; Gélules suspension orale 250 mg/5 ml (FL/60 ml) ; Gélule 250 mg (B/12)</w:t>
      </w:r>
    </w:p>
    <w:p>
      <w:pPr>
        <w:pStyle w:val="Compact"/>
        <w:numPr>
          <w:ilvl w:val="1"/>
          <w:numId w:val="1130"/>
        </w:numPr>
      </w:pPr>
      <w:r>
        <w:t xml:space="preserve">Statut : Non Renouvelable / Retiré (R)</w:t>
      </w:r>
    </w:p>
    <w:p>
      <w:pPr>
        <w:pStyle w:val="Compact"/>
        <w:numPr>
          <w:ilvl w:val="0"/>
          <w:numId w:val="1117"/>
        </w:numPr>
      </w:pPr>
      <w:r>
        <w:rPr>
          <w:b/>
          <w:bCs/>
        </w:rPr>
        <w:t xml:space="preserve">PHARMEXIN</w:t>
      </w:r>
      <w:r>
        <w:t xml:space="preserve"> </w:t>
      </w:r>
      <w:r>
        <w:t xml:space="preserve">(GEOPHARM)</w:t>
      </w:r>
    </w:p>
    <w:p>
      <w:pPr>
        <w:pStyle w:val="Compact"/>
        <w:numPr>
          <w:ilvl w:val="1"/>
          <w:numId w:val="1131"/>
        </w:numPr>
      </w:pPr>
      <w:r>
        <w:t xml:space="preserve">Formes et Dosages : Granulés suspension buvable 250 mg/5 ml (FL/100 ml)</w:t>
      </w:r>
    </w:p>
    <w:p>
      <w:pPr>
        <w:pStyle w:val="Compact"/>
        <w:numPr>
          <w:ilvl w:val="1"/>
          <w:numId w:val="1131"/>
        </w:numPr>
      </w:pPr>
      <w:r>
        <w:t xml:space="preserve">Statut : Non Renouvelable</w:t>
      </w:r>
    </w:p>
    <w:p>
      <w:pPr>
        <w:pStyle w:val="Compact"/>
        <w:numPr>
          <w:ilvl w:val="0"/>
          <w:numId w:val="1117"/>
        </w:numPr>
      </w:pPr>
      <w:r>
        <w:rPr>
          <w:b/>
          <w:bCs/>
        </w:rPr>
        <w:t xml:space="preserve">CEPOREX</w:t>
      </w:r>
      <w:r>
        <w:t xml:space="preserve"> </w:t>
      </w:r>
      <w:r>
        <w:t xml:space="preserve">(GLAXO WELLCOME)</w:t>
      </w:r>
    </w:p>
    <w:p>
      <w:pPr>
        <w:pStyle w:val="Compact"/>
        <w:numPr>
          <w:ilvl w:val="1"/>
          <w:numId w:val="1132"/>
        </w:numPr>
      </w:pPr>
      <w:r>
        <w:t xml:space="preserve">Formes et Dosages : Comprimé 250 mg et 500 mg (B/12) ; Poudre pour suspension buvable 125 mg/5 ml (FL/60 ml)</w:t>
      </w:r>
    </w:p>
    <w:p>
      <w:pPr>
        <w:pStyle w:val="Compact"/>
        <w:numPr>
          <w:ilvl w:val="1"/>
          <w:numId w:val="1132"/>
        </w:numPr>
      </w:pPr>
      <w:r>
        <w:t xml:space="preserve">Statut : Retiré (R)</w:t>
      </w:r>
    </w:p>
    <w:p>
      <w:pPr>
        <w:pStyle w:val="Compact"/>
        <w:numPr>
          <w:ilvl w:val="0"/>
          <w:numId w:val="1117"/>
        </w:numPr>
      </w:pPr>
      <w:r>
        <w:rPr>
          <w:b/>
          <w:bCs/>
        </w:rPr>
        <w:t xml:space="preserve">EFFIXENT</w:t>
      </w:r>
      <w:r>
        <w:t xml:space="preserve"> </w:t>
      </w:r>
      <w:r>
        <w:t xml:space="preserve">(S.C ANTIBIOTICE S.A.)</w:t>
      </w:r>
    </w:p>
    <w:p>
      <w:pPr>
        <w:pStyle w:val="Compact"/>
        <w:numPr>
          <w:ilvl w:val="1"/>
          <w:numId w:val="1133"/>
        </w:numPr>
      </w:pPr>
      <w:r>
        <w:t xml:space="preserve">Formes et Dosages : Gélules 250 mg** et 500 mg** (B/10, B/20)</w:t>
      </w:r>
    </w:p>
    <w:p>
      <w:pPr>
        <w:pStyle w:val="Compact"/>
        <w:numPr>
          <w:ilvl w:val="1"/>
          <w:numId w:val="1133"/>
        </w:numPr>
      </w:pPr>
      <w:r>
        <w:t xml:space="preserve">Statut : Retiré (R)</w:t>
      </w:r>
    </w:p>
    <w:p>
      <w:pPr>
        <w:pStyle w:val="Compact"/>
        <w:numPr>
          <w:ilvl w:val="0"/>
          <w:numId w:val="1117"/>
        </w:numPr>
      </w:pPr>
      <w:r>
        <w:rPr>
          <w:b/>
          <w:bCs/>
        </w:rPr>
        <w:t xml:space="preserve">ULTRASPORIN</w:t>
      </w:r>
      <w:r>
        <w:t xml:space="preserve"> </w:t>
      </w:r>
      <w:r>
        <w:t xml:space="preserve">(ARAB PHARMACEUTICAL MANUFACTURING)</w:t>
      </w:r>
    </w:p>
    <w:p>
      <w:pPr>
        <w:pStyle w:val="Compact"/>
        <w:numPr>
          <w:ilvl w:val="1"/>
          <w:numId w:val="1134"/>
        </w:numPr>
      </w:pPr>
      <w:r>
        <w:t xml:space="preserve">Formes et Dosages : Gélule 500 mg (B/20)</w:t>
      </w:r>
    </w:p>
    <w:p>
      <w:pPr>
        <w:pStyle w:val="Compact"/>
        <w:numPr>
          <w:ilvl w:val="1"/>
          <w:numId w:val="1134"/>
        </w:numPr>
      </w:pPr>
      <w:r>
        <w:t xml:space="preserve">Statut : Retiré (R)</w:t>
      </w:r>
    </w:p>
    <w:p>
      <w:pPr>
        <w:pStyle w:val="Compact"/>
        <w:numPr>
          <w:ilvl w:val="0"/>
          <w:numId w:val="1117"/>
        </w:numPr>
      </w:pPr>
      <w:r>
        <w:rPr>
          <w:b/>
          <w:bCs/>
        </w:rPr>
        <w:t xml:space="preserve">TORLASPORINE</w:t>
      </w:r>
      <w:r>
        <w:t xml:space="preserve"> </w:t>
      </w:r>
      <w:r>
        <w:t xml:space="preserve">(LABORATOIRES DE DEVELOPPEMENT PHARMACEUTIQUE — LDP)</w:t>
      </w:r>
    </w:p>
    <w:p>
      <w:pPr>
        <w:pStyle w:val="Compact"/>
        <w:numPr>
          <w:ilvl w:val="1"/>
          <w:numId w:val="1135"/>
        </w:numPr>
      </w:pPr>
      <w:r>
        <w:t xml:space="preserve">Formes et Dosages : Gélule 500 mg (B/12)</w:t>
      </w:r>
    </w:p>
    <w:p>
      <w:pPr>
        <w:pStyle w:val="Compact"/>
        <w:numPr>
          <w:ilvl w:val="1"/>
          <w:numId w:val="1135"/>
        </w:numPr>
      </w:pPr>
      <w:r>
        <w:t xml:space="preserve">Statut : Retiré (R)</w:t>
      </w:r>
    </w:p>
    <w:p>
      <w:pPr>
        <w:pStyle w:val="Compact"/>
        <w:numPr>
          <w:ilvl w:val="0"/>
          <w:numId w:val="1117"/>
        </w:numPr>
      </w:pPr>
      <w:r>
        <w:rPr>
          <w:b/>
          <w:bCs/>
        </w:rPr>
        <w:t xml:space="preserve">XEFALAX</w:t>
      </w:r>
      <w:r>
        <w:t xml:space="preserve"> </w:t>
      </w:r>
      <w:r>
        <w:t xml:space="preserve">(MEDICUBA)</w:t>
      </w:r>
    </w:p>
    <w:p>
      <w:pPr>
        <w:pStyle w:val="Compact"/>
        <w:numPr>
          <w:ilvl w:val="1"/>
          <w:numId w:val="1136"/>
        </w:numPr>
      </w:pPr>
      <w:r>
        <w:t xml:space="preserve">Formes et Dosages : Gélule 500 mg (B/12)</w:t>
      </w:r>
    </w:p>
    <w:p>
      <w:pPr>
        <w:pStyle w:val="Compact"/>
        <w:numPr>
          <w:ilvl w:val="1"/>
          <w:numId w:val="1136"/>
        </w:numPr>
      </w:pPr>
      <w:r>
        <w:t xml:space="preserve">Statut : Retiré (R)</w:t>
      </w:r>
    </w:p>
    <w:p>
      <w:pPr>
        <w:pStyle w:val="FirstParagraph"/>
      </w:pPr>
      <w:r>
        <w:rPr>
          <w:b/>
          <w:bCs/>
        </w:rPr>
        <w:t xml:space="preserve">Sous-classe et Mécanisme d’action :</w:t>
      </w:r>
      <w:r>
        <w:t xml:space="preserve"> </w:t>
      </w:r>
      <w:r>
        <w:t xml:space="preserve">- Sous-classe : C1G orale, dérivée du noyau céphème avec une chaîne latérale méthylène NH2 en C7. Disponibilité immédiate de la forme monohydrate (KEFORAL, KEFALEX, ANCEFAL comprimés).</w:t>
      </w:r>
      <w:r>
        <w:t xml:space="preserve"> </w:t>
      </w:r>
      <w:r>
        <w:t xml:space="preserve">- Mécanisme d’action : Bactéricide par inhibition des PLP (PLP3 essentiellement) ; entrave à la transpeptidation du peptidoglycane. Activité prédominante sur cocci Gram + (SASM, streptocoques A, B, C, G, pneumocoque pénicillino-sensible) et bacilles Gram – communautaires (</w:t>
      </w:r>
      <w:r>
        <w:rPr>
          <w:i/>
          <w:iCs/>
        </w:rPr>
        <w:t xml:space="preserve">E. coli</w:t>
      </w:r>
      <w:r>
        <w:t xml:space="preserve">,</w:t>
      </w:r>
      <w:r>
        <w:t xml:space="preserve"> </w:t>
      </w:r>
      <w:r>
        <w:rPr>
          <w:i/>
          <w:iCs/>
        </w:rPr>
        <w:t xml:space="preserve">K. pneumoniae</w:t>
      </w:r>
      <w:r>
        <w:t xml:space="preserve">,</w:t>
      </w:r>
      <w:r>
        <w:t xml:space="preserve"> </w:t>
      </w:r>
      <w:r>
        <w:rPr>
          <w:i/>
          <w:iCs/>
        </w:rPr>
        <w:t xml:space="preserve">P. mirabilis</w:t>
      </w:r>
      <w:r>
        <w:t xml:space="preserve">). Inactive sur</w:t>
      </w:r>
      <w:r>
        <w:t xml:space="preserve"> </w:t>
      </w:r>
      <w:r>
        <w:rPr>
          <w:i/>
          <w:iCs/>
        </w:rPr>
        <w:t xml:space="preserve">Enterococcus</w:t>
      </w:r>
      <w:r>
        <w:t xml:space="preserve">,</w:t>
      </w:r>
      <w:r>
        <w:t xml:space="preserve"> </w:t>
      </w:r>
      <w:r>
        <w:rPr>
          <w:i/>
          <w:iCs/>
        </w:rPr>
        <w:t xml:space="preserve">Listeria</w:t>
      </w:r>
      <w:r>
        <w:t xml:space="preserve">, SARM et entérobactéries productrices de BLSE.</w:t>
      </w:r>
    </w:p>
    <w:p>
      <w:pPr>
        <w:pStyle w:val="BodyText"/>
      </w:pPr>
      <w:r>
        <w:rPr>
          <w:b/>
          <w:bCs/>
        </w:rPr>
        <w:t xml:space="preserve">Profil Pharmacologique :</w:t>
      </w:r>
      <w:r>
        <w:t xml:space="preserve"> </w:t>
      </w:r>
      <w:r>
        <w:t xml:space="preserve">- Indications : Infections ORL (angine streptococcique en alternative à la pénicilline, otite moyenne, sinusite), infections respiratoires basses communautaires surinfectées, infections urinaires non compliquées, infections cutanées non compliquées (impétigo, folliculite, érysipèle), prophylaxie de l’endocardite en alternative à l’amoxicilline chez le patient allergique, infections ostéo-articulaires à SASM.</w:t>
      </w:r>
      <w:r>
        <w:t xml:space="preserve"> </w:t>
      </w:r>
      <w:r>
        <w:t xml:space="preserve">- Contre-indications : Hypersensibilité aux céphalosporines ; allergie grave aux pénicillines ; porphyrie (risque de déclenchement de crise).</w:t>
      </w:r>
      <w:r>
        <w:t xml:space="preserve"> </w:t>
      </w:r>
      <w:r>
        <w:t xml:space="preserve">- Effets Indésirables : Fréquents — diarrhée (10–15 %), rash, nausées, dyspepsie, candidose ORL ou vaginale. Graves — colite à</w:t>
      </w:r>
      <w:r>
        <w:t xml:space="preserve"> </w:t>
      </w:r>
      <w:r>
        <w:rPr>
          <w:i/>
          <w:iCs/>
        </w:rPr>
        <w:t xml:space="preserve">C. difficile</w:t>
      </w:r>
      <w:r>
        <w:t xml:space="preserve">, anaphylaxie, néphrite interstitielle, cytopénies (rares), réaction d’Héberden (arthralgies avec éosinophilie en traitement prolongé).</w:t>
      </w:r>
    </w:p>
    <w:p>
      <w:pPr>
        <w:pStyle w:val="BodyText"/>
      </w:pPr>
      <w:r>
        <w:rPr>
          <w:b/>
          <w:bCs/>
        </w:rPr>
        <w:t xml:space="preserve">Prévention et Gestion des Effets Indésirables :</w:t>
      </w:r>
      <w:r>
        <w:t xml:space="preserve"> </w:t>
      </w:r>
      <w:r>
        <w:t xml:space="preserve">- Mesures Préventives : Prise au cours des repas pour limiter la dyspepsie ; complémentation probiotique (Saccharomyces boulardii 200 mg/j) en cours d’antibiothérapie prolongée ; hydratation abondante (≥1,5 L/j) pour prévenir la cristallurie (rare) ; adaptation posologique en insuffisance rénale (DFG &lt; 50 : 250–500 mg toutes les 8–12 h).</w:t>
      </w:r>
      <w:r>
        <w:t xml:space="preserve"> </w:t>
      </w:r>
      <w:r>
        <w:t xml:space="preserve">- Conduite à Tenir : Diarrhée banale → surveillance, réhydratation, probiotiques. Diarrhée sanglante ou fébrile → arrêt, recherche toxine</w:t>
      </w:r>
      <w:r>
        <w:t xml:space="preserve"> </w:t>
      </w:r>
      <w:r>
        <w:rPr>
          <w:i/>
          <w:iCs/>
        </w:rPr>
        <w:t xml:space="preserve">C. difficile</w:t>
      </w:r>
      <w:r>
        <w:t xml:space="preserve">, métronidazole per os 500 mg ×3/j 10 jours. Rash étendu, dyspnée, hypotension → arrêt immédiat, appel SAMU, adrénaline IM.</w:t>
      </w:r>
    </w:p>
    <w:p>
      <w:pPr>
        <w:pStyle w:val="BodyText"/>
      </w:pPr>
      <w:r>
        <w:rPr>
          <w:b/>
          <w:bCs/>
        </w:rPr>
        <w:t xml:space="preserve">Interactions Importantes :</w:t>
      </w:r>
      <w:r>
        <w:t xml:space="preserve"> </w:t>
      </w:r>
      <w:r>
        <w:t xml:space="preserve">- Probenécide : Inhibition de la sécrétion tubulaire → augmentation des concentrations plasmatiques (utile en intention).</w:t>
      </w:r>
      <w:r>
        <w:t xml:space="preserve"> </w:t>
      </w:r>
      <w:r>
        <w:t xml:space="preserve">- Metformine : Risque d’acidose lactique en cas d’insuffisance rénale aiguë déclenchée par l’antibiotique — surveillance.</w:t>
      </w:r>
      <w:r>
        <w:t xml:space="preserve"> </w:t>
      </w:r>
      <w:r>
        <w:t xml:space="preserve">- Anticoagulants oraux (AVK) : Augmentation de l’INR (déplétion en vitamine K par la flore) — contrôle à J3 et J7.</w:t>
      </w:r>
      <w:r>
        <w:t xml:space="preserve"> </w:t>
      </w:r>
      <w:r>
        <w:t xml:space="preserve">- Vaccin BCG, vaccin typhoïdique Ty21a : Inactivation du vaccin vivant — espacer.</w:t>
      </w:r>
    </w:p>
    <w:p>
      <w:pPr>
        <w:pStyle w:val="BodyText"/>
      </w:pPr>
      <w:r>
        <w:rPr>
          <w:b/>
          <w:bCs/>
        </w:rPr>
        <w:t xml:space="preserve">Grossesse et Allaitement :</w:t>
      </w:r>
      <w:r>
        <w:t xml:space="preserve"> </w:t>
      </w:r>
      <w:r>
        <w:t xml:space="preserve">- Grossesse : Indiqué selon CRAT, sans effet tératogène connu ; à utiliser si nécessaire (préférence amoxicilline en 1re intention).</w:t>
      </w:r>
      <w:r>
        <w:t xml:space="preserve"> </w:t>
      </w:r>
      <w:r>
        <w:t xml:space="preserve">- Allaitement : Compatible, faible passage (0,5–1 % dose maternelle), surveiller candidose et troubles digestifs du nourrisson.</w:t>
      </w:r>
      <w:r>
        <w:t xml:space="preserve"> </w:t>
      </w:r>
      <w:r>
        <w:t xml:space="preserve">- Précisions : Au 1er trimestre, restreindre aux indications documentées.</w:t>
      </w:r>
    </w:p>
    <w:p>
      <w:pPr>
        <w:pStyle w:val="BodyText"/>
      </w:pPr>
      <w:r>
        <w:rPr>
          <w:b/>
          <w:bCs/>
        </w:rPr>
        <w:t xml:space="preserve">Posologie et Mode d’administration (Standard) :</w:t>
      </w:r>
      <w:r>
        <w:t xml:space="preserve"> </w:t>
      </w:r>
      <w:r>
        <w:t xml:space="preserve">- Adulte : 500 mg ×4/jour ou 1 g ×2/jour (formes 1 g), per os ; maximum 4 g/j (jusqu’à 6 g dans l’endocardite à SASM).</w:t>
      </w:r>
      <w:r>
        <w:t xml:space="preserve"> </w:t>
      </w:r>
      <w:r>
        <w:t xml:space="preserve">- Enfant : 25 à 50 mg/kg/jour en 2 ou 4 prises ; otite moyenne 75–100 mg/kg/j ; maximum 4 g/j.</w:t>
      </w:r>
      <w:r>
        <w:t xml:space="preserve"> </w:t>
      </w:r>
      <w:r>
        <w:t xml:space="preserve">- Durée : Angine 6 jours, otite 5–10 jours, infection urinaire 7 jours, érysipèle 7–14 jours.</w:t>
      </w:r>
      <w:r>
        <w:t xml:space="preserve"> </w:t>
      </w:r>
      <w:r>
        <w:t xml:space="preserve">- Moment de prise : Pendant ou hors repas, indifféremment (absorption inchangée). Prendre à heures régulières.</w:t>
      </w:r>
    </w:p>
    <w:p>
      <w:pPr>
        <w:pStyle w:val="BodyText"/>
      </w:pPr>
      <w:r>
        <w:rPr>
          <w:b/>
          <w:bCs/>
        </w:rPr>
        <w:t xml:space="preserve">Arbitrage et Bénéfices des Formes Galéniques :</w:t>
      </w:r>
      <w:r>
        <w:t xml:space="preserve"> </w:t>
      </w:r>
      <w:r>
        <w:t xml:space="preserve">La biodisponibilité orale atteint 90 %, indépendante de l’alimentation. Les comprimés à 1 g facilitent l’observance en biquotidien (LEXIN 1 g, KEFALEX 1 g, ANCEFAL 1 g). Les suspensions (125 mg/5 ml pédiatrique, 250 mg/5 ml grand enfant) restent indispensables avant 6 ans. Les gélules 500 mg sont les plus prescrites. Le switch per os → IV n’existe pas (pas de forme parentérale de céphalexine).</w:t>
      </w:r>
    </w:p>
    <w:p>
      <w:pPr>
        <w:pStyle w:val="BodyText"/>
      </w:pPr>
      <w:r>
        <w:rPr>
          <w:b/>
          <w:bCs/>
        </w:rPr>
        <w:t xml:space="preserve">Instructions et Conseils au Patient :</w:t>
      </w:r>
      <w:r>
        <w:t xml:space="preserve"> </w:t>
      </w:r>
      <w:r>
        <w:t xml:space="preserve">- Communication au comptoir : « Antibiotique à prendre à heures fixes, par exemple 8h/14h/20h/2h ou 8h-20h pour la forme 1 g. Compléter la totalité de la cure même si les symptômes s’amendent. »</w:t>
      </w:r>
      <w:r>
        <w:t xml:space="preserve"> </w:t>
      </w:r>
      <w:r>
        <w:t xml:space="preserve">- Mode d’utilisation pratique : Pour la suspension, reconstitution avec eau bouillie refroidie jusqu’au trait, agitation vigoureuse, conservation 7 à 14 jours à +4 °C après reconstitution, agitation avant chaque prise.</w:t>
      </w:r>
    </w:p>
    <w:p>
      <w:pPr>
        <w:pStyle w:val="BodyText"/>
      </w:pPr>
      <w:r>
        <w:rPr>
          <w:b/>
          <w:bCs/>
        </w:rPr>
        <w:t xml:space="preserve">Notes, Règles d’Or &amp; Pièges au Comptoir :</w:t>
      </w:r>
      <w:r>
        <w:t xml:space="preserve"> </w:t>
      </w:r>
      <w:r>
        <w:t xml:space="preserve">- Piège classique : Confusion avec la céphalotine (forme injectable) — ne jamais substituer.</w:t>
      </w:r>
      <w:r>
        <w:t xml:space="preserve"> </w:t>
      </w:r>
      <w:r>
        <w:t xml:space="preserve">- Règle de prise : Respecter l’intervalle entre prises pour maintenir le temps &gt; CMI.</w:t>
      </w:r>
      <w:r>
        <w:t xml:space="preserve"> </w:t>
      </w:r>
      <w:r>
        <w:t xml:space="preserve">- Préparation et Conservation : Comprimés/gélules à ≤25 °C, à l’abri de l’humidité ; suspensions sèches à ≤25 °C, après reconstitution 7 jours (KEFORAL) à 14 jours (CEPHADAR) à +4 °C.</w:t>
      </w:r>
      <w:r>
        <w:t xml:space="preserve"> </w:t>
      </w:r>
      <w:r>
        <w:t xml:space="preserve">- Piège du surdosage / Substitution : Chez l’insuffisant rénal, l’accumulation peut provoquer encéphalopathie et convulsions ; adapter la dose au DFG. Ne pas substituer d’emblée à une amoxicilline en cas de doute allergologique.</w:t>
      </w:r>
    </w:p>
    <w:p>
      <w:r>
        <w:pict>
          <v:rect style="width:0;height:1.5pt" o:hralign="center" o:hrstd="t" o:hr="t"/>
        </w:pict>
      </w:r>
    </w:p>
    <w:bookmarkEnd w:id="58"/>
    <w:bookmarkStart w:id="59" w:name="dci-céfradine-seule"/>
    <w:p>
      <w:pPr>
        <w:pStyle w:val="Heading3"/>
      </w:pPr>
      <w:r>
        <w:t xml:space="preserve">3. DCI : Céfradine (Seule)</w:t>
      </w:r>
    </w:p>
    <w:p>
      <w:pPr>
        <w:pStyle w:val="FirstParagraph"/>
      </w:pPr>
      <w:r>
        <w:rPr>
          <w:b/>
          <w:bCs/>
        </w:rPr>
        <w:t xml:space="preserve">Liste des Catégories :</w:t>
      </w:r>
      <w:r>
        <w:t xml:space="preserve"> </w:t>
      </w:r>
      <w:r>
        <w:t xml:space="preserve">Céphalosporines 1ère génération ; Liste I ; Orale.</w:t>
      </w:r>
    </w:p>
    <w:p>
      <w:pPr>
        <w:pStyle w:val="BodyText"/>
      </w:pPr>
      <w:r>
        <w:t xml:space="preserve">La céfradine diffère de la céphalexine par un radical dihydrothiazine saturé ; sa PK et son spectre sont quasi superposables. Sa commercialisation en Algérie est désormais limitée à une seule spécialité, les autres formulations (CEPOREX, ULTRASPORIN, VERACEF) ayant été retirées du marché.</w:t>
      </w:r>
    </w:p>
    <w:p>
      <w:pPr>
        <w:pStyle w:val="BodyText"/>
      </w:pPr>
      <w:r>
        <w:rPr>
          <w:b/>
          <w:bCs/>
        </w:rPr>
        <w:t xml:space="preserve">Médicaments disponibles en Algérie (Marques, Laboratoires, Formes et Dosages) :</w:t>
      </w:r>
    </w:p>
    <w:p>
      <w:pPr>
        <w:pStyle w:val="Compact"/>
        <w:numPr>
          <w:ilvl w:val="0"/>
          <w:numId w:val="1137"/>
        </w:numPr>
      </w:pPr>
      <w:r>
        <w:rPr>
          <w:b/>
          <w:bCs/>
        </w:rPr>
        <w:t xml:space="preserve">ZEEFRA</w:t>
      </w:r>
      <w:r>
        <w:t xml:space="preserve"> </w:t>
      </w:r>
      <w:r>
        <w:t xml:space="preserve">(BOUCHARA-RECORDATI)</w:t>
      </w:r>
    </w:p>
    <w:p>
      <w:pPr>
        <w:pStyle w:val="Compact"/>
        <w:numPr>
          <w:ilvl w:val="1"/>
          <w:numId w:val="1138"/>
        </w:numPr>
      </w:pPr>
      <w:r>
        <w:t xml:space="preserve">Formes et Dosages : Gélule 500 mg (B/12)</w:t>
      </w:r>
    </w:p>
    <w:p>
      <w:pPr>
        <w:pStyle w:val="Compact"/>
        <w:numPr>
          <w:ilvl w:val="1"/>
          <w:numId w:val="1138"/>
        </w:numPr>
      </w:pPr>
      <w:r>
        <w:t xml:space="preserve">Statut : Actif</w:t>
      </w:r>
    </w:p>
    <w:p>
      <w:pPr>
        <w:pStyle w:val="FirstParagraph"/>
      </w:pPr>
      <w:r>
        <w:rPr>
          <w:b/>
          <w:bCs/>
        </w:rPr>
        <w:t xml:space="preserve">Sous-classe et Mécanisme d’action :</w:t>
      </w:r>
      <w:r>
        <w:t xml:space="preserve"> </w:t>
      </w:r>
      <w:r>
        <w:t xml:space="preserve">- Sous-classe : C1G orale, isomère de la céphalexine, peu différente sur le plan clinique.</w:t>
      </w:r>
      <w:r>
        <w:t xml:space="preserve"> </w:t>
      </w:r>
      <w:r>
        <w:t xml:space="preserve">- Mécanisme d’action : Bactéricide ; affinité PLP3 dominante. Le noyau céphème saturé confère une stabilité modérée aux pénicillinases staphylococciques ; hydrolysée par les BLSE.</w:t>
      </w:r>
    </w:p>
    <w:p>
      <w:pPr>
        <w:pStyle w:val="BodyText"/>
      </w:pPr>
      <w:r>
        <w:rPr>
          <w:b/>
          <w:bCs/>
        </w:rPr>
        <w:t xml:space="preserve">Profil Pharmacologique :</w:t>
      </w:r>
      <w:r>
        <w:t xml:space="preserve"> </w:t>
      </w:r>
      <w:r>
        <w:t xml:space="preserve">- Indications : Infections ORL et respiratoires communautaires, infections urinaires basses non compliquées, infections cutanées légères à germes sensibles, prophylaxie de l’endocardite en alternative.</w:t>
      </w:r>
      <w:r>
        <w:t xml:space="preserve"> </w:t>
      </w:r>
      <w:r>
        <w:t xml:space="preserve">- Contre-indications : Hypersensibilité aux céphalosporines ; allergie grave aux pénicillines ; porphyrie.</w:t>
      </w:r>
      <w:r>
        <w:t xml:space="preserve"> </w:t>
      </w:r>
      <w:r>
        <w:t xml:space="preserve">- Effets Indésirables : Diarrhée, rash, nausées, dyspepsie, candidose, exceptionnellement colite à</w:t>
      </w:r>
      <w:r>
        <w:t xml:space="preserve"> </w:t>
      </w:r>
      <w:r>
        <w:rPr>
          <w:i/>
          <w:iCs/>
        </w:rPr>
        <w:t xml:space="preserve">C. difficile</w:t>
      </w:r>
      <w:r>
        <w:t xml:space="preserve"> </w:t>
      </w:r>
      <w:r>
        <w:t xml:space="preserve">et réactions anaphylactiques.</w:t>
      </w:r>
    </w:p>
    <w:p>
      <w:pPr>
        <w:pStyle w:val="BodyText"/>
      </w:pPr>
      <w:r>
        <w:rPr>
          <w:b/>
          <w:bCs/>
        </w:rPr>
        <w:t xml:space="preserve">Prévention et Gestion des Effets Indésirables :</w:t>
      </w:r>
      <w:r>
        <w:t xml:space="preserve"> </w:t>
      </w:r>
      <w:r>
        <w:t xml:space="preserve">- Mesures Préventives : Prise alimentaire, hydratation, probiotiques en cas de cure longue, adaptation rénale.</w:t>
      </w:r>
      <w:r>
        <w:t xml:space="preserve"> </w:t>
      </w:r>
      <w:r>
        <w:t xml:space="preserve">- Conduite à Tenir : Arrêt et orientation aux urgences en cas de signes d’anaphylaxie ; arrêt et recherche</w:t>
      </w:r>
      <w:r>
        <w:t xml:space="preserve"> </w:t>
      </w:r>
      <w:r>
        <w:rPr>
          <w:i/>
          <w:iCs/>
        </w:rPr>
        <w:t xml:space="preserve">C. difficile</w:t>
      </w:r>
      <w:r>
        <w:t xml:space="preserve"> </w:t>
      </w:r>
      <w:r>
        <w:t xml:space="preserve">si diarrhée sanglante.</w:t>
      </w:r>
    </w:p>
    <w:p>
      <w:pPr>
        <w:pStyle w:val="BodyText"/>
      </w:pPr>
      <w:r>
        <w:rPr>
          <w:b/>
          <w:bCs/>
        </w:rPr>
        <w:t xml:space="preserve">Interactions Importantes :</w:t>
      </w:r>
      <w:r>
        <w:t xml:space="preserve"> </w:t>
      </w:r>
      <w:r>
        <w:t xml:space="preserve">- Probenécide : Augmentation des concentrations plasmatiques.</w:t>
      </w:r>
      <w:r>
        <w:t xml:space="preserve"> </w:t>
      </w:r>
      <w:r>
        <w:t xml:space="preserve">- Metformine : Surveillance de la fonction rénale.</w:t>
      </w:r>
      <w:r>
        <w:t xml:space="preserve"> </w:t>
      </w:r>
      <w:r>
        <w:t xml:space="preserve">- AVK : Majoration de l’INR.</w:t>
      </w:r>
      <w:r>
        <w:t xml:space="preserve"> </w:t>
      </w:r>
      <w:r>
        <w:t xml:space="preserve">- Vaccins vivants oraux (BCG, Ty21a) : Inactivation.</w:t>
      </w:r>
    </w:p>
    <w:p>
      <w:pPr>
        <w:pStyle w:val="BodyText"/>
      </w:pPr>
      <w:r>
        <w:rPr>
          <w:b/>
          <w:bCs/>
        </w:rPr>
        <w:t xml:space="preserve">Grossesse et Allaitement :</w:t>
      </w:r>
      <w:r>
        <w:t xml:space="preserve"> </w:t>
      </w:r>
      <w:r>
        <w:t xml:space="preserve">- Grossesse : Indiqué selon CRAT, à utiliser si nécessaire (préférence amoxicilline).</w:t>
      </w:r>
      <w:r>
        <w:t xml:space="preserve"> </w:t>
      </w:r>
      <w:r>
        <w:t xml:space="preserve">- Allaitement : Compatible, surveiller troubles digestifs du nourrisson.</w:t>
      </w:r>
      <w:r>
        <w:t xml:space="preserve"> </w:t>
      </w:r>
      <w:r>
        <w:t xml:space="preserve">- Précisions : Peu de données spécifiques, profil de tolérance superposable à la céphalexine.</w:t>
      </w:r>
    </w:p>
    <w:p>
      <w:pPr>
        <w:pStyle w:val="BodyText"/>
      </w:pPr>
      <w:r>
        <w:rPr>
          <w:b/>
          <w:bCs/>
        </w:rPr>
        <w:t xml:space="preserve">Posologie et Mode d’administration (Standard) :</w:t>
      </w:r>
      <w:r>
        <w:t xml:space="preserve"> </w:t>
      </w:r>
      <w:r>
        <w:t xml:space="preserve">- Adulte : 500 mg ×4/jour ou 1 g ×2/jour per os ; maximum 4 g/jour.</w:t>
      </w:r>
      <w:r>
        <w:t xml:space="preserve"> </w:t>
      </w:r>
      <w:r>
        <w:t xml:space="preserve">- Enfant : 25 à 50 mg/kg/jour en 2 à 4 prises ; otite 50–75 mg/kg/j.</w:t>
      </w:r>
      <w:r>
        <w:t xml:space="preserve"> </w:t>
      </w:r>
      <w:r>
        <w:t xml:space="preserve">- Durée : 5 à 10 jours selon indication.</w:t>
      </w:r>
      <w:r>
        <w:t xml:space="preserve"> </w:t>
      </w:r>
      <w:r>
        <w:t xml:space="preserve">- Moment de prise : Pendant ou hors repas.</w:t>
      </w:r>
    </w:p>
    <w:p>
      <w:pPr>
        <w:pStyle w:val="BodyText"/>
      </w:pPr>
      <w:r>
        <w:rPr>
          <w:b/>
          <w:bCs/>
        </w:rPr>
        <w:t xml:space="preserve">Arbitrage et Bénéfices des Formes Galéniques :</w:t>
      </w:r>
      <w:r>
        <w:t xml:space="preserve"> </w:t>
      </w:r>
      <w:r>
        <w:t xml:space="preserve">La biodisponibilité orale est de l’ordre de 90 %. Le monopole de la forme gélule 500 mg limite l’usage pédiatrique. Pour les enfants, on préférera la céphalexine ou le cefadroxil en suspension. La céfradine n’a plus d’intérêt propre par rapport à la céphalexine, sauf disponibilité.</w:t>
      </w:r>
    </w:p>
    <w:p>
      <w:pPr>
        <w:pStyle w:val="BodyText"/>
      </w:pPr>
      <w:r>
        <w:rPr>
          <w:b/>
          <w:bCs/>
        </w:rPr>
        <w:t xml:space="preserve">Instructions et Conseils au Patient :</w:t>
      </w:r>
      <w:r>
        <w:t xml:space="preserve"> </w:t>
      </w:r>
      <w:r>
        <w:t xml:space="preserve">- Communication au comptoir : « Antibiotique à prendre 4 fois par jour à heures régulières, pendant 5 à 10 jours. Ne pas interrompre même si amélioration rapide. »</w:t>
      </w:r>
      <w:r>
        <w:t xml:space="preserve"> </w:t>
      </w:r>
      <w:r>
        <w:t xml:space="preserve">- Mode d’utilisation pratique : Préserver des heures fixes (8h-13h-18h-23h par exemple) ; oubli → prise dès que possible, ne pas doubler.</w:t>
      </w:r>
    </w:p>
    <w:p>
      <w:pPr>
        <w:pStyle w:val="BodyText"/>
      </w:pPr>
      <w:r>
        <w:rPr>
          <w:b/>
          <w:bCs/>
        </w:rPr>
        <w:t xml:space="preserve">Notes, Règles d’Or &amp; Pièges au Comptoir :</w:t>
      </w:r>
      <w:r>
        <w:t xml:space="preserve"> </w:t>
      </w:r>
      <w:r>
        <w:t xml:space="preserve">- Piège classique : Méconnaître la rareté du produit en Algérie — seule ZEEFRA est active ; ne pas promettre d’autres dosages.</w:t>
      </w:r>
      <w:r>
        <w:t xml:space="preserve"> </w:t>
      </w:r>
      <w:r>
        <w:t xml:space="preserve">- Règle de prise : Biquotidien pour la dose 1 g impossible (pas de comprimé 1 g disponible) → utiliser 2 gélules 500 mg ×2/j.</w:t>
      </w:r>
      <w:r>
        <w:t xml:space="preserve"> </w:t>
      </w:r>
      <w:r>
        <w:t xml:space="preserve">- Préparation et Conservation : À conserver à ≤25 °C, à l’abri de l’humidité.</w:t>
      </w:r>
      <w:r>
        <w:t xml:space="preserve"> </w:t>
      </w:r>
      <w:r>
        <w:t xml:space="preserve">- Piège du surdosage / Substitution : Adapter en IR (DFG &lt; 50 : 250–500 mg toutes les 8–12 h).</w:t>
      </w:r>
    </w:p>
    <w:p>
      <w:r>
        <w:pict>
          <v:rect style="width:0;height:1.5pt" o:hralign="center" o:hrstd="t" o:hr="t"/>
        </w:pict>
      </w:r>
    </w:p>
    <w:bookmarkEnd w:id="59"/>
    <w:bookmarkStart w:id="60" w:name="dci-cefadroxil-seule"/>
    <w:p>
      <w:pPr>
        <w:pStyle w:val="Heading3"/>
      </w:pPr>
      <w:r>
        <w:t xml:space="preserve">4. DCI : Cefadroxil (Seule)</w:t>
      </w:r>
    </w:p>
    <w:p>
      <w:pPr>
        <w:pStyle w:val="FirstParagraph"/>
      </w:pPr>
      <w:r>
        <w:rPr>
          <w:b/>
          <w:bCs/>
        </w:rPr>
        <w:t xml:space="preserve">Liste des Catégories :</w:t>
      </w:r>
      <w:r>
        <w:t xml:space="preserve"> </w:t>
      </w:r>
      <w:r>
        <w:t xml:space="preserve">Céphalosporines 1ère génération ; Liste I ; Orale.</w:t>
      </w:r>
    </w:p>
    <w:p>
      <w:pPr>
        <w:pStyle w:val="BodyText"/>
      </w:pPr>
      <w:r>
        <w:t xml:space="preserve">Le cefadroxil se distingue des autres C1G orales par sa</w:t>
      </w:r>
      <w:r>
        <w:t xml:space="preserve"> </w:t>
      </w:r>
      <w:r>
        <w:rPr>
          <w:b/>
          <w:bCs/>
        </w:rPr>
        <w:t xml:space="preserve">demi-vie plasmatique longue (~1,5 à 2 h)</w:t>
      </w:r>
      <w:r>
        <w:t xml:space="preserve">, autorisant une administration</w:t>
      </w:r>
      <w:r>
        <w:t xml:space="preserve"> </w:t>
      </w:r>
      <w:r>
        <w:rPr>
          <w:b/>
          <w:bCs/>
        </w:rPr>
        <w:t xml:space="preserve">uniquotidienne</w:t>
      </w:r>
      <w:r>
        <w:t xml:space="preserve"> </w:t>
      </w:r>
      <w:r>
        <w:t xml:space="preserve">dans certaines indications. Son profil PK le rapproche de la céphalexine mais sa commodité d’usage est supérieure.</w:t>
      </w:r>
    </w:p>
    <w:p>
      <w:pPr>
        <w:pStyle w:val="BodyText"/>
      </w:pPr>
      <w:r>
        <w:rPr>
          <w:b/>
          <w:bCs/>
        </w:rPr>
        <w:t xml:space="preserve">Médicaments disponibles en Algérie (Marques, Laboratoires, Formes et Dosages) :</w:t>
      </w:r>
    </w:p>
    <w:p>
      <w:pPr>
        <w:pStyle w:val="Compact"/>
        <w:numPr>
          <w:ilvl w:val="0"/>
          <w:numId w:val="1139"/>
        </w:numPr>
      </w:pPr>
      <w:r>
        <w:rPr>
          <w:b/>
          <w:bCs/>
        </w:rPr>
        <w:t xml:space="preserve">CEDROX</w:t>
      </w:r>
      <w:r>
        <w:t xml:space="preserve"> </w:t>
      </w:r>
      <w:r>
        <w:t xml:space="preserve">(HIKMA PHARMA ALGERIA)</w:t>
      </w:r>
    </w:p>
    <w:p>
      <w:pPr>
        <w:pStyle w:val="Compact"/>
        <w:numPr>
          <w:ilvl w:val="1"/>
          <w:numId w:val="1140"/>
        </w:numPr>
      </w:pPr>
      <w:r>
        <w:t xml:space="preserve">Formes et Dosages : Comprimé 1 g (B/12)</w:t>
      </w:r>
    </w:p>
    <w:p>
      <w:pPr>
        <w:pStyle w:val="Compact"/>
        <w:numPr>
          <w:ilvl w:val="1"/>
          <w:numId w:val="1140"/>
        </w:numPr>
      </w:pPr>
      <w:r>
        <w:t xml:space="preserve">Statut : Actif</w:t>
      </w:r>
    </w:p>
    <w:p>
      <w:pPr>
        <w:pStyle w:val="Compact"/>
        <w:numPr>
          <w:ilvl w:val="0"/>
          <w:numId w:val="1139"/>
        </w:numPr>
      </w:pPr>
      <w:r>
        <w:rPr>
          <w:b/>
          <w:bCs/>
        </w:rPr>
        <w:t xml:space="preserve">CEDROXAL</w:t>
      </w:r>
      <w:r>
        <w:t xml:space="preserve"> </w:t>
      </w:r>
      <w:r>
        <w:t xml:space="preserve">(SOCIETE PHARMACEUTIQUE ALGERIENNE SOPHAL)</w:t>
      </w:r>
    </w:p>
    <w:p>
      <w:pPr>
        <w:pStyle w:val="Compact"/>
        <w:numPr>
          <w:ilvl w:val="1"/>
          <w:numId w:val="1141"/>
        </w:numPr>
      </w:pPr>
      <w:r>
        <w:t xml:space="preserve">Formes et Dosages : Comprimé 1 g (B/12)</w:t>
      </w:r>
    </w:p>
    <w:p>
      <w:pPr>
        <w:pStyle w:val="Compact"/>
        <w:numPr>
          <w:ilvl w:val="1"/>
          <w:numId w:val="1141"/>
        </w:numPr>
      </w:pPr>
      <w:r>
        <w:t xml:space="preserve">Statut : Actif</w:t>
      </w:r>
    </w:p>
    <w:p>
      <w:pPr>
        <w:pStyle w:val="Compact"/>
        <w:numPr>
          <w:ilvl w:val="0"/>
          <w:numId w:val="1139"/>
        </w:numPr>
      </w:pPr>
      <w:r>
        <w:rPr>
          <w:b/>
          <w:bCs/>
        </w:rPr>
        <w:t xml:space="preserve">DROXIFAL</w:t>
      </w:r>
      <w:r>
        <w:t xml:space="preserve"> </w:t>
      </w:r>
      <w:r>
        <w:t xml:space="preserve">(HUPP PHARMA)</w:t>
      </w:r>
    </w:p>
    <w:p>
      <w:pPr>
        <w:pStyle w:val="Compact"/>
        <w:numPr>
          <w:ilvl w:val="1"/>
          <w:numId w:val="1142"/>
        </w:numPr>
      </w:pPr>
      <w:r>
        <w:t xml:space="preserve">Formes et Dosages : Comprimé 1 g (B/12)</w:t>
      </w:r>
    </w:p>
    <w:p>
      <w:pPr>
        <w:pStyle w:val="Compact"/>
        <w:numPr>
          <w:ilvl w:val="1"/>
          <w:numId w:val="1142"/>
        </w:numPr>
      </w:pPr>
      <w:r>
        <w:t xml:space="preserve">Statut : Actif</w:t>
      </w:r>
    </w:p>
    <w:p>
      <w:pPr>
        <w:pStyle w:val="FirstParagraph"/>
      </w:pPr>
      <w:r>
        <w:rPr>
          <w:b/>
          <w:bCs/>
        </w:rPr>
        <w:t xml:space="preserve">Sous-classe et Mécanisme d’action :</w:t>
      </w:r>
      <w:r>
        <w:t xml:space="preserve"> </w:t>
      </w:r>
      <w:r>
        <w:t xml:space="preserve">- Sous-classe : C1G orale, dérivée</w:t>
      </w:r>
      <w:r>
        <w:t xml:space="preserve"> </w:t>
      </w:r>
      <w:r>
        <w:rPr>
          <w:i/>
          <w:iCs/>
        </w:rPr>
        <w:t xml:space="preserve">p</w:t>
      </w:r>
      <w:r>
        <w:t xml:space="preserve">-hydroxyphényle de la céphalexine, caractérisée par une longue demi-vie.</w:t>
      </w:r>
      <w:r>
        <w:t xml:space="preserve"> </w:t>
      </w:r>
      <w:r>
        <w:t xml:space="preserve">- Mécanisme d’action : Bactéricide, affinité pour les PLP3 et PLP1a/1b ; entrave à la transpeptidation. Spectre superposable à la céphalexine avec une activité légèrement accrue sur les streptocoques et un peu moindre sur</w:t>
      </w:r>
      <w:r>
        <w:t xml:space="preserve"> </w:t>
      </w:r>
      <w:r>
        <w:rPr>
          <w:i/>
          <w:iCs/>
        </w:rPr>
        <w:t xml:space="preserve">H. influenzae</w:t>
      </w:r>
      <w:r>
        <w:t xml:space="preserve">.</w:t>
      </w:r>
    </w:p>
    <w:p>
      <w:pPr>
        <w:pStyle w:val="BodyText"/>
      </w:pPr>
      <w:r>
        <w:rPr>
          <w:b/>
          <w:bCs/>
        </w:rPr>
        <w:t xml:space="preserve">Profil Pharmacologique :</w:t>
      </w:r>
      <w:r>
        <w:t xml:space="preserve"> </w:t>
      </w:r>
      <w:r>
        <w:t xml:space="preserve">- Indications : Infections ORL (angine, otite, sinusite), infections respiratoires basses, infections urinaires non compliquées (pyélonephrite aiguë simple en relais), infections cutanées, infections ostéo-articulaires à germes sensibles.</w:t>
      </w:r>
      <w:r>
        <w:t xml:space="preserve"> </w:t>
      </w:r>
      <w:r>
        <w:t xml:space="preserve">- Contre-indications : Hypersensibilité aux céphalosporines ; allergie grave aux pénicillines.</w:t>
      </w:r>
      <w:r>
        <w:t xml:space="preserve"> </w:t>
      </w:r>
      <w:r>
        <w:t xml:space="preserve">- Effets Indésirables : Diarrhée (8–12 %), rash, nausées, dyspepsie, candidose, exceptionnellement colite à</w:t>
      </w:r>
      <w:r>
        <w:t xml:space="preserve"> </w:t>
      </w:r>
      <w:r>
        <w:rPr>
          <w:i/>
          <w:iCs/>
        </w:rPr>
        <w:t xml:space="preserve">C. difficile</w:t>
      </w:r>
      <w:r>
        <w:t xml:space="preserve"> </w:t>
      </w:r>
      <w:r>
        <w:t xml:space="preserve">; allergie croisée avec pénicillines.</w:t>
      </w:r>
    </w:p>
    <w:p>
      <w:pPr>
        <w:pStyle w:val="BodyText"/>
      </w:pPr>
      <w:r>
        <w:rPr>
          <w:b/>
          <w:bCs/>
        </w:rPr>
        <w:t xml:space="preserve">Prévention et Gestion des Effets Indésirables :</w:t>
      </w:r>
      <w:r>
        <w:t xml:space="preserve"> </w:t>
      </w:r>
      <w:r>
        <w:t xml:space="preserve">- Mesures Préventives : Hydratation, probiotiques, prise alimentaire pour limiter la dyspepsie ; adaptation posologique en IR (DFG &lt; 50 : 500 mg–1 g toutes les 24–48 h).</w:t>
      </w:r>
      <w:r>
        <w:t xml:space="preserve"> </w:t>
      </w:r>
      <w:r>
        <w:t xml:space="preserve">- Conduite à Tenir : Identique à la céphalexine ; arrêt et orientation urgences en cas d’anaphylaxie ; recherche de</w:t>
      </w:r>
      <w:r>
        <w:t xml:space="preserve"> </w:t>
      </w:r>
      <w:r>
        <w:rPr>
          <w:i/>
          <w:iCs/>
        </w:rPr>
        <w:t xml:space="preserve">C. difficile</w:t>
      </w:r>
      <w:r>
        <w:t xml:space="preserve"> </w:t>
      </w:r>
      <w:r>
        <w:t xml:space="preserve">si diarrhée sanglante.</w:t>
      </w:r>
    </w:p>
    <w:p>
      <w:pPr>
        <w:pStyle w:val="BodyText"/>
      </w:pPr>
      <w:r>
        <w:rPr>
          <w:b/>
          <w:bCs/>
        </w:rPr>
        <w:t xml:space="preserve">Interactions Importantes :</w:t>
      </w:r>
      <w:r>
        <w:t xml:space="preserve"> </w:t>
      </w:r>
      <w:r>
        <w:t xml:space="preserve">- Probenécide : Augmentation des concentrations plasmatiques.</w:t>
      </w:r>
      <w:r>
        <w:t xml:space="preserve"> </w:t>
      </w:r>
      <w:r>
        <w:t xml:space="preserve">- Nitrofurantoïne : Antagonisme possible sur infections urinaires (ne pas associer).</w:t>
      </w:r>
      <w:r>
        <w:t xml:space="preserve"> </w:t>
      </w:r>
      <w:r>
        <w:t xml:space="preserve">- AVK : Majoration INR.</w:t>
      </w:r>
      <w:r>
        <w:t xml:space="preserve"> </w:t>
      </w:r>
      <w:r>
        <w:t xml:space="preserve">- Vaccins vivants oraux : Inactivation.</w:t>
      </w:r>
    </w:p>
    <w:p>
      <w:pPr>
        <w:pStyle w:val="BodyText"/>
      </w:pPr>
      <w:r>
        <w:rPr>
          <w:b/>
          <w:bCs/>
        </w:rPr>
        <w:t xml:space="preserve">Grossesse et Allaitement :</w:t>
      </w:r>
      <w:r>
        <w:t xml:space="preserve"> </w:t>
      </w:r>
      <w:r>
        <w:t xml:space="preserve">- Grossesse : Indiqué selon CRAT, à utiliser si nécessaire.</w:t>
      </w:r>
      <w:r>
        <w:t xml:space="preserve"> </w:t>
      </w:r>
      <w:r>
        <w:t xml:space="preserve">- Allaitement : Compatible, faibles passages dans le lait.</w:t>
      </w:r>
      <w:r>
        <w:t xml:space="preserve"> </w:t>
      </w:r>
      <w:r>
        <w:t xml:space="preserve">- Précisions : Préférence à l’amoxicilline en 1re intention ; cefadroxil en alternative en cas d’allergie non grave aux pénicillines.</w:t>
      </w:r>
    </w:p>
    <w:p>
      <w:pPr>
        <w:pStyle w:val="BodyText"/>
      </w:pPr>
      <w:r>
        <w:rPr>
          <w:b/>
          <w:bCs/>
        </w:rPr>
        <w:t xml:space="preserve">Posologie et Mode d’administration (Standard) :</w:t>
      </w:r>
      <w:r>
        <w:t xml:space="preserve"> </w:t>
      </w:r>
      <w:r>
        <w:t xml:space="preserve">- Adulte : 1 à 2 g/jour en 1 ou 2 prises per os ; maximum 4 g/j.</w:t>
      </w:r>
      <w:r>
        <w:t xml:space="preserve"> </w:t>
      </w:r>
      <w:r>
        <w:t xml:space="preserve">- Enfant : 30 mg/kg/jour en 2 prises ; ou 1 g/m²/jour en 2 prises ; otite 30 mg/kg ×2/jour.</w:t>
      </w:r>
      <w:r>
        <w:t xml:space="preserve"> </w:t>
      </w:r>
      <w:r>
        <w:t xml:space="preserve">- Durée : Angine 6 jours, otite 5–10 jours, infection urinaire 7 jours, érysipèle 7–14 jours.</w:t>
      </w:r>
      <w:r>
        <w:t xml:space="preserve"> </w:t>
      </w:r>
      <w:r>
        <w:t xml:space="preserve">- Moment de prise : Pendant ou hors repas, indifféremment.</w:t>
      </w:r>
    </w:p>
    <w:p>
      <w:pPr>
        <w:pStyle w:val="BodyText"/>
      </w:pPr>
      <w:r>
        <w:rPr>
          <w:b/>
          <w:bCs/>
        </w:rPr>
        <w:t xml:space="preserve">Arbitrage et Bénéfices des Formes Galéniques :</w:t>
      </w:r>
      <w:r>
        <w:t xml:space="preserve"> </w:t>
      </w:r>
      <w:r>
        <w:t xml:space="preserve">La biodisponibilité est de 90 %. La présentation unique en comprimé 1 g limite l’usage pédiatrique mais permet une observance parfaite chez l’adulte et l’adolescent (1 comprimé matin, voire 2 si infection sévère). L’absence de suspension buvable en Algérie impose le recours à la céphalexine ou à la céfradine chez l’enfant.</w:t>
      </w:r>
    </w:p>
    <w:p>
      <w:pPr>
        <w:pStyle w:val="BodyText"/>
      </w:pPr>
      <w:r>
        <w:rPr>
          <w:b/>
          <w:bCs/>
        </w:rPr>
        <w:t xml:space="preserve">Instructions et Conseils au Patient :</w:t>
      </w:r>
      <w:r>
        <w:t xml:space="preserve"> </w:t>
      </w:r>
      <w:r>
        <w:t xml:space="preserve">- Communication au comptoir : « Antibiotique à prendre 1 à 2 fois par jour, à heures régulières, pendant la durée prescrite. »</w:t>
      </w:r>
      <w:r>
        <w:t xml:space="preserve"> </w:t>
      </w:r>
      <w:r>
        <w:t xml:space="preserve">- Mode d’utilisation pratique : Prise uniquotidienne possible le matin pour les infections simples (1 g) ; biquotidienne (1 g ×2/j) pour pyélonephrite ou érysipèle.</w:t>
      </w:r>
    </w:p>
    <w:p>
      <w:pPr>
        <w:pStyle w:val="BodyText"/>
      </w:pPr>
      <w:r>
        <w:rPr>
          <w:b/>
          <w:bCs/>
        </w:rPr>
        <w:t xml:space="preserve">Notes, Règles d’Or &amp; Pièges au Comptoir :</w:t>
      </w:r>
      <w:r>
        <w:t xml:space="preserve"> </w:t>
      </w:r>
      <w:r>
        <w:t xml:space="preserve">- Piège classique : Demander une suspension pour enfant — non disponible en Algérie ; orienter vers céphalexine.</w:t>
      </w:r>
      <w:r>
        <w:t xml:space="preserve"> </w:t>
      </w:r>
      <w:r>
        <w:t xml:space="preserve">- Règle de prise : Respecter l’heure de prise uniquotidienne (matin à jeun préférentiellement).</w:t>
      </w:r>
      <w:r>
        <w:t xml:space="preserve"> </w:t>
      </w:r>
      <w:r>
        <w:t xml:space="preserve">- Préparation et Conservation : À ≤25 °C, à l’abri de l’humidité.</w:t>
      </w:r>
      <w:r>
        <w:t xml:space="preserve"> </w:t>
      </w:r>
      <w:r>
        <w:t xml:space="preserve">- Piège du surdosage / Substitution : En IR sévère, espacer les prises (toutes les 24–48 h).</w:t>
      </w:r>
    </w:p>
    <w:p>
      <w:r>
        <w:pict>
          <v:rect style="width:0;height:1.5pt" o:hralign="center" o:hrstd="t" o:hr="t"/>
        </w:pict>
      </w:r>
    </w:p>
    <w:bookmarkEnd w:id="60"/>
    <w:bookmarkEnd w:id="61"/>
    <w:bookmarkStart w:id="66" w:name="Xc5d01ef91ca12701904f617d4c1243ae13b3618"/>
    <w:p>
      <w:pPr>
        <w:pStyle w:val="Heading2"/>
      </w:pPr>
      <w:r>
        <w:t xml:space="preserve">B. Céphalosporines de 2ème génération (C2G)</w:t>
      </w:r>
    </w:p>
    <w:bookmarkStart w:id="62" w:name="présentation-de-la-sous-classe-1"/>
    <w:p>
      <w:pPr>
        <w:pStyle w:val="Heading3"/>
      </w:pPr>
      <w:r>
        <w:t xml:space="preserve">Présentation de la sous-classe</w:t>
      </w:r>
    </w:p>
    <w:p>
      <w:pPr>
        <w:pStyle w:val="FirstParagraph"/>
      </w:pPr>
      <w:r>
        <w:t xml:space="preserve">Les céphalosporines de 2ème génération traduisent une extension du spectre vers les bacilles Gram négatif :</w:t>
      </w:r>
      <w:r>
        <w:t xml:space="preserve"> </w:t>
      </w:r>
      <w:r>
        <w:rPr>
          <w:i/>
          <w:iCs/>
        </w:rPr>
        <w:t xml:space="preserve">Haemophilus influenzae</w:t>
      </w:r>
      <w:r>
        <w:t xml:space="preserve">,</w:t>
      </w:r>
      <w:r>
        <w:t xml:space="preserve"> </w:t>
      </w:r>
      <w:r>
        <w:rPr>
          <w:i/>
          <w:iCs/>
        </w:rPr>
        <w:t xml:space="preserve">Neisseria</w:t>
      </w:r>
      <w:r>
        <w:t xml:space="preserve"> </w:t>
      </w:r>
      <w:r>
        <w:t xml:space="preserve">spp.,</w:t>
      </w:r>
      <w:r>
        <w:t xml:space="preserve"> </w:t>
      </w:r>
      <w:r>
        <w:rPr>
          <w:i/>
          <w:iCs/>
        </w:rPr>
        <w:t xml:space="preserve">Moraxella catarrhalis</w:t>
      </w:r>
      <w:r>
        <w:t xml:space="preserve">, certaines entérobactéries (notamment</w:t>
      </w:r>
      <w:r>
        <w:t xml:space="preserve"> </w:t>
      </w:r>
      <w:r>
        <w:rPr>
          <w:i/>
          <w:iCs/>
        </w:rPr>
        <w:t xml:space="preserve">E. coli</w:t>
      </w:r>
      <w:r>
        <w:t xml:space="preserve">,</w:t>
      </w:r>
      <w:r>
        <w:t xml:space="preserve"> </w:t>
      </w:r>
      <w:r>
        <w:rPr>
          <w:i/>
          <w:iCs/>
        </w:rPr>
        <w:t xml:space="preserve">Klebsiella</w:t>
      </w:r>
      <w:r>
        <w:t xml:space="preserve">,</w:t>
      </w:r>
      <w:r>
        <w:t xml:space="preserve"> </w:t>
      </w:r>
      <w:r>
        <w:rPr>
          <w:i/>
          <w:iCs/>
        </w:rPr>
        <w:t xml:space="preserve">Proteus</w:t>
      </w:r>
      <w:r>
        <w:t xml:space="preserve">). Elles gardent une bonne activité sur les cocci Gram positif (légèrement moindre que les C1G) et acquièrent une</w:t>
      </w:r>
      <w:r>
        <w:t xml:space="preserve"> </w:t>
      </w:r>
      <w:r>
        <w:rPr>
          <w:b/>
          <w:bCs/>
        </w:rPr>
        <w:t xml:space="preserve">activité anti-anaérobie</w:t>
      </w:r>
      <w:r>
        <w:t xml:space="preserve"> </w:t>
      </w:r>
      <w:r>
        <w:t xml:space="preserve">(céfoxitime, céfotétan — non disponible en Algérie). Elles sont stables aux β-lactamases TEM-1 et SHV-1 mais hydrolysées par les BLSE.</w:t>
      </w:r>
    </w:p>
    <w:p>
      <w:pPr>
        <w:pStyle w:val="BodyText"/>
      </w:pPr>
      <w:r>
        <w:t xml:space="preserve">La nomenclature algérienne comporte trois C2G :</w:t>
      </w:r>
      <w:r>
        <w:t xml:space="preserve"> </w:t>
      </w:r>
      <w:r>
        <w:rPr>
          <w:b/>
          <w:bCs/>
        </w:rPr>
        <w:t xml:space="preserve">céfuroxime</w:t>
      </w:r>
      <w:r>
        <w:t xml:space="preserve"> </w:t>
      </w:r>
      <w:r>
        <w:t xml:space="preserve">(orale et injectable),</w:t>
      </w:r>
      <w:r>
        <w:t xml:space="preserve"> </w:t>
      </w:r>
      <w:r>
        <w:rPr>
          <w:b/>
          <w:bCs/>
        </w:rPr>
        <w:t xml:space="preserve">céfoxitime</w:t>
      </w:r>
      <w:r>
        <w:t xml:space="preserve"> </w:t>
      </w:r>
      <w:r>
        <w:t xml:space="preserve">(injectable uniquement, non renouvelable) et</w:t>
      </w:r>
      <w:r>
        <w:t xml:space="preserve"> </w:t>
      </w:r>
      <w:r>
        <w:rPr>
          <w:b/>
          <w:bCs/>
        </w:rPr>
        <w:t xml:space="preserve">cefaclor</w:t>
      </w:r>
      <w:r>
        <w:t xml:space="preserve"> </w:t>
      </w:r>
      <w:r>
        <w:t xml:space="preserve">(orale, forme conventionnelle et forme à libération modifiée). Le cefaclor occupe une place un peu à part : son spectre est intermédiaire entre C1G et C2G, avec une bonne activité sur</w:t>
      </w:r>
      <w:r>
        <w:t xml:space="preserve"> </w:t>
      </w:r>
      <w:r>
        <w:rPr>
          <w:i/>
          <w:iCs/>
        </w:rPr>
        <w:t xml:space="preserve">H. influenzae</w:t>
      </w:r>
      <w:r>
        <w:t xml:space="preserve"> </w:t>
      </w:r>
      <w:r>
        <w:t xml:space="preserve">mais une moins bonne activité anti-anaérobie que la céfoxitime. Sa forme à libération modifiée (MR) permet une administration biquotidienne.</w:t>
      </w:r>
    </w:p>
    <w:p>
      <w:pPr>
        <w:pStyle w:val="BodyText"/>
      </w:pPr>
      <w:r>
        <w:t xml:space="preserve">Sur le plan PK, la céfuroxime-axétil prodrogue a une biodisponibilité de 35 à 50 % (à prendre au repas), la céfoxitime est exclusivement injectable (demi-vie 40 min), et le cefaclor est bien absorbé (&gt;90 %) mais inactivé à pH gastrique élevé.</w:t>
      </w:r>
    </w:p>
    <w:p>
      <w:r>
        <w:pict>
          <v:rect style="width:0;height:1.5pt" o:hralign="center" o:hrstd="t" o:hr="t"/>
        </w:pict>
      </w:r>
    </w:p>
    <w:bookmarkEnd w:id="62"/>
    <w:bookmarkStart w:id="63" w:name="dci-céfuroxime-seule"/>
    <w:p>
      <w:pPr>
        <w:pStyle w:val="Heading3"/>
      </w:pPr>
      <w:r>
        <w:t xml:space="preserve">5. DCI : Céfuroxime (Seule)</w:t>
      </w:r>
    </w:p>
    <w:p>
      <w:pPr>
        <w:pStyle w:val="FirstParagraph"/>
      </w:pPr>
      <w:r>
        <w:rPr>
          <w:b/>
          <w:bCs/>
        </w:rPr>
        <w:t xml:space="preserve">Liste des Catégories :</w:t>
      </w:r>
      <w:r>
        <w:t xml:space="preserve"> </w:t>
      </w:r>
      <w:r>
        <w:t xml:space="preserve">Céphalosporines 2ème génération ; Liste I ; Orale (axétil) et injectable (sel sodique).</w:t>
      </w:r>
    </w:p>
    <w:p>
      <w:pPr>
        <w:pStyle w:val="BodyText"/>
      </w:pPr>
      <w:r>
        <w:rPr>
          <w:b/>
          <w:bCs/>
        </w:rPr>
        <w:t xml:space="preserve">Médicaments disponibles en Algérie (Marques, Laboratoires, Formes et Dosages) :</w:t>
      </w:r>
    </w:p>
    <w:p>
      <w:pPr>
        <w:pStyle w:val="Compact"/>
        <w:numPr>
          <w:ilvl w:val="0"/>
          <w:numId w:val="1143"/>
        </w:numPr>
      </w:pPr>
      <w:r>
        <w:rPr>
          <w:b/>
          <w:bCs/>
        </w:rPr>
        <w:t xml:space="preserve">CEFROZINE</w:t>
      </w:r>
      <w:r>
        <w:t xml:space="preserve"> </w:t>
      </w:r>
      <w:r>
        <w:t xml:space="preserve">(JERUSALEM PHARMACEUTICALS CO LTD)</w:t>
      </w:r>
    </w:p>
    <w:p>
      <w:pPr>
        <w:pStyle w:val="Compact"/>
        <w:numPr>
          <w:ilvl w:val="1"/>
          <w:numId w:val="1144"/>
        </w:numPr>
      </w:pPr>
      <w:r>
        <w:t xml:space="preserve">Formes et Dosages : Comprimé pelliculé 250 mg (B/10) ; Comprimé pelliculé 500 mg (B/10)</w:t>
      </w:r>
    </w:p>
    <w:p>
      <w:pPr>
        <w:pStyle w:val="Compact"/>
        <w:numPr>
          <w:ilvl w:val="1"/>
          <w:numId w:val="1144"/>
        </w:numPr>
      </w:pPr>
      <w:r>
        <w:t xml:space="preserve">Statut : Actif</w:t>
      </w:r>
    </w:p>
    <w:p>
      <w:pPr>
        <w:pStyle w:val="Compact"/>
        <w:numPr>
          <w:ilvl w:val="0"/>
          <w:numId w:val="1143"/>
        </w:numPr>
      </w:pPr>
      <w:r>
        <w:rPr>
          <w:b/>
          <w:bCs/>
        </w:rPr>
        <w:t xml:space="preserve">CEFUCARE</w:t>
      </w:r>
      <w:r>
        <w:t xml:space="preserve"> </w:t>
      </w:r>
      <w:r>
        <w:t xml:space="preserve">(MIDDLE EAST PHARMACEUTICAL AND CHEMICAL INDUSTRIES, MEDICAL APPLIANCES CO)</w:t>
      </w:r>
    </w:p>
    <w:p>
      <w:pPr>
        <w:pStyle w:val="Compact"/>
        <w:numPr>
          <w:ilvl w:val="1"/>
          <w:numId w:val="1145"/>
        </w:numPr>
      </w:pPr>
      <w:r>
        <w:t xml:space="preserve">Formes et Dosages : Comprimé 250 mg (B/10)</w:t>
      </w:r>
    </w:p>
    <w:p>
      <w:pPr>
        <w:pStyle w:val="Compact"/>
        <w:numPr>
          <w:ilvl w:val="1"/>
          <w:numId w:val="1145"/>
        </w:numPr>
      </w:pPr>
      <w:r>
        <w:t xml:space="preserve">Statut : Actif</w:t>
      </w:r>
    </w:p>
    <w:p>
      <w:pPr>
        <w:pStyle w:val="Compact"/>
        <w:numPr>
          <w:ilvl w:val="0"/>
          <w:numId w:val="1143"/>
        </w:numPr>
      </w:pPr>
      <w:r>
        <w:rPr>
          <w:b/>
          <w:bCs/>
        </w:rPr>
        <w:t xml:space="preserve">DAROXIME</w:t>
      </w:r>
      <w:r>
        <w:t xml:space="preserve"> </w:t>
      </w:r>
      <w:r>
        <w:t xml:space="preserve">(DAR AL DAWA)</w:t>
      </w:r>
    </w:p>
    <w:p>
      <w:pPr>
        <w:pStyle w:val="Compact"/>
        <w:numPr>
          <w:ilvl w:val="1"/>
          <w:numId w:val="1146"/>
        </w:numPr>
      </w:pPr>
      <w:r>
        <w:t xml:space="preserve">Formes et Dosages : Comprimé 250 mg (B/14) ; Comprimé 125 mg (FL/10) (Non Renouvelable)</w:t>
      </w:r>
    </w:p>
    <w:p>
      <w:pPr>
        <w:pStyle w:val="Compact"/>
        <w:numPr>
          <w:ilvl w:val="1"/>
          <w:numId w:val="1146"/>
        </w:numPr>
      </w:pPr>
      <w:r>
        <w:t xml:space="preserve">Statut : Actif / Non Renouvelable (forme 125 mg)</w:t>
      </w:r>
    </w:p>
    <w:p>
      <w:pPr>
        <w:pStyle w:val="Compact"/>
        <w:numPr>
          <w:ilvl w:val="0"/>
          <w:numId w:val="1143"/>
        </w:numPr>
      </w:pPr>
      <w:r>
        <w:rPr>
          <w:b/>
          <w:bCs/>
        </w:rPr>
        <w:t xml:space="preserve">U-CEF</w:t>
      </w:r>
      <w:r>
        <w:t xml:space="preserve"> </w:t>
      </w:r>
      <w:r>
        <w:t xml:space="preserve">(HIKMA PHARMA ALGERIA)</w:t>
      </w:r>
    </w:p>
    <w:p>
      <w:pPr>
        <w:pStyle w:val="Compact"/>
        <w:numPr>
          <w:ilvl w:val="1"/>
          <w:numId w:val="1147"/>
        </w:numPr>
      </w:pPr>
      <w:r>
        <w:t xml:space="preserve">Formes et Dosages : Comprimé pelliculé 250 mg (B/14) ; Comprimé pelliculé 500 mg (B/14)</w:t>
      </w:r>
    </w:p>
    <w:p>
      <w:pPr>
        <w:pStyle w:val="Compact"/>
        <w:numPr>
          <w:ilvl w:val="1"/>
          <w:numId w:val="1147"/>
        </w:numPr>
      </w:pPr>
      <w:r>
        <w:t xml:space="preserve">Statut : Actif</w:t>
      </w:r>
    </w:p>
    <w:p>
      <w:pPr>
        <w:pStyle w:val="Compact"/>
        <w:numPr>
          <w:ilvl w:val="0"/>
          <w:numId w:val="1143"/>
        </w:numPr>
      </w:pPr>
      <w:r>
        <w:rPr>
          <w:b/>
          <w:bCs/>
        </w:rPr>
        <w:t xml:space="preserve">ZINETAL</w:t>
      </w:r>
      <w:r>
        <w:t xml:space="preserve"> </w:t>
      </w:r>
      <w:r>
        <w:t xml:space="preserve">(SOCIETE PHARMACEUTIQUE ALGERIENNE SOPHAL)</w:t>
      </w:r>
    </w:p>
    <w:p>
      <w:pPr>
        <w:pStyle w:val="Compact"/>
        <w:numPr>
          <w:ilvl w:val="1"/>
          <w:numId w:val="1148"/>
        </w:numPr>
      </w:pPr>
      <w:r>
        <w:t xml:space="preserve">Formes et Dosages : Comprimé pelliculé 250 mg (B/14) ; Comprimé pelliculé 500 mg (B/14)</w:t>
      </w:r>
    </w:p>
    <w:p>
      <w:pPr>
        <w:pStyle w:val="Compact"/>
        <w:numPr>
          <w:ilvl w:val="1"/>
          <w:numId w:val="1148"/>
        </w:numPr>
      </w:pPr>
      <w:r>
        <w:t xml:space="preserve">Statut : Actif</w:t>
      </w:r>
    </w:p>
    <w:p>
      <w:pPr>
        <w:pStyle w:val="Compact"/>
        <w:numPr>
          <w:ilvl w:val="0"/>
          <w:numId w:val="1143"/>
        </w:numPr>
      </w:pPr>
      <w:r>
        <w:rPr>
          <w:b/>
          <w:bCs/>
        </w:rPr>
        <w:t xml:space="preserve">ZINNAT</w:t>
      </w:r>
      <w:r>
        <w:t xml:space="preserve"> </w:t>
      </w:r>
      <w:r>
        <w:t xml:space="preserve">(GLAXO WELLCOME UK LIMITED / SANDOZ PHARMACEUTICALS D.D)</w:t>
      </w:r>
    </w:p>
    <w:p>
      <w:pPr>
        <w:pStyle w:val="Compact"/>
        <w:numPr>
          <w:ilvl w:val="1"/>
          <w:numId w:val="1149"/>
        </w:numPr>
      </w:pPr>
      <w:r>
        <w:t xml:space="preserve">Formes et Dosages : Comprimé 250 mg (B/14) ; Granulés pour suspension buvable 125 mg/5 ml (FL/70 ml) ; Comprimé 125 mg (B/14) (Non Renouvelable)</w:t>
      </w:r>
    </w:p>
    <w:p>
      <w:pPr>
        <w:pStyle w:val="Compact"/>
        <w:numPr>
          <w:ilvl w:val="1"/>
          <w:numId w:val="1149"/>
        </w:numPr>
      </w:pPr>
      <w:r>
        <w:t xml:space="preserve">Statut : Actif (250 mg et susp) / Non Renouvelable (125 mg)</w:t>
      </w:r>
    </w:p>
    <w:p>
      <w:pPr>
        <w:pStyle w:val="Compact"/>
        <w:numPr>
          <w:ilvl w:val="0"/>
          <w:numId w:val="1143"/>
        </w:numPr>
      </w:pPr>
      <w:r>
        <w:rPr>
          <w:b/>
          <w:bCs/>
        </w:rPr>
        <w:t xml:space="preserve">ZINOXIMOR / ZINOXIMOR 500</w:t>
      </w:r>
      <w:r>
        <w:t xml:space="preserve"> </w:t>
      </w:r>
      <w:r>
        <w:t xml:space="preserve">(TABUK ALGERIE)</w:t>
      </w:r>
    </w:p>
    <w:p>
      <w:pPr>
        <w:pStyle w:val="Compact"/>
        <w:numPr>
          <w:ilvl w:val="1"/>
          <w:numId w:val="1150"/>
        </w:numPr>
      </w:pPr>
      <w:r>
        <w:t xml:space="preserve">Formes et Dosages : Comprimé pelliculé 250 mg (B/14) ; Comprimé pelliculé 500 mg (B/14)</w:t>
      </w:r>
    </w:p>
    <w:p>
      <w:pPr>
        <w:pStyle w:val="Compact"/>
        <w:numPr>
          <w:ilvl w:val="1"/>
          <w:numId w:val="1150"/>
        </w:numPr>
      </w:pPr>
      <w:r>
        <w:t xml:space="preserve">Statut : Actif</w:t>
      </w:r>
    </w:p>
    <w:p>
      <w:pPr>
        <w:pStyle w:val="Compact"/>
        <w:numPr>
          <w:ilvl w:val="0"/>
          <w:numId w:val="1143"/>
        </w:numPr>
      </w:pPr>
      <w:r>
        <w:rPr>
          <w:b/>
          <w:bCs/>
        </w:rPr>
        <w:t xml:space="preserve">ZYNAX</w:t>
      </w:r>
      <w:r>
        <w:t xml:space="preserve"> </w:t>
      </w:r>
      <w:r>
        <w:t xml:space="preserve">(PHARMALLIANCE)</w:t>
      </w:r>
    </w:p>
    <w:p>
      <w:pPr>
        <w:pStyle w:val="Compact"/>
        <w:numPr>
          <w:ilvl w:val="1"/>
          <w:numId w:val="1151"/>
        </w:numPr>
      </w:pPr>
      <w:r>
        <w:t xml:space="preserve">Formes et Dosages : Comprimé pelliculé 250 mg (B/08 et B/14) ; Comprimé pelliculé 500 mg (B/08 et B/14) ; Granulés pour suspension buvable 125 mg/5 ml (FL/200 ml)</w:t>
      </w:r>
    </w:p>
    <w:p>
      <w:pPr>
        <w:pStyle w:val="Compact"/>
        <w:numPr>
          <w:ilvl w:val="1"/>
          <w:numId w:val="1151"/>
        </w:numPr>
      </w:pPr>
      <w:r>
        <w:t xml:space="preserve">Statut : Actif</w:t>
      </w:r>
    </w:p>
    <w:p>
      <w:pPr>
        <w:pStyle w:val="Compact"/>
        <w:numPr>
          <w:ilvl w:val="0"/>
          <w:numId w:val="1143"/>
        </w:numPr>
      </w:pPr>
      <w:r>
        <w:rPr>
          <w:b/>
          <w:bCs/>
        </w:rPr>
        <w:t xml:space="preserve">CEFUTIL</w:t>
      </w:r>
      <w:r>
        <w:t xml:space="preserve"> </w:t>
      </w:r>
      <w:r>
        <w:t xml:space="preserve">(GEOPHARM)</w:t>
      </w:r>
    </w:p>
    <w:p>
      <w:pPr>
        <w:pStyle w:val="Compact"/>
        <w:numPr>
          <w:ilvl w:val="1"/>
          <w:numId w:val="1152"/>
        </w:numPr>
      </w:pPr>
      <w:r>
        <w:t xml:space="preserve">Formes et Dosages : Comprimé 250 mg (B/10)</w:t>
      </w:r>
    </w:p>
    <w:p>
      <w:pPr>
        <w:pStyle w:val="Compact"/>
        <w:numPr>
          <w:ilvl w:val="1"/>
          <w:numId w:val="1152"/>
        </w:numPr>
      </w:pPr>
      <w:r>
        <w:t xml:space="preserve">Statut : Non Renouvelable</w:t>
      </w:r>
    </w:p>
    <w:p>
      <w:pPr>
        <w:pStyle w:val="Compact"/>
        <w:numPr>
          <w:ilvl w:val="0"/>
          <w:numId w:val="1143"/>
        </w:numPr>
      </w:pPr>
      <w:r>
        <w:rPr>
          <w:b/>
          <w:bCs/>
        </w:rPr>
        <w:t xml:space="preserve">CEFOFIX</w:t>
      </w:r>
      <w:r>
        <w:t xml:space="preserve"> </w:t>
      </w:r>
      <w:r>
        <w:t xml:space="preserve">(HIKMA FARMACEUTICA Portugal)</w:t>
      </w:r>
    </w:p>
    <w:p>
      <w:pPr>
        <w:pStyle w:val="Compact"/>
        <w:numPr>
          <w:ilvl w:val="1"/>
          <w:numId w:val="1153"/>
        </w:numPr>
      </w:pPr>
      <w:r>
        <w:t xml:space="preserve">Formes et Dosages : Poudre pour solution injectable IM et IV — 750 mg/3 ml (IM) et 750 mg/6 ml (IV) ; Poudre pour solution injectable IV — 1,5 g/6 ml</w:t>
      </w:r>
    </w:p>
    <w:p>
      <w:pPr>
        <w:pStyle w:val="Compact"/>
        <w:numPr>
          <w:ilvl w:val="1"/>
          <w:numId w:val="1153"/>
        </w:numPr>
      </w:pPr>
      <w:r>
        <w:t xml:space="preserve">Statut : Non Renouvelable</w:t>
      </w:r>
    </w:p>
    <w:p>
      <w:pPr>
        <w:pStyle w:val="Compact"/>
        <w:numPr>
          <w:ilvl w:val="0"/>
          <w:numId w:val="1143"/>
        </w:numPr>
      </w:pPr>
      <w:r>
        <w:rPr>
          <w:b/>
          <w:bCs/>
        </w:rPr>
        <w:t xml:space="preserve">ZINOXIME</w:t>
      </w:r>
      <w:r>
        <w:t xml:space="preserve"> </w:t>
      </w:r>
      <w:r>
        <w:t xml:space="preserve">(EL KENDI INDUSTRIE DU MEDICAMENT)</w:t>
      </w:r>
    </w:p>
    <w:p>
      <w:pPr>
        <w:pStyle w:val="Compact"/>
        <w:numPr>
          <w:ilvl w:val="1"/>
          <w:numId w:val="1154"/>
        </w:numPr>
      </w:pPr>
      <w:r>
        <w:t xml:space="preserve">Formes et Dosages : Poudre pour solution injectable IM/IV — 750 mg ; Poudre pour solution injectable IV — 1,5 g</w:t>
      </w:r>
    </w:p>
    <w:p>
      <w:pPr>
        <w:pStyle w:val="Compact"/>
        <w:numPr>
          <w:ilvl w:val="1"/>
          <w:numId w:val="1154"/>
        </w:numPr>
      </w:pPr>
      <w:r>
        <w:t xml:space="preserve">Statut : Non Renouvelable</w:t>
      </w:r>
    </w:p>
    <w:p>
      <w:pPr>
        <w:pStyle w:val="Compact"/>
        <w:numPr>
          <w:ilvl w:val="0"/>
          <w:numId w:val="1143"/>
        </w:numPr>
      </w:pPr>
      <w:r>
        <w:rPr>
          <w:b/>
          <w:bCs/>
        </w:rPr>
        <w:t xml:space="preserve">VEKFAZOLIN</w:t>
      </w:r>
      <w:r>
        <w:t xml:space="preserve"> </w:t>
      </w:r>
      <w:r>
        <w:t xml:space="preserve">(FARAN S.A.)</w:t>
      </w:r>
    </w:p>
    <w:p>
      <w:pPr>
        <w:pStyle w:val="Compact"/>
        <w:numPr>
          <w:ilvl w:val="1"/>
          <w:numId w:val="1155"/>
        </w:numPr>
      </w:pPr>
      <w:r>
        <w:t xml:space="preserve">Formes et Dosages : Poudre pour solution injectable — 750 mg</w:t>
      </w:r>
    </w:p>
    <w:p>
      <w:pPr>
        <w:pStyle w:val="Compact"/>
        <w:numPr>
          <w:ilvl w:val="1"/>
          <w:numId w:val="1155"/>
        </w:numPr>
      </w:pPr>
      <w:r>
        <w:t xml:space="preserve">Statut : Retiré (R)</w:t>
      </w:r>
    </w:p>
    <w:p>
      <w:pPr>
        <w:pStyle w:val="Compact"/>
        <w:numPr>
          <w:ilvl w:val="0"/>
          <w:numId w:val="1143"/>
        </w:numPr>
      </w:pPr>
      <w:r>
        <w:rPr>
          <w:b/>
          <w:bCs/>
        </w:rPr>
        <w:t xml:space="preserve">ZINACEF</w:t>
      </w:r>
      <w:r>
        <w:t xml:space="preserve"> </w:t>
      </w:r>
      <w:r>
        <w:t xml:space="preserve">(GLAXO WELLCOME)</w:t>
      </w:r>
    </w:p>
    <w:p>
      <w:pPr>
        <w:pStyle w:val="Compact"/>
        <w:numPr>
          <w:ilvl w:val="1"/>
          <w:numId w:val="1156"/>
        </w:numPr>
      </w:pPr>
      <w:r>
        <w:t xml:space="preserve">Formes et Dosages : Poudre pour solution injectable IM/IV — 750 mg (B/5 flacons)</w:t>
      </w:r>
    </w:p>
    <w:p>
      <w:pPr>
        <w:pStyle w:val="Compact"/>
        <w:numPr>
          <w:ilvl w:val="1"/>
          <w:numId w:val="1156"/>
        </w:numPr>
      </w:pPr>
      <w:r>
        <w:t xml:space="preserve">Statut : Retiré (R)</w:t>
      </w:r>
    </w:p>
    <w:p>
      <w:pPr>
        <w:pStyle w:val="FirstParagraph"/>
      </w:pPr>
      <w:r>
        <w:rPr>
          <w:b/>
          <w:bCs/>
        </w:rPr>
        <w:t xml:space="preserve">Sous-classe et Mécanisme d’action :</w:t>
      </w:r>
      <w:r>
        <w:t xml:space="preserve"> </w:t>
      </w:r>
      <w:r>
        <w:t xml:space="preserve">- Sous-classe : C2G, forme orale sous forme de prodrogue (céfuroxime-axétil) et forme injectable (sel sodique).</w:t>
      </w:r>
      <w:r>
        <w:t xml:space="preserve"> </w:t>
      </w:r>
      <w:r>
        <w:t xml:space="preserve">- Mécanisme d’action : Bactéricide par inhibition PLP3 principale et PLP2 secondaire. Activité élargie aux bacilles Gram – (</w:t>
      </w:r>
      <w:r>
        <w:rPr>
          <w:i/>
          <w:iCs/>
        </w:rPr>
        <w:t xml:space="preserve">H. influenzae</w:t>
      </w:r>
      <w:r>
        <w:t xml:space="preserve"> </w:t>
      </w:r>
      <w:r>
        <w:t xml:space="preserve">y compris sécréteurs de β-lactamase,</w:t>
      </w:r>
      <w:r>
        <w:t xml:space="preserve"> </w:t>
      </w:r>
      <w:r>
        <w:rPr>
          <w:i/>
          <w:iCs/>
        </w:rPr>
        <w:t xml:space="preserve">N. meningitidis</w:t>
      </w:r>
      <w:r>
        <w:t xml:space="preserve">,</w:t>
      </w:r>
      <w:r>
        <w:t xml:space="preserve"> </w:t>
      </w:r>
      <w:r>
        <w:rPr>
          <w:i/>
          <w:iCs/>
        </w:rPr>
        <w:t xml:space="preserve">N. gonorrhoeae</w:t>
      </w:r>
      <w:r>
        <w:t xml:space="preserve">,</w:t>
      </w:r>
      <w:r>
        <w:t xml:space="preserve"> </w:t>
      </w:r>
      <w:r>
        <w:rPr>
          <w:i/>
          <w:iCs/>
        </w:rPr>
        <w:t xml:space="preserve">M. catarrhalis</w:t>
      </w:r>
      <w:r>
        <w:t xml:space="preserve">), et conservation d’une bonne activité anti-Gram positif (SASM, streptocoques, pneumocoque). Activité modérée sur anaérobies (inférieure à céfoxitime).</w:t>
      </w:r>
    </w:p>
    <w:p>
      <w:pPr>
        <w:pStyle w:val="BodyText"/>
      </w:pPr>
      <w:r>
        <w:rPr>
          <w:b/>
          <w:bCs/>
        </w:rPr>
        <w:t xml:space="preserve">Profil Pharmacologique :</w:t>
      </w:r>
      <w:r>
        <w:t xml:space="preserve"> </w:t>
      </w:r>
      <w:r>
        <w:t xml:space="preserve">- Indications : Forme orale — sinusite, otite moyenne, angine streptococcique, exacerbation de BPCO, pneumopathie communautaire, infections urinaires, infections cutanées, maladie de Lyme (alternative à doxycycline ou amoxicilline) ; forme injectable — infections respiratoires sévères, infections urinaires compliquées, septicémies, méningite à pneumocoque ou à</w:t>
      </w:r>
      <w:r>
        <w:t xml:space="preserve"> </w:t>
      </w:r>
      <w:r>
        <w:rPr>
          <w:i/>
          <w:iCs/>
        </w:rPr>
        <w:t xml:space="preserve">H. influenzae</w:t>
      </w:r>
      <w:r>
        <w:t xml:space="preserve"> </w:t>
      </w:r>
      <w:r>
        <w:t xml:space="preserve">(à doses élevées), prophylaxie chirurgicale (alternative à céfazoline en chirurgie colorectale avec métronidazole).</w:t>
      </w:r>
      <w:r>
        <w:t xml:space="preserve"> </w:t>
      </w:r>
      <w:r>
        <w:t xml:space="preserve">- Contre-indications : Hypersensibilité aux céphalosporines ; allergie grave aux pénicillines ; phénylcétonurie pour la forme aspartamée (ZINNAT suspension).</w:t>
      </w:r>
      <w:r>
        <w:t xml:space="preserve"> </w:t>
      </w:r>
      <w:r>
        <w:t xml:space="preserve">- Effets Indésirables : Diarrhée, nausées, vomissements, candidose, rash, éosinophilie, élévation transaminases ; plus rarement colite à</w:t>
      </w:r>
      <w:r>
        <w:t xml:space="preserve"> </w:t>
      </w:r>
      <w:r>
        <w:rPr>
          <w:i/>
          <w:iCs/>
        </w:rPr>
        <w:t xml:space="preserve">C. difficile</w:t>
      </w:r>
      <w:r>
        <w:t xml:space="preserve">, anaphylaxie, néphrite interstitielle, thrombopénie.</w:t>
      </w:r>
    </w:p>
    <w:p>
      <w:pPr>
        <w:pStyle w:val="BodyText"/>
      </w:pPr>
      <w:r>
        <w:rPr>
          <w:b/>
          <w:bCs/>
        </w:rPr>
        <w:t xml:space="preserve">Prévention et Gestion des Effets Indésirables :</w:t>
      </w:r>
      <w:r>
        <w:t xml:space="preserve"> </w:t>
      </w:r>
      <w:r>
        <w:t xml:space="preserve">- Mesures Préventives : Prise au repas pour améliorer l’absorption (biodisponibilité doublée) ; hydratation ; probiotiques ; adaptation rénale (DFG &lt; 30 : 250–500 mg ×2/j per os ou 750 mg–1,5 g ×2/j IV).</w:t>
      </w:r>
      <w:r>
        <w:t xml:space="preserve"> </w:t>
      </w:r>
      <w:r>
        <w:t xml:space="preserve">- Conduite à Tenir : Arrêt en cas d’anaphylaxie ; recherche</w:t>
      </w:r>
      <w:r>
        <w:t xml:space="preserve"> </w:t>
      </w:r>
      <w:r>
        <w:rPr>
          <w:i/>
          <w:iCs/>
        </w:rPr>
        <w:t xml:space="preserve">C. difficile</w:t>
      </w:r>
      <w:r>
        <w:t xml:space="preserve"> </w:t>
      </w:r>
      <w:r>
        <w:t xml:space="preserve">si diarrhée sanglante ; surveiller fonction rénale et hépatique en traitement prolongé.</w:t>
      </w:r>
    </w:p>
    <w:p>
      <w:pPr>
        <w:pStyle w:val="BodyText"/>
      </w:pPr>
      <w:r>
        <w:rPr>
          <w:b/>
          <w:bCs/>
        </w:rPr>
        <w:t xml:space="preserve">Interactions Importantes :</w:t>
      </w:r>
      <w:r>
        <w:t xml:space="preserve"> </w:t>
      </w:r>
      <w:r>
        <w:t xml:space="preserve">- Antiacides et IPP (oméprazole) : Réduction de l’absorption de la forme axétil (libération de céfuroxime diminuée) — espacer de 2 heures.</w:t>
      </w:r>
      <w:r>
        <w:t xml:space="preserve"> </w:t>
      </w:r>
      <w:r>
        <w:t xml:space="preserve">- Probénécide : Augmentation des concentrations plasmatiques.</w:t>
      </w:r>
      <w:r>
        <w:t xml:space="preserve"> </w:t>
      </w:r>
      <w:r>
        <w:t xml:space="preserve">- Contraceptifs oraux estroprogestatifs : Risque théorique d’inefficacité (modification flore) — méthode complémentaire.</w:t>
      </w:r>
      <w:r>
        <w:t xml:space="preserve"> </w:t>
      </w:r>
      <w:r>
        <w:t xml:space="preserve">- Aminoglycosides : Synergie et majoration néphrotoxicité.</w:t>
      </w:r>
    </w:p>
    <w:p>
      <w:pPr>
        <w:pStyle w:val="BodyText"/>
      </w:pPr>
      <w:r>
        <w:rPr>
          <w:b/>
          <w:bCs/>
        </w:rPr>
        <w:t xml:space="preserve">Grossesse et Allaitement :</w:t>
      </w:r>
      <w:r>
        <w:t xml:space="preserve"> </w:t>
      </w:r>
      <w:r>
        <w:t xml:space="preserve">- Grossesse : Indiqué selon CRAT, sans tératogénicité documentée. À utiliser si nécessaire.</w:t>
      </w:r>
      <w:r>
        <w:t xml:space="preserve"> </w:t>
      </w:r>
      <w:r>
        <w:t xml:space="preserve">- Allaitement : Compatible ; faible passage lacté, surveiller troubles digestifs du nourrisson.</w:t>
      </w:r>
      <w:r>
        <w:t xml:space="preserve"> </w:t>
      </w:r>
      <w:r>
        <w:t xml:space="preserve">- Précisions : Au 1er trimestre, préférer amoxicilline ou céfalexine.</w:t>
      </w:r>
    </w:p>
    <w:p>
      <w:pPr>
        <w:pStyle w:val="BodyText"/>
      </w:pPr>
      <w:r>
        <w:rPr>
          <w:b/>
          <w:bCs/>
        </w:rPr>
        <w:t xml:space="preserve">Posologie et Mode d’administration (Standard) :</w:t>
      </w:r>
      <w:r>
        <w:t xml:space="preserve"> </w:t>
      </w:r>
      <w:r>
        <w:t xml:space="preserve">- Adulte per os : 250 à 500 mg ×2/jour (500 mg ×2/j dans pneumopathie, pyélonephrite, Lyme) ; maximum 1 g ×2/j.</w:t>
      </w:r>
      <w:r>
        <w:t xml:space="preserve"> </w:t>
      </w:r>
      <w:r>
        <w:t xml:space="preserve">- Adulte IV/IM : 750 mg ×3/jour à 1,5 g ×3/jour IV ; méningite 3 g IV ×4/jour ; prophylaxie 1,5 g IV à l’induction + 750 mg IM/IV à 8 h et 16 h post-op.</w:t>
      </w:r>
      <w:r>
        <w:t xml:space="preserve"> </w:t>
      </w:r>
      <w:r>
        <w:t xml:space="preserve">- Enfant per os : 20 à 30 mg/kg/jour en 2 prises ; otite 30 mg/kg ×2/j (maximum 500 mg/jour).</w:t>
      </w:r>
      <w:r>
        <w:t xml:space="preserve"> </w:t>
      </w:r>
      <w:r>
        <w:t xml:space="preserve">- Enfant IV : 50 à 100 mg/kg/jour en 3–4 injections ; méningite 200–240 mg/kg/jour en 3–4 injections.</w:t>
      </w:r>
      <w:r>
        <w:t xml:space="preserve"> </w:t>
      </w:r>
      <w:r>
        <w:t xml:space="preserve">- Durée : Angine 5 jours, otite 5–10 jours, pneumopathie 7–14 jours, Lyme 14–21 jours, méningite 10–14 jours.</w:t>
      </w:r>
      <w:r>
        <w:t xml:space="preserve"> </w:t>
      </w:r>
      <w:r>
        <w:t xml:space="preserve">- Moment de prise : Per os après repas (améliore biodisponibilité).</w:t>
      </w:r>
    </w:p>
    <w:p>
      <w:pPr>
        <w:pStyle w:val="BodyText"/>
      </w:pPr>
      <w:r>
        <w:rPr>
          <w:b/>
          <w:bCs/>
        </w:rPr>
        <w:t xml:space="preserve">Arbitrage et Bénéfices des Formes Galéniques :</w:t>
      </w:r>
      <w:r>
        <w:t xml:space="preserve"> </w:t>
      </w:r>
      <w:r>
        <w:t xml:space="preserve">La forme orale axétil a l’avantage d’une biodisponibilité correcte (35–50 %) à condition d’être prise au repas. La forme injectable (sel sodique) permet le switch IV→per os précoce dès l’amélioration clinique (J3 à J5). La suspension buvable 125 mg/5 ml (ZINNAT, ZYNAX) est particulièrement indiquée en pédiatrie (otite, angine). Le comprimé 500 mg est la forme la plus prescrite.</w:t>
      </w:r>
    </w:p>
    <w:p>
      <w:pPr>
        <w:pStyle w:val="BodyText"/>
      </w:pPr>
      <w:r>
        <w:rPr>
          <w:b/>
          <w:bCs/>
        </w:rPr>
        <w:t xml:space="preserve">Instructions et Conseils au Patient :</w:t>
      </w:r>
      <w:r>
        <w:t xml:space="preserve"> </w:t>
      </w:r>
      <w:r>
        <w:t xml:space="preserve">- Communication au comptoir : « Antibiotique à prendre 2 fois par jour, matin et soir, au cours des repas. Suspension : agiter avant chaque prise. »</w:t>
      </w:r>
      <w:r>
        <w:t xml:space="preserve"> </w:t>
      </w:r>
      <w:r>
        <w:t xml:space="preserve">- Mode d’utilisation pratique : Suspension reconstituée avec eau, se conserve 10 jours à +4 °C (ZINNAT) ou température ambiante selon spécialité.</w:t>
      </w:r>
    </w:p>
    <w:p>
      <w:pPr>
        <w:pStyle w:val="BodyText"/>
      </w:pPr>
      <w:r>
        <w:rPr>
          <w:b/>
          <w:bCs/>
        </w:rPr>
        <w:t xml:space="preserve">Notes, Règles d’Or &amp; Pièges au Comptoir :</w:t>
      </w:r>
      <w:r>
        <w:t xml:space="preserve"> </w:t>
      </w:r>
      <w:r>
        <w:t xml:space="preserve">- Piège classique : Oublier de préciser « au repas » → chute d’absorption de 50 %.</w:t>
      </w:r>
      <w:r>
        <w:t xml:space="preserve"> </w:t>
      </w:r>
      <w:r>
        <w:t xml:space="preserve">- Règle de prise : Respecter biquotidien à 12 h d’intervalle.</w:t>
      </w:r>
      <w:r>
        <w:t xml:space="preserve"> </w:t>
      </w:r>
      <w:r>
        <w:t xml:space="preserve">- Préparation et Conservation : Comprimés à ≤30 °C ; suspension sèche à ≤25 °C, après reconstitution ≤10 jours au réfrigérateur.</w:t>
      </w:r>
      <w:r>
        <w:t xml:space="preserve"> </w:t>
      </w:r>
      <w:r>
        <w:t xml:space="preserve">- Piège du surdosage / Substitution : Ne pas substituer la forme axétil par une autre C2G sans contrôle médical ; adapter en IR.</w:t>
      </w:r>
    </w:p>
    <w:p>
      <w:r>
        <w:pict>
          <v:rect style="width:0;height:1.5pt" o:hralign="center" o:hrstd="t" o:hr="t"/>
        </w:pict>
      </w:r>
    </w:p>
    <w:bookmarkEnd w:id="63"/>
    <w:bookmarkStart w:id="64" w:name="dci-céfoxitime-seule"/>
    <w:p>
      <w:pPr>
        <w:pStyle w:val="Heading3"/>
      </w:pPr>
      <w:r>
        <w:t xml:space="preserve">6. DCI : Céfoxitime (Seule)</w:t>
      </w:r>
    </w:p>
    <w:p>
      <w:pPr>
        <w:pStyle w:val="FirstParagraph"/>
      </w:pPr>
      <w:r>
        <w:rPr>
          <w:b/>
          <w:bCs/>
        </w:rPr>
        <w:t xml:space="preserve">Liste des Catégories :</w:t>
      </w:r>
      <w:r>
        <w:t xml:space="preserve"> </w:t>
      </w:r>
      <w:r>
        <w:t xml:space="preserve">Céphalosporines 2ème génération ; Liste I ; Injectable.</w:t>
      </w:r>
    </w:p>
    <w:p>
      <w:pPr>
        <w:pStyle w:val="BodyText"/>
      </w:pPr>
      <w:r>
        <w:t xml:space="preserve">La céfoxitime est la seule C2G dotée d’une véritable activité anti-anaérobie, notamment sur</w:t>
      </w:r>
      <w:r>
        <w:t xml:space="preserve"> </w:t>
      </w:r>
      <w:r>
        <w:rPr>
          <w:i/>
          <w:iCs/>
        </w:rPr>
        <w:t xml:space="preserve">Bacteroides fragilis</w:t>
      </w:r>
      <w:r>
        <w:t xml:space="preserve">. Son utilisation est essentiellement réservée à la prophylaxie chirurgicale en chirurgie digestive et gynécologique, ainsi qu’aux infections pelvi-périnéales polymicrobiennes. Elle est stable aux céphalosporinases chromosomiques (AmpC) grâce à son groupe méthoxy en C7.</w:t>
      </w:r>
    </w:p>
    <w:p>
      <w:pPr>
        <w:pStyle w:val="BodyText"/>
      </w:pPr>
      <w:r>
        <w:rPr>
          <w:b/>
          <w:bCs/>
        </w:rPr>
        <w:t xml:space="preserve">Médicaments disponibles en Algérie (Marques, Laboratoires, Formes et Dosages) :</w:t>
      </w:r>
    </w:p>
    <w:p>
      <w:pPr>
        <w:pStyle w:val="Compact"/>
        <w:numPr>
          <w:ilvl w:val="0"/>
          <w:numId w:val="1157"/>
        </w:numPr>
      </w:pPr>
      <w:r>
        <w:rPr>
          <w:b/>
          <w:bCs/>
        </w:rPr>
        <w:t xml:space="preserve">ZOXIN</w:t>
      </w:r>
      <w:r>
        <w:t xml:space="preserve"> </w:t>
      </w:r>
      <w:r>
        <w:t xml:space="preserve">(HIKMA PHARMACEUTICALS)</w:t>
      </w:r>
    </w:p>
    <w:p>
      <w:pPr>
        <w:pStyle w:val="Compact"/>
        <w:numPr>
          <w:ilvl w:val="1"/>
          <w:numId w:val="1158"/>
        </w:numPr>
      </w:pPr>
      <w:r>
        <w:t xml:space="preserve">Formes et Dosages : Poudre pour solution injectable IM/IV — 1 g (flacon)</w:t>
      </w:r>
    </w:p>
    <w:p>
      <w:pPr>
        <w:pStyle w:val="Compact"/>
        <w:numPr>
          <w:ilvl w:val="1"/>
          <w:numId w:val="1158"/>
        </w:numPr>
      </w:pPr>
      <w:r>
        <w:t xml:space="preserve">Statut : Non Renouvelable</w:t>
      </w:r>
    </w:p>
    <w:p>
      <w:pPr>
        <w:pStyle w:val="FirstParagraph"/>
      </w:pPr>
      <w:r>
        <w:rPr>
          <w:i/>
          <w:iCs/>
        </w:rPr>
        <w:t xml:space="preserve">À noter : aucune spécialité active de céfoxitime n’est actuellement commercialisée en Algérie ; les praticiens doivent recourir à l’alternative céfamandole (non disponible) ou à l’association céfuroxime + métronidazole, ou céfazoline + métronidazole en prophylaxie.</w:t>
      </w:r>
    </w:p>
    <w:p>
      <w:pPr>
        <w:pStyle w:val="BodyText"/>
      </w:pPr>
      <w:r>
        <w:rPr>
          <w:b/>
          <w:bCs/>
        </w:rPr>
        <w:t xml:space="preserve">Sous-classe et Mécanisme d’action :</w:t>
      </w:r>
      <w:r>
        <w:t xml:space="preserve"> </w:t>
      </w:r>
      <w:r>
        <w:t xml:space="preserve">- Sous-classe : C2G céphamycine (dérivé de</w:t>
      </w:r>
      <w:r>
        <w:t xml:space="preserve"> </w:t>
      </w:r>
      <w:r>
        <w:rPr>
          <w:i/>
          <w:iCs/>
        </w:rPr>
        <w:t xml:space="preserve">Streptomyces</w:t>
      </w:r>
      <w:r>
        <w:t xml:space="preserve">), groupe méthoxy en C7 conférant une stabilité aux β-lactamases AmpC.</w:t>
      </w:r>
      <w:r>
        <w:t xml:space="preserve"> </w:t>
      </w:r>
      <w:r>
        <w:t xml:space="preserve">- Mécanisme d’action : Bactéricide, affinité PLP2 et PLP3. Activité étendue aux anaérobies (</w:t>
      </w:r>
      <w:r>
        <w:rPr>
          <w:i/>
          <w:iCs/>
        </w:rPr>
        <w:t xml:space="preserve">Bacteroides</w:t>
      </w:r>
      <w:r>
        <w:t xml:space="preserve"> </w:t>
      </w:r>
      <w:r>
        <w:t xml:space="preserve">spp.,</w:t>
      </w:r>
      <w:r>
        <w:t xml:space="preserve"> </w:t>
      </w:r>
      <w:r>
        <w:rPr>
          <w:i/>
          <w:iCs/>
        </w:rPr>
        <w:t xml:space="preserve">Clostridium</w:t>
      </w:r>
      <w:r>
        <w:t xml:space="preserve"> </w:t>
      </w:r>
      <w:r>
        <w:t xml:space="preserve">spp.,</w:t>
      </w:r>
      <w:r>
        <w:t xml:space="preserve"> </w:t>
      </w:r>
      <w:r>
        <w:rPr>
          <w:i/>
          <w:iCs/>
        </w:rPr>
        <w:t xml:space="preserve">Peptostreptococcus</w:t>
      </w:r>
      <w:r>
        <w:t xml:space="preserve">) ; inactive sur</w:t>
      </w:r>
      <w:r>
        <w:t xml:space="preserve"> </w:t>
      </w:r>
      <w:r>
        <w:rPr>
          <w:i/>
          <w:iCs/>
        </w:rPr>
        <w:t xml:space="preserve">Enterococcus</w:t>
      </w:r>
      <w:r>
        <w:t xml:space="preserve">,</w:t>
      </w:r>
      <w:r>
        <w:t xml:space="preserve"> </w:t>
      </w:r>
      <w:r>
        <w:rPr>
          <w:i/>
          <w:iCs/>
        </w:rPr>
        <w:t xml:space="preserve">Pseudomonas</w:t>
      </w:r>
      <w:r>
        <w:t xml:space="preserve">,</w:t>
      </w:r>
      <w:r>
        <w:t xml:space="preserve"> </w:t>
      </w:r>
      <w:r>
        <w:rPr>
          <w:i/>
          <w:iCs/>
        </w:rPr>
        <w:t xml:space="preserve">Listeria</w:t>
      </w:r>
      <w:r>
        <w:t xml:space="preserve">.</w:t>
      </w:r>
    </w:p>
    <w:p>
      <w:pPr>
        <w:pStyle w:val="BodyText"/>
      </w:pPr>
      <w:r>
        <w:rPr>
          <w:b/>
          <w:bCs/>
        </w:rPr>
        <w:t xml:space="preserve">Profil Pharmacologique :</w:t>
      </w:r>
      <w:r>
        <w:t xml:space="preserve"> </w:t>
      </w:r>
      <w:r>
        <w:t xml:space="preserve">- Indications : Prophylaxie chirurgicale en chirurgie colorectale, appendiculaire, gynéco-obstétricale ; infections pelviennes (endométrite, salpingite), intra-abdominales polymicrobiennes, infections biliaires, péritonites communautaires.</w:t>
      </w:r>
      <w:r>
        <w:t xml:space="preserve"> </w:t>
      </w:r>
      <w:r>
        <w:t xml:space="preserve">- Contre-indications : Hypersensibilité aux céphalosporines et céphamycines ; allergie grave aux pénicillines.</w:t>
      </w:r>
      <w:r>
        <w:t xml:space="preserve"> </w:t>
      </w:r>
      <w:r>
        <w:t xml:space="preserve">- Effets Indésirables : Douleur IM, phlébite IV, rash, diarrhée, élévation transaminases, positivité du test de Coombs direct.</w:t>
      </w:r>
    </w:p>
    <w:p>
      <w:pPr>
        <w:pStyle w:val="BodyText"/>
      </w:pPr>
      <w:r>
        <w:rPr>
          <w:b/>
          <w:bCs/>
        </w:rPr>
        <w:t xml:space="preserve">Prévention et Gestion des Effets Indésirables :</w:t>
      </w:r>
      <w:r>
        <w:t xml:space="preserve"> </w:t>
      </w:r>
      <w:r>
        <w:t xml:space="preserve">- Mesures Préventives : Alternance sites d’injection ; hydratation ; surveillance NFS et fonction rénale.</w:t>
      </w:r>
      <w:r>
        <w:t xml:space="preserve"> </w:t>
      </w:r>
      <w:r>
        <w:t xml:space="preserve">- Conduite à Tenir : Arrêt en cas de signes d’allergie ; recherche</w:t>
      </w:r>
      <w:r>
        <w:t xml:space="preserve"> </w:t>
      </w:r>
      <w:r>
        <w:rPr>
          <w:i/>
          <w:iCs/>
        </w:rPr>
        <w:t xml:space="preserve">C. difficile</w:t>
      </w:r>
      <w:r>
        <w:t xml:space="preserve"> </w:t>
      </w:r>
      <w:r>
        <w:t xml:space="preserve">si diarrhée.</w:t>
      </w:r>
    </w:p>
    <w:p>
      <w:pPr>
        <w:pStyle w:val="BodyText"/>
      </w:pPr>
      <w:r>
        <w:rPr>
          <w:b/>
          <w:bCs/>
        </w:rPr>
        <w:t xml:space="preserve">Interactions Importantes :</w:t>
      </w:r>
      <w:r>
        <w:t xml:space="preserve"> </w:t>
      </w:r>
      <w:r>
        <w:t xml:space="preserve">- Aminoglycosides : Synergie et néphrotoxicité potentialisée.</w:t>
      </w:r>
      <w:r>
        <w:t xml:space="preserve"> </w:t>
      </w:r>
      <w:r>
        <w:t xml:space="preserve">- Probénécide : Augmentation concentrations.</w:t>
      </w:r>
      <w:r>
        <w:t xml:space="preserve"> </w:t>
      </w:r>
      <w:r>
        <w:t xml:space="preserve">- AVK : Majoration INR.</w:t>
      </w:r>
    </w:p>
    <w:p>
      <w:pPr>
        <w:pStyle w:val="BodyText"/>
      </w:pPr>
      <w:r>
        <w:rPr>
          <w:b/>
          <w:bCs/>
        </w:rPr>
        <w:t xml:space="preserve">Grossesse et Allaitement :</w:t>
      </w:r>
      <w:r>
        <w:t xml:space="preserve"> </w:t>
      </w:r>
      <w:r>
        <w:t xml:space="preserve">- Grossesse : Indiqué selon CRAT.</w:t>
      </w:r>
      <w:r>
        <w:t xml:space="preserve"> </w:t>
      </w:r>
      <w:r>
        <w:t xml:space="preserve">- Allaitement : Compatible, faibles passages dans le lait.</w:t>
      </w:r>
      <w:r>
        <w:t xml:space="preserve"> </w:t>
      </w:r>
      <w:r>
        <w:t xml:space="preserve">- Précisions : Très utilisé en prophylaxie césarienne avant l’arrêt de commercialisation.</w:t>
      </w:r>
    </w:p>
    <w:p>
      <w:pPr>
        <w:pStyle w:val="BodyText"/>
      </w:pPr>
      <w:r>
        <w:rPr>
          <w:b/>
          <w:bCs/>
        </w:rPr>
        <w:t xml:space="preserve">Posologie et Mode d’administration (Standard) :</w:t>
      </w:r>
      <w:r>
        <w:t xml:space="preserve"> </w:t>
      </w:r>
      <w:r>
        <w:t xml:space="preserve">- Adulte : 1 à 2 g IV/IM toutes les 6 à 8 heures ; prophylaxie 2 g IV à l’induction + 2 g à 6 h. Maximum 12 g/j.</w:t>
      </w:r>
      <w:r>
        <w:t xml:space="preserve"> </w:t>
      </w:r>
      <w:r>
        <w:t xml:space="preserve">- Enfant : 80 à 160 mg/kg/jour en 4–6 injections.</w:t>
      </w:r>
      <w:r>
        <w:t xml:space="preserve"> </w:t>
      </w:r>
      <w:r>
        <w:t xml:space="preserve">- Durée : Prophylaxie ≤24 h ; infections 5–14 jours.</w:t>
      </w:r>
      <w:r>
        <w:t xml:space="preserve"> </w:t>
      </w:r>
      <w:r>
        <w:t xml:space="preserve">- Moment de prise : Perfusion IV de 30 minutes.</w:t>
      </w:r>
    </w:p>
    <w:p>
      <w:pPr>
        <w:pStyle w:val="BodyText"/>
      </w:pPr>
      <w:r>
        <w:rPr>
          <w:b/>
          <w:bCs/>
        </w:rPr>
        <w:t xml:space="preserve">Arbitrage et Bénéfices des Formes Galéniques :</w:t>
      </w:r>
      <w:r>
        <w:t xml:space="preserve"> </w:t>
      </w:r>
      <w:r>
        <w:t xml:space="preserve">Exclusivement injectable. La double activité aérobie/anaérobie en fait une monothérapie possible en prophylaxie et en infections polymicrobiennes modérées. Son indisponibilité actuelle en Algérie impose les alternatives associées.</w:t>
      </w:r>
    </w:p>
    <w:p>
      <w:pPr>
        <w:pStyle w:val="BodyText"/>
      </w:pPr>
      <w:r>
        <w:rPr>
          <w:b/>
          <w:bCs/>
        </w:rPr>
        <w:t xml:space="preserve">Instructions et Conseils au Patient :</w:t>
      </w:r>
      <w:r>
        <w:t xml:space="preserve"> </w:t>
      </w:r>
      <w:r>
        <w:t xml:space="preserve">- Communication au comptoir : Usage strictement hospitalier ; pas de dispensation au comptoir.</w:t>
      </w:r>
      <w:r>
        <w:t xml:space="preserve"> </w:t>
      </w:r>
      <w:r>
        <w:t xml:space="preserve">- Mode d’utilisation pratique : Reconstitution avec EPPPI (IV) ou lidocaïne 0,5 % (IM) ; ne pas mélanger avec aminoglycosides dans la même tubulure.</w:t>
      </w:r>
    </w:p>
    <w:p>
      <w:pPr>
        <w:pStyle w:val="BodyText"/>
      </w:pPr>
      <w:r>
        <w:rPr>
          <w:b/>
          <w:bCs/>
        </w:rPr>
        <w:t xml:space="preserve">Notes, Règles d’Or &amp; Pièges au Comptoir :</w:t>
      </w:r>
      <w:r>
        <w:t xml:space="preserve"> </w:t>
      </w:r>
      <w:r>
        <w:t xml:space="preserve">- Piège classique : Promettre le produit au patient — actuellement non disponible en actif.</w:t>
      </w:r>
      <w:r>
        <w:t xml:space="preserve"> </w:t>
      </w:r>
      <w:r>
        <w:t xml:space="preserve">- Règle de prise : Administration hospitalière stricte.</w:t>
      </w:r>
      <w:r>
        <w:t xml:space="preserve"> </w:t>
      </w:r>
      <w:r>
        <w:t xml:space="preserve">- Préparation et Conservation : Poudre stable 24 mois à ≤25 °C ; après reconstitution stable 24 h à +4 °C.</w:t>
      </w:r>
      <w:r>
        <w:t xml:space="preserve"> </w:t>
      </w:r>
      <w:r>
        <w:t xml:space="preserve">- Piège du surdosage / Substitution : Substitution par céfuroxime + métronidazole ou pipéracilline-tazobactam selon contexte.</w:t>
      </w:r>
    </w:p>
    <w:p>
      <w:r>
        <w:pict>
          <v:rect style="width:0;height:1.5pt" o:hralign="center" o:hrstd="t" o:hr="t"/>
        </w:pict>
      </w:r>
    </w:p>
    <w:bookmarkEnd w:id="64"/>
    <w:bookmarkStart w:id="65" w:name="dci-cefaclor-seule"/>
    <w:p>
      <w:pPr>
        <w:pStyle w:val="Heading3"/>
      </w:pPr>
      <w:r>
        <w:t xml:space="preserve">7. DCI : Cefaclor (Seule)</w:t>
      </w:r>
    </w:p>
    <w:p>
      <w:pPr>
        <w:pStyle w:val="FirstParagraph"/>
      </w:pPr>
      <w:r>
        <w:rPr>
          <w:b/>
          <w:bCs/>
        </w:rPr>
        <w:t xml:space="preserve">Liste des Catégories :</w:t>
      </w:r>
      <w:r>
        <w:t xml:space="preserve"> </w:t>
      </w:r>
      <w:r>
        <w:t xml:space="preserve">Céphalosporines 2ème génération ; Liste I ; Orale (gélules, suspensions, comprimés à libération modifiée).</w:t>
      </w:r>
    </w:p>
    <w:p>
      <w:pPr>
        <w:pStyle w:val="BodyText"/>
      </w:pPr>
      <w:r>
        <w:t xml:space="preserve">Le cefaclor occupe une place intermédiaire entre C1G et C2G : il présente une meilleure activité sur</w:t>
      </w:r>
      <w:r>
        <w:t xml:space="preserve"> </w:t>
      </w:r>
      <w:r>
        <w:rPr>
          <w:i/>
          <w:iCs/>
        </w:rPr>
        <w:t xml:space="preserve">H. influenzae</w:t>
      </w:r>
      <w:r>
        <w:t xml:space="preserve"> </w:t>
      </w:r>
      <w:r>
        <w:t xml:space="preserve">et</w:t>
      </w:r>
      <w:r>
        <w:t xml:space="preserve"> </w:t>
      </w:r>
      <w:r>
        <w:rPr>
          <w:i/>
          <w:iCs/>
        </w:rPr>
        <w:t xml:space="preserve">M. catarrhalis</w:t>
      </w:r>
      <w:r>
        <w:t xml:space="preserve"> </w:t>
      </w:r>
      <w:r>
        <w:t xml:space="preserve">que les C1G, mais une activité anti-anaérobie et anti-entérobactérie moindre que la céfoxitime. Sa forme à libération modifiée (MR) autorise une administration biquotidienne.</w:t>
      </w:r>
    </w:p>
    <w:p>
      <w:pPr>
        <w:pStyle w:val="BodyText"/>
      </w:pPr>
      <w:r>
        <w:rPr>
          <w:b/>
          <w:bCs/>
        </w:rPr>
        <w:t xml:space="preserve">Médicaments disponibles en Algérie (Marques, Laboratoires, Formes et Dosages) :</w:t>
      </w:r>
    </w:p>
    <w:p>
      <w:pPr>
        <w:pStyle w:val="Compact"/>
        <w:numPr>
          <w:ilvl w:val="0"/>
          <w:numId w:val="1159"/>
        </w:numPr>
      </w:pPr>
      <w:r>
        <w:rPr>
          <w:b/>
          <w:bCs/>
        </w:rPr>
        <w:t xml:space="preserve">TABICLOR</w:t>
      </w:r>
      <w:r>
        <w:t xml:space="preserve"> </w:t>
      </w:r>
      <w:r>
        <w:t xml:space="preserve">(TABUK ALGERIE)</w:t>
      </w:r>
    </w:p>
    <w:p>
      <w:pPr>
        <w:pStyle w:val="Compact"/>
        <w:numPr>
          <w:ilvl w:val="1"/>
          <w:numId w:val="1160"/>
        </w:numPr>
      </w:pPr>
      <w:r>
        <w:t xml:space="preserve">Formes et Dosages : Suspension buvable 125 mg/5 ml (FL/75 ml) ; Suspension buvable 250 mg/5 ml avec bouchon doseur (FL/75 ml) ; Gélule 500 mg (B/15)</w:t>
      </w:r>
    </w:p>
    <w:p>
      <w:pPr>
        <w:pStyle w:val="Compact"/>
        <w:numPr>
          <w:ilvl w:val="1"/>
          <w:numId w:val="1160"/>
        </w:numPr>
      </w:pPr>
      <w:r>
        <w:t xml:space="preserve">Statut : Actif</w:t>
      </w:r>
    </w:p>
    <w:p>
      <w:pPr>
        <w:pStyle w:val="Compact"/>
        <w:numPr>
          <w:ilvl w:val="0"/>
          <w:numId w:val="1159"/>
        </w:numPr>
      </w:pPr>
      <w:r>
        <w:rPr>
          <w:b/>
          <w:bCs/>
        </w:rPr>
        <w:t xml:space="preserve">CLORACEF FORTE 250 / CLORACEF FORTE / CLORACEF MR</w:t>
      </w:r>
      <w:r>
        <w:t xml:space="preserve"> </w:t>
      </w:r>
      <w:r>
        <w:t xml:space="preserve">(DAR AL DAWA)</w:t>
      </w:r>
    </w:p>
    <w:p>
      <w:pPr>
        <w:pStyle w:val="Compact"/>
        <w:numPr>
          <w:ilvl w:val="1"/>
          <w:numId w:val="1161"/>
        </w:numPr>
      </w:pPr>
      <w:r>
        <w:t xml:space="preserve">Formes et Dosages : Granulés pour suspension buvable en flacon 250 mg/5 ml (FL/75 ml) ; Gélule 500 mg (B/16) ; Comprimé pelliculé à libération modifiée 500 mg (B/10) ; Comprimé pelliculé à libération modifiée 750 mg (B/10)</w:t>
      </w:r>
    </w:p>
    <w:p>
      <w:pPr>
        <w:pStyle w:val="Compact"/>
        <w:numPr>
          <w:ilvl w:val="1"/>
          <w:numId w:val="1161"/>
        </w:numPr>
      </w:pPr>
      <w:r>
        <w:t xml:space="preserve">Statut : Actif</w:t>
      </w:r>
    </w:p>
    <w:p>
      <w:pPr>
        <w:pStyle w:val="Compact"/>
        <w:numPr>
          <w:ilvl w:val="0"/>
          <w:numId w:val="1159"/>
        </w:numPr>
      </w:pPr>
      <w:r>
        <w:rPr>
          <w:b/>
          <w:bCs/>
        </w:rPr>
        <w:t xml:space="preserve">CLORAFAL</w:t>
      </w:r>
      <w:r>
        <w:t xml:space="preserve"> </w:t>
      </w:r>
      <w:r>
        <w:t xml:space="preserve">(SOCIETE PHARMACEUTIQUE ALGERIENNE SOPHAL)</w:t>
      </w:r>
    </w:p>
    <w:p>
      <w:pPr>
        <w:pStyle w:val="Compact"/>
        <w:numPr>
          <w:ilvl w:val="1"/>
          <w:numId w:val="1162"/>
        </w:numPr>
      </w:pPr>
      <w:r>
        <w:t xml:space="preserve">Formes et Dosages : Poudre pour suspension buvable 250 mg/5 ml (FL/60 ml) ; Gélule 500 mg (B/16)</w:t>
      </w:r>
    </w:p>
    <w:p>
      <w:pPr>
        <w:pStyle w:val="Compact"/>
        <w:numPr>
          <w:ilvl w:val="1"/>
          <w:numId w:val="1162"/>
        </w:numPr>
      </w:pPr>
      <w:r>
        <w:t xml:space="preserve">Statut : Actif</w:t>
      </w:r>
    </w:p>
    <w:p>
      <w:pPr>
        <w:pStyle w:val="Compact"/>
        <w:numPr>
          <w:ilvl w:val="0"/>
          <w:numId w:val="1159"/>
        </w:numPr>
      </w:pPr>
      <w:r>
        <w:rPr>
          <w:b/>
          <w:bCs/>
        </w:rPr>
        <w:t xml:space="preserve">DICEF</w:t>
      </w:r>
      <w:r>
        <w:t xml:space="preserve"> </w:t>
      </w:r>
      <w:r>
        <w:t xml:space="preserve">(JAZEERA PHARMACEUTICALS INDUSTRIES / HIKMA PHARMA ALGERIA)</w:t>
      </w:r>
    </w:p>
    <w:p>
      <w:pPr>
        <w:pStyle w:val="Compact"/>
        <w:numPr>
          <w:ilvl w:val="1"/>
          <w:numId w:val="1163"/>
        </w:numPr>
      </w:pPr>
      <w:r>
        <w:t xml:space="preserve">Formes et Dosages : Poudre pour suspension buvable 250 mg/5 ml (FL/75 ml) ; Gélule 500 mg (B/15) ; Poudre pour suspension buvable en sachet 500 mg (B/16)</w:t>
      </w:r>
    </w:p>
    <w:p>
      <w:pPr>
        <w:pStyle w:val="Compact"/>
        <w:numPr>
          <w:ilvl w:val="1"/>
          <w:numId w:val="1163"/>
        </w:numPr>
      </w:pPr>
      <w:r>
        <w:t xml:space="preserve">Statut : Actif</w:t>
      </w:r>
    </w:p>
    <w:p>
      <w:pPr>
        <w:pStyle w:val="Compact"/>
        <w:numPr>
          <w:ilvl w:val="0"/>
          <w:numId w:val="1159"/>
        </w:numPr>
      </w:pPr>
      <w:r>
        <w:rPr>
          <w:b/>
          <w:bCs/>
        </w:rPr>
        <w:t xml:space="preserve">OROCEF</w:t>
      </w:r>
      <w:r>
        <w:t xml:space="preserve"> </w:t>
      </w:r>
      <w:r>
        <w:t xml:space="preserve">(PHARMALLIANCE)</w:t>
      </w:r>
    </w:p>
    <w:p>
      <w:pPr>
        <w:pStyle w:val="Compact"/>
        <w:numPr>
          <w:ilvl w:val="1"/>
          <w:numId w:val="1164"/>
        </w:numPr>
      </w:pPr>
      <w:r>
        <w:t xml:space="preserve">Formes et Dosages : Poudre pour suspension buvable 250 mg/5 ml (FL/60 ml)</w:t>
      </w:r>
    </w:p>
    <w:p>
      <w:pPr>
        <w:pStyle w:val="Compact"/>
        <w:numPr>
          <w:ilvl w:val="1"/>
          <w:numId w:val="1164"/>
        </w:numPr>
      </w:pPr>
      <w:r>
        <w:t xml:space="preserve">Statut : Actif</w:t>
      </w:r>
    </w:p>
    <w:p>
      <w:pPr>
        <w:pStyle w:val="Compact"/>
        <w:numPr>
          <w:ilvl w:val="0"/>
          <w:numId w:val="1159"/>
        </w:numPr>
      </w:pPr>
      <w:r>
        <w:rPr>
          <w:b/>
          <w:bCs/>
        </w:rPr>
        <w:t xml:space="preserve">TABICLOR 375</w:t>
      </w:r>
      <w:r>
        <w:t xml:space="preserve"> </w:t>
      </w:r>
      <w:r>
        <w:t xml:space="preserve">(EL KENDI INDUSTRIE DU MEDICAMENT)</w:t>
      </w:r>
    </w:p>
    <w:p>
      <w:pPr>
        <w:pStyle w:val="Compact"/>
        <w:numPr>
          <w:ilvl w:val="1"/>
          <w:numId w:val="1165"/>
        </w:numPr>
      </w:pPr>
      <w:r>
        <w:t xml:space="preserve">Formes et Dosages : Poudre pour suspension buvable 375 mg/5 ml (FL/75 ml)</w:t>
      </w:r>
    </w:p>
    <w:p>
      <w:pPr>
        <w:pStyle w:val="Compact"/>
        <w:numPr>
          <w:ilvl w:val="1"/>
          <w:numId w:val="1165"/>
        </w:numPr>
      </w:pPr>
      <w:r>
        <w:t xml:space="preserve">Statut : Non Renouvelable</w:t>
      </w:r>
    </w:p>
    <w:p>
      <w:pPr>
        <w:pStyle w:val="Compact"/>
        <w:numPr>
          <w:ilvl w:val="0"/>
          <w:numId w:val="1159"/>
        </w:numPr>
      </w:pPr>
      <w:r>
        <w:rPr>
          <w:b/>
          <w:bCs/>
        </w:rPr>
        <w:t xml:space="preserve">TABICLOR M.R.</w:t>
      </w:r>
      <w:r>
        <w:t xml:space="preserve"> </w:t>
      </w:r>
      <w:r>
        <w:t xml:space="preserve">(EL KENDI INDUSTRIE DU MEDICAMENT)</w:t>
      </w:r>
    </w:p>
    <w:p>
      <w:pPr>
        <w:pStyle w:val="Compact"/>
        <w:numPr>
          <w:ilvl w:val="1"/>
          <w:numId w:val="1166"/>
        </w:numPr>
      </w:pPr>
      <w:r>
        <w:t xml:space="preserve">Formes et Dosages : Comprimé pelliculé 750 mg** (B/10)</w:t>
      </w:r>
    </w:p>
    <w:p>
      <w:pPr>
        <w:pStyle w:val="Compact"/>
        <w:numPr>
          <w:ilvl w:val="1"/>
          <w:numId w:val="1166"/>
        </w:numPr>
      </w:pPr>
      <w:r>
        <w:t xml:space="preserve">Statut : Non Renouvelable</w:t>
      </w:r>
    </w:p>
    <w:p>
      <w:pPr>
        <w:pStyle w:val="FirstParagraph"/>
      </w:pPr>
      <w:r>
        <w:rPr>
          <w:b/>
          <w:bCs/>
        </w:rPr>
        <w:t xml:space="preserve">Sous-classe et Mécanisme d’action :</w:t>
      </w:r>
      <w:r>
        <w:t xml:space="preserve"> </w:t>
      </w:r>
      <w:r>
        <w:t xml:space="preserve">- Sous-classe : C2G orale, classe chloro-céphalosporine, proche de la céphalexine avec un atome de chlore en C3.</w:t>
      </w:r>
      <w:r>
        <w:t xml:space="preserve"> </w:t>
      </w:r>
      <w:r>
        <w:t xml:space="preserve">- Mécanisme d’action : Bactéricide par inhibition PLP3. Activité étendue à</w:t>
      </w:r>
      <w:r>
        <w:t xml:space="preserve"> </w:t>
      </w:r>
      <w:r>
        <w:rPr>
          <w:i/>
          <w:iCs/>
        </w:rPr>
        <w:t xml:space="preserve">H. influenzae</w:t>
      </w:r>
      <w:r>
        <w:t xml:space="preserve"> </w:t>
      </w:r>
      <w:r>
        <w:t xml:space="preserve">(y compris non sécréteur de β-lactamase),</w:t>
      </w:r>
      <w:r>
        <w:t xml:space="preserve"> </w:t>
      </w:r>
      <w:r>
        <w:rPr>
          <w:i/>
          <w:iCs/>
        </w:rPr>
        <w:t xml:space="preserve">M. catarrhalis</w:t>
      </w:r>
      <w:r>
        <w:t xml:space="preserve">,</w:t>
      </w:r>
      <w:r>
        <w:t xml:space="preserve"> </w:t>
      </w:r>
      <w:r>
        <w:rPr>
          <w:i/>
          <w:iCs/>
        </w:rPr>
        <w:t xml:space="preserve">N. gonorrhoeae</w:t>
      </w:r>
      <w:r>
        <w:t xml:space="preserve">,</w:t>
      </w:r>
      <w:r>
        <w:t xml:space="preserve"> </w:t>
      </w:r>
      <w:r>
        <w:rPr>
          <w:i/>
          <w:iCs/>
        </w:rPr>
        <w:t xml:space="preserve">E. coli</w:t>
      </w:r>
      <w:r>
        <w:t xml:space="preserve">,</w:t>
      </w:r>
      <w:r>
        <w:t xml:space="preserve"> </w:t>
      </w:r>
      <w:r>
        <w:rPr>
          <w:i/>
          <w:iCs/>
        </w:rPr>
        <w:t xml:space="preserve">K. pneumoniae</w:t>
      </w:r>
      <w:r>
        <w:t xml:space="preserve">,</w:t>
      </w:r>
      <w:r>
        <w:t xml:space="preserve"> </w:t>
      </w:r>
      <w:r>
        <w:rPr>
          <w:i/>
          <w:iCs/>
        </w:rPr>
        <w:t xml:space="preserve">P. mirabilis</w:t>
      </w:r>
      <w:r>
        <w:t xml:space="preserve">. Activité conservée sur cocci Gram +. Inactive sur</w:t>
      </w:r>
      <w:r>
        <w:t xml:space="preserve"> </w:t>
      </w:r>
      <w:r>
        <w:rPr>
          <w:i/>
          <w:iCs/>
        </w:rPr>
        <w:t xml:space="preserve">Pseudomonas</w:t>
      </w:r>
      <w:r>
        <w:t xml:space="preserve">,</w:t>
      </w:r>
      <w:r>
        <w:t xml:space="preserve"> </w:t>
      </w:r>
      <w:r>
        <w:rPr>
          <w:i/>
          <w:iCs/>
        </w:rPr>
        <w:t xml:space="preserve">Enterococcus</w:t>
      </w:r>
      <w:r>
        <w:t xml:space="preserve">,</w:t>
      </w:r>
      <w:r>
        <w:t xml:space="preserve"> </w:t>
      </w:r>
      <w:r>
        <w:rPr>
          <w:i/>
          <w:iCs/>
        </w:rPr>
        <w:t xml:space="preserve">Serratia</w:t>
      </w:r>
      <w:r>
        <w:t xml:space="preserve">,</w:t>
      </w:r>
      <w:r>
        <w:t xml:space="preserve"> </w:t>
      </w:r>
      <w:r>
        <w:rPr>
          <w:i/>
          <w:iCs/>
        </w:rPr>
        <w:t xml:space="preserve">Enterobacter</w:t>
      </w:r>
      <w:r>
        <w:t xml:space="preserve">.</w:t>
      </w:r>
    </w:p>
    <w:p>
      <w:pPr>
        <w:pStyle w:val="BodyText"/>
      </w:pPr>
      <w:r>
        <w:rPr>
          <w:b/>
          <w:bCs/>
        </w:rPr>
        <w:t xml:space="preserve">Profil Pharmacologique :</w:t>
      </w:r>
      <w:r>
        <w:t xml:space="preserve"> </w:t>
      </w:r>
      <w:r>
        <w:t xml:space="preserve">- Indications : Angine, otite moyenne, sinusite, exacerbation de BPCO, pneumopathie communautaire, infections urinaires non compliquées, infections cutanées légères.</w:t>
      </w:r>
      <w:r>
        <w:t xml:space="preserve"> </w:t>
      </w:r>
      <w:r>
        <w:t xml:space="preserve">- Contre-indications : Hypersensibilité aux céphalosporines ; allergie grave aux pénicillines ; porphyrie.</w:t>
      </w:r>
      <w:r>
        <w:t xml:space="preserve"> </w:t>
      </w:r>
      <w:r>
        <w:t xml:space="preserve">- Effets Indésirables : Diarrhée, rash (plus fréquent qu’avec céphalexine), nausées, candidose ; à noter le risque de</w:t>
      </w:r>
      <w:r>
        <w:t xml:space="preserve"> </w:t>
      </w:r>
      <w:r>
        <w:rPr>
          <w:b/>
          <w:bCs/>
        </w:rPr>
        <w:t xml:space="preserve">sérum-maladie</w:t>
      </w:r>
      <w:r>
        <w:t xml:space="preserve"> </w:t>
      </w:r>
      <w:r>
        <w:t xml:space="preserve">(arthralgies, urticaire, fièvre) surtout chez l’enfant &lt;6 ans et en cure prolongée ou ré exposée.</w:t>
      </w:r>
    </w:p>
    <w:p>
      <w:pPr>
        <w:pStyle w:val="BodyText"/>
      </w:pPr>
      <w:r>
        <w:rPr>
          <w:b/>
          <w:bCs/>
        </w:rPr>
        <w:t xml:space="preserve">Prévention et Gestion des Effets Indésirables :</w:t>
      </w:r>
      <w:r>
        <w:t xml:space="preserve"> </w:t>
      </w:r>
      <w:r>
        <w:t xml:space="preserve">- Mesures Préventives : Limiter la durée à 7–10 jours ; éviter les réadministrations précoces chez l’enfant ; prise alimentaire ; probiotiques.</w:t>
      </w:r>
      <w:r>
        <w:t xml:space="preserve"> </w:t>
      </w:r>
      <w:r>
        <w:t xml:space="preserve">- Conduite à Tenir : Arrêt immédiat en cas d’arthralgies fébriles (sérum-maladie) ; antihistaminiques et corticothérapie courte si nécessaire ; arrêt en cas d’anaphylaxie.</w:t>
      </w:r>
    </w:p>
    <w:p>
      <w:pPr>
        <w:pStyle w:val="BodyText"/>
      </w:pPr>
      <w:r>
        <w:rPr>
          <w:b/>
          <w:bCs/>
        </w:rPr>
        <w:t xml:space="preserve">Interactions Importantes :</w:t>
      </w:r>
      <w:r>
        <w:t xml:space="preserve"> </w:t>
      </w:r>
      <w:r>
        <w:t xml:space="preserve">- Probénécide : Augmentation des concentrations.</w:t>
      </w:r>
      <w:r>
        <w:t xml:space="preserve"> </w:t>
      </w:r>
      <w:r>
        <w:t xml:space="preserve">- Antiacides : Légère réduction d’absorption.</w:t>
      </w:r>
      <w:r>
        <w:t xml:space="preserve"> </w:t>
      </w:r>
      <w:r>
        <w:t xml:space="preserve">- AVK : Majoration INR.</w:t>
      </w:r>
    </w:p>
    <w:p>
      <w:pPr>
        <w:pStyle w:val="BodyText"/>
      </w:pPr>
      <w:r>
        <w:rPr>
          <w:b/>
          <w:bCs/>
        </w:rPr>
        <w:t xml:space="preserve">Grossesse et Allaitement :</w:t>
      </w:r>
      <w:r>
        <w:t xml:space="preserve"> </w:t>
      </w:r>
      <w:r>
        <w:t xml:space="preserve">- Grossesse : Indiqué selon CRAT, à utiliser si nécessaire.</w:t>
      </w:r>
      <w:r>
        <w:t xml:space="preserve"> </w:t>
      </w:r>
      <w:r>
        <w:t xml:space="preserve">- Allaitement : Compatible.</w:t>
      </w:r>
      <w:r>
        <w:t xml:space="preserve"> </w:t>
      </w:r>
      <w:r>
        <w:t xml:space="preserve">- Précisions : Éviter chez la femme allaitante si enfant &lt;1 mois (modification de flore).</w:t>
      </w:r>
    </w:p>
    <w:p>
      <w:pPr>
        <w:pStyle w:val="BodyText"/>
      </w:pPr>
      <w:r>
        <w:rPr>
          <w:b/>
          <w:bCs/>
        </w:rPr>
        <w:t xml:space="preserve">Posologie et Mode d’administration (Standard) :</w:t>
      </w:r>
      <w:r>
        <w:t xml:space="preserve"> </w:t>
      </w:r>
      <w:r>
        <w:t xml:space="preserve">- Adulte conventionnel : 250 à 500 mg ×3/jour per os ; maximum 4 g/j.</w:t>
      </w:r>
      <w:r>
        <w:t xml:space="preserve"> </w:t>
      </w:r>
      <w:r>
        <w:t xml:space="preserve">- Adulte MR : 500 mg ×2/jour ou 750 mg ×2/jour per os.</w:t>
      </w:r>
      <w:r>
        <w:t xml:space="preserve"> </w:t>
      </w:r>
      <w:r>
        <w:t xml:space="preserve">- Enfant : 20 à 40 mg/kg/jour en 2 à 3 prises (conventionnel) ; 30 mg/kg/jour en 2 prises (MR).</w:t>
      </w:r>
      <w:r>
        <w:t xml:space="preserve"> </w:t>
      </w:r>
      <w:r>
        <w:t xml:space="preserve">- Durée : Angine 6 jours, otite 5–10 jours, infection urinaire 7 jours.</w:t>
      </w:r>
      <w:r>
        <w:t xml:space="preserve"> </w:t>
      </w:r>
      <w:r>
        <w:t xml:space="preserve">- Moment de prise : Hors ou pendant repas (peu d’influence sur absorption, mais tolérance digestive améliorée au repas).</w:t>
      </w:r>
    </w:p>
    <w:p>
      <w:pPr>
        <w:pStyle w:val="BodyText"/>
      </w:pPr>
      <w:r>
        <w:rPr>
          <w:b/>
          <w:bCs/>
        </w:rPr>
        <w:t xml:space="preserve">Arbitrage et Bénéfices des Formes Galéniques :</w:t>
      </w:r>
      <w:r>
        <w:t xml:space="preserve"> </w:t>
      </w:r>
      <w:r>
        <w:t xml:space="preserve">La forme MR (CLORACEF MR 500/750 mg) simplifie l’observance en biquotidien, comparée au TID du conventionnel. La suspension 250 mg/5 ml est adaptée à l’enfant de 5 à 12 ans. La gélule 500 mg reste la forme adulte de référence.</w:t>
      </w:r>
    </w:p>
    <w:p>
      <w:pPr>
        <w:pStyle w:val="BodyText"/>
      </w:pPr>
      <w:r>
        <w:rPr>
          <w:b/>
          <w:bCs/>
        </w:rPr>
        <w:t xml:space="preserve">Instructions et Conseils au Patient :</w:t>
      </w:r>
      <w:r>
        <w:t xml:space="preserve"> </w:t>
      </w:r>
      <w:r>
        <w:t xml:space="preserve">- Communication au comptoir : « Antibiotique 2 ou 3 fois par jour selon la forme ; ne pas écraser les comprimés à libération modifiée. »</w:t>
      </w:r>
      <w:r>
        <w:t xml:space="preserve"> </w:t>
      </w:r>
      <w:r>
        <w:t xml:space="preserve">- Mode d’utilisation pratique : Suspension reconstituée à conserver 14 jours au réfrigérateur, agitation avant chaque prise.</w:t>
      </w:r>
    </w:p>
    <w:p>
      <w:pPr>
        <w:pStyle w:val="BodyText"/>
      </w:pPr>
      <w:r>
        <w:rPr>
          <w:b/>
          <w:bCs/>
        </w:rPr>
        <w:t xml:space="preserve">Notes, Règles d’Or &amp; Pièges au Comptoir :</w:t>
      </w:r>
      <w:r>
        <w:t xml:space="preserve"> </w:t>
      </w:r>
      <w:r>
        <w:t xml:space="preserve">- Piège classique : Confondre forme conventionnelle et MR dans la prescription.</w:t>
      </w:r>
      <w:r>
        <w:t xml:space="preserve"> </w:t>
      </w:r>
      <w:r>
        <w:t xml:space="preserve">- Règle de prise : MR en 2 prises à 12 h d’intervalle, à avaler entier.</w:t>
      </w:r>
      <w:r>
        <w:t xml:space="preserve"> </w:t>
      </w:r>
      <w:r>
        <w:t xml:space="preserve">- Préparation et Conservation : Comprimés à ≤25 °C ; suspension reconstituée 14 jours à +4 °C.</w:t>
      </w:r>
      <w:r>
        <w:t xml:space="preserve"> </w:t>
      </w:r>
      <w:r>
        <w:t xml:space="preserve">- Piège du surdosage / Substitution : Substitution MR ↔ conventionnel à dose équivalente non recommandée (modifications cinétiques).</w:t>
      </w:r>
    </w:p>
    <w:p>
      <w:r>
        <w:pict>
          <v:rect style="width:0;height:1.5pt" o:hralign="center" o:hrstd="t" o:hr="t"/>
        </w:pict>
      </w:r>
    </w:p>
    <w:bookmarkEnd w:id="65"/>
    <w:bookmarkEnd w:id="66"/>
    <w:bookmarkStart w:id="75" w:name="X3f0b2f7e283784098e3a6f177a9457a79e1b6fe"/>
    <w:p>
      <w:pPr>
        <w:pStyle w:val="Heading2"/>
      </w:pPr>
      <w:r>
        <w:t xml:space="preserve">C. Céphalosporines de 3ème génération (C3G)</w:t>
      </w:r>
    </w:p>
    <w:bookmarkStart w:id="67" w:name="présentation-de-la-sous-classe-2"/>
    <w:p>
      <w:pPr>
        <w:pStyle w:val="Heading3"/>
      </w:pPr>
      <w:r>
        <w:t xml:space="preserve">Présentation de la sous-classe</w:t>
      </w:r>
    </w:p>
    <w:p>
      <w:pPr>
        <w:pStyle w:val="FirstParagraph"/>
      </w:pPr>
      <w:r>
        <w:t xml:space="preserve">Les céphalosporines de 3ème génération constituent le pivot thérapeutique des infections sévères à Gram négatif, en particulier à</w:t>
      </w:r>
      <w:r>
        <w:t xml:space="preserve"> </w:t>
      </w:r>
      <w:r>
        <w:rPr>
          <w:i/>
          <w:iCs/>
        </w:rPr>
        <w:t xml:space="preserve">Enterobacteriaceae</w:t>
      </w:r>
      <w:r>
        <w:t xml:space="preserve">. Elles se caractérisent par :</w:t>
      </w:r>
      <w:r>
        <w:t xml:space="preserve"> </w:t>
      </w:r>
      <w:r>
        <w:t xml:space="preserve">- Une</w:t>
      </w:r>
      <w:r>
        <w:t xml:space="preserve"> </w:t>
      </w:r>
      <w:r>
        <w:rPr>
          <w:b/>
          <w:bCs/>
        </w:rPr>
        <w:t xml:space="preserve">extension majeure du spectre Gram négatif</w:t>
      </w:r>
      <w:r>
        <w:t xml:space="preserve"> </w:t>
      </w:r>
      <w:r>
        <w:t xml:space="preserve">: entérobactéries y compris productrices d’AmpC constitutives (</w:t>
      </w:r>
      <w:r>
        <w:rPr>
          <w:i/>
          <w:iCs/>
        </w:rPr>
        <w:t xml:space="preserve">Enterobacter</w:t>
      </w:r>
      <w:r>
        <w:t xml:space="preserve">,</w:t>
      </w:r>
      <w:r>
        <w:t xml:space="preserve"> </w:t>
      </w:r>
      <w:r>
        <w:rPr>
          <w:i/>
          <w:iCs/>
        </w:rPr>
        <w:t xml:space="preserve">Citrobacter freundii</w:t>
      </w:r>
      <w:r>
        <w:t xml:space="preserve">,</w:t>
      </w:r>
      <w:r>
        <w:t xml:space="preserve"> </w:t>
      </w:r>
      <w:r>
        <w:rPr>
          <w:i/>
          <w:iCs/>
        </w:rPr>
        <w:t xml:space="preserve">Serratia</w:t>
      </w:r>
      <w:r>
        <w:t xml:space="preserve">,</w:t>
      </w:r>
      <w:r>
        <w:t xml:space="preserve"> </w:t>
      </w:r>
      <w:r>
        <w:rPr>
          <w:i/>
          <w:iCs/>
        </w:rPr>
        <w:t xml:space="preserve">Morganella</w:t>
      </w:r>
      <w:r>
        <w:t xml:space="preserve">,</w:t>
      </w:r>
      <w:r>
        <w:t xml:space="preserve"> </w:t>
      </w:r>
      <w:r>
        <w:rPr>
          <w:i/>
          <w:iCs/>
        </w:rPr>
        <w:t xml:space="preserve">Providencia</w:t>
      </w:r>
      <w:r>
        <w:t xml:space="preserve">),</w:t>
      </w:r>
      <w:r>
        <w:t xml:space="preserve"> </w:t>
      </w:r>
      <w:r>
        <w:rPr>
          <w:i/>
          <w:iCs/>
        </w:rPr>
        <w:t xml:space="preserve">H. influenzae</w:t>
      </w:r>
      <w:r>
        <w:t xml:space="preserve"> </w:t>
      </w:r>
      <w:r>
        <w:t xml:space="preserve">et</w:t>
      </w:r>
      <w:r>
        <w:t xml:space="preserve"> </w:t>
      </w:r>
      <w:r>
        <w:rPr>
          <w:i/>
          <w:iCs/>
        </w:rPr>
        <w:t xml:space="preserve">N. gonorrhoeae</w:t>
      </w:r>
      <w:r>
        <w:t xml:space="preserve"> </w:t>
      </w:r>
      <w:r>
        <w:t xml:space="preserve">résistantes à la pénicilline,</w:t>
      </w:r>
      <w:r>
        <w:t xml:space="preserve"> </w:t>
      </w:r>
      <w:r>
        <w:rPr>
          <w:i/>
          <w:iCs/>
        </w:rPr>
        <w:t xml:space="preserve">Pseudomonas aeruginosa</w:t>
      </w:r>
      <w:r>
        <w:t xml:space="preserve"> </w:t>
      </w:r>
      <w:r>
        <w:t xml:space="preserve">(pour la ceftazidime, la cefopérazone).</w:t>
      </w:r>
      <w:r>
        <w:t xml:space="preserve"> </w:t>
      </w:r>
      <w:r>
        <w:t xml:space="preserve">- Une</w:t>
      </w:r>
      <w:r>
        <w:t xml:space="preserve"> </w:t>
      </w:r>
      <w:r>
        <w:rPr>
          <w:b/>
          <w:bCs/>
        </w:rPr>
        <w:t xml:space="preserve">stabilité aux β-lactamases</w:t>
      </w:r>
      <w:r>
        <w:t xml:space="preserve"> </w:t>
      </w:r>
      <w:r>
        <w:t xml:space="preserve">pénicillinases et céphalosporinases de bas niveau.</w:t>
      </w:r>
      <w:r>
        <w:t xml:space="preserve"> </w:t>
      </w:r>
      <w:r>
        <w:t xml:space="preserve">- Une bonne diffusion</w:t>
      </w:r>
      <w:r>
        <w:t xml:space="preserve"> </w:t>
      </w:r>
      <w:r>
        <w:rPr>
          <w:b/>
          <w:bCs/>
        </w:rPr>
        <w:t xml:space="preserve">méningée</w:t>
      </w:r>
      <w:r>
        <w:t xml:space="preserve"> </w:t>
      </w:r>
      <w:r>
        <w:t xml:space="preserve">(céfotaxime, ceftriaxone, ceftizoxime), à l’origine de leur place de choix dans le traitement des méningites bactériennes communautaires.</w:t>
      </w:r>
      <w:r>
        <w:t xml:space="preserve"> </w:t>
      </w:r>
      <w:r>
        <w:t xml:space="preserve">- Une</w:t>
      </w:r>
      <w:r>
        <w:t xml:space="preserve"> </w:t>
      </w:r>
      <w:r>
        <w:rPr>
          <w:b/>
          <w:bCs/>
        </w:rPr>
        <w:t xml:space="preserve">baisse relative de l’activité anti-Gram positif</w:t>
      </w:r>
      <w:r>
        <w:t xml:space="preserve"> </w:t>
      </w:r>
      <w:r>
        <w:t xml:space="preserve">(sauf ceftaroline, 5G).</w:t>
      </w:r>
    </w:p>
    <w:p>
      <w:pPr>
        <w:pStyle w:val="BodyText"/>
      </w:pPr>
      <w:r>
        <w:t xml:space="preserve">Sept C3G sont disponibles en Algérie : céfotaxime, ceftriaxone, ceftazidime, céfixime, cefdinir, cefopérazone, ceftizoxime. La diversité des profils permet un usage différencié :</w:t>
      </w:r>
      <w:r>
        <w:t xml:space="preserve"> </w:t>
      </w:r>
      <w:r>
        <w:t xml:space="preserve">-</w:t>
      </w:r>
      <w:r>
        <w:t xml:space="preserve"> </w:t>
      </w:r>
      <w:r>
        <w:rPr>
          <w:b/>
          <w:bCs/>
        </w:rPr>
        <w:t xml:space="preserve">Céfotaxime et ceftriaxone</w:t>
      </w:r>
      <w:r>
        <w:t xml:space="preserve"> </w:t>
      </w:r>
      <w:r>
        <w:t xml:space="preserve">: molécules de référence des méningites et infections sévères à Gram négatif. La ceftriaxone a une demi-vie longue (8 h) autorisant une injection uniquotidienne.</w:t>
      </w:r>
      <w:r>
        <w:t xml:space="preserve"> </w:t>
      </w:r>
      <w:r>
        <w:t xml:space="preserve">-</w:t>
      </w:r>
      <w:r>
        <w:t xml:space="preserve"> </w:t>
      </w:r>
      <w:r>
        <w:rPr>
          <w:b/>
          <w:bCs/>
        </w:rPr>
        <w:t xml:space="preserve">Ceftazidime</w:t>
      </w:r>
      <w:r>
        <w:t xml:space="preserve"> </w:t>
      </w:r>
      <w:r>
        <w:t xml:space="preserve">: seule C3G antipyocyanique. Réservée aux infections à</w:t>
      </w:r>
      <w:r>
        <w:t xml:space="preserve"> </w:t>
      </w:r>
      <w:r>
        <w:rPr>
          <w:i/>
          <w:iCs/>
        </w:rPr>
        <w:t xml:space="preserve">P. aeruginosa</w:t>
      </w:r>
      <w:r>
        <w:t xml:space="preserve"> </w:t>
      </w:r>
      <w:r>
        <w:t xml:space="preserve">et nosocomiales.</w:t>
      </w:r>
      <w:r>
        <w:t xml:space="preserve"> </w:t>
      </w:r>
      <w:r>
        <w:t xml:space="preserve">-</w:t>
      </w:r>
      <w:r>
        <w:t xml:space="preserve"> </w:t>
      </w:r>
      <w:r>
        <w:rPr>
          <w:b/>
          <w:bCs/>
        </w:rPr>
        <w:t xml:space="preserve">Céfixime</w:t>
      </w:r>
      <w:r>
        <w:t xml:space="preserve"> </w:t>
      </w:r>
      <w:r>
        <w:t xml:space="preserve">: la seule C3G orale en Algérie. Bénéficie d’une pharmacocinétique longue (t1/2 = 3–4 h) et d’une excellente diffusion biliaire et urinaire.</w:t>
      </w:r>
      <w:r>
        <w:t xml:space="preserve"> </w:t>
      </w:r>
      <w:r>
        <w:t xml:space="preserve">-</w:t>
      </w:r>
      <w:r>
        <w:t xml:space="preserve"> </w:t>
      </w:r>
      <w:r>
        <w:rPr>
          <w:b/>
          <w:bCs/>
        </w:rPr>
        <w:t xml:space="preserve">Cefdinir</w:t>
      </w:r>
      <w:r>
        <w:t xml:space="preserve"> </w:t>
      </w:r>
      <w:r>
        <w:t xml:space="preserve">: C3G orale proche du céfixime avec une activité anti-pneumococcque conservée, indiquée en pédiatrie.</w:t>
      </w:r>
      <w:r>
        <w:t xml:space="preserve"> </w:t>
      </w:r>
      <w:r>
        <w:t xml:space="preserve">-</w:t>
      </w:r>
      <w:r>
        <w:t xml:space="preserve"> </w:t>
      </w:r>
      <w:r>
        <w:rPr>
          <w:b/>
          <w:bCs/>
        </w:rPr>
        <w:t xml:space="preserve">Cefopérazone</w:t>
      </w:r>
      <w:r>
        <w:t xml:space="preserve"> </w:t>
      </w:r>
      <w:r>
        <w:t xml:space="preserve">: C3G antipyocyanique avec élimination biliaire majoritaire (80 %), utile en IR.</w:t>
      </w:r>
      <w:r>
        <w:t xml:space="preserve"> </w:t>
      </w:r>
      <w:r>
        <w:t xml:space="preserve">-</w:t>
      </w:r>
      <w:r>
        <w:t xml:space="preserve"> </w:t>
      </w:r>
      <w:r>
        <w:rPr>
          <w:b/>
          <w:bCs/>
        </w:rPr>
        <w:t xml:space="preserve">Ceftizoxime</w:t>
      </w:r>
      <w:r>
        <w:t xml:space="preserve"> </w:t>
      </w:r>
      <w:r>
        <w:t xml:space="preserve">: C3G injectable à élimination rénale, profil proche du céfotaxime.</w:t>
      </w:r>
    </w:p>
    <w:p>
      <w:pPr>
        <w:pStyle w:val="BodyText"/>
      </w:pPr>
      <w:r>
        <w:rPr>
          <w:b/>
          <w:bCs/>
        </w:rPr>
        <w:t xml:space="preserve">Préoccupations émergentes</w:t>
      </w:r>
      <w:r>
        <w:t xml:space="preserve"> </w:t>
      </w:r>
      <w:r>
        <w:t xml:space="preserve">: l’émergence des entérobactéries productrices de BLSE (notamment</w:t>
      </w:r>
      <w:r>
        <w:t xml:space="preserve"> </w:t>
      </w:r>
      <w:r>
        <w:rPr>
          <w:i/>
          <w:iCs/>
        </w:rPr>
        <w:t xml:space="preserve">E. coli</w:t>
      </w:r>
      <w:r>
        <w:t xml:space="preserve"> </w:t>
      </w:r>
      <w:r>
        <w:t xml:space="preserve">et</w:t>
      </w:r>
      <w:r>
        <w:t xml:space="preserve"> </w:t>
      </w:r>
      <w:r>
        <w:rPr>
          <w:i/>
          <w:iCs/>
        </w:rPr>
        <w:t xml:space="preserve">K. pneumoniae</w:t>
      </w:r>
      <w:r>
        <w:t xml:space="preserve"> </w:t>
      </w:r>
      <w:r>
        <w:t xml:space="preserve">ST131) compromet l’efficacité des C3G. Le recours aux carbapénèmes et aux associations ceftazidime-avibactam ou ceftolozane-tazobactam devient nécessaire dans les infections sévères à BMR.</w:t>
      </w:r>
    </w:p>
    <w:p>
      <w:r>
        <w:pict>
          <v:rect style="width:0;height:1.5pt" o:hralign="center" o:hrstd="t" o:hr="t"/>
        </w:pict>
      </w:r>
    </w:p>
    <w:bookmarkEnd w:id="67"/>
    <w:bookmarkStart w:id="68" w:name="dci-céfotaxime-seule"/>
    <w:p>
      <w:pPr>
        <w:pStyle w:val="Heading3"/>
      </w:pPr>
      <w:r>
        <w:t xml:space="preserve">8. DCI : Céfotaxime (Seule)</w:t>
      </w:r>
    </w:p>
    <w:p>
      <w:pPr>
        <w:pStyle w:val="FirstParagraph"/>
      </w:pPr>
      <w:r>
        <w:rPr>
          <w:b/>
          <w:bCs/>
        </w:rPr>
        <w:t xml:space="preserve">Liste des Catégories :</w:t>
      </w:r>
      <w:r>
        <w:t xml:space="preserve"> </w:t>
      </w:r>
      <w:r>
        <w:t xml:space="preserve">Céphalosporines 3ème génération ; Liste I ; Injectable.</w:t>
      </w:r>
    </w:p>
    <w:p>
      <w:pPr>
        <w:pStyle w:val="BodyText"/>
      </w:pPr>
      <w:r>
        <w:rPr>
          <w:b/>
          <w:bCs/>
        </w:rPr>
        <w:t xml:space="preserve">Médicaments disponibles en Algérie (Marques, Laboratoires, Formes et Dosages) :</w:t>
      </w:r>
    </w:p>
    <w:p>
      <w:pPr>
        <w:pStyle w:val="Compact"/>
        <w:numPr>
          <w:ilvl w:val="0"/>
          <w:numId w:val="1167"/>
        </w:numPr>
      </w:pPr>
      <w:r>
        <w:rPr>
          <w:b/>
          <w:bCs/>
        </w:rPr>
        <w:t xml:space="preserve">AYATAXIM</w:t>
      </w:r>
      <w:r>
        <w:t xml:space="preserve"> </w:t>
      </w:r>
      <w:r>
        <w:t xml:space="preserve">(IMGSA GROUPE INDUSTRIE PHARMACEUTIQUE)</w:t>
      </w:r>
    </w:p>
    <w:p>
      <w:pPr>
        <w:pStyle w:val="Compact"/>
        <w:numPr>
          <w:ilvl w:val="1"/>
          <w:numId w:val="1168"/>
        </w:numPr>
      </w:pPr>
      <w:r>
        <w:t xml:space="preserve">Formes et Dosages : Poudre pour solution injectable IV/IM — 1 g (boîte de 10 flacons)</w:t>
      </w:r>
    </w:p>
    <w:p>
      <w:pPr>
        <w:pStyle w:val="Compact"/>
        <w:numPr>
          <w:ilvl w:val="1"/>
          <w:numId w:val="1168"/>
        </w:numPr>
      </w:pPr>
      <w:r>
        <w:t xml:space="preserve">Statut : Actif</w:t>
      </w:r>
    </w:p>
    <w:p>
      <w:pPr>
        <w:pStyle w:val="Compact"/>
        <w:numPr>
          <w:ilvl w:val="0"/>
          <w:numId w:val="1167"/>
        </w:numPr>
      </w:pPr>
      <w:r>
        <w:rPr>
          <w:b/>
          <w:bCs/>
        </w:rPr>
        <w:t xml:space="preserve">CEFODEX</w:t>
      </w:r>
      <w:r>
        <w:t xml:space="preserve"> </w:t>
      </w:r>
      <w:r>
        <w:t xml:space="preserve">(CONTINENTAL PHARM)</w:t>
      </w:r>
    </w:p>
    <w:p>
      <w:pPr>
        <w:pStyle w:val="Compact"/>
        <w:numPr>
          <w:ilvl w:val="1"/>
          <w:numId w:val="1169"/>
        </w:numPr>
      </w:pPr>
      <w:r>
        <w:t xml:space="preserve">Formes et Dosages : Poudre pour solution injectable IV/IM — 1 g (flacon + solvant)</w:t>
      </w:r>
    </w:p>
    <w:p>
      <w:pPr>
        <w:pStyle w:val="Compact"/>
        <w:numPr>
          <w:ilvl w:val="1"/>
          <w:numId w:val="1169"/>
        </w:numPr>
      </w:pPr>
      <w:r>
        <w:t xml:space="preserve">Statut : Actif</w:t>
      </w:r>
    </w:p>
    <w:p>
      <w:pPr>
        <w:pStyle w:val="Compact"/>
        <w:numPr>
          <w:ilvl w:val="0"/>
          <w:numId w:val="1167"/>
        </w:numPr>
      </w:pPr>
      <w:r>
        <w:rPr>
          <w:b/>
          <w:bCs/>
        </w:rPr>
        <w:t xml:space="preserve">CEFOTAL</w:t>
      </w:r>
      <w:r>
        <w:t xml:space="preserve"> </w:t>
      </w:r>
      <w:r>
        <w:t xml:space="preserve">(SOCIETE PHARMACEUTIQUE ALGERIENNE SOPHAL)</w:t>
      </w:r>
    </w:p>
    <w:p>
      <w:pPr>
        <w:pStyle w:val="Compact"/>
        <w:numPr>
          <w:ilvl w:val="1"/>
          <w:numId w:val="1170"/>
        </w:numPr>
      </w:pPr>
      <w:r>
        <w:t xml:space="preserve">Formes et Dosages : Poudre pour solution injectable IV/IM — 1 g (B/50 flacons)</w:t>
      </w:r>
    </w:p>
    <w:p>
      <w:pPr>
        <w:pStyle w:val="Compact"/>
        <w:numPr>
          <w:ilvl w:val="1"/>
          <w:numId w:val="1170"/>
        </w:numPr>
      </w:pPr>
      <w:r>
        <w:t xml:space="preserve">Statut : Actif</w:t>
      </w:r>
    </w:p>
    <w:p>
      <w:pPr>
        <w:pStyle w:val="Compact"/>
        <w:numPr>
          <w:ilvl w:val="0"/>
          <w:numId w:val="1167"/>
        </w:numPr>
      </w:pPr>
      <w:r>
        <w:rPr>
          <w:b/>
          <w:bCs/>
        </w:rPr>
        <w:t xml:space="preserve">CEFOTAX HUP</w:t>
      </w:r>
      <w:r>
        <w:t xml:space="preserve"> </w:t>
      </w:r>
      <w:r>
        <w:t xml:space="preserve">(HUPP PHARMA)</w:t>
      </w:r>
    </w:p>
    <w:p>
      <w:pPr>
        <w:pStyle w:val="Compact"/>
        <w:numPr>
          <w:ilvl w:val="1"/>
          <w:numId w:val="1171"/>
        </w:numPr>
      </w:pPr>
      <w:r>
        <w:t xml:space="preserve">Formes et Dosages : Poudre pour solution injectable IV/IM — 1 g (B/1 et B/10 flacons)</w:t>
      </w:r>
    </w:p>
    <w:p>
      <w:pPr>
        <w:pStyle w:val="Compact"/>
        <w:numPr>
          <w:ilvl w:val="1"/>
          <w:numId w:val="1171"/>
        </w:numPr>
      </w:pPr>
      <w:r>
        <w:t xml:space="preserve">Statut : Actif</w:t>
      </w:r>
    </w:p>
    <w:p>
      <w:pPr>
        <w:pStyle w:val="Compact"/>
        <w:numPr>
          <w:ilvl w:val="0"/>
          <w:numId w:val="1167"/>
        </w:numPr>
      </w:pPr>
      <w:r>
        <w:rPr>
          <w:b/>
          <w:bCs/>
        </w:rPr>
        <w:t xml:space="preserve">CEFTAX</w:t>
      </w:r>
      <w:r>
        <w:t xml:space="preserve"> </w:t>
      </w:r>
      <w:r>
        <w:t xml:space="preserve">(RANBAXY-LTD)</w:t>
      </w:r>
    </w:p>
    <w:p>
      <w:pPr>
        <w:pStyle w:val="Compact"/>
        <w:numPr>
          <w:ilvl w:val="1"/>
          <w:numId w:val="1172"/>
        </w:numPr>
      </w:pPr>
      <w:r>
        <w:t xml:space="preserve">Formes et Dosages : Poudre pour solution injectable IM/IV — 1 g (B/1 flacon)</w:t>
      </w:r>
    </w:p>
    <w:p>
      <w:pPr>
        <w:pStyle w:val="Compact"/>
        <w:numPr>
          <w:ilvl w:val="1"/>
          <w:numId w:val="1172"/>
        </w:numPr>
      </w:pPr>
      <w:r>
        <w:t xml:space="preserve">Statut : Non Renouvelable</w:t>
      </w:r>
    </w:p>
    <w:p>
      <w:pPr>
        <w:pStyle w:val="Compact"/>
        <w:numPr>
          <w:ilvl w:val="0"/>
          <w:numId w:val="1167"/>
        </w:numPr>
      </w:pPr>
      <w:r>
        <w:rPr>
          <w:b/>
          <w:bCs/>
        </w:rPr>
        <w:t xml:space="preserve">CLAFORAN</w:t>
      </w:r>
      <w:r>
        <w:t xml:space="preserve"> </w:t>
      </w:r>
      <w:r>
        <w:t xml:space="preserve">(ROUSSEL)</w:t>
      </w:r>
    </w:p>
    <w:p>
      <w:pPr>
        <w:pStyle w:val="Compact"/>
        <w:numPr>
          <w:ilvl w:val="1"/>
          <w:numId w:val="1173"/>
        </w:numPr>
      </w:pPr>
      <w:r>
        <w:t xml:space="preserve">Formes et Dosages : Poudre pour solution injectable IV — 1 g et 500 mg (B/1+1)</w:t>
      </w:r>
    </w:p>
    <w:p>
      <w:pPr>
        <w:pStyle w:val="Compact"/>
        <w:numPr>
          <w:ilvl w:val="1"/>
          <w:numId w:val="1173"/>
        </w:numPr>
      </w:pPr>
      <w:r>
        <w:t xml:space="preserve">Statut : Non Renouvelable</w:t>
      </w:r>
    </w:p>
    <w:p>
      <w:pPr>
        <w:pStyle w:val="Compact"/>
        <w:numPr>
          <w:ilvl w:val="0"/>
          <w:numId w:val="1167"/>
        </w:numPr>
      </w:pPr>
      <w:r>
        <w:rPr>
          <w:b/>
          <w:bCs/>
        </w:rPr>
        <w:t xml:space="preserve">CLAFOTAX</w:t>
      </w:r>
      <w:r>
        <w:t xml:space="preserve"> </w:t>
      </w:r>
      <w:r>
        <w:t xml:space="preserve">(ARAB PHARMACEUTICAL MANUFACTURING COMPANY — APM)</w:t>
      </w:r>
    </w:p>
    <w:p>
      <w:pPr>
        <w:pStyle w:val="Compact"/>
        <w:numPr>
          <w:ilvl w:val="1"/>
          <w:numId w:val="1174"/>
        </w:numPr>
      </w:pPr>
      <w:r>
        <w:t xml:space="preserve">Formes et Dosages : Poudre et solvant pour solution injectable IV — 1 g/flacon (avec EPPPI 5 ml)</w:t>
      </w:r>
    </w:p>
    <w:p>
      <w:pPr>
        <w:pStyle w:val="Compact"/>
        <w:numPr>
          <w:ilvl w:val="1"/>
          <w:numId w:val="1174"/>
        </w:numPr>
      </w:pPr>
      <w:r>
        <w:t xml:space="preserve">Statut : Non Renouvelable</w:t>
      </w:r>
    </w:p>
    <w:p>
      <w:pPr>
        <w:pStyle w:val="Compact"/>
        <w:numPr>
          <w:ilvl w:val="0"/>
          <w:numId w:val="1167"/>
        </w:numPr>
      </w:pPr>
      <w:r>
        <w:rPr>
          <w:b/>
          <w:bCs/>
        </w:rPr>
        <w:t xml:space="preserve">FOXIME</w:t>
      </w:r>
      <w:r>
        <w:t xml:space="preserve"> </w:t>
      </w:r>
      <w:r>
        <w:t xml:space="preserve">(EL KENDI INDUSTRIE DU MEDICAMENT)</w:t>
      </w:r>
    </w:p>
    <w:p>
      <w:pPr>
        <w:pStyle w:val="Compact"/>
        <w:numPr>
          <w:ilvl w:val="1"/>
          <w:numId w:val="1175"/>
        </w:numPr>
      </w:pPr>
      <w:r>
        <w:t xml:space="preserve">Formes et Dosages : Poudre et solvant pour solution injectable IV — 1 g ; Poudre et solvant pour solution injectable IM — 1 g (avec lidocaïne 1 %)</w:t>
      </w:r>
    </w:p>
    <w:p>
      <w:pPr>
        <w:pStyle w:val="Compact"/>
        <w:numPr>
          <w:ilvl w:val="1"/>
          <w:numId w:val="1175"/>
        </w:numPr>
      </w:pPr>
      <w:r>
        <w:t xml:space="preserve">Statut : Non Renouvelable</w:t>
      </w:r>
    </w:p>
    <w:p>
      <w:pPr>
        <w:pStyle w:val="Compact"/>
        <w:numPr>
          <w:ilvl w:val="0"/>
          <w:numId w:val="1167"/>
        </w:numPr>
      </w:pPr>
      <w:r>
        <w:rPr>
          <w:b/>
          <w:bCs/>
        </w:rPr>
        <w:t xml:space="preserve">FOXIME USP</w:t>
      </w:r>
      <w:r>
        <w:t xml:space="preserve"> </w:t>
      </w:r>
      <w:r>
        <w:t xml:space="preserve">(TABUK)</w:t>
      </w:r>
    </w:p>
    <w:p>
      <w:pPr>
        <w:pStyle w:val="Compact"/>
        <w:numPr>
          <w:ilvl w:val="1"/>
          <w:numId w:val="1176"/>
        </w:numPr>
      </w:pPr>
      <w:r>
        <w:t xml:space="preserve">Formes et Dosages : Solution injectable IM/IV — 500 mg</w:t>
      </w:r>
    </w:p>
    <w:p>
      <w:pPr>
        <w:pStyle w:val="Compact"/>
        <w:numPr>
          <w:ilvl w:val="1"/>
          <w:numId w:val="1176"/>
        </w:numPr>
      </w:pPr>
      <w:r>
        <w:t xml:space="preserve">Statut : Non Renouvelable</w:t>
      </w:r>
    </w:p>
    <w:p>
      <w:pPr>
        <w:pStyle w:val="Compact"/>
        <w:numPr>
          <w:ilvl w:val="0"/>
          <w:numId w:val="1167"/>
        </w:numPr>
      </w:pPr>
      <w:r>
        <w:rPr>
          <w:b/>
          <w:bCs/>
        </w:rPr>
        <w:t xml:space="preserve">BETAKSIM</w:t>
      </w:r>
      <w:r>
        <w:t xml:space="preserve"> </w:t>
      </w:r>
      <w:r>
        <w:t xml:space="preserve">(MUSTAFA NEVZAT)</w:t>
      </w:r>
    </w:p>
    <w:p>
      <w:pPr>
        <w:pStyle w:val="Compact"/>
        <w:numPr>
          <w:ilvl w:val="1"/>
          <w:numId w:val="1177"/>
        </w:numPr>
      </w:pPr>
      <w:r>
        <w:t xml:space="preserve">Formes et Dosages : Poudre pour solution injectable IV — 500 mg/2 ml ; 1 g</w:t>
      </w:r>
    </w:p>
    <w:p>
      <w:pPr>
        <w:pStyle w:val="Compact"/>
        <w:numPr>
          <w:ilvl w:val="1"/>
          <w:numId w:val="1177"/>
        </w:numPr>
      </w:pPr>
      <w:r>
        <w:t xml:space="preserve">Statut : Non Renouvelable / Retiré (R)</w:t>
      </w:r>
    </w:p>
    <w:p>
      <w:pPr>
        <w:pStyle w:val="Compact"/>
        <w:numPr>
          <w:ilvl w:val="0"/>
          <w:numId w:val="1167"/>
        </w:numPr>
      </w:pPr>
      <w:r>
        <w:rPr>
          <w:b/>
          <w:bCs/>
        </w:rPr>
        <w:t xml:space="preserve">CEFOTAXIME SODIUM</w:t>
      </w:r>
      <w:r>
        <w:t xml:space="preserve"> </w:t>
      </w:r>
      <w:r>
        <w:t xml:space="preserve">(CHINA MEHECO)</w:t>
      </w:r>
    </w:p>
    <w:p>
      <w:pPr>
        <w:pStyle w:val="Compact"/>
        <w:numPr>
          <w:ilvl w:val="1"/>
          <w:numId w:val="1178"/>
        </w:numPr>
      </w:pPr>
      <w:r>
        <w:t xml:space="preserve">Formes et Dosages : Poudre pour solution injectable IV — 1 g (B/10)</w:t>
      </w:r>
    </w:p>
    <w:p>
      <w:pPr>
        <w:pStyle w:val="Compact"/>
        <w:numPr>
          <w:ilvl w:val="1"/>
          <w:numId w:val="1178"/>
        </w:numPr>
      </w:pPr>
      <w:r>
        <w:t xml:space="preserve">Statut : Retiré (R)</w:t>
      </w:r>
    </w:p>
    <w:p>
      <w:pPr>
        <w:pStyle w:val="Compact"/>
        <w:numPr>
          <w:ilvl w:val="0"/>
          <w:numId w:val="1167"/>
        </w:numPr>
      </w:pPr>
      <w:r>
        <w:rPr>
          <w:b/>
          <w:bCs/>
        </w:rPr>
        <w:t xml:space="preserve">CEFOTAXIME SIPHARMAL</w:t>
      </w:r>
      <w:r>
        <w:t xml:space="preserve"> </w:t>
      </w:r>
      <w:r>
        <w:t xml:space="preserve">(SIPHARMAL)</w:t>
      </w:r>
    </w:p>
    <w:p>
      <w:pPr>
        <w:pStyle w:val="Compact"/>
        <w:numPr>
          <w:ilvl w:val="1"/>
          <w:numId w:val="1179"/>
        </w:numPr>
      </w:pPr>
      <w:r>
        <w:t xml:space="preserve">Formes et Dosages : Poudre pour solution injectable IV — 1 g (B/100)</w:t>
      </w:r>
    </w:p>
    <w:p>
      <w:pPr>
        <w:pStyle w:val="Compact"/>
        <w:numPr>
          <w:ilvl w:val="1"/>
          <w:numId w:val="1179"/>
        </w:numPr>
      </w:pPr>
      <w:r>
        <w:t xml:space="preserve">Statut : Retiré (R)</w:t>
      </w:r>
    </w:p>
    <w:p>
      <w:pPr>
        <w:pStyle w:val="Compact"/>
        <w:numPr>
          <w:ilvl w:val="0"/>
          <w:numId w:val="1167"/>
        </w:numPr>
      </w:pPr>
      <w:r>
        <w:rPr>
          <w:b/>
          <w:bCs/>
        </w:rPr>
        <w:t xml:space="preserve">SEFOTAK</w:t>
      </w:r>
      <w:r>
        <w:t xml:space="preserve"> </w:t>
      </w:r>
      <w:r>
        <w:t xml:space="preserve">(ECZACIBATSI)</w:t>
      </w:r>
    </w:p>
    <w:p>
      <w:pPr>
        <w:pStyle w:val="Compact"/>
        <w:numPr>
          <w:ilvl w:val="1"/>
          <w:numId w:val="1180"/>
        </w:numPr>
      </w:pPr>
      <w:r>
        <w:t xml:space="preserve">Formes et Dosages : Poudre pour solution injectable IV — 1 g/4 ml ; 500 mg/4 ml</w:t>
      </w:r>
    </w:p>
    <w:p>
      <w:pPr>
        <w:pStyle w:val="Compact"/>
        <w:numPr>
          <w:ilvl w:val="1"/>
          <w:numId w:val="1180"/>
        </w:numPr>
      </w:pPr>
      <w:r>
        <w:t xml:space="preserve">Statut : Retiré (R)</w:t>
      </w:r>
    </w:p>
    <w:p>
      <w:pPr>
        <w:pStyle w:val="Compact"/>
        <w:numPr>
          <w:ilvl w:val="0"/>
          <w:numId w:val="1167"/>
        </w:numPr>
      </w:pPr>
      <w:r>
        <w:rPr>
          <w:b/>
          <w:bCs/>
        </w:rPr>
        <w:t xml:space="preserve">CEFOTAXIME</w:t>
      </w:r>
      <w:r>
        <w:t xml:space="preserve"> </w:t>
      </w:r>
      <w:r>
        <w:t xml:space="preserve">(LDP-TORLAN)</w:t>
      </w:r>
    </w:p>
    <w:p>
      <w:pPr>
        <w:pStyle w:val="Compact"/>
        <w:numPr>
          <w:ilvl w:val="1"/>
          <w:numId w:val="1181"/>
        </w:numPr>
      </w:pPr>
      <w:r>
        <w:t xml:space="preserve">Formes et Dosages : Poudre pour solution injectable IV — 1 g et 500 mg</w:t>
      </w:r>
    </w:p>
    <w:p>
      <w:pPr>
        <w:pStyle w:val="Compact"/>
        <w:numPr>
          <w:ilvl w:val="1"/>
          <w:numId w:val="1181"/>
        </w:numPr>
      </w:pPr>
      <w:r>
        <w:t xml:space="preserve">Statut : Retiré (R)</w:t>
      </w:r>
    </w:p>
    <w:p>
      <w:pPr>
        <w:pStyle w:val="Compact"/>
        <w:numPr>
          <w:ilvl w:val="0"/>
          <w:numId w:val="1167"/>
        </w:numPr>
      </w:pPr>
      <w:r>
        <w:rPr>
          <w:b/>
          <w:bCs/>
        </w:rPr>
        <w:t xml:space="preserve">SPIROSINE</w:t>
      </w:r>
      <w:r>
        <w:t xml:space="preserve"> </w:t>
      </w:r>
      <w:r>
        <w:t xml:space="preserve">(FARAN S.A.)</w:t>
      </w:r>
    </w:p>
    <w:p>
      <w:pPr>
        <w:pStyle w:val="Compact"/>
        <w:numPr>
          <w:ilvl w:val="1"/>
          <w:numId w:val="1182"/>
        </w:numPr>
      </w:pPr>
      <w:r>
        <w:t xml:space="preserve">Formes et Dosages : Poudre pour solution injectable IV — 1 g (B/6)</w:t>
      </w:r>
    </w:p>
    <w:p>
      <w:pPr>
        <w:pStyle w:val="Compact"/>
        <w:numPr>
          <w:ilvl w:val="1"/>
          <w:numId w:val="1182"/>
        </w:numPr>
      </w:pPr>
      <w:r>
        <w:t xml:space="preserve">Statut : Retiré (R)</w:t>
      </w:r>
    </w:p>
    <w:p>
      <w:pPr>
        <w:pStyle w:val="Compact"/>
        <w:numPr>
          <w:ilvl w:val="0"/>
          <w:numId w:val="1167"/>
        </w:numPr>
      </w:pPr>
      <w:r>
        <w:rPr>
          <w:b/>
          <w:bCs/>
        </w:rPr>
        <w:t xml:space="preserve">TOTAM</w:t>
      </w:r>
      <w:r>
        <w:t xml:space="preserve"> </w:t>
      </w:r>
      <w:r>
        <w:t xml:space="preserve">(HIKMA PHARMACEUTICALS)</w:t>
      </w:r>
    </w:p>
    <w:p>
      <w:pPr>
        <w:pStyle w:val="Compact"/>
        <w:numPr>
          <w:ilvl w:val="1"/>
          <w:numId w:val="1183"/>
        </w:numPr>
      </w:pPr>
      <w:r>
        <w:t xml:space="preserve">Formes et Dosages : Poudre et solvant pour solution injectable IV/IM — 500 mg et 1 g (avec lidocaïne 1 % pour IM)</w:t>
      </w:r>
    </w:p>
    <w:p>
      <w:pPr>
        <w:pStyle w:val="Compact"/>
        <w:numPr>
          <w:ilvl w:val="1"/>
          <w:numId w:val="1183"/>
        </w:numPr>
      </w:pPr>
      <w:r>
        <w:t xml:space="preserve">Statut : Retiré (R)</w:t>
      </w:r>
    </w:p>
    <w:p>
      <w:pPr>
        <w:pStyle w:val="Compact"/>
        <w:numPr>
          <w:ilvl w:val="0"/>
          <w:numId w:val="1167"/>
        </w:numPr>
      </w:pPr>
      <w:r>
        <w:rPr>
          <w:b/>
          <w:bCs/>
        </w:rPr>
        <w:t xml:space="preserve">MINOCEF</w:t>
      </w:r>
      <w:r>
        <w:t xml:space="preserve"> </w:t>
      </w:r>
      <w:r>
        <w:t xml:space="preserve">(S.C ANTIBIOTICE S.A.)</w:t>
      </w:r>
    </w:p>
    <w:p>
      <w:pPr>
        <w:pStyle w:val="Compact"/>
        <w:numPr>
          <w:ilvl w:val="1"/>
          <w:numId w:val="1184"/>
        </w:numPr>
      </w:pPr>
      <w:r>
        <w:t xml:space="preserve">Formes et Dosages : Poudre pour solution injectable IM/IV — 1 g</w:t>
      </w:r>
    </w:p>
    <w:p>
      <w:pPr>
        <w:pStyle w:val="Compact"/>
        <w:numPr>
          <w:ilvl w:val="1"/>
          <w:numId w:val="1184"/>
        </w:numPr>
      </w:pPr>
      <w:r>
        <w:t xml:space="preserve">Statut : Retiré (R)</w:t>
      </w:r>
    </w:p>
    <w:p>
      <w:pPr>
        <w:pStyle w:val="FirstParagraph"/>
      </w:pPr>
      <w:r>
        <w:rPr>
          <w:b/>
          <w:bCs/>
        </w:rPr>
        <w:t xml:space="preserve">Sous-classe et Mécanisme d’action :</w:t>
      </w:r>
      <w:r>
        <w:t xml:space="preserve"> </w:t>
      </w:r>
      <w:r>
        <w:t xml:space="preserve">- Sous-classe : C3G injectable, molécule de référence pour le traitement des méningites bactériennes communautaires (à</w:t>
      </w:r>
      <w:r>
        <w:t xml:space="preserve"> </w:t>
      </w:r>
      <w:r>
        <w:rPr>
          <w:i/>
          <w:iCs/>
        </w:rPr>
        <w:t xml:space="preserve">S. pneumoniae</w:t>
      </w:r>
      <w:r>
        <w:t xml:space="preserve">,</w:t>
      </w:r>
      <w:r>
        <w:t xml:space="preserve"> </w:t>
      </w:r>
      <w:r>
        <w:rPr>
          <w:i/>
          <w:iCs/>
        </w:rPr>
        <w:t xml:space="preserve">N. meningitidis</w:t>
      </w:r>
      <w:r>
        <w:t xml:space="preserve">,</w:t>
      </w:r>
      <w:r>
        <w:t xml:space="preserve"> </w:t>
      </w:r>
      <w:r>
        <w:rPr>
          <w:i/>
          <w:iCs/>
        </w:rPr>
        <w:t xml:space="preserve">H. influenzae</w:t>
      </w:r>
      <w:r>
        <w:t xml:space="preserve">).</w:t>
      </w:r>
      <w:r>
        <w:t xml:space="preserve"> </w:t>
      </w:r>
      <w:r>
        <w:t xml:space="preserve">- Mécanisme d’action : Bactéricide par haute affinité pour les PLP3 (et PLP1a/1b, PLP2). Spectre étendu aux entérobactéries (y compris</w:t>
      </w:r>
      <w:r>
        <w:t xml:space="preserve"> </w:t>
      </w:r>
      <w:r>
        <w:rPr>
          <w:i/>
          <w:iCs/>
        </w:rPr>
        <w:t xml:space="preserve">Enterobacter</w:t>
      </w:r>
      <w:r>
        <w:t xml:space="preserve"> </w:t>
      </w:r>
      <w:r>
        <w:t xml:space="preserve">spp.,</w:t>
      </w:r>
      <w:r>
        <w:t xml:space="preserve"> </w:t>
      </w:r>
      <w:r>
        <w:rPr>
          <w:i/>
          <w:iCs/>
        </w:rPr>
        <w:t xml:space="preserve">Citrobacter</w:t>
      </w:r>
      <w:r>
        <w:t xml:space="preserve">,</w:t>
      </w:r>
      <w:r>
        <w:t xml:space="preserve"> </w:t>
      </w:r>
      <w:r>
        <w:rPr>
          <w:i/>
          <w:iCs/>
        </w:rPr>
        <w:t xml:space="preserve">Serratia</w:t>
      </w:r>
      <w:r>
        <w:t xml:space="preserve">,</w:t>
      </w:r>
      <w:r>
        <w:t xml:space="preserve"> </w:t>
      </w:r>
      <w:r>
        <w:rPr>
          <w:i/>
          <w:iCs/>
        </w:rPr>
        <w:t xml:space="preserve">Morganella</w:t>
      </w:r>
      <w:r>
        <w:t xml:space="preserve">),</w:t>
      </w:r>
      <w:r>
        <w:t xml:space="preserve"> </w:t>
      </w:r>
      <w:r>
        <w:rPr>
          <w:i/>
          <w:iCs/>
        </w:rPr>
        <w:t xml:space="preserve">H. influenzae</w:t>
      </w:r>
      <w:r>
        <w:t xml:space="preserve"> </w:t>
      </w:r>
      <w:r>
        <w:t xml:space="preserve">(BLSE et AmpC incluses),</w:t>
      </w:r>
      <w:r>
        <w:t xml:space="preserve"> </w:t>
      </w:r>
      <w:r>
        <w:rPr>
          <w:i/>
          <w:iCs/>
        </w:rPr>
        <w:t xml:space="preserve">N. meningitidis</w:t>
      </w:r>
      <w:r>
        <w:t xml:space="preserve">,</w:t>
      </w:r>
      <w:r>
        <w:t xml:space="preserve"> </w:t>
      </w:r>
      <w:r>
        <w:rPr>
          <w:i/>
          <w:iCs/>
        </w:rPr>
        <w:t xml:space="preserve">N. gonorrhoeae</w:t>
      </w:r>
      <w:r>
        <w:t xml:space="preserve">,</w:t>
      </w:r>
      <w:r>
        <w:t xml:space="preserve"> </w:t>
      </w:r>
      <w:r>
        <w:rPr>
          <w:i/>
          <w:iCs/>
        </w:rPr>
        <w:t xml:space="preserve">Streptococcus pneumoniae</w:t>
      </w:r>
      <w:r>
        <w:t xml:space="preserve"> </w:t>
      </w:r>
      <w:r>
        <w:t xml:space="preserve">(y compris de sensibilité diminuée à la pénicilline),</w:t>
      </w:r>
      <w:r>
        <w:t xml:space="preserve"> </w:t>
      </w:r>
      <w:r>
        <w:rPr>
          <w:i/>
          <w:iCs/>
        </w:rPr>
        <w:t xml:space="preserve">Streptococcus pyogenes</w:t>
      </w:r>
      <w:r>
        <w:t xml:space="preserve">,</w:t>
      </w:r>
      <w:r>
        <w:t xml:space="preserve"> </w:t>
      </w:r>
      <w:r>
        <w:rPr>
          <w:i/>
          <w:iCs/>
        </w:rPr>
        <w:t xml:space="preserve">S. agalactiae</w:t>
      </w:r>
      <w:r>
        <w:t xml:space="preserve">. Activité modérée sur</w:t>
      </w:r>
      <w:r>
        <w:t xml:space="preserve"> </w:t>
      </w:r>
      <w:r>
        <w:rPr>
          <w:i/>
          <w:iCs/>
        </w:rPr>
        <w:t xml:space="preserve">Pseudomonas aeruginosa</w:t>
      </w:r>
      <w:r>
        <w:t xml:space="preserve"> </w:t>
      </w:r>
      <w:r>
        <w:t xml:space="preserve">(non revendiquée). Inactif sur</w:t>
      </w:r>
      <w:r>
        <w:t xml:space="preserve"> </w:t>
      </w:r>
      <w:r>
        <w:rPr>
          <w:i/>
          <w:iCs/>
        </w:rPr>
        <w:t xml:space="preserve">Enterococcus</w:t>
      </w:r>
      <w:r>
        <w:t xml:space="preserve">,</w:t>
      </w:r>
      <w:r>
        <w:t xml:space="preserve"> </w:t>
      </w:r>
      <w:r>
        <w:rPr>
          <w:i/>
          <w:iCs/>
        </w:rPr>
        <w:t xml:space="preserve">Listeria</w:t>
      </w:r>
      <w:r>
        <w:t xml:space="preserve">,</w:t>
      </w:r>
      <w:r>
        <w:t xml:space="preserve"> </w:t>
      </w:r>
      <w:r>
        <w:rPr>
          <w:i/>
          <w:iCs/>
        </w:rPr>
        <w:t xml:space="preserve">SARM</w:t>
      </w:r>
      <w:r>
        <w:t xml:space="preserve">,</w:t>
      </w:r>
      <w:r>
        <w:t xml:space="preserve"> </w:t>
      </w:r>
      <w:r>
        <w:rPr>
          <w:i/>
          <w:iCs/>
        </w:rPr>
        <w:t xml:space="preserve">Mycoplasma</w:t>
      </w:r>
      <w:r>
        <w:t xml:space="preserve">,</w:t>
      </w:r>
      <w:r>
        <w:t xml:space="preserve"> </w:t>
      </w:r>
      <w:r>
        <w:rPr>
          <w:i/>
          <w:iCs/>
        </w:rPr>
        <w:t xml:space="preserve">Chlamydia</w:t>
      </w:r>
      <w:r>
        <w:t xml:space="preserve">,</w:t>
      </w:r>
      <w:r>
        <w:t xml:space="preserve"> </w:t>
      </w:r>
      <w:r>
        <w:rPr>
          <w:i/>
          <w:iCs/>
        </w:rPr>
        <w:t xml:space="preserve">Legionella</w:t>
      </w:r>
      <w:r>
        <w:t xml:space="preserve">.</w:t>
      </w:r>
    </w:p>
    <w:p>
      <w:pPr>
        <w:pStyle w:val="BodyText"/>
      </w:pPr>
      <w:r>
        <w:rPr>
          <w:b/>
          <w:bCs/>
        </w:rPr>
        <w:t xml:space="preserve">Profil Pharmacologique :</w:t>
      </w:r>
      <w:r>
        <w:t xml:space="preserve"> </w:t>
      </w:r>
      <w:r>
        <w:t xml:space="preserve">- Indications : Méningites bactériennes communautaires (en association éventuelle à amoxicilline si suspicion de</w:t>
      </w:r>
      <w:r>
        <w:t xml:space="preserve"> </w:t>
      </w:r>
      <w:r>
        <w:rPr>
          <w:i/>
          <w:iCs/>
        </w:rPr>
        <w:t xml:space="preserve">Listeria</w:t>
      </w:r>
      <w:r>
        <w:t xml:space="preserve">), pneumopathies sévères, septicémies, infections urinaires compliquées, infections biliaires, infections ostéo-articulaires, gonococcie, maladie de Lyme neurologique, fièvre typhoïde, salmonelloses invasives, purpura fulminans (en alternative à la pénicilline G).</w:t>
      </w:r>
      <w:r>
        <w:t xml:space="preserve"> </w:t>
      </w:r>
      <w:r>
        <w:t xml:space="preserve">- Contre-indications : Hypersensibilité aux céphalosporines ; allergie grave aux pénicillines ; prématurés et nouveau-nés icteriques (compétition avec la bilirubine sur l’albumine moindre qu’avec la ceftriaxone, mais prudence).</w:t>
      </w:r>
      <w:r>
        <w:t xml:space="preserve"> </w:t>
      </w:r>
      <w:r>
        <w:t xml:space="preserve">- Effets Indésirables : Rash, diarrhée, élévation transaminases, éosinophilie, thrombophlébite, positivité Coombs ; rarement : anaphylaxie, colite à</w:t>
      </w:r>
      <w:r>
        <w:t xml:space="preserve"> </w:t>
      </w:r>
      <w:r>
        <w:rPr>
          <w:i/>
          <w:iCs/>
        </w:rPr>
        <w:t xml:space="preserve">C. difficile</w:t>
      </w:r>
      <w:r>
        <w:t xml:space="preserve">, néphrite interstitielle, convulsions à forte dose en IR.</w:t>
      </w:r>
    </w:p>
    <w:p>
      <w:pPr>
        <w:pStyle w:val="BodyText"/>
      </w:pPr>
      <w:r>
        <w:rPr>
          <w:b/>
          <w:bCs/>
        </w:rPr>
        <w:t xml:space="preserve">Prévention et Gestion des Effets Indésirables :</w:t>
      </w:r>
      <w:r>
        <w:t xml:space="preserve"> </w:t>
      </w:r>
      <w:r>
        <w:t xml:space="preserve">- Mesures Préventives : Hydratation, adaptation rénale (DFG &lt; 50 : 1–2 g toutes les 8–12 h ; DFG &lt; 10 : 1 g toutes les 12–24 h), surveillance NF et transaminases en cure longue.</w:t>
      </w:r>
      <w:r>
        <w:t xml:space="preserve"> </w:t>
      </w:r>
      <w:r>
        <w:t xml:space="preserve">- Conduite à Tenir : Arrêt en cas de manifestation allergique ; recherche de</w:t>
      </w:r>
      <w:r>
        <w:t xml:space="preserve"> </w:t>
      </w:r>
      <w:r>
        <w:rPr>
          <w:i/>
          <w:iCs/>
        </w:rPr>
        <w:t xml:space="preserve">C. difficile</w:t>
      </w:r>
      <w:r>
        <w:t xml:space="preserve"> </w:t>
      </w:r>
      <w:r>
        <w:t xml:space="preserve">si diarrhée ; adaptation posologique stricte en IR.</w:t>
      </w:r>
    </w:p>
    <w:p>
      <w:pPr>
        <w:pStyle w:val="BodyText"/>
      </w:pPr>
      <w:r>
        <w:rPr>
          <w:b/>
          <w:bCs/>
        </w:rPr>
        <w:t xml:space="preserve">Interactions Importantes :</w:t>
      </w:r>
      <w:r>
        <w:t xml:space="preserve"> </w:t>
      </w:r>
      <w:r>
        <w:t xml:space="preserve">- Aminoglycosides : Synergie (entérobactéries,</w:t>
      </w:r>
      <w:r>
        <w:t xml:space="preserve"> </w:t>
      </w:r>
      <w:r>
        <w:rPr>
          <w:i/>
          <w:iCs/>
        </w:rPr>
        <w:t xml:space="preserve">Pseudomonas</w:t>
      </w:r>
      <w:r>
        <w:t xml:space="preserve">), mais majoration néphrotoxicité.</w:t>
      </w:r>
      <w:r>
        <w:t xml:space="preserve"> </w:t>
      </w:r>
      <w:r>
        <w:t xml:space="preserve">- Probénécide : Augmentation concentrations.</w:t>
      </w:r>
      <w:r>
        <w:t xml:space="preserve"> </w:t>
      </w:r>
      <w:r>
        <w:t xml:space="preserve">- AVK : Majoration INR.</w:t>
      </w:r>
    </w:p>
    <w:p>
      <w:pPr>
        <w:pStyle w:val="BodyText"/>
      </w:pPr>
      <w:r>
        <w:rPr>
          <w:b/>
          <w:bCs/>
        </w:rPr>
        <w:t xml:space="preserve">Grossesse et Allaitement :</w:t>
      </w:r>
      <w:r>
        <w:t xml:space="preserve"> </w:t>
      </w:r>
      <w:r>
        <w:t xml:space="preserve">- Grossesse : Indiqué selon CRAT, sans tératogénicité. À utiliser si nécessaire, notamment en méningite.</w:t>
      </w:r>
      <w:r>
        <w:t xml:space="preserve"> </w:t>
      </w:r>
      <w:r>
        <w:t xml:space="preserve">- Allaitement : Compatible (faibles passages lactés).</w:t>
      </w:r>
      <w:r>
        <w:t xml:space="preserve"> </w:t>
      </w:r>
      <w:r>
        <w:t xml:space="preserve">- Précisions : Au 3e trimestre, éviter l’association à la ceftriaxone (calculs biliaires).</w:t>
      </w:r>
    </w:p>
    <w:p>
      <w:pPr>
        <w:pStyle w:val="BodyText"/>
      </w:pPr>
      <w:r>
        <w:rPr>
          <w:b/>
          <w:bCs/>
        </w:rPr>
        <w:t xml:space="preserve">Posologie et Mode d’administration (Standard) :</w:t>
      </w:r>
      <w:r>
        <w:t xml:space="preserve"> </w:t>
      </w:r>
      <w:r>
        <w:t xml:space="preserve">- Adulte : 1 g IV/IM toutes les 8 à 12 heures ; infections sévères 2 g ×3/jour ; méningite 2 g IV ×4–6/jour (8–12 g/j). Maximum 12 g/j.</w:t>
      </w:r>
      <w:r>
        <w:t xml:space="preserve"> </w:t>
      </w:r>
      <w:r>
        <w:t xml:space="preserve">- Enfant : 100 à 150 mg/kg/jour en 3–4 injections ; méningite 200–300 mg/kg/jour en 4–6 injections ; prématuré 50 mg/kg ×2/j.</w:t>
      </w:r>
      <w:r>
        <w:t xml:space="preserve"> </w:t>
      </w:r>
      <w:r>
        <w:t xml:space="preserve">- Durée : Méningite pneumococcique 10–14 jours, méningococcique 7 jours, gonococcie dose unique 500 mg IM, pneumopathie 7–10 jours, endocardite 4–6 semaines.</w:t>
      </w:r>
      <w:r>
        <w:t xml:space="preserve"> </w:t>
      </w:r>
      <w:r>
        <w:t xml:space="preserve">- Moment de prise : Perfusion IV 30 min dans 50–100 ml NaCl 0,9 % ; IM profonde avec lidocaïne 1 %.</w:t>
      </w:r>
    </w:p>
    <w:p>
      <w:pPr>
        <w:pStyle w:val="BodyText"/>
      </w:pPr>
      <w:r>
        <w:rPr>
          <w:b/>
          <w:bCs/>
        </w:rPr>
        <w:t xml:space="preserve">Arbitrage et Bénéfices des Formes Galéniques :</w:t>
      </w:r>
      <w:r>
        <w:t xml:space="preserve"> </w:t>
      </w:r>
      <w:r>
        <w:t xml:space="preserve">Exclusivement injectable. Présentation en flacons de 500 mg et 1 g. La pharmacocinétique (t1/2 = 1 heure) impose 3–4 injections par jour, ce qui peut limiter l’observance ambulatoire. La ceftriaxone est souvent préférée en relais pour son uniquotidien.</w:t>
      </w:r>
    </w:p>
    <w:p>
      <w:pPr>
        <w:pStyle w:val="BodyText"/>
      </w:pPr>
      <w:r>
        <w:rPr>
          <w:b/>
          <w:bCs/>
        </w:rPr>
        <w:t xml:space="preserve">Instructions et Conseils au Patient :</w:t>
      </w:r>
      <w:r>
        <w:t xml:space="preserve"> </w:t>
      </w:r>
      <w:r>
        <w:t xml:space="preserve">- Communication au comptoir : Usage hospitalier exclusif. Information du patient sur les injections répétées et la durée.</w:t>
      </w:r>
      <w:r>
        <w:t xml:space="preserve"> </w:t>
      </w:r>
      <w:r>
        <w:t xml:space="preserve">- Mode d’utilisation pratique : Reconstitution avec EPPPI (IV) ou lidocaïne 1 % (IM) ; ne pas mélanger avec aminoglycosides dans la même tubulure.</w:t>
      </w:r>
    </w:p>
    <w:p>
      <w:pPr>
        <w:pStyle w:val="BodyText"/>
      </w:pPr>
      <w:r>
        <w:rPr>
          <w:b/>
          <w:bCs/>
        </w:rPr>
        <w:t xml:space="preserve">Notes, Règles d’Or &amp; Pièges au Comptoir :</w:t>
      </w:r>
      <w:r>
        <w:t xml:space="preserve"> </w:t>
      </w:r>
      <w:r>
        <w:t xml:space="preserve">- Piège classique : Confondre avec la ceftriaxone — pas d’equivalenza posologique directe.</w:t>
      </w:r>
      <w:r>
        <w:t xml:space="preserve"> </w:t>
      </w:r>
      <w:r>
        <w:t xml:space="preserve">- Règle de prise : Respecter les intervalles (t1/2 court).</w:t>
      </w:r>
      <w:r>
        <w:t xml:space="preserve"> </w:t>
      </w:r>
      <w:r>
        <w:t xml:space="preserve">- Préparation et Conservation : Poudre stable 24 mois à ≤25 °C ; solution reconstituée stable 24 h à +4 °C.</w:t>
      </w:r>
      <w:r>
        <w:t xml:space="preserve"> </w:t>
      </w:r>
      <w:r>
        <w:t xml:space="preserve">- Piège du surdosage / Substitution : En IR sévère, convulsions à forte dose.</w:t>
      </w:r>
    </w:p>
    <w:p>
      <w:r>
        <w:pict>
          <v:rect style="width:0;height:1.5pt" o:hralign="center" o:hrstd="t" o:hr="t"/>
        </w:pict>
      </w:r>
    </w:p>
    <w:bookmarkEnd w:id="68"/>
    <w:bookmarkStart w:id="69" w:name="dci-ceftriaxone-seule"/>
    <w:p>
      <w:pPr>
        <w:pStyle w:val="Heading3"/>
      </w:pPr>
      <w:r>
        <w:t xml:space="preserve">9. DCI : Ceftriaxone (Seule)</w:t>
      </w:r>
    </w:p>
    <w:p>
      <w:pPr>
        <w:pStyle w:val="FirstParagraph"/>
      </w:pPr>
      <w:r>
        <w:rPr>
          <w:b/>
          <w:bCs/>
        </w:rPr>
        <w:t xml:space="preserve">Liste des Catégories :</w:t>
      </w:r>
      <w:r>
        <w:t xml:space="preserve"> </w:t>
      </w:r>
      <w:r>
        <w:t xml:space="preserve">Céphalosporines 3ème génération ; Liste I ; Injectable.</w:t>
      </w:r>
    </w:p>
    <w:p>
      <w:pPr>
        <w:pStyle w:val="BodyText"/>
      </w:pPr>
      <w:r>
        <w:t xml:space="preserve">La ceftriaxone se distingue par sa</w:t>
      </w:r>
      <w:r>
        <w:t xml:space="preserve"> </w:t>
      </w:r>
      <w:r>
        <w:rPr>
          <w:b/>
          <w:bCs/>
        </w:rPr>
        <w:t xml:space="preserve">demi-vie plasmatique prolongée (8 h)</w:t>
      </w:r>
      <w:r>
        <w:t xml:space="preserve">, exceptionnelle parmi les C3G, autorisant une administration</w:t>
      </w:r>
      <w:r>
        <w:t xml:space="preserve"> </w:t>
      </w:r>
      <w:r>
        <w:rPr>
          <w:b/>
          <w:bCs/>
        </w:rPr>
        <w:t xml:space="preserve">uniquotidienne</w:t>
      </w:r>
      <w:r>
        <w:t xml:space="preserve">. Sa double élimination rénale (50 %) et biliaire (50 %) évite l’adaptation posologique en insuffisance rénale modérée. Elle partage avec le céfotaxime la première ligne des méningites communautaires. Elle expose toutefois au risque spécifique de</w:t>
      </w:r>
      <w:r>
        <w:t xml:space="preserve"> </w:t>
      </w:r>
      <w:r>
        <w:rPr>
          <w:b/>
          <w:bCs/>
        </w:rPr>
        <w:t xml:space="preserve">lithiase biliaire</w:t>
      </w:r>
      <w:r>
        <w:t xml:space="preserve"> </w:t>
      </w:r>
      <w:r>
        <w:t xml:space="preserve">(sludge) chez le nourrisson et en cure prolongée.</w:t>
      </w:r>
    </w:p>
    <w:p>
      <w:pPr>
        <w:pStyle w:val="BodyText"/>
      </w:pPr>
      <w:r>
        <w:rPr>
          <w:b/>
          <w:bCs/>
        </w:rPr>
        <w:t xml:space="preserve">Médicaments disponibles en Algérie (Marques, Laboratoires, Formes et Dosages) :</w:t>
      </w:r>
    </w:p>
    <w:p>
      <w:pPr>
        <w:pStyle w:val="Compact"/>
        <w:numPr>
          <w:ilvl w:val="0"/>
          <w:numId w:val="1185"/>
        </w:numPr>
      </w:pPr>
      <w:r>
        <w:rPr>
          <w:b/>
          <w:bCs/>
        </w:rPr>
        <w:t xml:space="preserve">CETRIAL</w:t>
      </w:r>
      <w:r>
        <w:t xml:space="preserve"> </w:t>
      </w:r>
      <w:r>
        <w:t xml:space="preserve">(SOCIETE PHARMACEUTIQUE ALGERIENNE SOPHAL)</w:t>
      </w:r>
    </w:p>
    <w:p>
      <w:pPr>
        <w:pStyle w:val="Compact"/>
        <w:numPr>
          <w:ilvl w:val="1"/>
          <w:numId w:val="1186"/>
        </w:numPr>
      </w:pPr>
      <w:r>
        <w:t xml:space="preserve">Formes et Dosages : Poudre pour préparation injectable IV — 1 g/flacon (B/50 flacons de 10 ml)</w:t>
      </w:r>
    </w:p>
    <w:p>
      <w:pPr>
        <w:pStyle w:val="Compact"/>
        <w:numPr>
          <w:ilvl w:val="1"/>
          <w:numId w:val="1186"/>
        </w:numPr>
      </w:pPr>
      <w:r>
        <w:t xml:space="preserve">Statut : Actif</w:t>
      </w:r>
    </w:p>
    <w:p>
      <w:pPr>
        <w:pStyle w:val="Compact"/>
        <w:numPr>
          <w:ilvl w:val="0"/>
          <w:numId w:val="1185"/>
        </w:numPr>
      </w:pPr>
      <w:r>
        <w:rPr>
          <w:b/>
          <w:bCs/>
        </w:rPr>
        <w:t xml:space="preserve">CETRIAXONE HUP</w:t>
      </w:r>
      <w:r>
        <w:t xml:space="preserve"> </w:t>
      </w:r>
      <w:r>
        <w:t xml:space="preserve">(HUPP PHARMA)</w:t>
      </w:r>
    </w:p>
    <w:p>
      <w:pPr>
        <w:pStyle w:val="Compact"/>
        <w:numPr>
          <w:ilvl w:val="1"/>
          <w:numId w:val="1187"/>
        </w:numPr>
      </w:pPr>
      <w:r>
        <w:t xml:space="preserve">Formes et Dosages : Poudre et solvant pour solution injectable IV — 1 g (B/01 et B/50 flacons)</w:t>
      </w:r>
    </w:p>
    <w:p>
      <w:pPr>
        <w:pStyle w:val="Compact"/>
        <w:numPr>
          <w:ilvl w:val="1"/>
          <w:numId w:val="1187"/>
        </w:numPr>
      </w:pPr>
      <w:r>
        <w:t xml:space="preserve">Statut : Actif</w:t>
      </w:r>
    </w:p>
    <w:p>
      <w:pPr>
        <w:pStyle w:val="Compact"/>
        <w:numPr>
          <w:ilvl w:val="0"/>
          <w:numId w:val="1185"/>
        </w:numPr>
      </w:pPr>
      <w:r>
        <w:rPr>
          <w:b/>
          <w:bCs/>
        </w:rPr>
        <w:t xml:space="preserve">ZAFOTRIAXONE</w:t>
      </w:r>
      <w:r>
        <w:t xml:space="preserve"> </w:t>
      </w:r>
      <w:r>
        <w:t xml:space="preserve">(IMGSA GROUPE INDUSTRIE PHARMACEUTIQUE)</w:t>
      </w:r>
    </w:p>
    <w:p>
      <w:pPr>
        <w:pStyle w:val="Compact"/>
        <w:numPr>
          <w:ilvl w:val="1"/>
          <w:numId w:val="1188"/>
        </w:numPr>
      </w:pPr>
      <w:r>
        <w:t xml:space="preserve">Formes et Dosages : Poudre pour solution injectable IV/IM — 1 g (B/10 flacons)</w:t>
      </w:r>
    </w:p>
    <w:p>
      <w:pPr>
        <w:pStyle w:val="Compact"/>
        <w:numPr>
          <w:ilvl w:val="1"/>
          <w:numId w:val="1188"/>
        </w:numPr>
      </w:pPr>
      <w:r>
        <w:t xml:space="preserve">Statut : Actif</w:t>
      </w:r>
    </w:p>
    <w:p>
      <w:pPr>
        <w:pStyle w:val="Compact"/>
        <w:numPr>
          <w:ilvl w:val="0"/>
          <w:numId w:val="1185"/>
        </w:numPr>
      </w:pPr>
      <w:r>
        <w:rPr>
          <w:b/>
          <w:bCs/>
        </w:rPr>
        <w:t xml:space="preserve">OFRAMAX</w:t>
      </w:r>
      <w:r>
        <w:t xml:space="preserve"> </w:t>
      </w:r>
      <w:r>
        <w:t xml:space="preserve">(RANBAXY-LTD)</w:t>
      </w:r>
    </w:p>
    <w:p>
      <w:pPr>
        <w:pStyle w:val="Compact"/>
        <w:numPr>
          <w:ilvl w:val="1"/>
          <w:numId w:val="1189"/>
        </w:numPr>
      </w:pPr>
      <w:r>
        <w:t xml:space="preserve">Formes et Dosages : Poudre et solvant pour solution injectable IM/IV — 1 g (B/1+1)</w:t>
      </w:r>
    </w:p>
    <w:p>
      <w:pPr>
        <w:pStyle w:val="Compact"/>
        <w:numPr>
          <w:ilvl w:val="1"/>
          <w:numId w:val="1189"/>
        </w:numPr>
      </w:pPr>
      <w:r>
        <w:t xml:space="preserve">Statut : Non Renouvelable</w:t>
      </w:r>
    </w:p>
    <w:p>
      <w:pPr>
        <w:pStyle w:val="Compact"/>
        <w:numPr>
          <w:ilvl w:val="0"/>
          <w:numId w:val="1185"/>
        </w:numPr>
      </w:pPr>
      <w:r>
        <w:rPr>
          <w:b/>
          <w:bCs/>
        </w:rPr>
        <w:t xml:space="preserve">TRIAXONE</w:t>
      </w:r>
      <w:r>
        <w:t xml:space="preserve"> </w:t>
      </w:r>
      <w:r>
        <w:t xml:space="preserve">(EL KENDI INDUSTRIE DU MEDICAMENT)</w:t>
      </w:r>
    </w:p>
    <w:p>
      <w:pPr>
        <w:pStyle w:val="Compact"/>
        <w:numPr>
          <w:ilvl w:val="1"/>
          <w:numId w:val="1190"/>
        </w:numPr>
      </w:pPr>
      <w:r>
        <w:t xml:space="preserve">Formes et Dosages : Poudre et solvant pour solution injectable IV — 1 g et 500 mg (avec EPPPI) ; Poudre et solvant pour solution injectable IM — 500 mg (avec lidocaïne 1 %)</w:t>
      </w:r>
    </w:p>
    <w:p>
      <w:pPr>
        <w:pStyle w:val="Compact"/>
        <w:numPr>
          <w:ilvl w:val="1"/>
          <w:numId w:val="1190"/>
        </w:numPr>
      </w:pPr>
      <w:r>
        <w:t xml:space="preserve">Statut : Non Renouvelable</w:t>
      </w:r>
    </w:p>
    <w:p>
      <w:pPr>
        <w:pStyle w:val="Compact"/>
        <w:numPr>
          <w:ilvl w:val="0"/>
          <w:numId w:val="1185"/>
        </w:numPr>
      </w:pPr>
      <w:r>
        <w:rPr>
          <w:b/>
          <w:bCs/>
        </w:rPr>
        <w:t xml:space="preserve">CEFAXONE</w:t>
      </w:r>
      <w:r>
        <w:t xml:space="preserve"> </w:t>
      </w:r>
      <w:r>
        <w:t xml:space="preserve">(UNIMED)</w:t>
      </w:r>
    </w:p>
    <w:p>
      <w:pPr>
        <w:pStyle w:val="Compact"/>
        <w:numPr>
          <w:ilvl w:val="1"/>
          <w:numId w:val="1191"/>
        </w:numPr>
      </w:pPr>
      <w:r>
        <w:t xml:space="preserve">Formes et Dosages : Poudre et solvant pour solution injectable IV — 100 mg/ml (1 g/10 ml)</w:t>
      </w:r>
    </w:p>
    <w:p>
      <w:pPr>
        <w:pStyle w:val="Compact"/>
        <w:numPr>
          <w:ilvl w:val="1"/>
          <w:numId w:val="1191"/>
        </w:numPr>
      </w:pPr>
      <w:r>
        <w:t xml:space="preserve">Statut : Non Renouvelable</w:t>
      </w:r>
    </w:p>
    <w:p>
      <w:pPr>
        <w:pStyle w:val="Compact"/>
        <w:numPr>
          <w:ilvl w:val="0"/>
          <w:numId w:val="1185"/>
        </w:numPr>
      </w:pPr>
      <w:r>
        <w:rPr>
          <w:b/>
          <w:bCs/>
        </w:rPr>
        <w:t xml:space="preserve">CEFTRIAXONA HIKMA</w:t>
      </w:r>
      <w:r>
        <w:t xml:space="preserve"> </w:t>
      </w:r>
      <w:r>
        <w:t xml:space="preserve">(HIKMA FARMACEUTICA Portugal)</w:t>
      </w:r>
    </w:p>
    <w:p>
      <w:pPr>
        <w:pStyle w:val="Compact"/>
        <w:numPr>
          <w:ilvl w:val="1"/>
          <w:numId w:val="1192"/>
        </w:numPr>
      </w:pPr>
      <w:r>
        <w:t xml:space="preserve">Formes et Dosages : Poudre et solvant pour solution injectable IV — 500 mg et 1 g ; Poudre et solvant pour solution injectable IM — 500 mg et 1 g (avec lidocaïne 1 %)</w:t>
      </w:r>
    </w:p>
    <w:p>
      <w:pPr>
        <w:pStyle w:val="Compact"/>
        <w:numPr>
          <w:ilvl w:val="1"/>
          <w:numId w:val="1192"/>
        </w:numPr>
      </w:pPr>
      <w:r>
        <w:t xml:space="preserve">Statut : Non Renouvelable</w:t>
      </w:r>
    </w:p>
    <w:p>
      <w:pPr>
        <w:pStyle w:val="Compact"/>
        <w:numPr>
          <w:ilvl w:val="0"/>
          <w:numId w:val="1185"/>
        </w:numPr>
      </w:pPr>
      <w:r>
        <w:rPr>
          <w:b/>
          <w:bCs/>
        </w:rPr>
        <w:t xml:space="preserve">ROCEPHIN</w:t>
      </w:r>
      <w:r>
        <w:t xml:space="preserve"> </w:t>
      </w:r>
      <w:r>
        <w:t xml:space="preserve">(ROCHE PHARMA)</w:t>
      </w:r>
    </w:p>
    <w:p>
      <w:pPr>
        <w:pStyle w:val="Compact"/>
        <w:numPr>
          <w:ilvl w:val="1"/>
          <w:numId w:val="1193"/>
        </w:numPr>
      </w:pPr>
      <w:r>
        <w:t xml:space="preserve">Formes et Dosages : Poudre et solvant pour solution injectable IV — 1 g/10 ml et 500 mg/5 ml (B/1+1)</w:t>
      </w:r>
    </w:p>
    <w:p>
      <w:pPr>
        <w:pStyle w:val="Compact"/>
        <w:numPr>
          <w:ilvl w:val="1"/>
          <w:numId w:val="1193"/>
        </w:numPr>
      </w:pPr>
      <w:r>
        <w:t xml:space="preserve">Statut : Retiré (R)</w:t>
      </w:r>
    </w:p>
    <w:p>
      <w:pPr>
        <w:pStyle w:val="Compact"/>
        <w:numPr>
          <w:ilvl w:val="0"/>
          <w:numId w:val="1185"/>
        </w:numPr>
      </w:pPr>
      <w:r>
        <w:rPr>
          <w:b/>
          <w:bCs/>
        </w:rPr>
        <w:t xml:space="preserve">NOVOSEF</w:t>
      </w:r>
      <w:r>
        <w:t xml:space="preserve"> </w:t>
      </w:r>
      <w:r>
        <w:t xml:space="preserve">(ECSACIBATSI)</w:t>
      </w:r>
    </w:p>
    <w:p>
      <w:pPr>
        <w:pStyle w:val="Compact"/>
        <w:numPr>
          <w:ilvl w:val="1"/>
          <w:numId w:val="1194"/>
        </w:numPr>
      </w:pPr>
      <w:r>
        <w:t xml:space="preserve">Formes et Dosages : Poudre pour solution injectable IV — 1 g et 500 mg</w:t>
      </w:r>
    </w:p>
    <w:p>
      <w:pPr>
        <w:pStyle w:val="Compact"/>
        <w:numPr>
          <w:ilvl w:val="1"/>
          <w:numId w:val="1194"/>
        </w:numPr>
      </w:pPr>
      <w:r>
        <w:t xml:space="preserve">Statut : Retiré (R)</w:t>
      </w:r>
    </w:p>
    <w:p>
      <w:pPr>
        <w:pStyle w:val="Compact"/>
        <w:numPr>
          <w:ilvl w:val="0"/>
          <w:numId w:val="1185"/>
        </w:numPr>
      </w:pPr>
      <w:r>
        <w:rPr>
          <w:b/>
          <w:bCs/>
        </w:rPr>
        <w:t xml:space="preserve">FARCEF</w:t>
      </w:r>
      <w:r>
        <w:t xml:space="preserve"> </w:t>
      </w:r>
      <w:r>
        <w:t xml:space="preserve">(FARAN S.A.)</w:t>
      </w:r>
    </w:p>
    <w:p>
      <w:pPr>
        <w:pStyle w:val="Compact"/>
        <w:numPr>
          <w:ilvl w:val="1"/>
          <w:numId w:val="1195"/>
        </w:numPr>
      </w:pPr>
      <w:r>
        <w:t xml:space="preserve">Formes et Dosages : Poudre pour solution injectable IV — 1 g ; Poudre et solvant IM — 1 g (avec lidocaïne 1 %)</w:t>
      </w:r>
    </w:p>
    <w:p>
      <w:pPr>
        <w:pStyle w:val="Compact"/>
        <w:numPr>
          <w:ilvl w:val="1"/>
          <w:numId w:val="1195"/>
        </w:numPr>
      </w:pPr>
      <w:r>
        <w:t xml:space="preserve">Statut : Retiré (R)</w:t>
      </w:r>
    </w:p>
    <w:p>
      <w:pPr>
        <w:pStyle w:val="Compact"/>
        <w:numPr>
          <w:ilvl w:val="0"/>
          <w:numId w:val="1185"/>
        </w:numPr>
      </w:pPr>
      <w:r>
        <w:rPr>
          <w:b/>
          <w:bCs/>
        </w:rPr>
        <w:t xml:space="preserve">MESPORIN-1000 / MESPORIN-500</w:t>
      </w:r>
      <w:r>
        <w:t xml:space="preserve"> </w:t>
      </w:r>
      <w:r>
        <w:t xml:space="preserve">(MEPHA PHARMA L.T.D.)</w:t>
      </w:r>
    </w:p>
    <w:p>
      <w:pPr>
        <w:pStyle w:val="Compact"/>
        <w:numPr>
          <w:ilvl w:val="1"/>
          <w:numId w:val="1196"/>
        </w:numPr>
      </w:pPr>
      <w:r>
        <w:t xml:space="preserve">Formes et Dosages : Poudre pour solution injectable IV — 1 g et 500 mg</w:t>
      </w:r>
    </w:p>
    <w:p>
      <w:pPr>
        <w:pStyle w:val="Compact"/>
        <w:numPr>
          <w:ilvl w:val="1"/>
          <w:numId w:val="1196"/>
        </w:numPr>
      </w:pPr>
      <w:r>
        <w:t xml:space="preserve">Statut : Retiré (R)</w:t>
      </w:r>
    </w:p>
    <w:p>
      <w:pPr>
        <w:pStyle w:val="Compact"/>
        <w:numPr>
          <w:ilvl w:val="0"/>
          <w:numId w:val="1185"/>
        </w:numPr>
      </w:pPr>
      <w:r>
        <w:rPr>
          <w:b/>
          <w:bCs/>
        </w:rPr>
        <w:t xml:space="preserve">CEFTRIAXONA HIKMA</w:t>
      </w:r>
      <w:r>
        <w:t xml:space="preserve"> </w:t>
      </w:r>
      <w:r>
        <w:t xml:space="preserve">(HIKMA PHARMA ALGERIE)</w:t>
      </w:r>
    </w:p>
    <w:p>
      <w:pPr>
        <w:pStyle w:val="Compact"/>
        <w:numPr>
          <w:ilvl w:val="1"/>
          <w:numId w:val="1197"/>
        </w:numPr>
      </w:pPr>
      <w:r>
        <w:t xml:space="preserve">Formes et Dosages : Poudre et solvant pour solution injectable IV — 1 g (avec EPPPI 10 ml)</w:t>
      </w:r>
    </w:p>
    <w:p>
      <w:pPr>
        <w:pStyle w:val="Compact"/>
        <w:numPr>
          <w:ilvl w:val="1"/>
          <w:numId w:val="1197"/>
        </w:numPr>
      </w:pPr>
      <w:r>
        <w:t xml:space="preserve">Statut : Retiré (R)</w:t>
      </w:r>
    </w:p>
    <w:p>
      <w:pPr>
        <w:pStyle w:val="FirstParagraph"/>
      </w:pPr>
      <w:r>
        <w:rPr>
          <w:b/>
          <w:bCs/>
        </w:rPr>
        <w:t xml:space="preserve">Sous-classe et Mécanisme d’action :</w:t>
      </w:r>
      <w:r>
        <w:t xml:space="preserve"> </w:t>
      </w:r>
      <w:r>
        <w:t xml:space="preserve">- Sous-classe : C3G injectable, longue demi-vie, double élimination rénale/biliaire.</w:t>
      </w:r>
      <w:r>
        <w:t xml:space="preserve"> </w:t>
      </w:r>
      <w:r>
        <w:t xml:space="preserve">- Mécanisme d’action : Bactéricide par haute affinité pour PLP3 et PLP2. Spectre équivalent au céfotaxime : entérobactéries,</w:t>
      </w:r>
      <w:r>
        <w:t xml:space="preserve"> </w:t>
      </w:r>
      <w:r>
        <w:rPr>
          <w:i/>
          <w:iCs/>
        </w:rPr>
        <w:t xml:space="preserve">H. influenzae</w:t>
      </w:r>
      <w:r>
        <w:t xml:space="preserve">,</w:t>
      </w:r>
      <w:r>
        <w:t xml:space="preserve"> </w:t>
      </w:r>
      <w:r>
        <w:rPr>
          <w:i/>
          <w:iCs/>
        </w:rPr>
        <w:t xml:space="preserve">Neisseria</w:t>
      </w:r>
      <w:r>
        <w:t xml:space="preserve"> </w:t>
      </w:r>
      <w:r>
        <w:t xml:space="preserve">spp., pneumocoque (y compris PISP), streptocoques A, B, C, G. Activité modeste sur</w:t>
      </w:r>
      <w:r>
        <w:t xml:space="preserve"> </w:t>
      </w:r>
      <w:r>
        <w:rPr>
          <w:i/>
          <w:iCs/>
        </w:rPr>
        <w:t xml:space="preserve">Pseudomonas aeruginosa</w:t>
      </w:r>
      <w:r>
        <w:t xml:space="preserve"> </w:t>
      </w:r>
      <w:r>
        <w:t xml:space="preserve">(non revendiquée en première intention). Inactive sur</w:t>
      </w:r>
      <w:r>
        <w:t xml:space="preserve"> </w:t>
      </w:r>
      <w:r>
        <w:rPr>
          <w:i/>
          <w:iCs/>
        </w:rPr>
        <w:t xml:space="preserve">Enterococcus</w:t>
      </w:r>
      <w:r>
        <w:t xml:space="preserve">,</w:t>
      </w:r>
      <w:r>
        <w:t xml:space="preserve"> </w:t>
      </w:r>
      <w:r>
        <w:rPr>
          <w:i/>
          <w:iCs/>
        </w:rPr>
        <w:t xml:space="preserve">Listeria</w:t>
      </w:r>
      <w:r>
        <w:t xml:space="preserve">, SARM, BLSE.</w:t>
      </w:r>
    </w:p>
    <w:p>
      <w:pPr>
        <w:pStyle w:val="BodyText"/>
      </w:pPr>
      <w:r>
        <w:rPr>
          <w:b/>
          <w:bCs/>
        </w:rPr>
        <w:t xml:space="preserve">Profil Pharmacologique :</w:t>
      </w:r>
      <w:r>
        <w:t xml:space="preserve"> </w:t>
      </w:r>
      <w:r>
        <w:t xml:space="preserve">- Indications : Méningites bactériennes communautaires, pneumopathies sévères, septicémies, infections urinaires compliquées (en monodose pour certaines gonococcies), infections biliaires, infections ostéo-articulaires (ostéomyélite à</w:t>
      </w:r>
      <w:r>
        <w:t xml:space="preserve"> </w:t>
      </w:r>
      <w:r>
        <w:rPr>
          <w:i/>
          <w:iCs/>
        </w:rPr>
        <w:t xml:space="preserve">S. aureu</w:t>
      </w:r>
      <w:r>
        <w:t xml:space="preserve">s), maladie de Lyme (neuroborréliose, arthrite), typhoïde, prophylaxie méningococcique (dose unique IM), endocardite (en association), gonococcie (monodose 500 mg IM), infection pelvienne (en association à un anti-anaérobie).</w:t>
      </w:r>
      <w:r>
        <w:t xml:space="preserve"> </w:t>
      </w:r>
      <w:r>
        <w:t xml:space="preserve">- Contre-indications : Hypersensibilité aux céphalosporines ; allergie grave aux pénicillines ;</w:t>
      </w:r>
      <w:r>
        <w:t xml:space="preserve"> </w:t>
      </w:r>
      <w:r>
        <w:rPr>
          <w:b/>
          <w:bCs/>
        </w:rPr>
        <w:t xml:space="preserve">nouveau-né ictérique ou à risque d’hyperbilirubinémie</w:t>
      </w:r>
      <w:r>
        <w:t xml:space="preserve"> </w:t>
      </w:r>
      <w:r>
        <w:t xml:space="preserve">(déplacement de la bilirubine de l’albumine) ; contre-indication au lidocaïne pour la forme IM ; prématuré ≤41 semaines d’aménorrhée ; association à des sels de calcium chez le nouveau-né (risque de précipitation pulmonaire et rénale).</w:t>
      </w:r>
      <w:r>
        <w:t xml:space="preserve"> </w:t>
      </w:r>
      <w:r>
        <w:t xml:space="preserve">- Effets Indésirables : Rash, diarrhée, élévation transaminases, thrombophlébite,</w:t>
      </w:r>
      <w:r>
        <w:t xml:space="preserve"> </w:t>
      </w:r>
      <w:r>
        <w:rPr>
          <w:b/>
          <w:bCs/>
        </w:rPr>
        <w:t xml:space="preserve">sludge biliaire et pseudo-lithiase</w:t>
      </w:r>
      <w:r>
        <w:t xml:space="preserve"> </w:t>
      </w:r>
      <w:r>
        <w:t xml:space="preserve">(jusqu’à 25–45 % des enfants en cure &gt;5 jours, généralement asymptomatique et réversible à l’arrêt), positivité Coombs ; rarement : anaphylaxie, colite à</w:t>
      </w:r>
      <w:r>
        <w:t xml:space="preserve"> </w:t>
      </w:r>
      <w:r>
        <w:rPr>
          <w:i/>
          <w:iCs/>
        </w:rPr>
        <w:t xml:space="preserve">C. difficile</w:t>
      </w:r>
      <w:r>
        <w:t xml:space="preserve">, néphrite interstitielle,</w:t>
      </w:r>
      <w:r>
        <w:t xml:space="preserve"> </w:t>
      </w:r>
      <w:r>
        <w:rPr>
          <w:b/>
          <w:bCs/>
        </w:rPr>
        <w:t xml:space="preserve">précipitation calcique</w:t>
      </w:r>
      <w:r>
        <w:t xml:space="preserve"> </w:t>
      </w:r>
      <w:r>
        <w:t xml:space="preserve">(chez le nouveau-né si perfusion avec soluté calcique).</w:t>
      </w:r>
    </w:p>
    <w:p>
      <w:pPr>
        <w:pStyle w:val="BodyText"/>
      </w:pPr>
      <w:r>
        <w:rPr>
          <w:b/>
          <w:bCs/>
        </w:rPr>
        <w:t xml:space="preserve">Prévention et Gestion des Effets Indésirables :</w:t>
      </w:r>
      <w:r>
        <w:t xml:space="preserve"> </w:t>
      </w:r>
      <w:r>
        <w:t xml:space="preserve">- Mesures Préventives : Hydratation correcte ; éviter les perfusions concomitantes de calcium chez le nouveau-né (utiliser Ringer lactate uniquement après rincage) ; limiter à 5 jours pour réduire le risque de sludge biliaire ; IM profonde avec lidocaïne 1 % pour réduire la douleur.</w:t>
      </w:r>
      <w:r>
        <w:t xml:space="preserve"> </w:t>
      </w:r>
      <w:r>
        <w:t xml:space="preserve">- Conduite à Tenir : Arrêt en cas de douleur abdominale droite (sludge) ; échographie de contrôle si nécessaire ; arrêt immédiat en cas d’anaphylaxie.</w:t>
      </w:r>
    </w:p>
    <w:p>
      <w:pPr>
        <w:pStyle w:val="BodyText"/>
      </w:pPr>
      <w:r>
        <w:rPr>
          <w:b/>
          <w:bCs/>
        </w:rPr>
        <w:t xml:space="preserve">Interactions Importantes :</w:t>
      </w:r>
      <w:r>
        <w:t xml:space="preserve"> </w:t>
      </w:r>
      <w:r>
        <w:t xml:space="preserve">- Sels de calcium (perfusions) : Précipitation potentiellement létale chez le nouveau-né — contre-indication.</w:t>
      </w:r>
      <w:r>
        <w:t xml:space="preserve"> </w:t>
      </w:r>
      <w:r>
        <w:t xml:space="preserve">- Aminoglycosides : Synergie et néphrotoxicité.</w:t>
      </w:r>
      <w:r>
        <w:t xml:space="preserve"> </w:t>
      </w:r>
      <w:r>
        <w:t xml:space="preserve">- Probénécide : Peu d’effet (élimination mixte).</w:t>
      </w:r>
      <w:r>
        <w:t xml:space="preserve"> </w:t>
      </w:r>
      <w:r>
        <w:t xml:space="preserve">- AVK : Majoration INR.</w:t>
      </w:r>
    </w:p>
    <w:p>
      <w:pPr>
        <w:pStyle w:val="BodyText"/>
      </w:pPr>
      <w:r>
        <w:rPr>
          <w:b/>
          <w:bCs/>
        </w:rPr>
        <w:t xml:space="preserve">Grossesse et Allaitement :</w:t>
      </w:r>
      <w:r>
        <w:t xml:space="preserve"> </w:t>
      </w:r>
      <w:r>
        <w:t xml:space="preserve">- Grossesse : Indiqué selon CRAT, sans tératogénicité. À utiliser si nécessaire.</w:t>
      </w:r>
      <w:r>
        <w:t xml:space="preserve"> </w:t>
      </w:r>
      <w:r>
        <w:t xml:space="preserve">- Allaitement : Compatible (faibles passages lactés).</w:t>
      </w:r>
      <w:r>
        <w:t xml:space="preserve"> </w:t>
      </w:r>
      <w:r>
        <w:t xml:space="preserve">- Précisions : Chez le nouveau-né allaité, surveiller flore digestive.</w:t>
      </w:r>
    </w:p>
    <w:p>
      <w:pPr>
        <w:pStyle w:val="BodyText"/>
      </w:pPr>
      <w:r>
        <w:rPr>
          <w:b/>
          <w:bCs/>
        </w:rPr>
        <w:t xml:space="preserve">Posologie et Mode d’administration (Standard) :</w:t>
      </w:r>
      <w:r>
        <w:t xml:space="preserve"> </w:t>
      </w:r>
      <w:r>
        <w:t xml:space="preserve">- Adulte : 1 à 2 g IV/IM en 1 injection/jour ; infections sévères 2 g ×1/j (méningite 2 g ×1/j ou 4 g/j en 2 injections) ; endocardite 2 g ×1/j.</w:t>
      </w:r>
      <w:r>
        <w:t xml:space="preserve"> </w:t>
      </w:r>
      <w:r>
        <w:t xml:space="preserve">- Enfant : 50 à 75 mg/kg/jour en 1 injection ; méningite 80–100 mg/kg/jour (max 4 g/j) en 1 ou 2 injections ; prématuré et nouveau-né ≤28 j : 20–50 mg/kg/jour.</w:t>
      </w:r>
      <w:r>
        <w:t xml:space="preserve"> </w:t>
      </w:r>
      <w:r>
        <w:t xml:space="preserve">- Durée : Gonococcie dose unique 500 mg IM ; méningite pneumococcique 10–14 j ; maladie de Lyme neurologique 14–28 j ; pyélonephrite 7–10 j.</w:t>
      </w:r>
      <w:r>
        <w:t xml:space="preserve"> </w:t>
      </w:r>
      <w:r>
        <w:t xml:space="preserve">- Moment de prise : Uniquotidienne, de préférence à heure fixe (matin). Perfusion IV 30 min dans 50 ml NaCl 0,9 % ou G5 %.</w:t>
      </w:r>
    </w:p>
    <w:p>
      <w:pPr>
        <w:pStyle w:val="BodyText"/>
      </w:pPr>
      <w:r>
        <w:rPr>
          <w:b/>
          <w:bCs/>
        </w:rPr>
        <w:t xml:space="preserve">Arbitrage et Bénéfices des Formes Galéniques :</w:t>
      </w:r>
      <w:r>
        <w:t xml:space="preserve"> </w:t>
      </w:r>
      <w:r>
        <w:t xml:space="preserve">L’uniquotidien est l’avantage majeur, facilitant l’usage ambulatoire (HAD) et l’observance. La présentation 1 g est la plus polyvalente. La forme IM avec lidocaïne 1 % est une alternative pratique à l’IV pour les cures courtes (gonococcie, pyélonephrite en relais). Pas d’adaptation posologique en IR modérée (jusqu’à DFG 10 ml/min).</w:t>
      </w:r>
    </w:p>
    <w:p>
      <w:pPr>
        <w:pStyle w:val="BodyText"/>
      </w:pPr>
      <w:r>
        <w:rPr>
          <w:b/>
          <w:bCs/>
        </w:rPr>
        <w:t xml:space="preserve">Instructions et Conseils au Patient :</w:t>
      </w:r>
      <w:r>
        <w:t xml:space="preserve"> </w:t>
      </w:r>
      <w:r>
        <w:t xml:space="preserve">- Communication au comptoir : « Antibiotique injectable en une seule prise par jour, ce qui simplifie le traitement à domicile. »</w:t>
      </w:r>
      <w:r>
        <w:t xml:space="preserve"> </w:t>
      </w:r>
      <w:r>
        <w:t xml:space="preserve">- Mode d’utilisation pratique : Reconstitution avec EPPPI (IV : 10 ml pour 1 g) ou lidocaïne 1 % (IM : 3,5 ml pour 1 g) ; perfusion IV 30 min.</w:t>
      </w:r>
    </w:p>
    <w:p>
      <w:pPr>
        <w:pStyle w:val="BodyText"/>
      </w:pPr>
      <w:r>
        <w:rPr>
          <w:b/>
          <w:bCs/>
        </w:rPr>
        <w:t xml:space="preserve">Notes, Règles d’Or &amp; Pièges au Comptoir :</w:t>
      </w:r>
      <w:r>
        <w:t xml:space="preserve"> </w:t>
      </w:r>
      <w:r>
        <w:t xml:space="preserve">- Piège classique : Perfuser avec du calcium chez le nouveau-né — risque létal de précipitation.</w:t>
      </w:r>
      <w:r>
        <w:t xml:space="preserve"> </w:t>
      </w:r>
      <w:r>
        <w:t xml:space="preserve">- Règle de prise : Uniquotidienne stricte ; ne pas fractionner.</w:t>
      </w:r>
      <w:r>
        <w:t xml:space="preserve"> </w:t>
      </w:r>
      <w:r>
        <w:t xml:space="preserve">- Préparation et Conservation : Poudre stable 24 mois à ≤25 °C ; solution reconstituée stable 6 h à température ambiante, 24 h à +4 °C.</w:t>
      </w:r>
      <w:r>
        <w:t xml:space="preserve"> </w:t>
      </w:r>
      <w:r>
        <w:t xml:space="preserve">- Piège du surdosage / Substitution : Adapter en IR sévère (DFG &lt; 10 : max 2 g/j) ; chez l’enfant, limiter à 80 mg/kg/j dans la méningite.</w:t>
      </w:r>
    </w:p>
    <w:p>
      <w:r>
        <w:pict>
          <v:rect style="width:0;height:1.5pt" o:hralign="center" o:hrstd="t" o:hr="t"/>
        </w:pict>
      </w:r>
    </w:p>
    <w:bookmarkEnd w:id="69"/>
    <w:bookmarkStart w:id="70" w:name="dci-ceftazidime-seule"/>
    <w:p>
      <w:pPr>
        <w:pStyle w:val="Heading3"/>
      </w:pPr>
      <w:r>
        <w:t xml:space="preserve">10. DCI : Ceftazidime (Seule)</w:t>
      </w:r>
    </w:p>
    <w:p>
      <w:pPr>
        <w:pStyle w:val="FirstParagraph"/>
      </w:pPr>
      <w:r>
        <w:rPr>
          <w:b/>
          <w:bCs/>
        </w:rPr>
        <w:t xml:space="preserve">Liste des Catégories :</w:t>
      </w:r>
      <w:r>
        <w:t xml:space="preserve"> </w:t>
      </w:r>
      <w:r>
        <w:t xml:space="preserve">Céphalosporines 3ème génération ; Liste I ; Injectable.</w:t>
      </w:r>
    </w:p>
    <w:p>
      <w:pPr>
        <w:pStyle w:val="BodyText"/>
      </w:pPr>
      <w:r>
        <w:t xml:space="preserve">La ceftazidime est la</w:t>
      </w:r>
      <w:r>
        <w:t xml:space="preserve"> </w:t>
      </w:r>
      <w:r>
        <w:rPr>
          <w:b/>
          <w:bCs/>
        </w:rPr>
        <w:t xml:space="preserve">seule C3G antipyocyanique</w:t>
      </w:r>
      <w:r>
        <w:t xml:space="preserve">. Elle partage le spectre des autres C3G mais y ajoute une activité marquée sur</w:t>
      </w:r>
      <w:r>
        <w:t xml:space="preserve"> </w:t>
      </w:r>
      <w:r>
        <w:rPr>
          <w:i/>
          <w:iCs/>
        </w:rPr>
        <w:t xml:space="preserve">Pseudomonas aeruginosa</w:t>
      </w:r>
      <w:r>
        <w:t xml:space="preserve">. Elle perd en revanche une partie de l’activité anti-Gram positif (pneumocoque, staphylocoque). Elle reste un pilier du traitement des infections nosocomiales et de la mucoviscidose.</w:t>
      </w:r>
    </w:p>
    <w:p>
      <w:pPr>
        <w:pStyle w:val="BodyText"/>
      </w:pPr>
      <w:r>
        <w:rPr>
          <w:b/>
          <w:bCs/>
        </w:rPr>
        <w:t xml:space="preserve">Médicaments disponibles en Algérie (Marques, Laboratoires, Formes et Dosages) :</w:t>
      </w:r>
    </w:p>
    <w:p>
      <w:pPr>
        <w:pStyle w:val="Compact"/>
        <w:numPr>
          <w:ilvl w:val="0"/>
          <w:numId w:val="1198"/>
        </w:numPr>
      </w:pPr>
      <w:r>
        <w:rPr>
          <w:b/>
          <w:bCs/>
        </w:rPr>
        <w:t xml:space="preserve">CEFTAZIM</w:t>
      </w:r>
      <w:r>
        <w:t xml:space="preserve"> </w:t>
      </w:r>
      <w:r>
        <w:t xml:space="preserve">(UNIMED)</w:t>
      </w:r>
    </w:p>
    <w:p>
      <w:pPr>
        <w:pStyle w:val="Compact"/>
        <w:numPr>
          <w:ilvl w:val="1"/>
          <w:numId w:val="1199"/>
        </w:numPr>
      </w:pPr>
      <w:r>
        <w:t xml:space="preserve">Formes et Dosages : Poudre pour solution injectable IV/IM — 500 mg/flacon (enfant et nourrisson) ; 1 g/flacon</w:t>
      </w:r>
    </w:p>
    <w:p>
      <w:pPr>
        <w:pStyle w:val="Compact"/>
        <w:numPr>
          <w:ilvl w:val="1"/>
          <w:numId w:val="1199"/>
        </w:numPr>
      </w:pPr>
      <w:r>
        <w:t xml:space="preserve">Statut : Actif</w:t>
      </w:r>
    </w:p>
    <w:p>
      <w:pPr>
        <w:pStyle w:val="Compact"/>
        <w:numPr>
          <w:ilvl w:val="0"/>
          <w:numId w:val="1198"/>
        </w:numPr>
      </w:pPr>
      <w:r>
        <w:rPr>
          <w:b/>
          <w:bCs/>
        </w:rPr>
        <w:t xml:space="preserve">CEFAZIDIME HUP</w:t>
      </w:r>
      <w:r>
        <w:t xml:space="preserve"> </w:t>
      </w:r>
      <w:r>
        <w:t xml:space="preserve">(HUPP PHARMA)</w:t>
      </w:r>
    </w:p>
    <w:p>
      <w:pPr>
        <w:pStyle w:val="Compact"/>
        <w:numPr>
          <w:ilvl w:val="1"/>
          <w:numId w:val="1200"/>
        </w:numPr>
      </w:pPr>
      <w:r>
        <w:t xml:space="preserve">Formes et Dosages : Poudre pour solution injectable IV/IM — 1 g/flacon</w:t>
      </w:r>
    </w:p>
    <w:p>
      <w:pPr>
        <w:pStyle w:val="Compact"/>
        <w:numPr>
          <w:ilvl w:val="1"/>
          <w:numId w:val="1200"/>
        </w:numPr>
      </w:pPr>
      <w:r>
        <w:t xml:space="preserve">Statut : Actif</w:t>
      </w:r>
    </w:p>
    <w:p>
      <w:pPr>
        <w:pStyle w:val="Compact"/>
        <w:numPr>
          <w:ilvl w:val="0"/>
          <w:numId w:val="1198"/>
        </w:numPr>
      </w:pPr>
      <w:r>
        <w:rPr>
          <w:b/>
          <w:bCs/>
        </w:rPr>
        <w:t xml:space="preserve">ZAKIZIDIM</w:t>
      </w:r>
      <w:r>
        <w:t xml:space="preserve"> </w:t>
      </w:r>
      <w:r>
        <w:t xml:space="preserve">(IMGSA GROUPE INDUSTRIE PHARMACEUTIQUE)</w:t>
      </w:r>
    </w:p>
    <w:p>
      <w:pPr>
        <w:pStyle w:val="Compact"/>
        <w:numPr>
          <w:ilvl w:val="1"/>
          <w:numId w:val="1201"/>
        </w:numPr>
      </w:pPr>
      <w:r>
        <w:t xml:space="preserve">Formes et Dosages : Poudre pour solution injectable IV/IM — 1 g/flacon (B/10)</w:t>
      </w:r>
    </w:p>
    <w:p>
      <w:pPr>
        <w:pStyle w:val="Compact"/>
        <w:numPr>
          <w:ilvl w:val="1"/>
          <w:numId w:val="1201"/>
        </w:numPr>
      </w:pPr>
      <w:r>
        <w:t xml:space="preserve">Statut : Actif</w:t>
      </w:r>
    </w:p>
    <w:p>
      <w:pPr>
        <w:pStyle w:val="Compact"/>
        <w:numPr>
          <w:ilvl w:val="0"/>
          <w:numId w:val="1198"/>
        </w:numPr>
      </w:pPr>
      <w:r>
        <w:rPr>
          <w:b/>
          <w:bCs/>
        </w:rPr>
        <w:t xml:space="preserve">ZIDIME</w:t>
      </w:r>
      <w:r>
        <w:t xml:space="preserve"> </w:t>
      </w:r>
      <w:r>
        <w:t xml:space="preserve">(EL KENDI INDUSTRIE DU MEDICAMENT)</w:t>
      </w:r>
    </w:p>
    <w:p>
      <w:pPr>
        <w:pStyle w:val="Compact"/>
        <w:numPr>
          <w:ilvl w:val="1"/>
          <w:numId w:val="1202"/>
        </w:numPr>
      </w:pPr>
      <w:r>
        <w:t xml:space="preserve">Formes et Dosages : Poudre pour solution injectable IM/IV — 1 g ; Poudre pour solution injectable IV — 2 g</w:t>
      </w:r>
    </w:p>
    <w:p>
      <w:pPr>
        <w:pStyle w:val="Compact"/>
        <w:numPr>
          <w:ilvl w:val="1"/>
          <w:numId w:val="1202"/>
        </w:numPr>
      </w:pPr>
      <w:r>
        <w:t xml:space="preserve">Statut : Non Renouvelable</w:t>
      </w:r>
    </w:p>
    <w:p>
      <w:pPr>
        <w:pStyle w:val="Compact"/>
        <w:numPr>
          <w:ilvl w:val="0"/>
          <w:numId w:val="1198"/>
        </w:numPr>
      </w:pPr>
      <w:r>
        <w:rPr>
          <w:b/>
          <w:bCs/>
        </w:rPr>
        <w:t xml:space="preserve">FORTUM ENF ET NOURR</w:t>
      </w:r>
      <w:r>
        <w:t xml:space="preserve"> </w:t>
      </w:r>
      <w:r>
        <w:t xml:space="preserve">(GLAXOSMITHKLINE)</w:t>
      </w:r>
    </w:p>
    <w:p>
      <w:pPr>
        <w:pStyle w:val="Compact"/>
        <w:numPr>
          <w:ilvl w:val="1"/>
          <w:numId w:val="1203"/>
        </w:numPr>
      </w:pPr>
      <w:r>
        <w:t xml:space="preserve">Formes et Dosages : Poudre pour solution injectable IM/IV — 500 mg</w:t>
      </w:r>
    </w:p>
    <w:p>
      <w:pPr>
        <w:pStyle w:val="Compact"/>
        <w:numPr>
          <w:ilvl w:val="1"/>
          <w:numId w:val="1203"/>
        </w:numPr>
      </w:pPr>
      <w:r>
        <w:t xml:space="preserve">Statut : Retiré (R)</w:t>
      </w:r>
    </w:p>
    <w:p>
      <w:pPr>
        <w:pStyle w:val="Compact"/>
        <w:numPr>
          <w:ilvl w:val="0"/>
          <w:numId w:val="1198"/>
        </w:numPr>
      </w:pPr>
      <w:r>
        <w:rPr>
          <w:b/>
          <w:bCs/>
        </w:rPr>
        <w:t xml:space="preserve">FORTUM</w:t>
      </w:r>
      <w:r>
        <w:t xml:space="preserve"> </w:t>
      </w:r>
      <w:r>
        <w:t xml:space="preserve">(GLAXOSMITHKLINE)</w:t>
      </w:r>
    </w:p>
    <w:p>
      <w:pPr>
        <w:pStyle w:val="Compact"/>
        <w:numPr>
          <w:ilvl w:val="1"/>
          <w:numId w:val="1204"/>
        </w:numPr>
      </w:pPr>
      <w:r>
        <w:t xml:space="preserve">Formes et Dosages : Poudre pour solution injectable IM/IV — 1 g</w:t>
      </w:r>
    </w:p>
    <w:p>
      <w:pPr>
        <w:pStyle w:val="Compact"/>
        <w:numPr>
          <w:ilvl w:val="1"/>
          <w:numId w:val="1204"/>
        </w:numPr>
      </w:pPr>
      <w:r>
        <w:t xml:space="preserve">Statut : Retiré (R)</w:t>
      </w:r>
    </w:p>
    <w:p>
      <w:pPr>
        <w:pStyle w:val="FirstParagraph"/>
      </w:pPr>
      <w:r>
        <w:rPr>
          <w:b/>
          <w:bCs/>
        </w:rPr>
        <w:t xml:space="preserve">Sous-classe et Mécanisme d’action :</w:t>
      </w:r>
      <w:r>
        <w:t xml:space="preserve"> </w:t>
      </w:r>
      <w:r>
        <w:t xml:space="preserve">- Sous-classe : C3G antipyocyanique, groupe carboxy-propyloxy-imino.</w:t>
      </w:r>
      <w:r>
        <w:t xml:space="preserve"> </w:t>
      </w:r>
      <w:r>
        <w:t xml:space="preserve">- Mécanisme d’action : Bactéricide, affinité PLP3 dominante. Spectre large incluant</w:t>
      </w:r>
      <w:r>
        <w:t xml:space="preserve"> </w:t>
      </w:r>
      <w:r>
        <w:rPr>
          <w:i/>
          <w:iCs/>
        </w:rPr>
        <w:t xml:space="preserve">P. aeruginosa</w:t>
      </w:r>
      <w:r>
        <w:t xml:space="preserve">,</w:t>
      </w:r>
      <w:r>
        <w:t xml:space="preserve"> </w:t>
      </w:r>
      <w:r>
        <w:rPr>
          <w:i/>
          <w:iCs/>
        </w:rPr>
        <w:t xml:space="preserve">Acinetobacter</w:t>
      </w:r>
      <w:r>
        <w:t xml:space="preserve"> </w:t>
      </w:r>
      <w:r>
        <w:t xml:space="preserve">spp., entérobactéries,</w:t>
      </w:r>
      <w:r>
        <w:t xml:space="preserve"> </w:t>
      </w:r>
      <w:r>
        <w:rPr>
          <w:i/>
          <w:iCs/>
        </w:rPr>
        <w:t xml:space="preserve">H. influenzae</w:t>
      </w:r>
      <w:r>
        <w:t xml:space="preserve">,</w:t>
      </w:r>
      <w:r>
        <w:t xml:space="preserve"> </w:t>
      </w:r>
      <w:r>
        <w:rPr>
          <w:i/>
          <w:iCs/>
        </w:rPr>
        <w:t xml:space="preserve">N. meningitidis</w:t>
      </w:r>
      <w:r>
        <w:t xml:space="preserve">,</w:t>
      </w:r>
      <w:r>
        <w:t xml:space="preserve"> </w:t>
      </w:r>
      <w:r>
        <w:rPr>
          <w:i/>
          <w:iCs/>
        </w:rPr>
        <w:t xml:space="preserve">N. gonorrhoeae</w:t>
      </w:r>
      <w:r>
        <w:t xml:space="preserve">,</w:t>
      </w:r>
      <w:r>
        <w:t xml:space="preserve"> </w:t>
      </w:r>
      <w:r>
        <w:rPr>
          <w:i/>
          <w:iCs/>
        </w:rPr>
        <w:t xml:space="preserve">M. catarrhalis</w:t>
      </w:r>
      <w:r>
        <w:t xml:space="preserve">. Activité médiocre sur</w:t>
      </w:r>
      <w:r>
        <w:t xml:space="preserve"> </w:t>
      </w:r>
      <w:r>
        <w:rPr>
          <w:i/>
          <w:iCs/>
        </w:rPr>
        <w:t xml:space="preserve">S. aureus</w:t>
      </w:r>
      <w:r>
        <w:t xml:space="preserve">, pneumocoque,</w:t>
      </w:r>
      <w:r>
        <w:t xml:space="preserve"> </w:t>
      </w:r>
      <w:r>
        <w:rPr>
          <w:i/>
          <w:iCs/>
        </w:rPr>
        <w:t xml:space="preserve">Enterococcus</w:t>
      </w:r>
      <w:r>
        <w:t xml:space="preserve">,</w:t>
      </w:r>
      <w:r>
        <w:t xml:space="preserve"> </w:t>
      </w:r>
      <w:r>
        <w:rPr>
          <w:i/>
          <w:iCs/>
        </w:rPr>
        <w:t xml:space="preserve">Listeria</w:t>
      </w:r>
      <w:r>
        <w:t xml:space="preserve">. Sensible aux BLSE et à certaines céphalosporinases (AmpC derepressée).</w:t>
      </w:r>
    </w:p>
    <w:p>
      <w:pPr>
        <w:pStyle w:val="BodyText"/>
      </w:pPr>
      <w:r>
        <w:rPr>
          <w:b/>
          <w:bCs/>
        </w:rPr>
        <w:t xml:space="preserve">Profil Pharmacologique :</w:t>
      </w:r>
      <w:r>
        <w:t xml:space="preserve"> </w:t>
      </w:r>
      <w:r>
        <w:t xml:space="preserve">- Indications : Infections sévères à</w:t>
      </w:r>
      <w:r>
        <w:t xml:space="preserve"> </w:t>
      </w:r>
      <w:r>
        <w:rPr>
          <w:i/>
          <w:iCs/>
        </w:rPr>
        <w:t xml:space="preserve">P. aeruginosa</w:t>
      </w:r>
      <w:r>
        <w:t xml:space="preserve"> </w:t>
      </w:r>
      <w:r>
        <w:t xml:space="preserve">(septicémie, pneumonie nosocomiale, méningite nosocomiale, infection urinaire compliquée, mucoviscidose), infections à entérobactéries multirésistantes (en alternative à la carbapénème), fièvre neutropénique empirique (en association), infections ostéo-articulaires, péritonites nosocomiales (en association à métronidazole).</w:t>
      </w:r>
      <w:r>
        <w:t xml:space="preserve"> </w:t>
      </w:r>
      <w:r>
        <w:t xml:space="preserve">- Contre-indications : Hypersensibilité aux céphalosporines ; allergie grave aux pénicillines.</w:t>
      </w:r>
      <w:r>
        <w:t xml:space="preserve"> </w:t>
      </w:r>
      <w:r>
        <w:t xml:space="preserve">- Effets Indésirables : Rash, diarrhée, thrombophlébite, élévation transaminases, éosinophilie, positivité Coombs ;</w:t>
      </w:r>
      <w:r>
        <w:t xml:space="preserve"> </w:t>
      </w:r>
      <w:r>
        <w:rPr>
          <w:b/>
          <w:bCs/>
        </w:rPr>
        <w:t xml:space="preserve">réactions neurologiques</w:t>
      </w:r>
      <w:r>
        <w:t xml:space="preserve"> </w:t>
      </w:r>
      <w:r>
        <w:t xml:space="preserve">(encéphalopathie, convulsions, myoclonies, état de mal) à forte dose surtout en IR ; colite à</w:t>
      </w:r>
      <w:r>
        <w:t xml:space="preserve"> </w:t>
      </w:r>
      <w:r>
        <w:rPr>
          <w:i/>
          <w:iCs/>
        </w:rPr>
        <w:t xml:space="preserve">C. difficile</w:t>
      </w:r>
      <w:r>
        <w:t xml:space="preserve">.</w:t>
      </w:r>
    </w:p>
    <w:p>
      <w:pPr>
        <w:pStyle w:val="BodyText"/>
      </w:pPr>
      <w:r>
        <w:rPr>
          <w:b/>
          <w:bCs/>
        </w:rPr>
        <w:t xml:space="preserve">Prévention et Gestion des Effets Indésirables :</w:t>
      </w:r>
      <w:r>
        <w:t xml:space="preserve"> </w:t>
      </w:r>
      <w:r>
        <w:t xml:space="preserve">- Mesures Préventives : Adaptation posologique stricte en IR (DFG &lt; 50 : 1 g toutes les 8–12 h ; DFG &lt; 10 : 0,5–1 g toutes les 24–48 h) ; surveillance neurologique chez le sujet âgé et l’IR ; hydratation.</w:t>
      </w:r>
      <w:r>
        <w:t xml:space="preserve"> </w:t>
      </w:r>
      <w:r>
        <w:t xml:space="preserve">- Conduite à Tenir : Arrêt en cas de myoclonies ou de convulsions ; épuration extra-rénale possible.</w:t>
      </w:r>
    </w:p>
    <w:p>
      <w:pPr>
        <w:pStyle w:val="BodyText"/>
      </w:pPr>
      <w:r>
        <w:rPr>
          <w:b/>
          <w:bCs/>
        </w:rPr>
        <w:t xml:space="preserve">Interactions Importantes :</w:t>
      </w:r>
      <w:r>
        <w:t xml:space="preserve"> </w:t>
      </w:r>
      <w:r>
        <w:t xml:space="preserve">- Aminoglycosides : Synergie sur</w:t>
      </w:r>
      <w:r>
        <w:t xml:space="preserve"> </w:t>
      </w:r>
      <w:r>
        <w:rPr>
          <w:i/>
          <w:iCs/>
        </w:rPr>
        <w:t xml:space="preserve">Pseudomonas</w:t>
      </w:r>
      <w:r>
        <w:t xml:space="preserve">, majoration néphrotoxicité.</w:t>
      </w:r>
      <w:r>
        <w:t xml:space="preserve"> </w:t>
      </w:r>
      <w:r>
        <w:t xml:space="preserve">- Chloramphénicol : Antagonisme.</w:t>
      </w:r>
      <w:r>
        <w:t xml:space="preserve"> </w:t>
      </w:r>
      <w:r>
        <w:t xml:space="preserve">- Vancomycine : Majoration néphrotoxicité.</w:t>
      </w:r>
      <w:r>
        <w:t xml:space="preserve"> </w:t>
      </w:r>
      <w:r>
        <w:t xml:space="preserve">- Fluoroquinolones : Synergie sur</w:t>
      </w:r>
      <w:r>
        <w:t xml:space="preserve"> </w:t>
      </w:r>
      <w:r>
        <w:rPr>
          <w:i/>
          <w:iCs/>
        </w:rPr>
        <w:t xml:space="preserve">Pseudomonas</w:t>
      </w:r>
      <w:r>
        <w:t xml:space="preserve">.</w:t>
      </w:r>
    </w:p>
    <w:p>
      <w:pPr>
        <w:pStyle w:val="BodyText"/>
      </w:pPr>
      <w:r>
        <w:rPr>
          <w:b/>
          <w:bCs/>
        </w:rPr>
        <w:t xml:space="preserve">Grossesse et Allaitement :</w:t>
      </w:r>
      <w:r>
        <w:t xml:space="preserve"> </w:t>
      </w:r>
      <w:r>
        <w:t xml:space="preserve">- Grossesse : Indiqué selon CRAT.</w:t>
      </w:r>
      <w:r>
        <w:t xml:space="preserve"> </w:t>
      </w:r>
      <w:r>
        <w:t xml:space="preserve">- Allaitement : Compatible.</w:t>
      </w:r>
      <w:r>
        <w:t xml:space="preserve"> </w:t>
      </w:r>
      <w:r>
        <w:t xml:space="preserve">- Précisions : À éviter au 1er trimestre si alternative, mais non CI absolue.</w:t>
      </w:r>
    </w:p>
    <w:p>
      <w:pPr>
        <w:pStyle w:val="BodyText"/>
      </w:pPr>
      <w:r>
        <w:rPr>
          <w:b/>
          <w:bCs/>
        </w:rPr>
        <w:t xml:space="preserve">Posologie et Mode d’administration (Standard) :</w:t>
      </w:r>
      <w:r>
        <w:t xml:space="preserve"> </w:t>
      </w:r>
      <w:r>
        <w:t xml:space="preserve">- Adulte : 1 à 2 g IV/IM toutes les 8 à 12 heures ; infections sévères et</w:t>
      </w:r>
      <w:r>
        <w:t xml:space="preserve"> </w:t>
      </w:r>
      <w:r>
        <w:rPr>
          <w:i/>
          <w:iCs/>
        </w:rPr>
        <w:t xml:space="preserve">Pseudomonas</w:t>
      </w:r>
      <w:r>
        <w:t xml:space="preserve"> </w:t>
      </w:r>
      <w:r>
        <w:t xml:space="preserve">2 g ×3/jour (6 g/j) ; mucoviscidose 2 g ×3/j (ou perfusion continue 6–9 g/j). Maximum 9 g/j.</w:t>
      </w:r>
      <w:r>
        <w:t xml:space="preserve"> </w:t>
      </w:r>
      <w:r>
        <w:t xml:space="preserve">- Enfant : 100 à 150 mg/kg/jour en 3 injections ; mucoviscidose 150 mg/kg/jour (max 6 g/j) ; nouveau-né 50 mg/kg ×2/j.</w:t>
      </w:r>
      <w:r>
        <w:t xml:space="preserve"> </w:t>
      </w:r>
      <w:r>
        <w:t xml:space="preserve">- Durée : Infection urinaire 7 j ; pneumonie 7–14 j ; méningite nosocomiale 14–21 j ; mucoviscidose 14 j.</w:t>
      </w:r>
      <w:r>
        <w:t xml:space="preserve"> </w:t>
      </w:r>
      <w:r>
        <w:t xml:space="preserve">- Moment de prise : Perfusion IV 30 min ; IM profonde avec lidocaïne 0,5 %.</w:t>
      </w:r>
    </w:p>
    <w:p>
      <w:pPr>
        <w:pStyle w:val="BodyText"/>
      </w:pPr>
      <w:r>
        <w:rPr>
          <w:b/>
          <w:bCs/>
        </w:rPr>
        <w:t xml:space="preserve">Arbitrage et Bénéfices des Formes Galéniques :</w:t>
      </w:r>
      <w:r>
        <w:t xml:space="preserve"> </w:t>
      </w:r>
      <w:r>
        <w:t xml:space="preserve">La forme 2 g (ZIDIME) est utile pour réduire le nombre d’injections en réanimation. La forme 1 g est la plus polyvalente. La présentation enfant 500 mg est adaptée à la pédiatrie. Le passage à la ceftazidime-avibactam (ZAVICEFTA) est réservé aux BLSE et KPC.</w:t>
      </w:r>
    </w:p>
    <w:p>
      <w:pPr>
        <w:pStyle w:val="BodyText"/>
      </w:pPr>
      <w:r>
        <w:rPr>
          <w:b/>
          <w:bCs/>
        </w:rPr>
        <w:t xml:space="preserve">Instructions et Conseils au Patient :</w:t>
      </w:r>
      <w:r>
        <w:t xml:space="preserve"> </w:t>
      </w:r>
      <w:r>
        <w:t xml:space="preserve">- Communication au comptoir : Usage hospitalier exclusif. Information sur la surveillance neurologique et rénale.</w:t>
      </w:r>
      <w:r>
        <w:t xml:space="preserve"> </w:t>
      </w:r>
      <w:r>
        <w:t xml:space="preserve">- Mode d’utilisation pratique : Reconstitution avec EPPPI (IV) ou lidocaïne (IM) ; perfusion lente.</w:t>
      </w:r>
    </w:p>
    <w:p>
      <w:pPr>
        <w:pStyle w:val="BodyText"/>
      </w:pPr>
      <w:r>
        <w:rPr>
          <w:b/>
          <w:bCs/>
        </w:rPr>
        <w:t xml:space="preserve">Notes, Règles d’Or &amp; Pièges au Comptoir :</w:t>
      </w:r>
      <w:r>
        <w:t xml:space="preserve"> </w:t>
      </w:r>
      <w:r>
        <w:t xml:space="preserve">- Piège classique : Prescrire en première intention dans une infection communautaire — c’est un antibiotique de réserve.</w:t>
      </w:r>
      <w:r>
        <w:t xml:space="preserve"> </w:t>
      </w:r>
      <w:r>
        <w:t xml:space="preserve">- Règle de prise : Toutes les 8 h pour maintenir le temps &gt; CMI.</w:t>
      </w:r>
      <w:r>
        <w:t xml:space="preserve"> </w:t>
      </w:r>
      <w:r>
        <w:t xml:space="preserve">- Préparation et Conservation : Solution reconstituée stable 18 h à température ambiante, 7 jours à +4 °C.</w:t>
      </w:r>
      <w:r>
        <w:t xml:space="preserve"> </w:t>
      </w:r>
      <w:r>
        <w:t xml:space="preserve">- Piège du surdosage / Substitution : Encéphalopathie β-lactamine à forte dose.</w:t>
      </w:r>
    </w:p>
    <w:p>
      <w:r>
        <w:pict>
          <v:rect style="width:0;height:1.5pt" o:hralign="center" o:hrstd="t" o:hr="t"/>
        </w:pict>
      </w:r>
    </w:p>
    <w:bookmarkEnd w:id="70"/>
    <w:bookmarkStart w:id="71" w:name="dci-céfixime-seule"/>
    <w:p>
      <w:pPr>
        <w:pStyle w:val="Heading3"/>
      </w:pPr>
      <w:r>
        <w:t xml:space="preserve">11. DCI : Céfixime (Seule)</w:t>
      </w:r>
    </w:p>
    <w:p>
      <w:pPr>
        <w:pStyle w:val="FirstParagraph"/>
      </w:pPr>
      <w:r>
        <w:rPr>
          <w:b/>
          <w:bCs/>
        </w:rPr>
        <w:t xml:space="preserve">Liste des Catégories :</w:t>
      </w:r>
      <w:r>
        <w:t xml:space="preserve"> </w:t>
      </w:r>
      <w:r>
        <w:t xml:space="preserve">Céphalosporines 3ème génération ; Liste I ; Orale.</w:t>
      </w:r>
    </w:p>
    <w:p>
      <w:pPr>
        <w:pStyle w:val="BodyText"/>
      </w:pPr>
      <w:r>
        <w:t xml:space="preserve">Le céfixime est la</w:t>
      </w:r>
      <w:r>
        <w:t xml:space="preserve"> </w:t>
      </w:r>
      <w:r>
        <w:rPr>
          <w:b/>
          <w:bCs/>
        </w:rPr>
        <w:t xml:space="preserve">seule C3G orale disponible en Algérie</w:t>
      </w:r>
      <w:r>
        <w:t xml:space="preserve">. Sa longue demi-vie (3–4 h) et son élimination mixte rénale/biliaire en font une molécule de choix pour le relais oral des C3G injectables et le traitement ambulatoire des infections modérées à germes sensibles.</w:t>
      </w:r>
    </w:p>
    <w:p>
      <w:pPr>
        <w:pStyle w:val="BodyText"/>
      </w:pPr>
      <w:r>
        <w:rPr>
          <w:b/>
          <w:bCs/>
        </w:rPr>
        <w:t xml:space="preserve">Médicaments disponibles en Algérie (Marques, Laboratoires, Formes et Dosages) :</w:t>
      </w:r>
    </w:p>
    <w:p>
      <w:pPr>
        <w:pStyle w:val="Compact"/>
        <w:numPr>
          <w:ilvl w:val="0"/>
          <w:numId w:val="1205"/>
        </w:numPr>
      </w:pPr>
      <w:r>
        <w:rPr>
          <w:b/>
          <w:bCs/>
        </w:rPr>
        <w:t xml:space="preserve">OROKAL</w:t>
      </w:r>
      <w:r>
        <w:t xml:space="preserve"> </w:t>
      </w:r>
      <w:r>
        <w:t xml:space="preserve">(SOCIETE PHARMACEUTIQUE ALGERIENNE SOPHAL)</w:t>
      </w:r>
    </w:p>
    <w:p>
      <w:pPr>
        <w:pStyle w:val="Compact"/>
        <w:numPr>
          <w:ilvl w:val="1"/>
          <w:numId w:val="1206"/>
        </w:numPr>
      </w:pPr>
      <w:r>
        <w:t xml:space="preserve">Formes et Dosages : Poudre pour suspension buvable 40 mg/5 ml (FL/40 ml avec pipette graduée en kg) ; 100 mg/5 ml (FL/40 ml avec pipette) ; Comprimé pelliculé 200 mg (B/08) ; Gélule 400 mg (B/06)</w:t>
      </w:r>
    </w:p>
    <w:p>
      <w:pPr>
        <w:pStyle w:val="Compact"/>
        <w:numPr>
          <w:ilvl w:val="1"/>
          <w:numId w:val="1206"/>
        </w:numPr>
      </w:pPr>
      <w:r>
        <w:t xml:space="preserve">Statut : Actif</w:t>
      </w:r>
    </w:p>
    <w:p>
      <w:pPr>
        <w:pStyle w:val="Compact"/>
        <w:numPr>
          <w:ilvl w:val="0"/>
          <w:numId w:val="1205"/>
        </w:numPr>
      </w:pPr>
      <w:r>
        <w:rPr>
          <w:b/>
          <w:bCs/>
        </w:rPr>
        <w:t xml:space="preserve">CEFIMAX</w:t>
      </w:r>
      <w:r>
        <w:t xml:space="preserve"> </w:t>
      </w:r>
      <w:r>
        <w:t xml:space="preserve">(PHARMALLIANCE)</w:t>
      </w:r>
    </w:p>
    <w:p>
      <w:pPr>
        <w:pStyle w:val="Compact"/>
        <w:numPr>
          <w:ilvl w:val="1"/>
          <w:numId w:val="1207"/>
        </w:numPr>
      </w:pPr>
      <w:r>
        <w:t xml:space="preserve">Formes et Dosages : Poudre pour suspension buvable 40 mg/5 ml (FL/40 ml) ; 100 mg/5 ml (FL/40 ml) ; Comprimé pelliculé 200 mg (B/08 et B/14)</w:t>
      </w:r>
    </w:p>
    <w:p>
      <w:pPr>
        <w:pStyle w:val="Compact"/>
        <w:numPr>
          <w:ilvl w:val="1"/>
          <w:numId w:val="1207"/>
        </w:numPr>
      </w:pPr>
      <w:r>
        <w:t xml:space="preserve">Statut : Actif</w:t>
      </w:r>
    </w:p>
    <w:p>
      <w:pPr>
        <w:pStyle w:val="Compact"/>
        <w:numPr>
          <w:ilvl w:val="0"/>
          <w:numId w:val="1205"/>
        </w:numPr>
      </w:pPr>
      <w:r>
        <w:rPr>
          <w:b/>
          <w:bCs/>
        </w:rPr>
        <w:t xml:space="preserve">OROKEN ENF</w:t>
      </w:r>
      <w:r>
        <w:t xml:space="preserve"> </w:t>
      </w:r>
      <w:r>
        <w:t xml:space="preserve">(AVENTIS PHARMA S.A)</w:t>
      </w:r>
    </w:p>
    <w:p>
      <w:pPr>
        <w:pStyle w:val="Compact"/>
        <w:numPr>
          <w:ilvl w:val="1"/>
          <w:numId w:val="1208"/>
        </w:numPr>
      </w:pPr>
      <w:r>
        <w:t xml:space="preserve">Formes et Dosages : Poudre pour suspension buvable 100 mg/5 ml (FL/13,3 g)</w:t>
      </w:r>
    </w:p>
    <w:p>
      <w:pPr>
        <w:pStyle w:val="Compact"/>
        <w:numPr>
          <w:ilvl w:val="1"/>
          <w:numId w:val="1208"/>
        </w:numPr>
      </w:pPr>
      <w:r>
        <w:t xml:space="preserve">Statut : Actif</w:t>
      </w:r>
    </w:p>
    <w:p>
      <w:pPr>
        <w:pStyle w:val="Compact"/>
        <w:numPr>
          <w:ilvl w:val="0"/>
          <w:numId w:val="1205"/>
        </w:numPr>
      </w:pPr>
      <w:r>
        <w:rPr>
          <w:b/>
          <w:bCs/>
        </w:rPr>
        <w:t xml:space="preserve">OROKEN</w:t>
      </w:r>
      <w:r>
        <w:t xml:space="preserve"> </w:t>
      </w:r>
      <w:r>
        <w:t xml:space="preserve">(SANOFI AVENTIS FRANCE)</w:t>
      </w:r>
    </w:p>
    <w:p>
      <w:pPr>
        <w:pStyle w:val="Compact"/>
        <w:numPr>
          <w:ilvl w:val="1"/>
          <w:numId w:val="1209"/>
        </w:numPr>
      </w:pPr>
      <w:r>
        <w:t xml:space="preserve">Formes et Dosages : Comprimé pelliculé 200 mg (B/08)</w:t>
      </w:r>
    </w:p>
    <w:p>
      <w:pPr>
        <w:pStyle w:val="Compact"/>
        <w:numPr>
          <w:ilvl w:val="1"/>
          <w:numId w:val="1209"/>
        </w:numPr>
      </w:pPr>
      <w:r>
        <w:t xml:space="preserve">Statut : Actif</w:t>
      </w:r>
    </w:p>
    <w:p>
      <w:pPr>
        <w:pStyle w:val="Compact"/>
        <w:numPr>
          <w:ilvl w:val="0"/>
          <w:numId w:val="1205"/>
        </w:numPr>
      </w:pPr>
      <w:r>
        <w:rPr>
          <w:b/>
          <w:bCs/>
        </w:rPr>
        <w:t xml:space="preserve">CEFIKEN</w:t>
      </w:r>
      <w:r>
        <w:t xml:space="preserve"> </w:t>
      </w:r>
      <w:r>
        <w:t xml:space="preserve">(HUPP PHARMA)</w:t>
      </w:r>
    </w:p>
    <w:p>
      <w:pPr>
        <w:pStyle w:val="Compact"/>
        <w:numPr>
          <w:ilvl w:val="1"/>
          <w:numId w:val="1210"/>
        </w:numPr>
      </w:pPr>
      <w:r>
        <w:t xml:space="preserve">Formes et Dosages : Comprimé pelliculé 200 mg (B/08)</w:t>
      </w:r>
    </w:p>
    <w:p>
      <w:pPr>
        <w:pStyle w:val="Compact"/>
        <w:numPr>
          <w:ilvl w:val="1"/>
          <w:numId w:val="1210"/>
        </w:numPr>
      </w:pPr>
      <w:r>
        <w:t xml:space="preserve">Statut : Actif</w:t>
      </w:r>
    </w:p>
    <w:p>
      <w:pPr>
        <w:pStyle w:val="Compact"/>
        <w:numPr>
          <w:ilvl w:val="0"/>
          <w:numId w:val="1205"/>
        </w:numPr>
      </w:pPr>
      <w:r>
        <w:rPr>
          <w:b/>
          <w:bCs/>
        </w:rPr>
        <w:t xml:space="preserve">WINEX</w:t>
      </w:r>
      <w:r>
        <w:t xml:space="preserve"> </w:t>
      </w:r>
      <w:r>
        <w:t xml:space="preserve">(TABUK ALGERIE)</w:t>
      </w:r>
    </w:p>
    <w:p>
      <w:pPr>
        <w:pStyle w:val="Compact"/>
        <w:numPr>
          <w:ilvl w:val="1"/>
          <w:numId w:val="1211"/>
        </w:numPr>
      </w:pPr>
      <w:r>
        <w:t xml:space="preserve">Formes et Dosages : Gélule 200 mg (B/08) ; Gélule 400 mg (B/06)</w:t>
      </w:r>
    </w:p>
    <w:p>
      <w:pPr>
        <w:pStyle w:val="Compact"/>
        <w:numPr>
          <w:ilvl w:val="1"/>
          <w:numId w:val="1211"/>
        </w:numPr>
      </w:pPr>
      <w:r>
        <w:t xml:space="preserve">Statut : Actif</w:t>
      </w:r>
    </w:p>
    <w:p>
      <w:pPr>
        <w:pStyle w:val="Compact"/>
        <w:numPr>
          <w:ilvl w:val="0"/>
          <w:numId w:val="1205"/>
        </w:numPr>
      </w:pPr>
      <w:r>
        <w:rPr>
          <w:b/>
          <w:bCs/>
        </w:rPr>
        <w:t xml:space="preserve">BETIXIM</w:t>
      </w:r>
      <w:r>
        <w:t xml:space="preserve"> </w:t>
      </w:r>
      <w:r>
        <w:t xml:space="preserve">(MIDDLE EAST PHARMACEUTICAL AND CHEMICAL INDUSTRIES, MEDICAL APPLIANCES CO)</w:t>
      </w:r>
    </w:p>
    <w:p>
      <w:pPr>
        <w:pStyle w:val="Compact"/>
        <w:numPr>
          <w:ilvl w:val="1"/>
          <w:numId w:val="1212"/>
        </w:numPr>
      </w:pPr>
      <w:r>
        <w:t xml:space="preserve">Formes et Dosages : Gélule 400 mg (B/05)</w:t>
      </w:r>
    </w:p>
    <w:p>
      <w:pPr>
        <w:pStyle w:val="Compact"/>
        <w:numPr>
          <w:ilvl w:val="1"/>
          <w:numId w:val="1212"/>
        </w:numPr>
      </w:pPr>
      <w:r>
        <w:t xml:space="preserve">Statut : Actif</w:t>
      </w:r>
    </w:p>
    <w:p>
      <w:pPr>
        <w:pStyle w:val="Compact"/>
        <w:numPr>
          <w:ilvl w:val="0"/>
          <w:numId w:val="1205"/>
        </w:numPr>
      </w:pPr>
      <w:r>
        <w:rPr>
          <w:b/>
          <w:bCs/>
        </w:rPr>
        <w:t xml:space="preserve">MEGACEF</w:t>
      </w:r>
      <w:r>
        <w:t xml:space="preserve"> </w:t>
      </w:r>
      <w:r>
        <w:t xml:space="preserve">(HIKMA PHARMA ALGERIA)</w:t>
      </w:r>
    </w:p>
    <w:p>
      <w:pPr>
        <w:pStyle w:val="Compact"/>
        <w:numPr>
          <w:ilvl w:val="1"/>
          <w:numId w:val="1213"/>
        </w:numPr>
      </w:pPr>
      <w:r>
        <w:t xml:space="preserve">Formes et Dosages : Poudre pour suspension buvable en sachets 200 mg (B/08 sachets) ; 400 mg (B/03 et B/06 sachets)</w:t>
      </w:r>
    </w:p>
    <w:p>
      <w:pPr>
        <w:pStyle w:val="Compact"/>
        <w:numPr>
          <w:ilvl w:val="1"/>
          <w:numId w:val="1213"/>
        </w:numPr>
      </w:pPr>
      <w:r>
        <w:t xml:space="preserve">Statut : Actif</w:t>
      </w:r>
    </w:p>
    <w:p>
      <w:pPr>
        <w:pStyle w:val="Compact"/>
        <w:numPr>
          <w:ilvl w:val="0"/>
          <w:numId w:val="1205"/>
        </w:numPr>
      </w:pPr>
      <w:r>
        <w:rPr>
          <w:b/>
          <w:bCs/>
        </w:rPr>
        <w:t xml:space="preserve">CEFIX</w:t>
      </w:r>
      <w:r>
        <w:t xml:space="preserve"> </w:t>
      </w:r>
      <w:r>
        <w:t xml:space="preserve">(GEOPHARM)</w:t>
      </w:r>
    </w:p>
    <w:p>
      <w:pPr>
        <w:pStyle w:val="Compact"/>
        <w:numPr>
          <w:ilvl w:val="1"/>
          <w:numId w:val="1214"/>
        </w:numPr>
      </w:pPr>
      <w:r>
        <w:t xml:space="preserve">Formes et Dosages : Poudre pour suspension buvable 100 mg/5 ml (FL/30 ml et FL/60 ml)</w:t>
      </w:r>
    </w:p>
    <w:p>
      <w:pPr>
        <w:pStyle w:val="Compact"/>
        <w:numPr>
          <w:ilvl w:val="1"/>
          <w:numId w:val="1214"/>
        </w:numPr>
      </w:pPr>
      <w:r>
        <w:t xml:space="preserve">Statut : Non Renouvelable</w:t>
      </w:r>
    </w:p>
    <w:p>
      <w:pPr>
        <w:pStyle w:val="Compact"/>
        <w:numPr>
          <w:ilvl w:val="0"/>
          <w:numId w:val="1205"/>
        </w:numPr>
      </w:pPr>
      <w:r>
        <w:rPr>
          <w:b/>
          <w:bCs/>
        </w:rPr>
        <w:t xml:space="preserve">SUPRAXIME</w:t>
      </w:r>
      <w:r>
        <w:t xml:space="preserve"> </w:t>
      </w:r>
      <w:r>
        <w:t xml:space="preserve">(SANAMED)</w:t>
      </w:r>
    </w:p>
    <w:p>
      <w:pPr>
        <w:pStyle w:val="Compact"/>
        <w:numPr>
          <w:ilvl w:val="1"/>
          <w:numId w:val="1215"/>
        </w:numPr>
      </w:pPr>
      <w:r>
        <w:t xml:space="preserve">Formes et Dosages : Poudre pour suspension buvable 100 mg/5 ml (FL/60 ml) ; Comprimé pelliculé 200 mg (B/08)</w:t>
      </w:r>
    </w:p>
    <w:p>
      <w:pPr>
        <w:pStyle w:val="Compact"/>
        <w:numPr>
          <w:ilvl w:val="1"/>
          <w:numId w:val="1215"/>
        </w:numPr>
      </w:pPr>
      <w:r>
        <w:t xml:space="preserve">Statut : Non Renouvelable</w:t>
      </w:r>
    </w:p>
    <w:p>
      <w:pPr>
        <w:pStyle w:val="Compact"/>
        <w:numPr>
          <w:ilvl w:val="0"/>
          <w:numId w:val="1205"/>
        </w:numPr>
      </w:pPr>
      <w:r>
        <w:rPr>
          <w:b/>
          <w:bCs/>
        </w:rPr>
        <w:t xml:space="preserve">WINEX</w:t>
      </w:r>
      <w:r>
        <w:t xml:space="preserve"> </w:t>
      </w:r>
      <w:r>
        <w:t xml:space="preserve">(EL KENDI INDUSTRIE DU MEDICAMENT)</w:t>
      </w:r>
    </w:p>
    <w:p>
      <w:pPr>
        <w:pStyle w:val="Compact"/>
        <w:numPr>
          <w:ilvl w:val="1"/>
          <w:numId w:val="1216"/>
        </w:numPr>
      </w:pPr>
      <w:r>
        <w:t xml:space="preserve">Formes et Dosages : Poudre pour suspension buvable 100 mg/5 ml (FL/60 ml)</w:t>
      </w:r>
    </w:p>
    <w:p>
      <w:pPr>
        <w:pStyle w:val="Compact"/>
        <w:numPr>
          <w:ilvl w:val="1"/>
          <w:numId w:val="1216"/>
        </w:numPr>
      </w:pPr>
      <w:r>
        <w:t xml:space="preserve">Statut : Non Renouvelable</w:t>
      </w:r>
    </w:p>
    <w:p>
      <w:pPr>
        <w:pStyle w:val="Compact"/>
        <w:numPr>
          <w:ilvl w:val="0"/>
          <w:numId w:val="1205"/>
        </w:numPr>
      </w:pPr>
      <w:r>
        <w:rPr>
          <w:b/>
          <w:bCs/>
        </w:rPr>
        <w:t xml:space="preserve">BETIXIM 200</w:t>
      </w:r>
      <w:r>
        <w:t xml:space="preserve"> </w:t>
      </w:r>
      <w:r>
        <w:t xml:space="preserve">(MIDDLE EAST PHARMACEUTICAL AND CHEMICAL INDUSTRIES, MEDICAL APPLIANCES CO)</w:t>
      </w:r>
    </w:p>
    <w:p>
      <w:pPr>
        <w:pStyle w:val="Compact"/>
        <w:numPr>
          <w:ilvl w:val="1"/>
          <w:numId w:val="1217"/>
        </w:numPr>
      </w:pPr>
      <w:r>
        <w:t xml:space="preserve">Formes et Dosages : Gélule 200 mg (B/08)</w:t>
      </w:r>
    </w:p>
    <w:p>
      <w:pPr>
        <w:pStyle w:val="Compact"/>
        <w:numPr>
          <w:ilvl w:val="1"/>
          <w:numId w:val="1217"/>
        </w:numPr>
      </w:pPr>
      <w:r>
        <w:t xml:space="preserve">Statut : Non Renouvelable</w:t>
      </w:r>
    </w:p>
    <w:p>
      <w:pPr>
        <w:pStyle w:val="Compact"/>
        <w:numPr>
          <w:ilvl w:val="0"/>
          <w:numId w:val="1205"/>
        </w:numPr>
      </w:pPr>
      <w:r>
        <w:rPr>
          <w:b/>
          <w:bCs/>
        </w:rPr>
        <w:t xml:space="preserve">BETIXIM</w:t>
      </w:r>
      <w:r>
        <w:t xml:space="preserve"> </w:t>
      </w:r>
      <w:r>
        <w:t xml:space="preserve">(MIDDLE EAST PHARMACEUTICAL AND CHEMICAL INDUSTRIES, MEDICAL APPLIANCES CO)</w:t>
      </w:r>
    </w:p>
    <w:p>
      <w:pPr>
        <w:pStyle w:val="Compact"/>
        <w:numPr>
          <w:ilvl w:val="1"/>
          <w:numId w:val="1218"/>
        </w:numPr>
      </w:pPr>
      <w:r>
        <w:t xml:space="preserve">Formes et Dosages : Poudre pour suspension buvable 100 mg/5 ml (FL/60 ml)</w:t>
      </w:r>
    </w:p>
    <w:p>
      <w:pPr>
        <w:pStyle w:val="Compact"/>
        <w:numPr>
          <w:ilvl w:val="1"/>
          <w:numId w:val="1218"/>
        </w:numPr>
      </w:pPr>
      <w:r>
        <w:t xml:space="preserve">Statut : Non Renouvelable</w:t>
      </w:r>
    </w:p>
    <w:p>
      <w:pPr>
        <w:pStyle w:val="Compact"/>
        <w:numPr>
          <w:ilvl w:val="0"/>
          <w:numId w:val="1205"/>
        </w:numPr>
      </w:pPr>
      <w:r>
        <w:rPr>
          <w:b/>
          <w:bCs/>
        </w:rPr>
        <w:t xml:space="preserve">OROKEN</w:t>
      </w:r>
      <w:r>
        <w:t xml:space="preserve"> </w:t>
      </w:r>
      <w:r>
        <w:t xml:space="preserve">(RHONE POULENC RORER BELLON)</w:t>
      </w:r>
    </w:p>
    <w:p>
      <w:pPr>
        <w:pStyle w:val="Compact"/>
        <w:numPr>
          <w:ilvl w:val="1"/>
          <w:numId w:val="1219"/>
        </w:numPr>
      </w:pPr>
      <w:r>
        <w:t xml:space="preserve">Formes et Dosages : Granulés pour suspension buvable en sachets 40 mg (B/08) ; 100 mg (B/08)</w:t>
      </w:r>
    </w:p>
    <w:p>
      <w:pPr>
        <w:pStyle w:val="Compact"/>
        <w:numPr>
          <w:ilvl w:val="1"/>
          <w:numId w:val="1219"/>
        </w:numPr>
      </w:pPr>
      <w:r>
        <w:t xml:space="preserve">Statut : Non Renouvelable</w:t>
      </w:r>
    </w:p>
    <w:p>
      <w:pPr>
        <w:pStyle w:val="Compact"/>
        <w:numPr>
          <w:ilvl w:val="0"/>
          <w:numId w:val="1205"/>
        </w:numPr>
      </w:pPr>
      <w:r>
        <w:rPr>
          <w:b/>
          <w:bCs/>
        </w:rPr>
        <w:t xml:space="preserve">ISIOCEF</w:t>
      </w:r>
      <w:r>
        <w:t xml:space="preserve"> </w:t>
      </w:r>
      <w:r>
        <w:t xml:space="preserve">(BIOVITAL / BIOVITAL Sarl)</w:t>
      </w:r>
    </w:p>
    <w:p>
      <w:pPr>
        <w:pStyle w:val="Compact"/>
        <w:numPr>
          <w:ilvl w:val="1"/>
          <w:numId w:val="1220"/>
        </w:numPr>
      </w:pPr>
      <w:r>
        <w:t xml:space="preserve">Formes et Dosages : Comprimé 200 mg (B/08) ; Poudre pour suspension buvable 50 mg/5 ml (FL/30 ml)</w:t>
      </w:r>
    </w:p>
    <w:p>
      <w:pPr>
        <w:pStyle w:val="Compact"/>
        <w:numPr>
          <w:ilvl w:val="1"/>
          <w:numId w:val="1220"/>
        </w:numPr>
      </w:pPr>
      <w:r>
        <w:t xml:space="preserve">Statut : Non Renouvelable</w:t>
      </w:r>
    </w:p>
    <w:p>
      <w:pPr>
        <w:pStyle w:val="Compact"/>
        <w:numPr>
          <w:ilvl w:val="0"/>
          <w:numId w:val="1205"/>
        </w:numPr>
      </w:pPr>
      <w:r>
        <w:rPr>
          <w:b/>
          <w:bCs/>
        </w:rPr>
        <w:t xml:space="preserve">OROKEN NOUR</w:t>
      </w:r>
      <w:r>
        <w:t xml:space="preserve"> </w:t>
      </w:r>
      <w:r>
        <w:t xml:space="preserve">(SANOFI AVENTIS FRANCE)</w:t>
      </w:r>
    </w:p>
    <w:p>
      <w:pPr>
        <w:pStyle w:val="Compact"/>
        <w:numPr>
          <w:ilvl w:val="1"/>
          <w:numId w:val="1221"/>
        </w:numPr>
      </w:pPr>
      <w:r>
        <w:t xml:space="preserve">Formes et Dosages : Poudre pour suspension buvable 40 mg/5 ml (FL/13,3 g)</w:t>
      </w:r>
    </w:p>
    <w:p>
      <w:pPr>
        <w:pStyle w:val="Compact"/>
        <w:numPr>
          <w:ilvl w:val="1"/>
          <w:numId w:val="1221"/>
        </w:numPr>
      </w:pPr>
      <w:r>
        <w:t xml:space="preserve">Statut : Retiré (R)</w:t>
      </w:r>
    </w:p>
    <w:p>
      <w:pPr>
        <w:pStyle w:val="Compact"/>
        <w:numPr>
          <w:ilvl w:val="0"/>
          <w:numId w:val="1205"/>
        </w:numPr>
      </w:pPr>
      <w:r>
        <w:rPr>
          <w:b/>
          <w:bCs/>
        </w:rPr>
        <w:t xml:space="preserve">XIMACEF</w:t>
      </w:r>
      <w:r>
        <w:t xml:space="preserve"> </w:t>
      </w:r>
      <w:r>
        <w:t xml:space="preserve">(SIGMA PHARMACEUTICAL INDUSTRIES)</w:t>
      </w:r>
    </w:p>
    <w:p>
      <w:pPr>
        <w:pStyle w:val="Compact"/>
        <w:numPr>
          <w:ilvl w:val="1"/>
          <w:numId w:val="1222"/>
        </w:numPr>
      </w:pPr>
      <w:r>
        <w:t xml:space="preserve">Formes et Dosages : Poudre pour suspension buvable 100 mg/5 ml (avec flacon d’eau stérile 22 ml)</w:t>
      </w:r>
    </w:p>
    <w:p>
      <w:pPr>
        <w:pStyle w:val="Compact"/>
        <w:numPr>
          <w:ilvl w:val="1"/>
          <w:numId w:val="1222"/>
        </w:numPr>
      </w:pPr>
      <w:r>
        <w:t xml:space="preserve">Statut : Retiré (R)</w:t>
      </w:r>
    </w:p>
    <w:p>
      <w:pPr>
        <w:pStyle w:val="FirstParagraph"/>
      </w:pPr>
      <w:r>
        <w:rPr>
          <w:b/>
          <w:bCs/>
        </w:rPr>
        <w:t xml:space="preserve">Sous-classe et Mécanisme d’action :</w:t>
      </w:r>
      <w:r>
        <w:t xml:space="preserve"> </w:t>
      </w:r>
      <w:r>
        <w:t xml:space="preserve">- Sous-classe : C3G orale, à longue demi-vie, élimination rénale (50 %) et biliaire (50 %).</w:t>
      </w:r>
      <w:r>
        <w:t xml:space="preserve"> </w:t>
      </w:r>
      <w:r>
        <w:t xml:space="preserve">- Mécanisme d’action : Bactéricide, affinité PLP3. Spectre couvrant les entérobactéries communautaires (</w:t>
      </w:r>
      <w:r>
        <w:rPr>
          <w:i/>
          <w:iCs/>
        </w:rPr>
        <w:t xml:space="preserve">E. coli</w:t>
      </w:r>
      <w:r>
        <w:t xml:space="preserve">,</w:t>
      </w:r>
      <w:r>
        <w:t xml:space="preserve"> </w:t>
      </w:r>
      <w:r>
        <w:rPr>
          <w:i/>
          <w:iCs/>
        </w:rPr>
        <w:t xml:space="preserve">Klebsiella</w:t>
      </w:r>
      <w:r>
        <w:t xml:space="preserve">,</w:t>
      </w:r>
      <w:r>
        <w:t xml:space="preserve"> </w:t>
      </w:r>
      <w:r>
        <w:rPr>
          <w:i/>
          <w:iCs/>
        </w:rPr>
        <w:t xml:space="preserve">Proteus</w:t>
      </w:r>
      <w:r>
        <w:t xml:space="preserve">,</w:t>
      </w:r>
      <w:r>
        <w:t xml:space="preserve"> </w:t>
      </w:r>
      <w:r>
        <w:rPr>
          <w:i/>
          <w:iCs/>
        </w:rPr>
        <w:t xml:space="preserve">Citrobacter</w:t>
      </w:r>
      <w:r>
        <w:t xml:space="preserve">),</w:t>
      </w:r>
      <w:r>
        <w:t xml:space="preserve"> </w:t>
      </w:r>
      <w:r>
        <w:rPr>
          <w:i/>
          <w:iCs/>
        </w:rPr>
        <w:t xml:space="preserve">H. influenzae</w:t>
      </w:r>
      <w:r>
        <w:t xml:space="preserve">,</w:t>
      </w:r>
      <w:r>
        <w:t xml:space="preserve"> </w:t>
      </w:r>
      <w:r>
        <w:rPr>
          <w:i/>
          <w:iCs/>
        </w:rPr>
        <w:t xml:space="preserve">N. gonorrhoeae</w:t>
      </w:r>
      <w:r>
        <w:t xml:space="preserve">,</w:t>
      </w:r>
      <w:r>
        <w:t xml:space="preserve"> </w:t>
      </w:r>
      <w:r>
        <w:rPr>
          <w:i/>
          <w:iCs/>
        </w:rPr>
        <w:t xml:space="preserve">M. catarrhalis</w:t>
      </w:r>
      <w:r>
        <w:t xml:space="preserve">, streptocoques A, B, C, G. Activité modeste sur pneumocoque (utile pour PISP). Inactif sur</w:t>
      </w:r>
      <w:r>
        <w:t xml:space="preserve"> </w:t>
      </w:r>
      <w:r>
        <w:rPr>
          <w:i/>
          <w:iCs/>
        </w:rPr>
        <w:t xml:space="preserve">Pseudomonas</w:t>
      </w:r>
      <w:r>
        <w:t xml:space="preserve">,</w:t>
      </w:r>
      <w:r>
        <w:t xml:space="preserve"> </w:t>
      </w:r>
      <w:r>
        <w:rPr>
          <w:i/>
          <w:iCs/>
        </w:rPr>
        <w:t xml:space="preserve">Enterococcus</w:t>
      </w:r>
      <w:r>
        <w:t xml:space="preserve">,</w:t>
      </w:r>
      <w:r>
        <w:t xml:space="preserve"> </w:t>
      </w:r>
      <w:r>
        <w:rPr>
          <w:i/>
          <w:iCs/>
        </w:rPr>
        <w:t xml:space="preserve">Staphylococcus</w:t>
      </w:r>
      <w:r>
        <w:t xml:space="preserve">,</w:t>
      </w:r>
      <w:r>
        <w:t xml:space="preserve"> </w:t>
      </w:r>
      <w:r>
        <w:rPr>
          <w:i/>
          <w:iCs/>
        </w:rPr>
        <w:t xml:space="preserve">Listeria</w:t>
      </w:r>
      <w:r>
        <w:t xml:space="preserve"> </w:t>
      </w:r>
      <w:r>
        <w:t xml:space="preserve">et entérobactéries BLSE.</w:t>
      </w:r>
    </w:p>
    <w:p>
      <w:pPr>
        <w:pStyle w:val="BodyText"/>
      </w:pPr>
      <w:r>
        <w:rPr>
          <w:b/>
          <w:bCs/>
        </w:rPr>
        <w:t xml:space="preserve">Profil Pharmacologique :</w:t>
      </w:r>
      <w:r>
        <w:t xml:space="preserve"> </w:t>
      </w:r>
      <w:r>
        <w:t xml:space="preserve">- Indications : Otite moyenne, angine streptococcique (alternative), sinusite, exacerbation de BPCO, pneumopathie communautaire, infection urinaire non compliquée, pyélonephrite aiguë simple en relais, gonococcie urétrale (monodose 400 mg), infection biliaire, typhoïde en relais.</w:t>
      </w:r>
      <w:r>
        <w:t xml:space="preserve"> </w:t>
      </w:r>
      <w:r>
        <w:t xml:space="preserve">- Contre-indications : Hypersensibilité aux céphalosporines ; allergie grave aux pénicillines ; porphyrie.</w:t>
      </w:r>
      <w:r>
        <w:t xml:space="preserve"> </w:t>
      </w:r>
      <w:r>
        <w:t xml:space="preserve">- Effets Indésirables : Diarrhée (15–25 %), rash, nausées, candidose, élévation transaminases ; rarement colite à</w:t>
      </w:r>
      <w:r>
        <w:t xml:space="preserve"> </w:t>
      </w:r>
      <w:r>
        <w:rPr>
          <w:i/>
          <w:iCs/>
        </w:rPr>
        <w:t xml:space="preserve">C. difficile</w:t>
      </w:r>
      <w:r>
        <w:t xml:space="preserve">, anaphylaxie, néphrite interstitielle.</w:t>
      </w:r>
    </w:p>
    <w:p>
      <w:pPr>
        <w:pStyle w:val="BodyText"/>
      </w:pPr>
      <w:r>
        <w:rPr>
          <w:b/>
          <w:bCs/>
        </w:rPr>
        <w:t xml:space="preserve">Prévention et Gestion des Effets Indésirables :</w:t>
      </w:r>
      <w:r>
        <w:t xml:space="preserve"> </w:t>
      </w:r>
      <w:r>
        <w:t xml:space="preserve">- Mesures Préventives : Prise alimentaire ; hydratation ; probiotiques ; adaptation en IR (DFG &lt; 20 : 200 mg/jour).</w:t>
      </w:r>
      <w:r>
        <w:t xml:space="preserve"> </w:t>
      </w:r>
      <w:r>
        <w:t xml:space="preserve">- Conduite à Tenir : Arrêt en cas d’anaphylaxie ; recherche</w:t>
      </w:r>
      <w:r>
        <w:t xml:space="preserve"> </w:t>
      </w:r>
      <w:r>
        <w:rPr>
          <w:i/>
          <w:iCs/>
        </w:rPr>
        <w:t xml:space="preserve">C. difficile</w:t>
      </w:r>
      <w:r>
        <w:t xml:space="preserve"> </w:t>
      </w:r>
      <w:r>
        <w:t xml:space="preserve">si diarrhée.</w:t>
      </w:r>
    </w:p>
    <w:p>
      <w:pPr>
        <w:pStyle w:val="BodyText"/>
      </w:pPr>
      <w:r>
        <w:rPr>
          <w:b/>
          <w:bCs/>
        </w:rPr>
        <w:t xml:space="preserve">Interactions Importantes :</w:t>
      </w:r>
      <w:r>
        <w:t xml:space="preserve"> </w:t>
      </w:r>
      <w:r>
        <w:t xml:space="preserve">- Anti-acides et IPP : Réduction modeste d’absorption.</w:t>
      </w:r>
      <w:r>
        <w:t xml:space="preserve"> </w:t>
      </w:r>
      <w:r>
        <w:t xml:space="preserve">- Probénécide : Augmentation des concentrations.</w:t>
      </w:r>
      <w:r>
        <w:t xml:space="preserve"> </w:t>
      </w:r>
      <w:r>
        <w:t xml:space="preserve">- Nifédipine : Majoration de la biodisponibilité du céfixime.</w:t>
      </w:r>
      <w:r>
        <w:t xml:space="preserve"> </w:t>
      </w:r>
      <w:r>
        <w:t xml:space="preserve">- AVK : Majoration INR.</w:t>
      </w:r>
    </w:p>
    <w:p>
      <w:pPr>
        <w:pStyle w:val="BodyText"/>
      </w:pPr>
      <w:r>
        <w:rPr>
          <w:b/>
          <w:bCs/>
        </w:rPr>
        <w:t xml:space="preserve">Grossesse et Allaitement :</w:t>
      </w:r>
      <w:r>
        <w:t xml:space="preserve"> </w:t>
      </w:r>
      <w:r>
        <w:t xml:space="preserve">- Grossesse : Indiqué selon CRAT.</w:t>
      </w:r>
      <w:r>
        <w:t xml:space="preserve"> </w:t>
      </w:r>
      <w:r>
        <w:t xml:space="preserve">- Allaitement : Compatible.</w:t>
      </w:r>
      <w:r>
        <w:t xml:space="preserve"> </w:t>
      </w:r>
      <w:r>
        <w:t xml:space="preserve">- Précisions : Préférence à l’amoxicilline en 1re intention au 1er trimestre.</w:t>
      </w:r>
    </w:p>
    <w:p>
      <w:pPr>
        <w:pStyle w:val="BodyText"/>
      </w:pPr>
      <w:r>
        <w:rPr>
          <w:b/>
          <w:bCs/>
        </w:rPr>
        <w:t xml:space="preserve">Posologie et Mode d’administration (Standard) :</w:t>
      </w:r>
      <w:r>
        <w:t xml:space="preserve"> </w:t>
      </w:r>
      <w:r>
        <w:t xml:space="preserve">- Adulte : 200 mg ×2/jour ou 400 mg ×1/jour per os ; gonococcie 400 mg en monodose ; typhoïde 200 mg ×2/j (5–7 j).</w:t>
      </w:r>
      <w:r>
        <w:t xml:space="preserve"> </w:t>
      </w:r>
      <w:r>
        <w:t xml:space="preserve">- Enfant : 8 mg/kg/jour en 1 ou 2 prises ; otite 8 mg/kg/jour en 1 prise (J1) puis 4 mg/kg/jour (J2-J5). Maximum 400 mg/j.</w:t>
      </w:r>
      <w:r>
        <w:t xml:space="preserve"> </w:t>
      </w:r>
      <w:r>
        <w:t xml:space="preserve">- Durée : Angine 5–6 j, otite 5 j, infection urinaire 7 j, pyélonephrite 10–14 j.</w:t>
      </w:r>
      <w:r>
        <w:t xml:space="preserve"> </w:t>
      </w:r>
      <w:r>
        <w:t xml:space="preserve">- Moment de prise : Pendant ou hors repas (biodisponibilité ~50 %, indépendante de l’alimentation).</w:t>
      </w:r>
    </w:p>
    <w:p>
      <w:pPr>
        <w:pStyle w:val="BodyText"/>
      </w:pPr>
      <w:r>
        <w:rPr>
          <w:b/>
          <w:bCs/>
        </w:rPr>
        <w:t xml:space="preserve">Arbitrage et Bénéfices des Formes Galéniques :</w:t>
      </w:r>
      <w:r>
        <w:t xml:space="preserve"> </w:t>
      </w:r>
      <w:r>
        <w:t xml:space="preserve">La diversité des formes (comprimé 200 mg, gélule 400 mg, suspensions 40 et 100 mg/5 ml, sachets 200 et 400 mg) couvre tous les âges. La pipette graduée en kg (OROKAL, CEFIMAX) facilite la posologie pédiatrique. La forme uniquotidienne 400 mg (BETIXIM, OROKAL) améliore l’observance.</w:t>
      </w:r>
    </w:p>
    <w:p>
      <w:pPr>
        <w:pStyle w:val="BodyText"/>
      </w:pPr>
      <w:r>
        <w:rPr>
          <w:b/>
          <w:bCs/>
        </w:rPr>
        <w:t xml:space="preserve">Instructions et Conseils au Patient :</w:t>
      </w:r>
      <w:r>
        <w:t xml:space="preserve"> </w:t>
      </w:r>
      <w:r>
        <w:t xml:space="preserve">- Communication au comptoir : « Antibiotique à prendre 1 ou 2 fois par jour selon la prescription, à heure fixe. Suspension : pipette en kg pour l’enfant. »</w:t>
      </w:r>
      <w:r>
        <w:t xml:space="preserve"> </w:t>
      </w:r>
      <w:r>
        <w:t xml:space="preserve">- Mode d’utilisation pratique : Reconstitution avec eau, conservation 14 jours à +4 °C ou température ambiante selon spécialité.</w:t>
      </w:r>
    </w:p>
    <w:p>
      <w:pPr>
        <w:pStyle w:val="BodyText"/>
      </w:pPr>
      <w:r>
        <w:rPr>
          <w:b/>
          <w:bCs/>
        </w:rPr>
        <w:t xml:space="preserve">Notes, Règles d’Or &amp; Pièges au Comptoir :</w:t>
      </w:r>
      <w:r>
        <w:t xml:space="preserve"> </w:t>
      </w:r>
      <w:r>
        <w:t xml:space="preserve">- Piège classique : Prescrire le céfixime en 1re intention pour angine — la pénicilline V ou amoxicilline reste la référence.</w:t>
      </w:r>
      <w:r>
        <w:t xml:space="preserve"> </w:t>
      </w:r>
      <w:r>
        <w:t xml:space="preserve">- Règle de prise : Respecter la dose uniquotidienne le matin ou biquotidienne à 12 h d’intervalle.</w:t>
      </w:r>
      <w:r>
        <w:t xml:space="preserve"> </w:t>
      </w:r>
      <w:r>
        <w:t xml:space="preserve">- Préparation et Conservation : Suspension reconstituée stable 14 jours.</w:t>
      </w:r>
      <w:r>
        <w:t xml:space="preserve"> </w:t>
      </w:r>
      <w:r>
        <w:t xml:space="preserve">- Piège du surdosage / Substitution : Adapter en IR (DFG &lt; 20 : 200 mg/j).</w:t>
      </w:r>
    </w:p>
    <w:p>
      <w:r>
        <w:pict>
          <v:rect style="width:0;height:1.5pt" o:hralign="center" o:hrstd="t" o:hr="t"/>
        </w:pict>
      </w:r>
    </w:p>
    <w:bookmarkEnd w:id="71"/>
    <w:bookmarkStart w:id="72" w:name="dci-cefdinir-seule"/>
    <w:p>
      <w:pPr>
        <w:pStyle w:val="Heading3"/>
      </w:pPr>
      <w:r>
        <w:t xml:space="preserve">12. DCI : Cefdinir (Seule)</w:t>
      </w:r>
    </w:p>
    <w:p>
      <w:pPr>
        <w:pStyle w:val="FirstParagraph"/>
      </w:pPr>
      <w:r>
        <w:rPr>
          <w:b/>
          <w:bCs/>
        </w:rPr>
        <w:t xml:space="preserve">Liste des Catégories :</w:t>
      </w:r>
      <w:r>
        <w:t xml:space="preserve"> </w:t>
      </w:r>
      <w:r>
        <w:t xml:space="preserve">Céphalosporines 3ème génération ; Liste I ; Orale.</w:t>
      </w:r>
    </w:p>
    <w:p>
      <w:pPr>
        <w:pStyle w:val="BodyText"/>
      </w:pPr>
      <w:r>
        <w:t xml:space="preserve">Le cefdinir est une C3G orale relativement nouvelle en Algérie, caractérisée par une</w:t>
      </w:r>
      <w:r>
        <w:t xml:space="preserve"> </w:t>
      </w:r>
      <w:r>
        <w:rPr>
          <w:b/>
          <w:bCs/>
        </w:rPr>
        <w:t xml:space="preserve">bonne activité anti-pneumococcque</w:t>
      </w:r>
      <w:r>
        <w:t xml:space="preserve"> </w:t>
      </w:r>
      <w:r>
        <w:t xml:space="preserve">(PISP inclus) et une excellente diffusion tissulaire. Sa place se situe dans les infections ORL et respiratoires pédiatriques.</w:t>
      </w:r>
    </w:p>
    <w:p>
      <w:pPr>
        <w:pStyle w:val="BodyText"/>
      </w:pPr>
      <w:r>
        <w:rPr>
          <w:b/>
          <w:bCs/>
        </w:rPr>
        <w:t xml:space="preserve">Médicaments disponibles en Algérie (Marques, Laboratoires, Formes et Dosages) :</w:t>
      </w:r>
    </w:p>
    <w:p>
      <w:pPr>
        <w:pStyle w:val="Compact"/>
        <w:numPr>
          <w:ilvl w:val="0"/>
          <w:numId w:val="1223"/>
        </w:numPr>
      </w:pPr>
      <w:r>
        <w:rPr>
          <w:b/>
          <w:bCs/>
        </w:rPr>
        <w:t xml:space="preserve">OMNICEF</w:t>
      </w:r>
      <w:r>
        <w:t xml:space="preserve"> </w:t>
      </w:r>
      <w:r>
        <w:t xml:space="preserve">(HIKMA PHARMA ALGERIA)</w:t>
      </w:r>
    </w:p>
    <w:p>
      <w:pPr>
        <w:pStyle w:val="Compact"/>
        <w:numPr>
          <w:ilvl w:val="1"/>
          <w:numId w:val="1224"/>
        </w:numPr>
      </w:pPr>
      <w:r>
        <w:t xml:space="preserve">Formes et Dosages : Gélule 300 mg (B/10) ; Poudre pour suspension buvable 125 mg/5 ml (FL/40 ml et FL/80 ml)</w:t>
      </w:r>
    </w:p>
    <w:p>
      <w:pPr>
        <w:pStyle w:val="Compact"/>
        <w:numPr>
          <w:ilvl w:val="1"/>
          <w:numId w:val="1224"/>
        </w:numPr>
      </w:pPr>
      <w:r>
        <w:t xml:space="preserve">Statut : Actif</w:t>
      </w:r>
    </w:p>
    <w:p>
      <w:pPr>
        <w:pStyle w:val="Compact"/>
        <w:numPr>
          <w:ilvl w:val="0"/>
          <w:numId w:val="1223"/>
        </w:numPr>
      </w:pPr>
      <w:r>
        <w:rPr>
          <w:b/>
          <w:bCs/>
        </w:rPr>
        <w:t xml:space="preserve">OMNIFAL</w:t>
      </w:r>
      <w:r>
        <w:t xml:space="preserve"> </w:t>
      </w:r>
      <w:r>
        <w:t xml:space="preserve">(SOCIETE PHARMACEUTIQUE ALGERIENNE SOPHAL)</w:t>
      </w:r>
    </w:p>
    <w:p>
      <w:pPr>
        <w:pStyle w:val="Compact"/>
        <w:numPr>
          <w:ilvl w:val="1"/>
          <w:numId w:val="1225"/>
        </w:numPr>
      </w:pPr>
      <w:r>
        <w:t xml:space="preserve">Formes et Dosages : Gélule 300 mg (B/10) ; Poudre pour suspension buvable 125 mg/5 ml (FL/40 ml et FL/80 ml)</w:t>
      </w:r>
    </w:p>
    <w:p>
      <w:pPr>
        <w:pStyle w:val="Compact"/>
        <w:numPr>
          <w:ilvl w:val="1"/>
          <w:numId w:val="1225"/>
        </w:numPr>
      </w:pPr>
      <w:r>
        <w:t xml:space="preserve">Statut : Actif</w:t>
      </w:r>
    </w:p>
    <w:p>
      <w:pPr>
        <w:pStyle w:val="Compact"/>
        <w:numPr>
          <w:ilvl w:val="0"/>
          <w:numId w:val="1223"/>
        </w:numPr>
      </w:pPr>
      <w:r>
        <w:rPr>
          <w:b/>
          <w:bCs/>
        </w:rPr>
        <w:t xml:space="preserve">AZORD</w:t>
      </w:r>
      <w:r>
        <w:t xml:space="preserve"> </w:t>
      </w:r>
      <w:r>
        <w:t xml:space="preserve">(DAR AL DAWA)</w:t>
      </w:r>
    </w:p>
    <w:p>
      <w:pPr>
        <w:pStyle w:val="Compact"/>
        <w:numPr>
          <w:ilvl w:val="1"/>
          <w:numId w:val="1226"/>
        </w:numPr>
      </w:pPr>
      <w:r>
        <w:t xml:space="preserve">Formes et Dosages : Gélule 300 mg (B/10)</w:t>
      </w:r>
    </w:p>
    <w:p>
      <w:pPr>
        <w:pStyle w:val="Compact"/>
        <w:numPr>
          <w:ilvl w:val="1"/>
          <w:numId w:val="1226"/>
        </w:numPr>
      </w:pPr>
      <w:r>
        <w:t xml:space="preserve">Statut : Actif</w:t>
      </w:r>
    </w:p>
    <w:p>
      <w:pPr>
        <w:pStyle w:val="FirstParagraph"/>
      </w:pPr>
      <w:r>
        <w:rPr>
          <w:b/>
          <w:bCs/>
        </w:rPr>
        <w:t xml:space="preserve">Sous-classe et Mécanisme d’action :</w:t>
      </w:r>
      <w:r>
        <w:t xml:space="preserve"> </w:t>
      </w:r>
      <w:r>
        <w:t xml:space="preserve">- Sous-classe : C3G orale, aminothiazolyl-imino, proche du céfotaxime.</w:t>
      </w:r>
      <w:r>
        <w:t xml:space="preserve"> </w:t>
      </w:r>
      <w:r>
        <w:t xml:space="preserve">- Mécanisme d’action : Bactéricide, affinité PLP3. Spectre couvrant pneumocoque (y compris PISP), streptocoques A, B, C, G,</w:t>
      </w:r>
      <w:r>
        <w:t xml:space="preserve"> </w:t>
      </w:r>
      <w:r>
        <w:rPr>
          <w:i/>
          <w:iCs/>
        </w:rPr>
        <w:t xml:space="preserve">H. influenzae</w:t>
      </w:r>
      <w:r>
        <w:t xml:space="preserve"> </w:t>
      </w:r>
      <w:r>
        <w:t xml:space="preserve">(BLSE incluse),</w:t>
      </w:r>
      <w:r>
        <w:t xml:space="preserve"> </w:t>
      </w:r>
      <w:r>
        <w:rPr>
          <w:i/>
          <w:iCs/>
        </w:rPr>
        <w:t xml:space="preserve">M. catarrhalis</w:t>
      </w:r>
      <w:r>
        <w:t xml:space="preserve">,</w:t>
      </w:r>
      <w:r>
        <w:t xml:space="preserve"> </w:t>
      </w:r>
      <w:r>
        <w:rPr>
          <w:i/>
          <w:iCs/>
        </w:rPr>
        <w:t xml:space="preserve">N. gonorrhoeae</w:t>
      </w:r>
      <w:r>
        <w:t xml:space="preserve">,</w:t>
      </w:r>
      <w:r>
        <w:t xml:space="preserve"> </w:t>
      </w:r>
      <w:r>
        <w:rPr>
          <w:i/>
          <w:iCs/>
        </w:rPr>
        <w:t xml:space="preserve">E. coli</w:t>
      </w:r>
      <w:r>
        <w:t xml:space="preserve">,</w:t>
      </w:r>
      <w:r>
        <w:t xml:space="preserve"> </w:t>
      </w:r>
      <w:r>
        <w:rPr>
          <w:i/>
          <w:iCs/>
        </w:rPr>
        <w:t xml:space="preserve">Klebsiella</w:t>
      </w:r>
      <w:r>
        <w:t xml:space="preserve">,</w:t>
      </w:r>
      <w:r>
        <w:t xml:space="preserve"> </w:t>
      </w:r>
      <w:r>
        <w:rPr>
          <w:i/>
          <w:iCs/>
        </w:rPr>
        <w:t xml:space="preserve">Proteus</w:t>
      </w:r>
      <w:r>
        <w:t xml:space="preserve">. Inactif sur</w:t>
      </w:r>
      <w:r>
        <w:t xml:space="preserve"> </w:t>
      </w:r>
      <w:r>
        <w:rPr>
          <w:i/>
          <w:iCs/>
        </w:rPr>
        <w:t xml:space="preserve">Pseudomonas</w:t>
      </w:r>
      <w:r>
        <w:t xml:space="preserve">,</w:t>
      </w:r>
      <w:r>
        <w:t xml:space="preserve"> </w:t>
      </w:r>
      <w:r>
        <w:rPr>
          <w:i/>
          <w:iCs/>
        </w:rPr>
        <w:t xml:space="preserve">Enterococcus</w:t>
      </w:r>
      <w:r>
        <w:t xml:space="preserve">,</w:t>
      </w:r>
      <w:r>
        <w:t xml:space="preserve"> </w:t>
      </w:r>
      <w:r>
        <w:rPr>
          <w:i/>
          <w:iCs/>
        </w:rPr>
        <w:t xml:space="preserve">Staphylococcus</w:t>
      </w:r>
      <w:r>
        <w:t xml:space="preserve"> </w:t>
      </w:r>
      <w:r>
        <w:t xml:space="preserve">(médiocre),</w:t>
      </w:r>
      <w:r>
        <w:t xml:space="preserve"> </w:t>
      </w:r>
      <w:r>
        <w:rPr>
          <w:i/>
          <w:iCs/>
        </w:rPr>
        <w:t xml:space="preserve">Enterobacter</w:t>
      </w:r>
      <w:r>
        <w:t xml:space="preserve">, BLSE.</w:t>
      </w:r>
    </w:p>
    <w:p>
      <w:pPr>
        <w:pStyle w:val="BodyText"/>
      </w:pPr>
      <w:r>
        <w:rPr>
          <w:b/>
          <w:bCs/>
        </w:rPr>
        <w:t xml:space="preserve">Profil Pharmacologique :</w:t>
      </w:r>
      <w:r>
        <w:t xml:space="preserve"> </w:t>
      </w:r>
      <w:r>
        <w:t xml:space="preserve">- Indications : Otite moyenne, sinusite, pharyngite streptococcique, pneumopathie communautaire, exacerbation de BPCO, infections cutanées simples, infections urinaires non compliquées.</w:t>
      </w:r>
      <w:r>
        <w:t xml:space="preserve"> </w:t>
      </w:r>
      <w:r>
        <w:t xml:space="preserve">- Contre-indications : Hypersensibilité aux céphalosporines ; allergie grave aux pénicillines ; porphyrie.</w:t>
      </w:r>
      <w:r>
        <w:t xml:space="preserve"> </w:t>
      </w:r>
      <w:r>
        <w:t xml:space="preserve">- Effets Indésirables : Diarrhée (10–15 %), rash (plus fréquent chez l’enfant), nausées, candidose ; colite à</w:t>
      </w:r>
      <w:r>
        <w:t xml:space="preserve"> </w:t>
      </w:r>
      <w:r>
        <w:rPr>
          <w:i/>
          <w:iCs/>
        </w:rPr>
        <w:t xml:space="preserve">C. difficile</w:t>
      </w:r>
      <w:r>
        <w:t xml:space="preserve"> </w:t>
      </w:r>
      <w:r>
        <w:t xml:space="preserve">rare. À noter des selles rouges bénignes (complexation avec le fer alimentaire) ne devant pas être confondues avec une hémorragie.</w:t>
      </w:r>
    </w:p>
    <w:p>
      <w:pPr>
        <w:pStyle w:val="BodyText"/>
      </w:pPr>
      <w:r>
        <w:rPr>
          <w:b/>
          <w:bCs/>
        </w:rPr>
        <w:t xml:space="preserve">Prévention et Gestion des Effets Indésirables :</w:t>
      </w:r>
      <w:r>
        <w:t xml:space="preserve"> </w:t>
      </w:r>
      <w:r>
        <w:t xml:space="preserve">- Mesures Préventives : Prise alimentaire ; hydratation ; probiotiques.</w:t>
      </w:r>
      <w:r>
        <w:t xml:space="preserve"> </w:t>
      </w:r>
      <w:r>
        <w:t xml:space="preserve">- Conduite à Tenir : Arrêt en cas d’allergie ; information du patient sur les selles rouges sans gravité.</w:t>
      </w:r>
    </w:p>
    <w:p>
      <w:pPr>
        <w:pStyle w:val="BodyText"/>
      </w:pPr>
      <w:r>
        <w:rPr>
          <w:b/>
          <w:bCs/>
        </w:rPr>
        <w:t xml:space="preserve">Interactions Importantes :</w:t>
      </w:r>
      <w:r>
        <w:t xml:space="preserve"> </w:t>
      </w:r>
      <w:r>
        <w:t xml:space="preserve">- Suppléments de fer et antiacides à base de fer : Réduction d’absorption (espacer de 2 h) et coloration rouge des selles.</w:t>
      </w:r>
      <w:r>
        <w:t xml:space="preserve"> </w:t>
      </w:r>
      <w:r>
        <w:t xml:space="preserve">- Probénécide : Augmentation des concentrations.</w:t>
      </w:r>
      <w:r>
        <w:t xml:space="preserve"> </w:t>
      </w:r>
      <w:r>
        <w:t xml:space="preserve">- Antiacides (aluminium, magnésium) : Réduction modeste d’absorption.</w:t>
      </w:r>
    </w:p>
    <w:p>
      <w:pPr>
        <w:pStyle w:val="BodyText"/>
      </w:pPr>
      <w:r>
        <w:rPr>
          <w:b/>
          <w:bCs/>
        </w:rPr>
        <w:t xml:space="preserve">Grossesse et Allaitement :</w:t>
      </w:r>
      <w:r>
        <w:t xml:space="preserve"> </w:t>
      </w:r>
      <w:r>
        <w:t xml:space="preserve">- Grossesse : Indiqué selon CRAT.</w:t>
      </w:r>
      <w:r>
        <w:t xml:space="preserve"> </w:t>
      </w:r>
      <w:r>
        <w:t xml:space="preserve">- Allaitement : Compatible.</w:t>
      </w:r>
      <w:r>
        <w:t xml:space="preserve"> </w:t>
      </w:r>
      <w:r>
        <w:t xml:space="preserve">- Précisions : Données limitées au 1er trimestre.</w:t>
      </w:r>
    </w:p>
    <w:p>
      <w:pPr>
        <w:pStyle w:val="BodyText"/>
      </w:pPr>
      <w:r>
        <w:rPr>
          <w:b/>
          <w:bCs/>
        </w:rPr>
        <w:t xml:space="preserve">Posologie et Mode d’administration (Standard) :</w:t>
      </w:r>
      <w:r>
        <w:t xml:space="preserve"> </w:t>
      </w:r>
      <w:r>
        <w:t xml:space="preserve">- Adulte : 300 mg ×2/jour ou 600 mg ×1/jour per os ; maximum 600 mg/j.</w:t>
      </w:r>
      <w:r>
        <w:t xml:space="preserve"> </w:t>
      </w:r>
      <w:r>
        <w:t xml:space="preserve">- Enfant : 14 mg/kg/jour en 1 ou 2 prises ; maximum 600 mg/j.</w:t>
      </w:r>
      <w:r>
        <w:t xml:space="preserve"> </w:t>
      </w:r>
      <w:r>
        <w:t xml:space="preserve">- Durée : Angine 5–10 j, otite 5–10 j, pneumopathie 5–7 j, infection cutanée 7 j.</w:t>
      </w:r>
      <w:r>
        <w:t xml:space="preserve"> </w:t>
      </w:r>
      <w:r>
        <w:t xml:space="preserve">- Moment de prise : Pendant ou hors repas (biodisponibilité 25 %, légèrement améliorée par repas gras).</w:t>
      </w:r>
    </w:p>
    <w:p>
      <w:pPr>
        <w:pStyle w:val="BodyText"/>
      </w:pPr>
      <w:r>
        <w:rPr>
          <w:b/>
          <w:bCs/>
        </w:rPr>
        <w:t xml:space="preserve">Arbitrage et Bénéfices des Formes Galéniques :</w:t>
      </w:r>
      <w:r>
        <w:t xml:space="preserve"> </w:t>
      </w:r>
      <w:r>
        <w:t xml:space="preserve">La suspension 125 mg/5 ml avec double conditionnement (40 ml pour les jeunes enfants, 80 ml pour les plus grands) répond à la pédiatrie. La gélule 300 mg est adaptée à l’adolescent et à l’adulte. Biodisponibilité modeste (25 %) — prêter attention à la prise alimentaire.</w:t>
      </w:r>
    </w:p>
    <w:p>
      <w:pPr>
        <w:pStyle w:val="BodyText"/>
      </w:pPr>
      <w:r>
        <w:rPr>
          <w:b/>
          <w:bCs/>
        </w:rPr>
        <w:t xml:space="preserve">Instructions et Conseils au Patient :</w:t>
      </w:r>
      <w:r>
        <w:t xml:space="preserve"> </w:t>
      </w:r>
      <w:r>
        <w:t xml:space="preserve">- Communication au comptoir : « Antibiotique à prendre 1 ou 2 fois par jour. Si supplémentation en fer, espacer de 2 heures. Les selles peuvent devenir rouge brique, sans gravité. »</w:t>
      </w:r>
      <w:r>
        <w:t xml:space="preserve"> </w:t>
      </w:r>
      <w:r>
        <w:t xml:space="preserve">- Mode d’utilisation pratique : Reconstitution avec eau, conservation 10 jours à +4 °C.</w:t>
      </w:r>
    </w:p>
    <w:p>
      <w:pPr>
        <w:pStyle w:val="BodyText"/>
      </w:pPr>
      <w:r>
        <w:rPr>
          <w:b/>
          <w:bCs/>
        </w:rPr>
        <w:t xml:space="preserve">Notes, Règles d’Or &amp; Pièges au Comptoir :</w:t>
      </w:r>
      <w:r>
        <w:t xml:space="preserve"> </w:t>
      </w:r>
      <w:r>
        <w:t xml:space="preserve">- Piège classique : Paniquer pour des selles rouges sans douleur — c’est la complexation fer-cefdinir.</w:t>
      </w:r>
      <w:r>
        <w:t xml:space="preserve"> </w:t>
      </w:r>
      <w:r>
        <w:t xml:space="preserve">- Règle de prise : Espacer de 2 h des suppléments fer.</w:t>
      </w:r>
      <w:r>
        <w:t xml:space="preserve"> </w:t>
      </w:r>
      <w:r>
        <w:t xml:space="preserve">- Préparation et Conservation : Suspension 10 jours au réfrigérateur.</w:t>
      </w:r>
      <w:r>
        <w:t xml:space="preserve"> </w:t>
      </w:r>
      <w:r>
        <w:t xml:space="preserve">- Piège du surdosage / Substitution : En IR (DFG &lt; 30 : 300 mg ×1/j).</w:t>
      </w:r>
    </w:p>
    <w:p>
      <w:r>
        <w:pict>
          <v:rect style="width:0;height:1.5pt" o:hralign="center" o:hrstd="t" o:hr="t"/>
        </w:pict>
      </w:r>
    </w:p>
    <w:bookmarkEnd w:id="72"/>
    <w:bookmarkStart w:id="73" w:name="dci-cefopérazone-seule"/>
    <w:p>
      <w:pPr>
        <w:pStyle w:val="Heading3"/>
      </w:pPr>
      <w:r>
        <w:t xml:space="preserve">13. DCI : Cefopérazone (Seule)</w:t>
      </w:r>
    </w:p>
    <w:p>
      <w:pPr>
        <w:pStyle w:val="FirstParagraph"/>
      </w:pPr>
      <w:r>
        <w:rPr>
          <w:b/>
          <w:bCs/>
        </w:rPr>
        <w:t xml:space="preserve">Liste des Catégories :</w:t>
      </w:r>
      <w:r>
        <w:t xml:space="preserve"> </w:t>
      </w:r>
      <w:r>
        <w:t xml:space="preserve">Céphalosporines 3ème génération ; Liste I ; Injectable.</w:t>
      </w:r>
    </w:p>
    <w:p>
      <w:pPr>
        <w:pStyle w:val="BodyText"/>
      </w:pPr>
      <w:r>
        <w:t xml:space="preserve">La cefopérazone se distingue par son</w:t>
      </w:r>
      <w:r>
        <w:t xml:space="preserve"> </w:t>
      </w:r>
      <w:r>
        <w:rPr>
          <w:b/>
          <w:bCs/>
        </w:rPr>
        <w:t xml:space="preserve">élimination biliaire prédominante (80 %)</w:t>
      </w:r>
      <w:r>
        <w:t xml:space="preserve">, son activité antipyocyanique et son activité modeste sur les anaérobies. Elle est utile en cas d’insuffisance rénale, en chirurgie biliaire et dans les infections hépatobiliaires.</w:t>
      </w:r>
    </w:p>
    <w:p>
      <w:pPr>
        <w:pStyle w:val="BodyText"/>
      </w:pPr>
      <w:r>
        <w:rPr>
          <w:b/>
          <w:bCs/>
        </w:rPr>
        <w:t xml:space="preserve">Médicaments disponibles en Algérie (Marques, Laboratoires, Formes et Dosages) :</w:t>
      </w:r>
    </w:p>
    <w:p>
      <w:pPr>
        <w:pStyle w:val="Compact"/>
        <w:numPr>
          <w:ilvl w:val="0"/>
          <w:numId w:val="1227"/>
        </w:numPr>
      </w:pPr>
      <w:r>
        <w:rPr>
          <w:b/>
          <w:bCs/>
        </w:rPr>
        <w:t xml:space="preserve">CEFOPERAZ HUP</w:t>
      </w:r>
      <w:r>
        <w:t xml:space="preserve"> </w:t>
      </w:r>
      <w:r>
        <w:t xml:space="preserve">(HUPP PHARMA)</w:t>
      </w:r>
    </w:p>
    <w:p>
      <w:pPr>
        <w:pStyle w:val="Compact"/>
        <w:numPr>
          <w:ilvl w:val="1"/>
          <w:numId w:val="1228"/>
        </w:numPr>
      </w:pPr>
      <w:r>
        <w:t xml:space="preserve">Formes et Dosages : Poudre pour solution injectable IV/IM — 1 g (B/100 flacons) ; 2 g (B/100 flacons)</w:t>
      </w:r>
    </w:p>
    <w:p>
      <w:pPr>
        <w:pStyle w:val="Compact"/>
        <w:numPr>
          <w:ilvl w:val="1"/>
          <w:numId w:val="1228"/>
        </w:numPr>
      </w:pPr>
      <w:r>
        <w:t xml:space="preserve">Statut : Actif</w:t>
      </w:r>
    </w:p>
    <w:p>
      <w:pPr>
        <w:pStyle w:val="Compact"/>
        <w:numPr>
          <w:ilvl w:val="0"/>
          <w:numId w:val="1227"/>
        </w:numPr>
      </w:pPr>
      <w:r>
        <w:rPr>
          <w:b/>
          <w:bCs/>
        </w:rPr>
        <w:t xml:space="preserve">PERAZ 1000</w:t>
      </w:r>
      <w:r>
        <w:t xml:space="preserve"> </w:t>
      </w:r>
      <w:r>
        <w:t xml:space="preserve">(CHIMIE PHARMACIE COMMERCE MULTIPLE SARL — CPCM)</w:t>
      </w:r>
    </w:p>
    <w:p>
      <w:pPr>
        <w:pStyle w:val="Compact"/>
        <w:numPr>
          <w:ilvl w:val="1"/>
          <w:numId w:val="1229"/>
        </w:numPr>
      </w:pPr>
      <w:r>
        <w:t xml:space="preserve">Formes et Dosages : Poudre pour solution injectable IV/IM — 1 g/flacon (grande boîte contenant 100 boîtes de 1 flacon)</w:t>
      </w:r>
    </w:p>
    <w:p>
      <w:pPr>
        <w:pStyle w:val="Compact"/>
        <w:numPr>
          <w:ilvl w:val="1"/>
          <w:numId w:val="1229"/>
        </w:numPr>
      </w:pPr>
      <w:r>
        <w:t xml:space="preserve">Statut : Actif</w:t>
      </w:r>
    </w:p>
    <w:p>
      <w:pPr>
        <w:pStyle w:val="Compact"/>
        <w:numPr>
          <w:ilvl w:val="0"/>
          <w:numId w:val="1227"/>
        </w:numPr>
      </w:pPr>
      <w:r>
        <w:rPr>
          <w:b/>
          <w:bCs/>
        </w:rPr>
        <w:t xml:space="preserve">PERAZ 2000</w:t>
      </w:r>
      <w:r>
        <w:t xml:space="preserve"> </w:t>
      </w:r>
      <w:r>
        <w:t xml:space="preserve">(CHIMIE PHARMACIE COMMERCE MULTIPLE SARL — CPCM)</w:t>
      </w:r>
    </w:p>
    <w:p>
      <w:pPr>
        <w:pStyle w:val="Compact"/>
        <w:numPr>
          <w:ilvl w:val="1"/>
          <w:numId w:val="1230"/>
        </w:numPr>
      </w:pPr>
      <w:r>
        <w:t xml:space="preserve">Formes et Dosages : Poudre pour solution injectable IV/IM — 2 g/flacon (grande boîte contenant 100 boîtes de 1 flacon)</w:t>
      </w:r>
    </w:p>
    <w:p>
      <w:pPr>
        <w:pStyle w:val="Compact"/>
        <w:numPr>
          <w:ilvl w:val="1"/>
          <w:numId w:val="1230"/>
        </w:numPr>
      </w:pPr>
      <w:r>
        <w:t xml:space="preserve">Statut : Actif</w:t>
      </w:r>
    </w:p>
    <w:p>
      <w:pPr>
        <w:pStyle w:val="Compact"/>
        <w:numPr>
          <w:ilvl w:val="0"/>
          <w:numId w:val="1227"/>
        </w:numPr>
      </w:pPr>
      <w:r>
        <w:rPr>
          <w:b/>
          <w:bCs/>
        </w:rPr>
        <w:t xml:space="preserve">MEDOCEF</w:t>
      </w:r>
      <w:r>
        <w:t xml:space="preserve"> </w:t>
      </w:r>
      <w:r>
        <w:t xml:space="preserve">(MEDOCHEMIE LTD)</w:t>
      </w:r>
    </w:p>
    <w:p>
      <w:pPr>
        <w:pStyle w:val="Compact"/>
        <w:numPr>
          <w:ilvl w:val="1"/>
          <w:numId w:val="1231"/>
        </w:numPr>
      </w:pPr>
      <w:r>
        <w:t xml:space="preserve">Formes et Dosages : Poudre pour solution injectable — 1 g et 2 g (B/01, B/10, B/100)</w:t>
      </w:r>
    </w:p>
    <w:p>
      <w:pPr>
        <w:pStyle w:val="Compact"/>
        <w:numPr>
          <w:ilvl w:val="1"/>
          <w:numId w:val="1231"/>
        </w:numPr>
      </w:pPr>
      <w:r>
        <w:t xml:space="preserve">Statut : Non Renouvelable</w:t>
      </w:r>
    </w:p>
    <w:p>
      <w:pPr>
        <w:pStyle w:val="FirstParagraph"/>
      </w:pPr>
      <w:r>
        <w:rPr>
          <w:b/>
          <w:bCs/>
        </w:rPr>
        <w:t xml:space="preserve">Sous-classe et Mécanisme d’action :</w:t>
      </w:r>
      <w:r>
        <w:t xml:space="preserve"> </w:t>
      </w:r>
      <w:r>
        <w:t xml:space="preserve">- Sous-classe : C3G antipyocyanique, élimination biliaire (80 %), activité anti-anaérobie modeste.</w:t>
      </w:r>
      <w:r>
        <w:t xml:space="preserve"> </w:t>
      </w:r>
      <w:r>
        <w:t xml:space="preserve">- Mécanisme d’action : Bactéricide, affinité PLP3. Spectre couvrant</w:t>
      </w:r>
      <w:r>
        <w:t xml:space="preserve"> </w:t>
      </w:r>
      <w:r>
        <w:rPr>
          <w:i/>
          <w:iCs/>
        </w:rPr>
        <w:t xml:space="preserve">P. aeruginosa</w:t>
      </w:r>
      <w:r>
        <w:t xml:space="preserve"> </w:t>
      </w:r>
      <w:r>
        <w:t xml:space="preserve">(activité modérée, inférieure à la ceftazidime), entérobactéries,</w:t>
      </w:r>
      <w:r>
        <w:t xml:space="preserve"> </w:t>
      </w:r>
      <w:r>
        <w:rPr>
          <w:i/>
          <w:iCs/>
        </w:rPr>
        <w:t xml:space="preserve">H. influenzae</w:t>
      </w:r>
      <w:r>
        <w:t xml:space="preserve">,</w:t>
      </w:r>
      <w:r>
        <w:t xml:space="preserve"> </w:t>
      </w:r>
      <w:r>
        <w:rPr>
          <w:i/>
          <w:iCs/>
        </w:rPr>
        <w:t xml:space="preserve">Neisseria</w:t>
      </w:r>
      <w:r>
        <w:t xml:space="preserve">, anaérobies (</w:t>
      </w:r>
      <w:r>
        <w:rPr>
          <w:i/>
          <w:iCs/>
        </w:rPr>
        <w:t xml:space="preserve">Bacteroides</w:t>
      </w:r>
      <w:r>
        <w:t xml:space="preserve"> </w:t>
      </w:r>
      <w:r>
        <w:t xml:space="preserve">spp. modestes). Hydrolysée par BLSE.</w:t>
      </w:r>
    </w:p>
    <w:p>
      <w:pPr>
        <w:pStyle w:val="BodyText"/>
      </w:pPr>
      <w:r>
        <w:rPr>
          <w:b/>
          <w:bCs/>
        </w:rPr>
        <w:t xml:space="preserve">Profil Pharmacologique :</w:t>
      </w:r>
      <w:r>
        <w:t xml:space="preserve"> </w:t>
      </w:r>
      <w:r>
        <w:t xml:space="preserve">- Indications : Infections hépatobiliaires, péritonites, infections pelviennes, infections respiratoires nosocomiales à</w:t>
      </w:r>
      <w:r>
        <w:t xml:space="preserve"> </w:t>
      </w:r>
      <w:r>
        <w:rPr>
          <w:i/>
          <w:iCs/>
        </w:rPr>
        <w:t xml:space="preserve">Pseudomonas</w:t>
      </w:r>
      <w:r>
        <w:t xml:space="preserve">, infections urinaires compliquées en IR, septicémies à Gram négatif.</w:t>
      </w:r>
      <w:r>
        <w:t xml:space="preserve"> </w:t>
      </w:r>
      <w:r>
        <w:t xml:space="preserve">- Contre-indications : Hypersensibilité aux céphalosporines ; allergie grave aux pénicillines.</w:t>
      </w:r>
      <w:r>
        <w:t xml:space="preserve"> </w:t>
      </w:r>
      <w:r>
        <w:t xml:space="preserve">- Effets Indésirables : Diarrhée, rash, élévation transaminases, thrombopénie, hypoprothrombinémie (effet anti-vitamine K par blocage de la vitamine K2), saignements ; risque d’</w:t>
      </w:r>
      <w:r>
        <w:rPr>
          <w:b/>
          <w:bCs/>
        </w:rPr>
        <w:t xml:space="preserve">intolérance alcoolique</w:t>
      </w:r>
      <w:r>
        <w:t xml:space="preserve"> </w:t>
      </w:r>
      <w:r>
        <w:t xml:space="preserve">(effet antabuse — présence de groupement méthyl-tétrazole en N1 du noyau dihydrothiazine).</w:t>
      </w:r>
    </w:p>
    <w:p>
      <w:pPr>
        <w:pStyle w:val="BodyText"/>
      </w:pPr>
      <w:r>
        <w:rPr>
          <w:b/>
          <w:bCs/>
        </w:rPr>
        <w:t xml:space="preserve">Prévention et Gestion des Effets Indésirables :</w:t>
      </w:r>
      <w:r>
        <w:t xml:space="preserve"> </w:t>
      </w:r>
      <w:r>
        <w:t xml:space="preserve">- Mesures Préventives : Surveillance TP/INR ; supplémentation en vitamine K1 (10 mg ×2/semaine) en cure &gt;7 j ; abstention alcoolique stricte ; adaptation rénale non nécessaire (élimination biliaire).</w:t>
      </w:r>
      <w:r>
        <w:t xml:space="preserve"> </w:t>
      </w:r>
      <w:r>
        <w:t xml:space="preserve">- Conduite à Tenir : Arrêt en cas de saignement ; vitamine K1 IV.</w:t>
      </w:r>
    </w:p>
    <w:p>
      <w:pPr>
        <w:pStyle w:val="BodyText"/>
      </w:pPr>
      <w:r>
        <w:rPr>
          <w:b/>
          <w:bCs/>
        </w:rPr>
        <w:t xml:space="preserve">Interactions Importantes :</w:t>
      </w:r>
      <w:r>
        <w:t xml:space="preserve"> </w:t>
      </w:r>
      <w:r>
        <w:t xml:space="preserve">- Alcool : Effet antabuse (bouffées vasomotrices, nausées, vomissements, hypotension).</w:t>
      </w:r>
      <w:r>
        <w:t xml:space="preserve"> </w:t>
      </w:r>
      <w:r>
        <w:t xml:space="preserve">- AVK : Majoration de l’hypoprothrombinémie — contrôle INR.</w:t>
      </w:r>
      <w:r>
        <w:t xml:space="preserve"> </w:t>
      </w:r>
      <w:r>
        <w:t xml:space="preserve">- Héparine et antiagrégants : Majoration du risque hémorragique.</w:t>
      </w:r>
      <w:r>
        <w:t xml:space="preserve"> </w:t>
      </w:r>
      <w:r>
        <w:t xml:space="preserve">- Aminoglycosides : Synergie et néphrotoxicité.</w:t>
      </w:r>
    </w:p>
    <w:p>
      <w:pPr>
        <w:pStyle w:val="BodyText"/>
      </w:pPr>
      <w:r>
        <w:rPr>
          <w:b/>
          <w:bCs/>
        </w:rPr>
        <w:t xml:space="preserve">Grossesse et Allaitement :</w:t>
      </w:r>
      <w:r>
        <w:t xml:space="preserve"> </w:t>
      </w:r>
      <w:r>
        <w:t xml:space="preserve">- Grossesse : Indiqué selon CRAT, à utiliser avec prudence au 3e trimestre (risque hémorragique néonatal).</w:t>
      </w:r>
      <w:r>
        <w:t xml:space="preserve"> </w:t>
      </w:r>
      <w:r>
        <w:t xml:space="preserve">- Allaitement : Compatible, faibles passages lactés.</w:t>
      </w:r>
      <w:r>
        <w:t xml:space="preserve"> </w:t>
      </w:r>
      <w:r>
        <w:t xml:space="preserve">- Précisions : Surveillance TP du nouveau-né si traitement maternel en fin de grossesse.</w:t>
      </w:r>
    </w:p>
    <w:p>
      <w:pPr>
        <w:pStyle w:val="BodyText"/>
      </w:pPr>
      <w:r>
        <w:rPr>
          <w:b/>
          <w:bCs/>
        </w:rPr>
        <w:t xml:space="preserve">Posologie et Mode d’administration (Standard) :</w:t>
      </w:r>
      <w:r>
        <w:t xml:space="preserve"> </w:t>
      </w:r>
      <w:r>
        <w:t xml:space="preserve">- Adulte : 1 à 2 g IV/IM toutes les 12 heures ; infections sévères 2 g ×3/jour (maximum 12 g/j).</w:t>
      </w:r>
      <w:r>
        <w:t xml:space="preserve"> </w:t>
      </w:r>
      <w:r>
        <w:t xml:space="preserve">- Enfant : 100 à 150 mg/kg/jour en 2–3 injections (maximum 12 g/j).</w:t>
      </w:r>
      <w:r>
        <w:t xml:space="preserve"> </w:t>
      </w:r>
      <w:r>
        <w:t xml:space="preserve">- Durée : 7–14 j selon indication.</w:t>
      </w:r>
      <w:r>
        <w:t xml:space="preserve"> </w:t>
      </w:r>
      <w:r>
        <w:t xml:space="preserve">- Moment de prise : Perfusion IV 30 min dans 50–100 ml NaCl 0,9 % ou G5 %.</w:t>
      </w:r>
    </w:p>
    <w:p>
      <w:pPr>
        <w:pStyle w:val="BodyText"/>
      </w:pPr>
      <w:r>
        <w:rPr>
          <w:b/>
          <w:bCs/>
        </w:rPr>
        <w:t xml:space="preserve">Arbitrage et Bénéfices des Formes Galéniques :</w:t>
      </w:r>
      <w:r>
        <w:t xml:space="preserve"> </w:t>
      </w:r>
      <w:r>
        <w:t xml:space="preserve">Conditionnement en flacons 1 g et 2 g, en boîtes hospitalières de 100 flacons. L’avantage PK majeur est l’absence d’adaptation posologique en IR. La forme 2 g simplifie l’administration biquotidienne des infections sévères.</w:t>
      </w:r>
    </w:p>
    <w:p>
      <w:pPr>
        <w:pStyle w:val="BodyText"/>
      </w:pPr>
      <w:r>
        <w:rPr>
          <w:b/>
          <w:bCs/>
        </w:rPr>
        <w:t xml:space="preserve">Instructions et Conseils au Patient :</w:t>
      </w:r>
      <w:r>
        <w:t xml:space="preserve"> </w:t>
      </w:r>
      <w:r>
        <w:t xml:space="preserve">- Communication au comptoir : Usage hospitalier exclusif. Information sur l’abstention alcoolique et le risque hémorragique.</w:t>
      </w:r>
      <w:r>
        <w:t xml:space="preserve"> </w:t>
      </w:r>
      <w:r>
        <w:t xml:space="preserve">- Mode d’utilisation pratique : Reconstitution avec EPPPI (IV) ou lidocaïne (IM) ; perfusion 30 min.</w:t>
      </w:r>
    </w:p>
    <w:p>
      <w:pPr>
        <w:pStyle w:val="BodyText"/>
      </w:pPr>
      <w:r>
        <w:rPr>
          <w:b/>
          <w:bCs/>
        </w:rPr>
        <w:t xml:space="preserve">Notes, Règles d’Or &amp; Pièges au Comptoir :</w:t>
      </w:r>
      <w:r>
        <w:t xml:space="preserve"> </w:t>
      </w:r>
      <w:r>
        <w:t xml:space="preserve">- Piège classique : Oublier l’abstention alcoolique — effet antabuse sévère possible.</w:t>
      </w:r>
      <w:r>
        <w:t xml:space="preserve"> </w:t>
      </w:r>
      <w:r>
        <w:t xml:space="preserve">- Règle de prise : Biquotidienne stricte.</w:t>
      </w:r>
      <w:r>
        <w:t xml:space="preserve"> </w:t>
      </w:r>
      <w:r>
        <w:t xml:space="preserve">- Préparation et Conservation : Solution stable 24 h à +4 °C.</w:t>
      </w:r>
      <w:r>
        <w:t xml:space="preserve"> </w:t>
      </w:r>
      <w:r>
        <w:t xml:space="preserve">- Piège du surdosage / Substitution : Surveiller TP/INR en cure longue ; vitamine K1 si saignement.</w:t>
      </w:r>
    </w:p>
    <w:p>
      <w:r>
        <w:pict>
          <v:rect style="width:0;height:1.5pt" o:hralign="center" o:hrstd="t" o:hr="t"/>
        </w:pict>
      </w:r>
    </w:p>
    <w:bookmarkEnd w:id="73"/>
    <w:bookmarkStart w:id="74" w:name="dci-ceftizoxime-seule"/>
    <w:p>
      <w:pPr>
        <w:pStyle w:val="Heading3"/>
      </w:pPr>
      <w:r>
        <w:t xml:space="preserve">14. DCI : Ceftizoxime (Seule)</w:t>
      </w:r>
    </w:p>
    <w:p>
      <w:pPr>
        <w:pStyle w:val="FirstParagraph"/>
      </w:pPr>
      <w:r>
        <w:rPr>
          <w:b/>
          <w:bCs/>
        </w:rPr>
        <w:t xml:space="preserve">Liste des Catégories :</w:t>
      </w:r>
      <w:r>
        <w:t xml:space="preserve"> </w:t>
      </w:r>
      <w:r>
        <w:t xml:space="preserve">Céphalosporines 3ème génération ; Liste I ; Injectable.</w:t>
      </w:r>
    </w:p>
    <w:p>
      <w:pPr>
        <w:pStyle w:val="BodyText"/>
      </w:pPr>
      <w:r>
        <w:t xml:space="preserve">La ceftizoxime est une C3G injectable proche du céfotaxime sur le plan du spectre et de la pharmacocinétique (t1/2 ~1,7 h). Elle présente une bonne diffusion méningée et tissulaire, mais son usage est limité par la concurrence de la ceftriaxone (uniquotidienne).</w:t>
      </w:r>
    </w:p>
    <w:p>
      <w:pPr>
        <w:pStyle w:val="BodyText"/>
      </w:pPr>
      <w:r>
        <w:rPr>
          <w:b/>
          <w:bCs/>
        </w:rPr>
        <w:t xml:space="preserve">Médicaments disponibles en Algérie (Marques, Laboratoires, Formes et Dosages) :</w:t>
      </w:r>
    </w:p>
    <w:p>
      <w:pPr>
        <w:pStyle w:val="Compact"/>
        <w:numPr>
          <w:ilvl w:val="0"/>
          <w:numId w:val="1232"/>
        </w:numPr>
      </w:pPr>
      <w:r>
        <w:rPr>
          <w:b/>
          <w:bCs/>
        </w:rPr>
        <w:t xml:space="preserve">CETIZAL</w:t>
      </w:r>
      <w:r>
        <w:t xml:space="preserve"> </w:t>
      </w:r>
      <w:r>
        <w:t xml:space="preserve">(SOCIETE PHARMACEUTIQUE ALGERIENNE SOPHAL)</w:t>
      </w:r>
    </w:p>
    <w:p>
      <w:pPr>
        <w:pStyle w:val="Compact"/>
        <w:numPr>
          <w:ilvl w:val="1"/>
          <w:numId w:val="1233"/>
        </w:numPr>
      </w:pPr>
      <w:r>
        <w:t xml:space="preserve">Formes et Dosages : Poudre pour solution injectable IV/IM — 1 g (B/50 flacons)</w:t>
      </w:r>
    </w:p>
    <w:p>
      <w:pPr>
        <w:pStyle w:val="Compact"/>
        <w:numPr>
          <w:ilvl w:val="1"/>
          <w:numId w:val="1233"/>
        </w:numPr>
      </w:pPr>
      <w:r>
        <w:t xml:space="preserve">Statut : Actif</w:t>
      </w:r>
    </w:p>
    <w:p>
      <w:pPr>
        <w:pStyle w:val="Compact"/>
        <w:numPr>
          <w:ilvl w:val="0"/>
          <w:numId w:val="1232"/>
        </w:numPr>
      </w:pPr>
      <w:r>
        <w:rPr>
          <w:b/>
          <w:bCs/>
        </w:rPr>
        <w:t xml:space="preserve">TIZO 1000</w:t>
      </w:r>
      <w:r>
        <w:t xml:space="preserve"> </w:t>
      </w:r>
      <w:r>
        <w:t xml:space="preserve">(CHIMIE PHARMACIE COMMERCE MULTIPLE SARL — CPCM)</w:t>
      </w:r>
    </w:p>
    <w:p>
      <w:pPr>
        <w:pStyle w:val="Compact"/>
        <w:numPr>
          <w:ilvl w:val="1"/>
          <w:numId w:val="1234"/>
        </w:numPr>
      </w:pPr>
      <w:r>
        <w:t xml:space="preserve">Formes et Dosages : Poudre pour solution injectable IV/IM — 1 g/flacon</w:t>
      </w:r>
    </w:p>
    <w:p>
      <w:pPr>
        <w:pStyle w:val="Compact"/>
        <w:numPr>
          <w:ilvl w:val="1"/>
          <w:numId w:val="1234"/>
        </w:numPr>
      </w:pPr>
      <w:r>
        <w:t xml:space="preserve">Statut : Actif</w:t>
      </w:r>
    </w:p>
    <w:p>
      <w:pPr>
        <w:pStyle w:val="Compact"/>
        <w:numPr>
          <w:ilvl w:val="0"/>
          <w:numId w:val="1232"/>
        </w:numPr>
      </w:pPr>
      <w:r>
        <w:rPr>
          <w:b/>
          <w:bCs/>
        </w:rPr>
        <w:t xml:space="preserve">CEFIZOX 1000</w:t>
      </w:r>
      <w:r>
        <w:t xml:space="preserve"> </w:t>
      </w:r>
      <w:r>
        <w:t xml:space="preserve">(HIKMA PHARMACEUTICALS)</w:t>
      </w:r>
    </w:p>
    <w:p>
      <w:pPr>
        <w:pStyle w:val="Compact"/>
        <w:numPr>
          <w:ilvl w:val="1"/>
          <w:numId w:val="1235"/>
        </w:numPr>
      </w:pPr>
      <w:r>
        <w:t xml:space="preserve">Formes et Dosages : Poudre pour solution injectable IV — 1 g ; Poudre et solvant pour solution injectable IM — 1 g (avec lidocaïne 0,5 %)</w:t>
      </w:r>
    </w:p>
    <w:p>
      <w:pPr>
        <w:pStyle w:val="Compact"/>
        <w:numPr>
          <w:ilvl w:val="1"/>
          <w:numId w:val="1235"/>
        </w:numPr>
      </w:pPr>
      <w:r>
        <w:t xml:space="preserve">Statut : Non Renouvelable</w:t>
      </w:r>
    </w:p>
    <w:p>
      <w:pPr>
        <w:pStyle w:val="Compact"/>
        <w:numPr>
          <w:ilvl w:val="0"/>
          <w:numId w:val="1232"/>
        </w:numPr>
      </w:pPr>
      <w:r>
        <w:rPr>
          <w:b/>
          <w:bCs/>
        </w:rPr>
        <w:t xml:space="preserve">CEFIZOX</w:t>
      </w:r>
      <w:r>
        <w:t xml:space="preserve"> </w:t>
      </w:r>
      <w:r>
        <w:t xml:space="preserve">(HIKMA PHARMACEUTICALS)</w:t>
      </w:r>
    </w:p>
    <w:p>
      <w:pPr>
        <w:pStyle w:val="Compact"/>
        <w:numPr>
          <w:ilvl w:val="1"/>
          <w:numId w:val="1236"/>
        </w:numPr>
      </w:pPr>
      <w:r>
        <w:t xml:space="preserve">Formes et Dosages : Solution injectable IM — 500 mg ; Poudre pour solution injectable IV — 500 mg</w:t>
      </w:r>
    </w:p>
    <w:p>
      <w:pPr>
        <w:pStyle w:val="Compact"/>
        <w:numPr>
          <w:ilvl w:val="1"/>
          <w:numId w:val="1236"/>
        </w:numPr>
      </w:pPr>
      <w:r>
        <w:t xml:space="preserve">Statut : Retiré (R)</w:t>
      </w:r>
    </w:p>
    <w:p>
      <w:pPr>
        <w:pStyle w:val="FirstParagraph"/>
      </w:pPr>
      <w:r>
        <w:rPr>
          <w:b/>
          <w:bCs/>
        </w:rPr>
        <w:t xml:space="preserve">Sous-classe et Mécanisme d’action :</w:t>
      </w:r>
      <w:r>
        <w:t xml:space="preserve"> </w:t>
      </w:r>
      <w:r>
        <w:t xml:space="preserve">- Sous-classe : C3G injectable, isoxazolyl, haute affinité PLP3.</w:t>
      </w:r>
      <w:r>
        <w:t xml:space="preserve"> </w:t>
      </w:r>
      <w:r>
        <w:t xml:space="preserve">- Mécanisme d’action : Bactéricide. Spectre proche du céfotaxime : entérobactéries,</w:t>
      </w:r>
      <w:r>
        <w:t xml:space="preserve"> </w:t>
      </w:r>
      <w:r>
        <w:rPr>
          <w:i/>
          <w:iCs/>
        </w:rPr>
        <w:t xml:space="preserve">H. influenzae</w:t>
      </w:r>
      <w:r>
        <w:t xml:space="preserve">,</w:t>
      </w:r>
      <w:r>
        <w:t xml:space="preserve"> </w:t>
      </w:r>
      <w:r>
        <w:rPr>
          <w:i/>
          <w:iCs/>
        </w:rPr>
        <w:t xml:space="preserve">Neisseria</w:t>
      </w:r>
      <w:r>
        <w:t xml:space="preserve">, pneumocoque (y compris PISP), streptocoques. Inactif sur</w:t>
      </w:r>
      <w:r>
        <w:t xml:space="preserve"> </w:t>
      </w:r>
      <w:r>
        <w:rPr>
          <w:i/>
          <w:iCs/>
        </w:rPr>
        <w:t xml:space="preserve">Pseudomonas</w:t>
      </w:r>
      <w:r>
        <w:t xml:space="preserve">,</w:t>
      </w:r>
      <w:r>
        <w:t xml:space="preserve"> </w:t>
      </w:r>
      <w:r>
        <w:rPr>
          <w:i/>
          <w:iCs/>
        </w:rPr>
        <w:t xml:space="preserve">Enterococcus</w:t>
      </w:r>
      <w:r>
        <w:t xml:space="preserve">, SARM, BLSE. Bonne diffusion méningée.</w:t>
      </w:r>
    </w:p>
    <w:p>
      <w:pPr>
        <w:pStyle w:val="BodyText"/>
      </w:pPr>
      <w:r>
        <w:rPr>
          <w:b/>
          <w:bCs/>
        </w:rPr>
        <w:t xml:space="preserve">Profil Pharmacologique :</w:t>
      </w:r>
      <w:r>
        <w:t xml:space="preserve"> </w:t>
      </w:r>
      <w:r>
        <w:t xml:space="preserve">- Indications : Méningites bactériennes communautaires, pneumopathies sévères, septicémies, infections urinaires compliquées, infections biliaires, infections ostéo-articulaires, gonococcie.</w:t>
      </w:r>
      <w:r>
        <w:t xml:space="preserve"> </w:t>
      </w:r>
      <w:r>
        <w:t xml:space="preserve">- Contre-indications : Hypersensibilité aux céphalosporines ; allergie grave aux pénicillines.</w:t>
      </w:r>
      <w:r>
        <w:t xml:space="preserve"> </w:t>
      </w:r>
      <w:r>
        <w:t xml:space="preserve">- Effets Indésirables : Rash, diarrhée, élévation transaminases, thrombophlébite, positivité Coombs ; rarement colite à</w:t>
      </w:r>
      <w:r>
        <w:t xml:space="preserve"> </w:t>
      </w:r>
      <w:r>
        <w:rPr>
          <w:i/>
          <w:iCs/>
        </w:rPr>
        <w:t xml:space="preserve">C. difficile</w:t>
      </w:r>
      <w:r>
        <w:t xml:space="preserve"> </w:t>
      </w:r>
      <w:r>
        <w:t xml:space="preserve">et anaphylaxie.</w:t>
      </w:r>
    </w:p>
    <w:p>
      <w:pPr>
        <w:pStyle w:val="BodyText"/>
      </w:pPr>
      <w:r>
        <w:rPr>
          <w:b/>
          <w:bCs/>
        </w:rPr>
        <w:t xml:space="preserve">Prévention et Gestion des Effets Indésirables :</w:t>
      </w:r>
      <w:r>
        <w:t xml:space="preserve"> </w:t>
      </w:r>
      <w:r>
        <w:t xml:space="preserve">- Mesures Préventives : Adaptation rénale (DFG &lt; 50 : 1 g toutes les 8–12 h ; DFG &lt; 10 : 0,5–1 g toutes les 12–24 h) ; hydratation.</w:t>
      </w:r>
      <w:r>
        <w:t xml:space="preserve"> </w:t>
      </w:r>
      <w:r>
        <w:t xml:space="preserve">- Conduite à Tenir : Arrêt en cas d’allergie.</w:t>
      </w:r>
    </w:p>
    <w:p>
      <w:pPr>
        <w:pStyle w:val="BodyText"/>
      </w:pPr>
      <w:r>
        <w:rPr>
          <w:b/>
          <w:bCs/>
        </w:rPr>
        <w:t xml:space="preserve">Interactions Importantes :</w:t>
      </w:r>
      <w:r>
        <w:t xml:space="preserve"> </w:t>
      </w:r>
      <w:r>
        <w:t xml:space="preserve">- Aminoglycosides : Synergie et néphrotoxicité.</w:t>
      </w:r>
      <w:r>
        <w:t xml:space="preserve"> </w:t>
      </w:r>
      <w:r>
        <w:t xml:space="preserve">- Probénécide : Augmentation concentrations.</w:t>
      </w:r>
      <w:r>
        <w:t xml:space="preserve"> </w:t>
      </w:r>
      <w:r>
        <w:t xml:space="preserve">- AVK : Majoration INR.</w:t>
      </w:r>
    </w:p>
    <w:p>
      <w:pPr>
        <w:pStyle w:val="BodyText"/>
      </w:pPr>
      <w:r>
        <w:rPr>
          <w:b/>
          <w:bCs/>
        </w:rPr>
        <w:t xml:space="preserve">Grossesse et Allaitement :</w:t>
      </w:r>
      <w:r>
        <w:t xml:space="preserve"> </w:t>
      </w:r>
      <w:r>
        <w:t xml:space="preserve">- Grossesse : Indiqué selon CRAT.</w:t>
      </w:r>
      <w:r>
        <w:t xml:space="preserve"> </w:t>
      </w:r>
      <w:r>
        <w:t xml:space="preserve">- Allaitement : Compatible.</w:t>
      </w:r>
      <w:r>
        <w:t xml:space="preserve"> </w:t>
      </w:r>
      <w:r>
        <w:t xml:space="preserve">- Précisions : Profil de tolérance superposable au céfotaxime.</w:t>
      </w:r>
    </w:p>
    <w:p>
      <w:pPr>
        <w:pStyle w:val="BodyText"/>
      </w:pPr>
      <w:r>
        <w:rPr>
          <w:b/>
          <w:bCs/>
        </w:rPr>
        <w:t xml:space="preserve">Posologie et Mode d’administration (Standard) :</w:t>
      </w:r>
      <w:r>
        <w:t xml:space="preserve"> </w:t>
      </w:r>
      <w:r>
        <w:t xml:space="preserve">- Adulte : 1 à 2 g IV/IM toutes les 8 à 12 heures ; infections sévères 2 g ×3/jour ; méningite 2 g ×3–4/jour. Maximum 12 g/j.</w:t>
      </w:r>
      <w:r>
        <w:t xml:space="preserve"> </w:t>
      </w:r>
      <w:r>
        <w:t xml:space="preserve">- Enfant : 100 à 150 mg/kg/jour en 3–4 injections ; méningite 200–250 mg/kg/jour.</w:t>
      </w:r>
      <w:r>
        <w:t xml:space="preserve"> </w:t>
      </w:r>
      <w:r>
        <w:t xml:space="preserve">- Durée : Méningite 10–14 j, pneumopathie 7–14 j, infection urinaire 7 j.</w:t>
      </w:r>
      <w:r>
        <w:t xml:space="preserve"> </w:t>
      </w:r>
      <w:r>
        <w:t xml:space="preserve">- Moment de prise : Perfusion IV 30 min ; IM profonde avec lidocaïne 0,5 %.</w:t>
      </w:r>
    </w:p>
    <w:p>
      <w:pPr>
        <w:pStyle w:val="BodyText"/>
      </w:pPr>
      <w:r>
        <w:rPr>
          <w:b/>
          <w:bCs/>
        </w:rPr>
        <w:t xml:space="preserve">Arbitrage et Bénéfices des Formes Galéniques :</w:t>
      </w:r>
      <w:r>
        <w:t xml:space="preserve"> </w:t>
      </w:r>
      <w:r>
        <w:t xml:space="preserve">Exclusivement injectable. Présentation en flacon 1 g, parfois en boîtes de 50 pour usage hospitalier. La ceftizoxime n’a pas d’avantage PK propre par rapport à la ceftriaxone (uniquotidienne), d’où une prescription limitée.</w:t>
      </w:r>
    </w:p>
    <w:p>
      <w:pPr>
        <w:pStyle w:val="BodyText"/>
      </w:pPr>
      <w:r>
        <w:rPr>
          <w:b/>
          <w:bCs/>
        </w:rPr>
        <w:t xml:space="preserve">Instructions et Conseils au Patient :</w:t>
      </w:r>
      <w:r>
        <w:t xml:space="preserve"> </w:t>
      </w:r>
      <w:r>
        <w:t xml:space="preserve">- Communication au comptoir : Usage hospitalier exclusif.</w:t>
      </w:r>
      <w:r>
        <w:t xml:space="preserve"> </w:t>
      </w:r>
      <w:r>
        <w:t xml:space="preserve">- Mode d’utilisation pratique : Reconstitution EPPPI ou lidocaïne 0,5 %.</w:t>
      </w:r>
    </w:p>
    <w:p>
      <w:pPr>
        <w:pStyle w:val="BodyText"/>
      </w:pPr>
      <w:r>
        <w:rPr>
          <w:b/>
          <w:bCs/>
        </w:rPr>
        <w:t xml:space="preserve">Notes, Règles d’Or &amp; Pièges au Comptoir :</w:t>
      </w:r>
      <w:r>
        <w:t xml:space="preserve"> </w:t>
      </w:r>
      <w:r>
        <w:t xml:space="preserve">- Piège classique : Confondre avec ceftazidime — la ceftizoxime n’est pas antipyocyanique.</w:t>
      </w:r>
      <w:r>
        <w:t xml:space="preserve"> </w:t>
      </w:r>
      <w:r>
        <w:t xml:space="preserve">- Règle de prise : Toutes les 8–12 h.</w:t>
      </w:r>
      <w:r>
        <w:t xml:space="preserve"> </w:t>
      </w:r>
      <w:r>
        <w:t xml:space="preserve">- Préparation et Conservation : Solution stable 24 h à +4 °C.</w:t>
      </w:r>
      <w:r>
        <w:t xml:space="preserve"> </w:t>
      </w:r>
      <w:r>
        <w:t xml:space="preserve">- Piège du surdosage / Substitution : Adapter en IR.</w:t>
      </w:r>
    </w:p>
    <w:p>
      <w:r>
        <w:pict>
          <v:rect style="width:0;height:1.5pt" o:hralign="center" o:hrstd="t" o:hr="t"/>
        </w:pict>
      </w:r>
    </w:p>
    <w:bookmarkEnd w:id="74"/>
    <w:bookmarkEnd w:id="75"/>
    <w:bookmarkStart w:id="77" w:name="X24641bea684274950c7a9a4d34ca7689dab4cf3"/>
    <w:p>
      <w:pPr>
        <w:pStyle w:val="Heading2"/>
      </w:pPr>
      <w:r>
        <w:t xml:space="preserve">D. Céphalosporines de 4ème génération (C4G) — Absence en Algérie</w:t>
      </w:r>
    </w:p>
    <w:bookmarkStart w:id="76" w:name="présentation-de-la-sous-classe-3"/>
    <w:p>
      <w:pPr>
        <w:pStyle w:val="Heading3"/>
      </w:pPr>
      <w:r>
        <w:t xml:space="preserve">Présentation de la sous-classe</w:t>
      </w:r>
    </w:p>
    <w:p>
      <w:pPr>
        <w:pStyle w:val="FirstParagraph"/>
      </w:pPr>
      <w:r>
        <w:t xml:space="preserve">Les céphalosporines de 4ème génération (céfépime, cefpirome) combinent le spectre des C3G avec une meilleure activité anti-Gram positif et une stabilité accrue aux céphalosporinases AmpC. Elles sont indiquées dans les infections sévères nosocomiales (pneumonie, septicémie, infection urinaire, fièvre neutropénique).</w:t>
      </w:r>
      <w:r>
        <w:t xml:space="preserve"> </w:t>
      </w:r>
      <w:r>
        <w:rPr>
          <w:b/>
          <w:bCs/>
        </w:rPr>
        <w:t xml:space="preserve">Aucune C4G n’est actuellement commercialisée en Algérie.</w:t>
      </w:r>
      <w:r>
        <w:t xml:space="preserve"> </w:t>
      </w:r>
      <w:r>
        <w:t xml:space="preserve">Les praticiens ont recours à la ceftazidime (pour l’antipyocyanique), au méropénème (pour l’AmpC), ou aux associations ceftazidime-avibactam / ceftolozane-tazobactam pour les BLSE.</w:t>
      </w:r>
    </w:p>
    <w:p>
      <w:r>
        <w:pict>
          <v:rect style="width:0;height:1.5pt" o:hralign="center" o:hrstd="t" o:hr="t"/>
        </w:pict>
      </w:r>
    </w:p>
    <w:bookmarkEnd w:id="76"/>
    <w:bookmarkEnd w:id="77"/>
    <w:bookmarkStart w:id="80" w:name="Xaeed2179f93b9ab6e842a623b4c70adbe0e4a1c"/>
    <w:p>
      <w:pPr>
        <w:pStyle w:val="Heading2"/>
      </w:pPr>
      <w:r>
        <w:t xml:space="preserve">E. Céphalosporines de 5ème génération (C5G)</w:t>
      </w:r>
    </w:p>
    <w:bookmarkStart w:id="78" w:name="présentation-de-la-sous-classe-4"/>
    <w:p>
      <w:pPr>
        <w:pStyle w:val="Heading3"/>
      </w:pPr>
      <w:r>
        <w:t xml:space="preserve">Présentation de la sous-classe</w:t>
      </w:r>
    </w:p>
    <w:p>
      <w:pPr>
        <w:pStyle w:val="FirstParagraph"/>
      </w:pPr>
      <w:r>
        <w:t xml:space="preserve">Les céphalosporines de 5ème génération (ceftaroline fosamil, ceftobiprole) ont pour particularité d’avoir une</w:t>
      </w:r>
      <w:r>
        <w:t xml:space="preserve"> </w:t>
      </w:r>
      <w:r>
        <w:rPr>
          <w:b/>
          <w:bCs/>
        </w:rPr>
        <w:t xml:space="preserve">affinité pour la PLP2a de</w:t>
      </w:r>
      <w:r>
        <w:rPr>
          <w:b/>
          <w:bCs/>
        </w:rPr>
        <w:t xml:space="preserve"> </w:t>
      </w:r>
      <w:r>
        <w:rPr>
          <w:b/>
          <w:bCs/>
          <w:i/>
          <w:iCs/>
        </w:rPr>
        <w:t xml:space="preserve">Staphylococcus aureus</w:t>
      </w:r>
      <w:r>
        <w:rPr>
          <w:b/>
          <w:bCs/>
        </w:rPr>
        <w:t xml:space="preserve"> </w:t>
      </w:r>
      <w:r>
        <w:rPr>
          <w:b/>
          <w:bCs/>
        </w:rPr>
        <w:t xml:space="preserve">résistant à la méticilline (SARM)</w:t>
      </w:r>
      <w:r>
        <w:t xml:space="preserve">. Elles combinent le spectre des C3G avec une activité anti-SARM et anti-pneumocoque de sensibilité diminuée. La ceftaroline fosamil est la seule disponible en Algérie (ZINFORO, Pfizer). Elle est indiquée dans les infections cutanées compliquées et les pneumopathies communautaires à SARM.</w:t>
      </w:r>
    </w:p>
    <w:p>
      <w:r>
        <w:pict>
          <v:rect style="width:0;height:1.5pt" o:hralign="center" o:hrstd="t" o:hr="t"/>
        </w:pict>
      </w:r>
    </w:p>
    <w:bookmarkEnd w:id="78"/>
    <w:bookmarkStart w:id="79" w:name="dci-ceftaroline-fosamil-seule"/>
    <w:p>
      <w:pPr>
        <w:pStyle w:val="Heading3"/>
      </w:pPr>
      <w:r>
        <w:t xml:space="preserve">15. DCI : Ceftaroline fosamil (Seule)</w:t>
      </w:r>
    </w:p>
    <w:p>
      <w:pPr>
        <w:pStyle w:val="FirstParagraph"/>
      </w:pPr>
      <w:r>
        <w:rPr>
          <w:b/>
          <w:bCs/>
        </w:rPr>
        <w:t xml:space="preserve">Liste des Catégories :</w:t>
      </w:r>
      <w:r>
        <w:t xml:space="preserve"> </w:t>
      </w:r>
      <w:r>
        <w:t xml:space="preserve">Céphalosporines 5ème génération ; Liste I ; Injectable (prodrogue).</w:t>
      </w:r>
    </w:p>
    <w:p>
      <w:pPr>
        <w:pStyle w:val="BodyText"/>
      </w:pPr>
      <w:r>
        <w:rPr>
          <w:b/>
          <w:bCs/>
        </w:rPr>
        <w:t xml:space="preserve">Médicaments disponibles en Algérie (Marques, Laboratoires, Formes et Dosages) :</w:t>
      </w:r>
    </w:p>
    <w:p>
      <w:pPr>
        <w:pStyle w:val="Compact"/>
        <w:numPr>
          <w:ilvl w:val="0"/>
          <w:numId w:val="1237"/>
        </w:numPr>
      </w:pPr>
      <w:r>
        <w:rPr>
          <w:b/>
          <w:bCs/>
        </w:rPr>
        <w:t xml:space="preserve">ZINFORO</w:t>
      </w:r>
      <w:r>
        <w:t xml:space="preserve"> </w:t>
      </w:r>
      <w:r>
        <w:t xml:space="preserve">(PFIZER IRELAND PHARMACEUTICALS)</w:t>
      </w:r>
    </w:p>
    <w:p>
      <w:pPr>
        <w:pStyle w:val="Compact"/>
        <w:numPr>
          <w:ilvl w:val="1"/>
          <w:numId w:val="1238"/>
        </w:numPr>
      </w:pPr>
      <w:r>
        <w:t xml:space="preserve">Formes et Dosages : Poudre pour solution à diluer pour perfusion — 600 mg/flacon (B/10 flacons de 20 ml)</w:t>
      </w:r>
    </w:p>
    <w:p>
      <w:pPr>
        <w:pStyle w:val="Compact"/>
        <w:numPr>
          <w:ilvl w:val="1"/>
          <w:numId w:val="1238"/>
        </w:numPr>
      </w:pPr>
      <w:r>
        <w:t xml:space="preserve">Statut : Actif</w:t>
      </w:r>
    </w:p>
    <w:p>
      <w:pPr>
        <w:pStyle w:val="FirstParagraph"/>
      </w:pPr>
      <w:r>
        <w:rPr>
          <w:b/>
          <w:bCs/>
        </w:rPr>
        <w:t xml:space="preserve">Sous-classe et Mécanisme d’action :</w:t>
      </w:r>
      <w:r>
        <w:t xml:space="preserve"> </w:t>
      </w:r>
      <w:r>
        <w:t xml:space="preserve">- Sous-classe : C5G, prodrogue (fosamil) hydrolysée in vivo en ceftaroline active.</w:t>
      </w:r>
      <w:r>
        <w:t xml:space="preserve"> </w:t>
      </w:r>
      <w:r>
        <w:t xml:space="preserve">- Mécanisme d’action : Bactéricide par inhibition des PLP, avec une</w:t>
      </w:r>
      <w:r>
        <w:t xml:space="preserve"> </w:t>
      </w:r>
      <w:r>
        <w:rPr>
          <w:b/>
          <w:bCs/>
        </w:rPr>
        <w:t xml:space="preserve">affinité unique pour la PBP2a du SARM</w:t>
      </w:r>
      <w:r>
        <w:t xml:space="preserve"> </w:t>
      </w:r>
      <w:r>
        <w:t xml:space="preserve">(10 à 500 fois supérieure aux autres β-lactamines). Spectre couvrant SARM, SASM, pneumocoque (y compris PISP et PRP), streptocoques A, B, C, G, entérobactéries communautaires (</w:t>
      </w:r>
      <w:r>
        <w:rPr>
          <w:i/>
          <w:iCs/>
        </w:rPr>
        <w:t xml:space="preserve">E. coli</w:t>
      </w:r>
      <w:r>
        <w:t xml:space="preserve">,</w:t>
      </w:r>
      <w:r>
        <w:t xml:space="preserve"> </w:t>
      </w:r>
      <w:r>
        <w:rPr>
          <w:i/>
          <w:iCs/>
        </w:rPr>
        <w:t xml:space="preserve">Klebsiella</w:t>
      </w:r>
      <w:r>
        <w:t xml:space="preserve">,</w:t>
      </w:r>
      <w:r>
        <w:t xml:space="preserve"> </w:t>
      </w:r>
      <w:r>
        <w:rPr>
          <w:i/>
          <w:iCs/>
        </w:rPr>
        <w:t xml:space="preserve">Proteus</w:t>
      </w:r>
      <w:r>
        <w:t xml:space="preserve">),</w:t>
      </w:r>
      <w:r>
        <w:t xml:space="preserve"> </w:t>
      </w:r>
      <w:r>
        <w:rPr>
          <w:i/>
          <w:iCs/>
        </w:rPr>
        <w:t xml:space="preserve">H. influenzae</w:t>
      </w:r>
      <w:r>
        <w:t xml:space="preserve">,</w:t>
      </w:r>
      <w:r>
        <w:t xml:space="preserve"> </w:t>
      </w:r>
      <w:r>
        <w:rPr>
          <w:i/>
          <w:iCs/>
        </w:rPr>
        <w:t xml:space="preserve">M. catarrhalis</w:t>
      </w:r>
      <w:r>
        <w:t xml:space="preserve">. Inactif sur</w:t>
      </w:r>
      <w:r>
        <w:t xml:space="preserve"> </w:t>
      </w:r>
      <w:r>
        <w:rPr>
          <w:i/>
          <w:iCs/>
        </w:rPr>
        <w:t xml:space="preserve">Pseudomonas</w:t>
      </w:r>
      <w:r>
        <w:t xml:space="preserve">,</w:t>
      </w:r>
      <w:r>
        <w:t xml:space="preserve"> </w:t>
      </w:r>
      <w:r>
        <w:rPr>
          <w:i/>
          <w:iCs/>
        </w:rPr>
        <w:t xml:space="preserve">Acinetobacter</w:t>
      </w:r>
      <w:r>
        <w:t xml:space="preserve">, BLSE,</w:t>
      </w:r>
      <w:r>
        <w:t xml:space="preserve"> </w:t>
      </w:r>
      <w:r>
        <w:rPr>
          <w:i/>
          <w:iCs/>
        </w:rPr>
        <w:t xml:space="preserve">Enterococcus faecium</w:t>
      </w:r>
      <w:r>
        <w:t xml:space="preserve">.</w:t>
      </w:r>
    </w:p>
    <w:p>
      <w:pPr>
        <w:pStyle w:val="BodyText"/>
      </w:pPr>
      <w:r>
        <w:rPr>
          <w:b/>
          <w:bCs/>
        </w:rPr>
        <w:t xml:space="preserve">Profil Pharmacologique :</w:t>
      </w:r>
      <w:r>
        <w:t xml:space="preserve"> </w:t>
      </w:r>
      <w:r>
        <w:t xml:space="preserve">- Indications : Infections cutanées et des tissus mous compliquées (cellulite, érysipèle, plaie infectée, abcès) à Gram positif y compris SARM ; pneumopathie communautaire sévère (PAC) à SARM ou pneumocoque résistant.</w:t>
      </w:r>
      <w:r>
        <w:t xml:space="preserve"> </w:t>
      </w:r>
      <w:r>
        <w:t xml:space="preserve">- Contre-indications : Hypersensibilité aux céphalosporines ; allergie grave aux pénicillines.</w:t>
      </w:r>
      <w:r>
        <w:t xml:space="preserve"> </w:t>
      </w:r>
      <w:r>
        <w:t xml:space="preserve">- Effets Indésirables : Diarrhée, rash, nausées, élévation transaminases, thrombopénie ; rarement anaphylaxie, colite à</w:t>
      </w:r>
      <w:r>
        <w:t xml:space="preserve"> </w:t>
      </w:r>
      <w:r>
        <w:rPr>
          <w:i/>
          <w:iCs/>
        </w:rPr>
        <w:t xml:space="preserve">C. difficile</w:t>
      </w:r>
      <w:r>
        <w:t xml:space="preserve">. À noter un risque de</w:t>
      </w:r>
      <w:r>
        <w:t xml:space="preserve"> </w:t>
      </w:r>
      <w:r>
        <w:rPr>
          <w:b/>
          <w:bCs/>
        </w:rPr>
        <w:t xml:space="preserve">séropositivation du test de Coombs direct</w:t>
      </w:r>
      <w:r>
        <w:t xml:space="preserve">.</w:t>
      </w:r>
    </w:p>
    <w:p>
      <w:pPr>
        <w:pStyle w:val="BodyText"/>
      </w:pPr>
      <w:r>
        <w:rPr>
          <w:b/>
          <w:bCs/>
        </w:rPr>
        <w:t xml:space="preserve">Prévention et Gestion des Effets Indésirables :</w:t>
      </w:r>
      <w:r>
        <w:t xml:space="preserve"> </w:t>
      </w:r>
      <w:r>
        <w:t xml:space="preserve">- Mesures Préventives : Adaptation rénale (DFG 30–50 : 400 mg ×2/12 h ; DFG 15–30 : 400 mg ×2/24 h) ; surveillance transaminases.</w:t>
      </w:r>
      <w:r>
        <w:t xml:space="preserve"> </w:t>
      </w:r>
      <w:r>
        <w:t xml:space="preserve">- Conduite à Tenir : Arrêt en cas d’anaphylaxie ; recherche</w:t>
      </w:r>
      <w:r>
        <w:t xml:space="preserve"> </w:t>
      </w:r>
      <w:r>
        <w:rPr>
          <w:i/>
          <w:iCs/>
        </w:rPr>
        <w:t xml:space="preserve">C. difficile</w:t>
      </w:r>
      <w:r>
        <w:t xml:space="preserve"> </w:t>
      </w:r>
      <w:r>
        <w:t xml:space="preserve">si diarrhée.</w:t>
      </w:r>
    </w:p>
    <w:p>
      <w:pPr>
        <w:pStyle w:val="BodyText"/>
      </w:pPr>
      <w:r>
        <w:rPr>
          <w:b/>
          <w:bCs/>
        </w:rPr>
        <w:t xml:space="preserve">Interactions Importantes :</w:t>
      </w:r>
      <w:r>
        <w:t xml:space="preserve"> </w:t>
      </w:r>
      <w:r>
        <w:t xml:space="preserve">- Aucune interaction cliniquement significative rapportée.</w:t>
      </w:r>
      <w:r>
        <w:t xml:space="preserve"> </w:t>
      </w:r>
      <w:r>
        <w:t xml:space="preserve">- Surveillance chez les patients sous AVK (modification flore).</w:t>
      </w:r>
    </w:p>
    <w:p>
      <w:pPr>
        <w:pStyle w:val="BodyText"/>
      </w:pPr>
      <w:r>
        <w:rPr>
          <w:b/>
          <w:bCs/>
        </w:rPr>
        <w:t xml:space="preserve">Grossesse et Allaitement :</w:t>
      </w:r>
      <w:r>
        <w:t xml:space="preserve"> </w:t>
      </w:r>
      <w:r>
        <w:t xml:space="preserve">- Grossesse : Précaution selon CRAT ; données animales sans tératogénicité, données humaines limitées — à utiliser si nécessaire et absence d’alternative.</w:t>
      </w:r>
      <w:r>
        <w:t xml:space="preserve"> </w:t>
      </w:r>
      <w:r>
        <w:t xml:space="preserve">- Allaitement : Précaution ; faible passage lacté présumé.</w:t>
      </w:r>
      <w:r>
        <w:t xml:space="preserve"> </w:t>
      </w:r>
      <w:r>
        <w:t xml:space="preserve">- Précisions : À éviter au 1er trimestre si alternative.</w:t>
      </w:r>
    </w:p>
    <w:p>
      <w:pPr>
        <w:pStyle w:val="BodyText"/>
      </w:pPr>
      <w:r>
        <w:rPr>
          <w:b/>
          <w:bCs/>
        </w:rPr>
        <w:t xml:space="preserve">Posologie et Mode d’administration (Standard) :</w:t>
      </w:r>
      <w:r>
        <w:t xml:space="preserve"> </w:t>
      </w:r>
      <w:r>
        <w:t xml:space="preserve">- Adulte : 600 mg IV en perfusion de 1 heure toutes les 12 heures.</w:t>
      </w:r>
      <w:r>
        <w:t xml:space="preserve"> </w:t>
      </w:r>
      <w:r>
        <w:t xml:space="preserve">- Enfant &gt;2 mois : 8 mg/kg ×2/12 h (maximum 600 mg ×2/12 h) en perfusion 1 heure.</w:t>
      </w:r>
      <w:r>
        <w:t xml:space="preserve"> </w:t>
      </w:r>
      <w:r>
        <w:t xml:space="preserve">- Durée : Infection cutanée 5–14 j, pneumopathie 5–7 j.</w:t>
      </w:r>
      <w:r>
        <w:t xml:space="preserve"> </w:t>
      </w:r>
      <w:r>
        <w:t xml:space="preserve">- Moment de prise : Toutes les 12 h, perfusion stricte 1 heure.</w:t>
      </w:r>
    </w:p>
    <w:p>
      <w:pPr>
        <w:pStyle w:val="BodyText"/>
      </w:pPr>
      <w:r>
        <w:rPr>
          <w:b/>
          <w:bCs/>
        </w:rPr>
        <w:t xml:space="preserve">Arbitrage et Bénéfices des Formes Galéniques :</w:t>
      </w:r>
      <w:r>
        <w:t xml:space="preserve"> </w:t>
      </w:r>
      <w:r>
        <w:t xml:space="preserve">Exclusivement injectable, en perfusion de 1 heure (ne pas administrer en IM). La présentation 600 mg est unique. À réserver aux infections à SARM ou pneumocoque résistant, en alternative à la vancomycine ou à la linézolide.</w:t>
      </w:r>
    </w:p>
    <w:p>
      <w:pPr>
        <w:pStyle w:val="BodyText"/>
      </w:pPr>
      <w:r>
        <w:rPr>
          <w:b/>
          <w:bCs/>
        </w:rPr>
        <w:t xml:space="preserve">Instructions et Conseils au Patient :</w:t>
      </w:r>
      <w:r>
        <w:t xml:space="preserve"> </w:t>
      </w:r>
      <w:r>
        <w:t xml:space="preserve">- Communication au comptoir : Usage hospitalier exclusif ; antibiotique de réserve pour infections à SARM.</w:t>
      </w:r>
      <w:r>
        <w:t xml:space="preserve"> </w:t>
      </w:r>
      <w:r>
        <w:t xml:space="preserve">- Mode d’utilisation pratique : Reconstitution avec 20 ml EPPPI, dilution dans 250 ml NaCl 0,9 %, perfusion 1 heure.</w:t>
      </w:r>
    </w:p>
    <w:p>
      <w:pPr>
        <w:pStyle w:val="BodyText"/>
      </w:pPr>
      <w:r>
        <w:rPr>
          <w:b/>
          <w:bCs/>
        </w:rPr>
        <w:t xml:space="preserve">Notes, Règles d’Or &amp; Pièges au Comptoir :</w:t>
      </w:r>
      <w:r>
        <w:t xml:space="preserve"> </w:t>
      </w:r>
      <w:r>
        <w:t xml:space="preserve">- Piège classique : Confondre avec la ceftazidime (même préfixe « cefta- ») — pas d’activité antipyocyanique.</w:t>
      </w:r>
      <w:r>
        <w:t xml:space="preserve"> </w:t>
      </w:r>
      <w:r>
        <w:t xml:space="preserve">- Règle de prise : Toutes les 12 h, perfusion 1 heure.</w:t>
      </w:r>
      <w:r>
        <w:t xml:space="preserve"> </w:t>
      </w:r>
      <w:r>
        <w:t xml:space="preserve">- Préparation et Conservation : Solution reconstituée stable 6 h à température ambiante, 24 h à +4 °C.</w:t>
      </w:r>
      <w:r>
        <w:t xml:space="preserve"> </w:t>
      </w:r>
      <w:r>
        <w:t xml:space="preserve">- Piège du surdosage / Substitution : Adapter en IR.</w:t>
      </w:r>
    </w:p>
    <w:p>
      <w:r>
        <w:pict>
          <v:rect style="width:0;height:1.5pt" o:hralign="center" o:hrstd="t" o:hr="t"/>
        </w:pict>
      </w:r>
    </w:p>
    <w:bookmarkEnd w:id="79"/>
    <w:bookmarkEnd w:id="80"/>
    <w:bookmarkStart w:id="84" w:name="Xe4c586997b45d63191c3077ee2257e233ae4416"/>
    <w:p>
      <w:pPr>
        <w:pStyle w:val="Heading2"/>
      </w:pPr>
      <w:r>
        <w:t xml:space="preserve">F. Céphalosporines + Inhibiteurs de β-lactamases</w:t>
      </w:r>
    </w:p>
    <w:bookmarkStart w:id="81" w:name="présentation-de-la-sous-classe-5"/>
    <w:p>
      <w:pPr>
        <w:pStyle w:val="Heading3"/>
      </w:pPr>
      <w:r>
        <w:t xml:space="preserve">Présentation de la sous-classe</w:t>
      </w:r>
    </w:p>
    <w:p>
      <w:pPr>
        <w:pStyle w:val="FirstParagraph"/>
      </w:pPr>
      <w:r>
        <w:t xml:space="preserve">L’association d’une céphalosporine à un inhibiteur de β-lactamases constitue une réponse majeure à l’émergence des entérobactéries multirésistantes. Deux associations sont disponibles en Algérie :</w:t>
      </w:r>
    </w:p>
    <w:p>
      <w:pPr>
        <w:pStyle w:val="Compact"/>
        <w:numPr>
          <w:ilvl w:val="0"/>
          <w:numId w:val="1239"/>
        </w:numPr>
      </w:pPr>
      <w:r>
        <w:rPr>
          <w:b/>
          <w:bCs/>
        </w:rPr>
        <w:t xml:space="preserve">Ceftazidime + Avibactam (ZAVICEFTA)</w:t>
      </w:r>
      <w:r>
        <w:t xml:space="preserve"> </w:t>
      </w:r>
      <w:r>
        <w:t xml:space="preserve">: l’avibactam est un inhibiteur non β-lactamine (diazabicyclooctane) actif sur les BLSE (TEM, SHV, CTX-M), les AmpC chromosomiques et les</w:t>
      </w:r>
      <w:r>
        <w:t xml:space="preserve"> </w:t>
      </w:r>
      <w:r>
        <w:rPr>
          <w:b/>
          <w:bCs/>
        </w:rPr>
        <w:t xml:space="preserve">KPC</w:t>
      </w:r>
      <w:r>
        <w:t xml:space="preserve"> </w:t>
      </w:r>
      <w:r>
        <w:t xml:space="preserve">(Klebsiella pneumoniae carbapénèmase). Il restaure l’activité de la ceftazidime sur</w:t>
      </w:r>
      <w:r>
        <w:t xml:space="preserve"> </w:t>
      </w:r>
      <w:r>
        <w:rPr>
          <w:i/>
          <w:iCs/>
        </w:rPr>
        <w:t xml:space="preserve">P. aeruginosa</w:t>
      </w:r>
      <w:r>
        <w:t xml:space="preserve"> </w:t>
      </w:r>
      <w:r>
        <w:t xml:space="preserve">résistant et les entérobactéries KPC.</w:t>
      </w:r>
    </w:p>
    <w:p>
      <w:pPr>
        <w:pStyle w:val="Compact"/>
        <w:numPr>
          <w:ilvl w:val="0"/>
          <w:numId w:val="1239"/>
        </w:numPr>
      </w:pPr>
      <w:r>
        <w:rPr>
          <w:b/>
          <w:bCs/>
        </w:rPr>
        <w:t xml:space="preserve">Ceftolozane + Tazobactam (ZERBAXA)</w:t>
      </w:r>
      <w:r>
        <w:t xml:space="preserve"> </w:t>
      </w:r>
      <w:r>
        <w:t xml:space="preserve">: le ceftolozane est une C3G antipyocyanique optimisé, le tazobactam est un inhibiteur β-lactamine actif sur les BLSE mais pas sur les KPC. Indication préférentielle : infections à</w:t>
      </w:r>
      <w:r>
        <w:t xml:space="preserve"> </w:t>
      </w:r>
      <w:r>
        <w:rPr>
          <w:i/>
          <w:iCs/>
        </w:rPr>
        <w:t xml:space="preserve">P. aeruginosa</w:t>
      </w:r>
      <w:r>
        <w:t xml:space="preserve"> </w:t>
      </w:r>
      <w:r>
        <w:t xml:space="preserve">multirésistant.</w:t>
      </w:r>
    </w:p>
    <w:p>
      <w:pPr>
        <w:pStyle w:val="FirstParagraph"/>
      </w:pPr>
      <w:r>
        <w:t xml:space="preserve">Ces deux molécules sont réservées à l’usage hospitalier, dans le cadre d’une antibiothérapie ciblée après documentation microbiologique (antibiogramme).</w:t>
      </w:r>
    </w:p>
    <w:p>
      <w:r>
        <w:pict>
          <v:rect style="width:0;height:1.5pt" o:hralign="center" o:hrstd="t" o:hr="t"/>
        </w:pict>
      </w:r>
    </w:p>
    <w:bookmarkEnd w:id="81"/>
    <w:bookmarkStart w:id="82" w:name="dci-ceftazidime-avibactam-en-association"/>
    <w:p>
      <w:pPr>
        <w:pStyle w:val="Heading3"/>
      </w:pPr>
      <w:r>
        <w:t xml:space="preserve">16. DCI : Ceftazidime + Avibactam (En Association)</w:t>
      </w:r>
    </w:p>
    <w:p>
      <w:pPr>
        <w:pStyle w:val="FirstParagraph"/>
      </w:pPr>
      <w:r>
        <w:rPr>
          <w:b/>
          <w:bCs/>
        </w:rPr>
        <w:t xml:space="preserve">Liste des Catégories :</w:t>
      </w:r>
      <w:r>
        <w:t xml:space="preserve"> </w:t>
      </w:r>
      <w:r>
        <w:t xml:space="preserve">Céphalosporines + Inhibiteurs de β-lactamases ; Liste I ; Injectable.</w:t>
      </w:r>
    </w:p>
    <w:p>
      <w:pPr>
        <w:pStyle w:val="BodyText"/>
      </w:pPr>
      <w:r>
        <w:rPr>
          <w:b/>
          <w:bCs/>
        </w:rPr>
        <w:t xml:space="preserve">Médicaments disponibles en Algérie (Marques, Laboratoires, Formes et Dosages) :</w:t>
      </w:r>
    </w:p>
    <w:p>
      <w:pPr>
        <w:pStyle w:val="Compact"/>
        <w:numPr>
          <w:ilvl w:val="0"/>
          <w:numId w:val="1240"/>
        </w:numPr>
      </w:pPr>
      <w:r>
        <w:rPr>
          <w:b/>
          <w:bCs/>
        </w:rPr>
        <w:t xml:space="preserve">ZAVICEFTA</w:t>
      </w:r>
      <w:r>
        <w:t xml:space="preserve"> </w:t>
      </w:r>
      <w:r>
        <w:t xml:space="preserve">(PFIZER IRELAND PHARMACEUTICALS)</w:t>
      </w:r>
    </w:p>
    <w:p>
      <w:pPr>
        <w:pStyle w:val="Compact"/>
        <w:numPr>
          <w:ilvl w:val="1"/>
          <w:numId w:val="1241"/>
        </w:numPr>
      </w:pPr>
      <w:r>
        <w:t xml:space="preserve">Formes et Dosages : Poudre pour solution à diluer pour perfusion — 2 g ceftazidime / 0,5 g avibactam (boîte de 10 flacons de 20 ml)</w:t>
      </w:r>
    </w:p>
    <w:p>
      <w:pPr>
        <w:pStyle w:val="Compact"/>
        <w:numPr>
          <w:ilvl w:val="1"/>
          <w:numId w:val="1241"/>
        </w:numPr>
      </w:pPr>
      <w:r>
        <w:t xml:space="preserve">Statut : Actif</w:t>
      </w:r>
    </w:p>
    <w:p>
      <w:pPr>
        <w:pStyle w:val="FirstParagraph"/>
      </w:pPr>
      <w:r>
        <w:rPr>
          <w:b/>
          <w:bCs/>
        </w:rPr>
        <w:t xml:space="preserve">Sous-classe et Mécanisme d’action :</w:t>
      </w:r>
      <w:r>
        <w:t xml:space="preserve"> </w:t>
      </w:r>
      <w:r>
        <w:t xml:space="preserve">- Sous-classe : Association d’une C3G antipyocyanique (ceftazidime) et d’un inhibiteur de β-lactamases non β-lactamine (avibactam, diazabicyclooctane).</w:t>
      </w:r>
      <w:r>
        <w:t xml:space="preserve"> </w:t>
      </w:r>
      <w:r>
        <w:t xml:space="preserve">- Mécanisme d’action : La ceftazidime exerce son action bactéricide (PLP3) ; l’avibactam, en se liant de façon covalente et réversible au site actif des β-lactamases, restaure l’activité de la ceftazidime en inhibant les BLSE (TEM, SHV, CTX-M), les AmpC chromosomiques, et les KPC. Spectre couvrant entérobactéries BLSE,</w:t>
      </w:r>
      <w:r>
        <w:t xml:space="preserve"> </w:t>
      </w:r>
      <w:r>
        <w:rPr>
          <w:i/>
          <w:iCs/>
        </w:rPr>
        <w:t xml:space="preserve">K. pneumoniae</w:t>
      </w:r>
      <w:r>
        <w:t xml:space="preserve"> </w:t>
      </w:r>
      <w:r>
        <w:t xml:space="preserve">KPC,</w:t>
      </w:r>
      <w:r>
        <w:t xml:space="preserve"> </w:t>
      </w:r>
      <w:r>
        <w:rPr>
          <w:i/>
          <w:iCs/>
        </w:rPr>
        <w:t xml:space="preserve">P. aeruginosa</w:t>
      </w:r>
      <w:r>
        <w:t xml:space="preserve"> </w:t>
      </w:r>
      <w:r>
        <w:t xml:space="preserve">résistant,</w:t>
      </w:r>
      <w:r>
        <w:t xml:space="preserve"> </w:t>
      </w:r>
      <w:r>
        <w:rPr>
          <w:i/>
          <w:iCs/>
        </w:rPr>
        <w:t xml:space="preserve">Acinetobacter</w:t>
      </w:r>
      <w:r>
        <w:t xml:space="preserve"> </w:t>
      </w:r>
      <w:r>
        <w:t xml:space="preserve">spp. (variable). Inactif sur MBL (metallo-β-lactamases : NDM, VIM, IMP) et OXA-48 (variable).</w:t>
      </w:r>
    </w:p>
    <w:p>
      <w:pPr>
        <w:pStyle w:val="BodyText"/>
      </w:pPr>
      <w:r>
        <w:rPr>
          <w:b/>
          <w:bCs/>
        </w:rPr>
        <w:t xml:space="preserve">Profil Pharmacologique :</w:t>
      </w:r>
      <w:r>
        <w:t xml:space="preserve"> </w:t>
      </w:r>
      <w:r>
        <w:t xml:space="preserve">- Indications : Infections intra-abdominales compliquées (en association au métronidazole), pneumonies nosocomiales et associées à la ventilation mécanique, infections urinaires compliquées dont pyélonephrite, infections à entérobactéries BLSE et KPC, infections à</w:t>
      </w:r>
      <w:r>
        <w:t xml:space="preserve"> </w:t>
      </w:r>
      <w:r>
        <w:rPr>
          <w:i/>
          <w:iCs/>
        </w:rPr>
        <w:t xml:space="preserve">P. aeruginosa</w:t>
      </w:r>
      <w:r>
        <w:t xml:space="preserve"> </w:t>
      </w:r>
      <w:r>
        <w:t xml:space="preserve">résistant (en alternative au méropénème).</w:t>
      </w:r>
      <w:r>
        <w:t xml:space="preserve"> </w:t>
      </w:r>
      <w:r>
        <w:t xml:space="preserve">- Contre-indications : Hypersensibilité aux céphalosporines ; allergie grave aux pénicillines ; inhibiteurs de la Biclutanide possible (attention aux interactions).</w:t>
      </w:r>
      <w:r>
        <w:t xml:space="preserve"> </w:t>
      </w:r>
      <w:r>
        <w:t xml:space="preserve">- Effets Indésirables : Diarrhée, nausées, vomissements, rash, élévation transaminases, thrombopénie, hypokaliémie ; anaphylaxie rare.</w:t>
      </w:r>
    </w:p>
    <w:p>
      <w:pPr>
        <w:pStyle w:val="BodyText"/>
      </w:pPr>
      <w:r>
        <w:rPr>
          <w:b/>
          <w:bCs/>
        </w:rPr>
        <w:t xml:space="preserve">Prévention et Gestion des Effets Indésirables :</w:t>
      </w:r>
      <w:r>
        <w:t xml:space="preserve"> </w:t>
      </w:r>
      <w:r>
        <w:t xml:space="preserve">- Mesures Préventives : Adaptation rénale stricte (DFG 30–50 : 1 g/0,25 g ×3/j ; DFG 15–30 : 0,75 g/0,19 g ×2/j) ; surveillance ionogramme.</w:t>
      </w:r>
      <w:r>
        <w:t xml:space="preserve"> </w:t>
      </w:r>
      <w:r>
        <w:t xml:space="preserve">- Conduite à Tenir : Arrêt en cas d’anaphylaxie.</w:t>
      </w:r>
    </w:p>
    <w:p>
      <w:pPr>
        <w:pStyle w:val="BodyText"/>
      </w:pPr>
      <w:r>
        <w:rPr>
          <w:b/>
          <w:bCs/>
        </w:rPr>
        <w:t xml:space="preserve">Interactions Importantes :</w:t>
      </w:r>
      <w:r>
        <w:t xml:space="preserve"> </w:t>
      </w:r>
      <w:r>
        <w:t xml:space="preserve">- Probénécide : Modification de l’avibactam (augmentation concentrations).</w:t>
      </w:r>
      <w:r>
        <w:t xml:space="preserve"> </w:t>
      </w:r>
      <w:r>
        <w:t xml:space="preserve">- Pas d’interaction majeure rapportée.</w:t>
      </w:r>
    </w:p>
    <w:p>
      <w:pPr>
        <w:pStyle w:val="BodyText"/>
      </w:pPr>
      <w:r>
        <w:rPr>
          <w:b/>
          <w:bCs/>
        </w:rPr>
        <w:t xml:space="preserve">Grossesse et Allaitement :</w:t>
      </w:r>
      <w:r>
        <w:t xml:space="preserve"> </w:t>
      </w:r>
      <w:r>
        <w:t xml:space="preserve">- Grossesse : Précaution selon CRAT ; données animales limitées — à utiliser si nécessaire et absence d’alternative.</w:t>
      </w:r>
      <w:r>
        <w:t xml:space="preserve"> </w:t>
      </w:r>
      <w:r>
        <w:t xml:space="preserve">- Allaitement : Précaution ; éviter si alternative.</w:t>
      </w:r>
      <w:r>
        <w:t xml:space="preserve"> </w:t>
      </w:r>
      <w:r>
        <w:t xml:space="preserve">- Précisions : Réservé à l’infection sévère à BMR documentée.</w:t>
      </w:r>
    </w:p>
    <w:p>
      <w:pPr>
        <w:pStyle w:val="BodyText"/>
      </w:pPr>
      <w:r>
        <w:rPr>
          <w:b/>
          <w:bCs/>
        </w:rPr>
        <w:t xml:space="preserve">Posologie et Mode d’administration (Standard) :</w:t>
      </w:r>
      <w:r>
        <w:t xml:space="preserve"> </w:t>
      </w:r>
      <w:r>
        <w:t xml:space="preserve">- Adulte : 2 g ceftazidime + 0,5 g avibactam IV en perfusion de 2 heures toutes les 8 heures.</w:t>
      </w:r>
      <w:r>
        <w:t xml:space="preserve"> </w:t>
      </w:r>
      <w:r>
        <w:t xml:space="preserve">- Enfant &gt;3 mois : 50 mg/kg ceftazidime + 12,5 mg/kg avibactam ×3/j (max 2 g/0,5 g).</w:t>
      </w:r>
      <w:r>
        <w:t xml:space="preserve"> </w:t>
      </w:r>
      <w:r>
        <w:t xml:space="preserve">- Durée : 5–14 j selon indication.</w:t>
      </w:r>
      <w:r>
        <w:t xml:space="preserve"> </w:t>
      </w:r>
      <w:r>
        <w:t xml:space="preserve">- Moment de prise : Toutes les 8 h, perfusion 2 h.</w:t>
      </w:r>
    </w:p>
    <w:p>
      <w:pPr>
        <w:pStyle w:val="BodyText"/>
      </w:pPr>
      <w:r>
        <w:rPr>
          <w:b/>
          <w:bCs/>
        </w:rPr>
        <w:t xml:space="preserve">Arbitrage et Bénéfices des Formes Galéniques :</w:t>
      </w:r>
      <w:r>
        <w:t xml:space="preserve"> </w:t>
      </w:r>
      <w:r>
        <w:t xml:space="preserve">Exclusivement injectable, en perfusion de 2 heures. L’association fixe simplifie l’administration. À réserver aux infections à BMR productrices de BLSE ou KPC, après documentation microbiologique.</w:t>
      </w:r>
    </w:p>
    <w:p>
      <w:pPr>
        <w:pStyle w:val="BodyText"/>
      </w:pPr>
      <w:r>
        <w:rPr>
          <w:b/>
          <w:bCs/>
        </w:rPr>
        <w:t xml:space="preserve">Instructions et Conseils au Patient :</w:t>
      </w:r>
      <w:r>
        <w:t xml:space="preserve"> </w:t>
      </w:r>
      <w:r>
        <w:t xml:space="preserve">- Communication au comptoir : Usage hospitalier exclusif ; antibiotique de dernier recours.</w:t>
      </w:r>
      <w:r>
        <w:t xml:space="preserve"> </w:t>
      </w:r>
      <w:r>
        <w:t xml:space="preserve">- Mode d’utilisation pratique : Reconstitution avec 10 ml EPPPI, dilution dans 100 ml NaCl 0,9 %, perfusion 2 heures.</w:t>
      </w:r>
    </w:p>
    <w:p>
      <w:pPr>
        <w:pStyle w:val="BodyText"/>
      </w:pPr>
      <w:r>
        <w:rPr>
          <w:b/>
          <w:bCs/>
        </w:rPr>
        <w:t xml:space="preserve">Notes, Règles d’Or &amp; Pièges au Comptoir :</w:t>
      </w:r>
      <w:r>
        <w:t xml:space="preserve"> </w:t>
      </w:r>
      <w:r>
        <w:t xml:space="preserve">- Piège classique : Prescrire pour une infection à NDM (metallo-β-lactamase) — inactif.</w:t>
      </w:r>
      <w:r>
        <w:t xml:space="preserve"> </w:t>
      </w:r>
      <w:r>
        <w:t xml:space="preserve">- Règle de prise : Toutes les 8 h, perfusion 2 h stricte.</w:t>
      </w:r>
      <w:r>
        <w:t xml:space="preserve"> </w:t>
      </w:r>
      <w:r>
        <w:t xml:space="preserve">- Préparation et Conservation : Solution stable 4 h à température ambiante, 24 h à +4 °C.</w:t>
      </w:r>
      <w:r>
        <w:t xml:space="preserve"> </w:t>
      </w:r>
      <w:r>
        <w:t xml:space="preserve">- Piège du surdosage / Substitution : Adapter en IR.</w:t>
      </w:r>
    </w:p>
    <w:p>
      <w:r>
        <w:pict>
          <v:rect style="width:0;height:1.5pt" o:hralign="center" o:hrstd="t" o:hr="t"/>
        </w:pict>
      </w:r>
    </w:p>
    <w:bookmarkEnd w:id="82"/>
    <w:bookmarkStart w:id="83" w:name="X3b906e9c70d38c2af4d43acd2b9b348149816c9"/>
    <w:p>
      <w:pPr>
        <w:pStyle w:val="Heading3"/>
      </w:pPr>
      <w:r>
        <w:t xml:space="preserve">17. DCI : Ceftolozane + Tazobactam (En Association)</w:t>
      </w:r>
    </w:p>
    <w:p>
      <w:pPr>
        <w:pStyle w:val="FirstParagraph"/>
      </w:pPr>
      <w:r>
        <w:rPr>
          <w:b/>
          <w:bCs/>
        </w:rPr>
        <w:t xml:space="preserve">Liste des Catégories :</w:t>
      </w:r>
      <w:r>
        <w:t xml:space="preserve"> </w:t>
      </w:r>
      <w:r>
        <w:t xml:space="preserve">Céphalosporines + Inhibiteurs de β-lactamases ; Liste I ; Injectable.</w:t>
      </w:r>
    </w:p>
    <w:p>
      <w:pPr>
        <w:pStyle w:val="BodyText"/>
      </w:pPr>
      <w:r>
        <w:rPr>
          <w:b/>
          <w:bCs/>
        </w:rPr>
        <w:t xml:space="preserve">Médicaments disponibles en Algérie (Marques, Laboratoires, Formes et Dosages) :</w:t>
      </w:r>
    </w:p>
    <w:p>
      <w:pPr>
        <w:pStyle w:val="Compact"/>
        <w:numPr>
          <w:ilvl w:val="0"/>
          <w:numId w:val="1242"/>
        </w:numPr>
      </w:pPr>
      <w:r>
        <w:rPr>
          <w:b/>
          <w:bCs/>
        </w:rPr>
        <w:t xml:space="preserve">ZERBAXA</w:t>
      </w:r>
      <w:r>
        <w:t xml:space="preserve"> </w:t>
      </w:r>
      <w:r>
        <w:t xml:space="preserve">(MERCK SHARP &amp; DOHME B.V)</w:t>
      </w:r>
    </w:p>
    <w:p>
      <w:pPr>
        <w:pStyle w:val="Compact"/>
        <w:numPr>
          <w:ilvl w:val="1"/>
          <w:numId w:val="1243"/>
        </w:numPr>
      </w:pPr>
      <w:r>
        <w:t xml:space="preserve">Formes et Dosages : Poudre pour solution à diluer pour perfusion — 1 g ceftolozane / 0,5 g tazobactam (boîte de 10 flacons de 20 ml)</w:t>
      </w:r>
    </w:p>
    <w:p>
      <w:pPr>
        <w:pStyle w:val="Compact"/>
        <w:numPr>
          <w:ilvl w:val="1"/>
          <w:numId w:val="1243"/>
        </w:numPr>
      </w:pPr>
      <w:r>
        <w:t xml:space="preserve">Statut : Actif</w:t>
      </w:r>
    </w:p>
    <w:p>
      <w:pPr>
        <w:pStyle w:val="FirstParagraph"/>
      </w:pPr>
      <w:r>
        <w:rPr>
          <w:b/>
          <w:bCs/>
        </w:rPr>
        <w:t xml:space="preserve">Sous-classe et Mécanisme d’action :</w:t>
      </w:r>
      <w:r>
        <w:t xml:space="preserve"> </w:t>
      </w:r>
      <w:r>
        <w:t xml:space="preserve">- Sous-classe : Association d’une C3G antipyocyanique optimisée (ceftolozane) et d’un inhibiteur de β-lactamases β-lactamine (tazobactam).</w:t>
      </w:r>
      <w:r>
        <w:t xml:space="preserve"> </w:t>
      </w:r>
      <w:r>
        <w:t xml:space="preserve">- Mécanisme d’action : Le ceftolozane a une affinité PLP3 supérieure à la ceftazidime (notamment sur</w:t>
      </w:r>
      <w:r>
        <w:t xml:space="preserve"> </w:t>
      </w:r>
      <w:r>
        <w:rPr>
          <w:i/>
          <w:iCs/>
        </w:rPr>
        <w:t xml:space="preserve">P. aeruginosa</w:t>
      </w:r>
      <w:r>
        <w:t xml:space="preserve">) ; le tazobactam inhibe les BLSE classiques (TEM, SHV, CTX-M) mais pas les AmpC derepressées ni les KPC. Spectre couvrant</w:t>
      </w:r>
      <w:r>
        <w:t xml:space="preserve"> </w:t>
      </w:r>
      <w:r>
        <w:rPr>
          <w:i/>
          <w:iCs/>
        </w:rPr>
        <w:t xml:space="preserve">P. aeruginosa</w:t>
      </w:r>
      <w:r>
        <w:t xml:space="preserve"> </w:t>
      </w:r>
      <w:r>
        <w:t xml:space="preserve">multirésistant (résistant à la ceftazidime mais sensible au ceftolozane), entérobactéries BLSE,</w:t>
      </w:r>
      <w:r>
        <w:t xml:space="preserve"> </w:t>
      </w:r>
      <w:r>
        <w:rPr>
          <w:i/>
          <w:iCs/>
        </w:rPr>
        <w:t xml:space="preserve">H. influenzae</w:t>
      </w:r>
      <w:r>
        <w:t xml:space="preserve">,</w:t>
      </w:r>
      <w:r>
        <w:t xml:space="preserve"> </w:t>
      </w:r>
      <w:r>
        <w:rPr>
          <w:i/>
          <w:iCs/>
        </w:rPr>
        <w:t xml:space="preserve">M. catarrhalis</w:t>
      </w:r>
      <w:r>
        <w:t xml:space="preserve">, anaérobies. Inactif sur KPC, MBL, OXA-48,</w:t>
      </w:r>
      <w:r>
        <w:t xml:space="preserve"> </w:t>
      </w:r>
      <w:r>
        <w:rPr>
          <w:i/>
          <w:iCs/>
        </w:rPr>
        <w:t xml:space="preserve">Acinetobacter baumannii</w:t>
      </w:r>
      <w:r>
        <w:t xml:space="preserve">.</w:t>
      </w:r>
    </w:p>
    <w:p>
      <w:pPr>
        <w:pStyle w:val="BodyText"/>
      </w:pPr>
      <w:r>
        <w:rPr>
          <w:b/>
          <w:bCs/>
        </w:rPr>
        <w:t xml:space="preserve">Profil Pharmacologique :</w:t>
      </w:r>
      <w:r>
        <w:t xml:space="preserve"> </w:t>
      </w:r>
      <w:r>
        <w:t xml:space="preserve">- Indications : Infections intra-abdominales compliquées (en association au métronidazole), pneumonies nosocomiales et VAP, infections urinaires compliquées dont pyélonephrite aiguë, infections à</w:t>
      </w:r>
      <w:r>
        <w:t xml:space="preserve"> </w:t>
      </w:r>
      <w:r>
        <w:rPr>
          <w:i/>
          <w:iCs/>
        </w:rPr>
        <w:t xml:space="preserve">P. aeruginosa</w:t>
      </w:r>
      <w:r>
        <w:t xml:space="preserve"> </w:t>
      </w:r>
      <w:r>
        <w:t xml:space="preserve">multirésistant.</w:t>
      </w:r>
      <w:r>
        <w:t xml:space="preserve"> </w:t>
      </w:r>
      <w:r>
        <w:t xml:space="preserve">- Contre-indications : Hypersensibilité aux céphalosporines ; allergie grave aux pénicillines.</w:t>
      </w:r>
      <w:r>
        <w:t xml:space="preserve"> </w:t>
      </w:r>
      <w:r>
        <w:t xml:space="preserve">- Effets Indésirables : Diarrhée, nausées, céphalées, rash, élévation transaminases, hypokaliémie ; anaphylaxie rare.</w:t>
      </w:r>
    </w:p>
    <w:p>
      <w:pPr>
        <w:pStyle w:val="BodyText"/>
      </w:pPr>
      <w:r>
        <w:rPr>
          <w:b/>
          <w:bCs/>
        </w:rPr>
        <w:t xml:space="preserve">Prévention et Gestion des Effets Indésirables :</w:t>
      </w:r>
      <w:r>
        <w:t xml:space="preserve"> </w:t>
      </w:r>
      <w:r>
        <w:t xml:space="preserve">- Mesures Préventives : Adaptation rénale stricte (DFG 30–50 : 0,75 g/0,375 g ×3/j ; DFG 15–30 : 0,375 g/0,188 g ×3/j) ; surveillance ionogramme.</w:t>
      </w:r>
      <w:r>
        <w:t xml:space="preserve"> </w:t>
      </w:r>
      <w:r>
        <w:t xml:space="preserve">- Conduite à Tenir : Arrêt en cas d’anaphylaxie.</w:t>
      </w:r>
    </w:p>
    <w:p>
      <w:pPr>
        <w:pStyle w:val="BodyText"/>
      </w:pPr>
      <w:r>
        <w:rPr>
          <w:b/>
          <w:bCs/>
        </w:rPr>
        <w:t xml:space="preserve">Interactions Importantes :</w:t>
      </w:r>
      <w:r>
        <w:t xml:space="preserve"> </w:t>
      </w:r>
      <w:r>
        <w:t xml:space="preserve">- Probénécide : Modification du tazobactam.</w:t>
      </w:r>
      <w:r>
        <w:t xml:space="preserve"> </w:t>
      </w:r>
      <w:r>
        <w:t xml:space="preserve">- Pas d’interaction majeure.</w:t>
      </w:r>
    </w:p>
    <w:p>
      <w:pPr>
        <w:pStyle w:val="BodyText"/>
      </w:pPr>
      <w:r>
        <w:rPr>
          <w:b/>
          <w:bCs/>
        </w:rPr>
        <w:t xml:space="preserve">Grossesse et Allaitement :</w:t>
      </w:r>
      <w:r>
        <w:t xml:space="preserve"> </w:t>
      </w:r>
      <w:r>
        <w:t xml:space="preserve">- Grossesse : Précaution selon CRAT ; données limitées — à utiliser si nécessaire.</w:t>
      </w:r>
      <w:r>
        <w:t xml:space="preserve"> </w:t>
      </w:r>
      <w:r>
        <w:t xml:space="preserve">- Allaitement : Précaution.</w:t>
      </w:r>
      <w:r>
        <w:t xml:space="preserve"> </w:t>
      </w:r>
      <w:r>
        <w:t xml:space="preserve">- Précisions : Réservé à l’infection sévère à</w:t>
      </w:r>
      <w:r>
        <w:t xml:space="preserve"> </w:t>
      </w:r>
      <w:r>
        <w:rPr>
          <w:i/>
          <w:iCs/>
        </w:rPr>
        <w:t xml:space="preserve">Pseudomonas</w:t>
      </w:r>
      <w:r>
        <w:t xml:space="preserve"> </w:t>
      </w:r>
      <w:r>
        <w:t xml:space="preserve">multirésistant.</w:t>
      </w:r>
    </w:p>
    <w:p>
      <w:pPr>
        <w:pStyle w:val="BodyText"/>
      </w:pPr>
      <w:r>
        <w:rPr>
          <w:b/>
          <w:bCs/>
        </w:rPr>
        <w:t xml:space="preserve">Posologie et Mode d’administration (Standard) :</w:t>
      </w:r>
      <w:r>
        <w:t xml:space="preserve"> </w:t>
      </w:r>
      <w:r>
        <w:t xml:space="preserve">- Adulte : 1 g ceftolozane + 0,5 g tazobactam IV en perfusion de 1 heure toutes les 8 heures ; pneumonie nosocomiale 3 g/1,5 g ×3/j.</w:t>
      </w:r>
      <w:r>
        <w:t xml:space="preserve"> </w:t>
      </w:r>
      <w:r>
        <w:t xml:space="preserve">- Enfant &gt;2 mois : 15 mg/kg ceftolozane + 7,5 mg/kg tazobactam ×3/j (max 1 g/0,5 g).</w:t>
      </w:r>
      <w:r>
        <w:t xml:space="preserve"> </w:t>
      </w:r>
      <w:r>
        <w:t xml:space="preserve">- Durée : 5–14 j selon indication.</w:t>
      </w:r>
      <w:r>
        <w:t xml:space="preserve"> </w:t>
      </w:r>
      <w:r>
        <w:t xml:space="preserve">- Moment de prise : Toutes les 8 h, perfusion 1 h.</w:t>
      </w:r>
    </w:p>
    <w:p>
      <w:pPr>
        <w:pStyle w:val="BodyText"/>
      </w:pPr>
      <w:r>
        <w:rPr>
          <w:b/>
          <w:bCs/>
        </w:rPr>
        <w:t xml:space="preserve">Arbitrage et Bénéfices des Formes Galéniques :</w:t>
      </w:r>
      <w:r>
        <w:t xml:space="preserve"> </w:t>
      </w:r>
      <w:r>
        <w:t xml:space="preserve">Exclusivement injectable. Avantage majeur : activité conservée sur</w:t>
      </w:r>
      <w:r>
        <w:t xml:space="preserve"> </w:t>
      </w:r>
      <w:r>
        <w:rPr>
          <w:i/>
          <w:iCs/>
        </w:rPr>
        <w:t xml:space="preserve">P. aeruginosa</w:t>
      </w:r>
      <w:r>
        <w:t xml:space="preserve"> </w:t>
      </w:r>
      <w:r>
        <w:t xml:space="preserve">résistant à la ceftazidime. À réserver aux infections documentées à</w:t>
      </w:r>
      <w:r>
        <w:t xml:space="preserve"> </w:t>
      </w:r>
      <w:r>
        <w:rPr>
          <w:i/>
          <w:iCs/>
        </w:rPr>
        <w:t xml:space="preserve">Pseudomonas</w:t>
      </w:r>
      <w:r>
        <w:t xml:space="preserve"> </w:t>
      </w:r>
      <w:r>
        <w:t xml:space="preserve">multirésistant.</w:t>
      </w:r>
    </w:p>
    <w:p>
      <w:pPr>
        <w:pStyle w:val="BodyText"/>
      </w:pPr>
      <w:r>
        <w:rPr>
          <w:b/>
          <w:bCs/>
        </w:rPr>
        <w:t xml:space="preserve">Instructions et Conseils au Patient :</w:t>
      </w:r>
      <w:r>
        <w:t xml:space="preserve"> </w:t>
      </w:r>
      <w:r>
        <w:t xml:space="preserve">- Communication au comptoir : Usage hospitalier exclusif ; antibiotique de dernier recours.</w:t>
      </w:r>
      <w:r>
        <w:t xml:space="preserve"> </w:t>
      </w:r>
      <w:r>
        <w:t xml:space="preserve">- Mode d’utilisation pratique : Reconstitution avec 10 ml EPPPI, dilution dans 100 ml NaCl 0,9 %, perfusion 1 heure.</w:t>
      </w:r>
    </w:p>
    <w:p>
      <w:pPr>
        <w:pStyle w:val="BodyText"/>
      </w:pPr>
      <w:r>
        <w:rPr>
          <w:b/>
          <w:bCs/>
        </w:rPr>
        <w:t xml:space="preserve">Notes, Règles d’Or &amp; Pièges au Comptoir :</w:t>
      </w:r>
      <w:r>
        <w:t xml:space="preserve"> </w:t>
      </w:r>
      <w:r>
        <w:t xml:space="preserve">- Piège classique : Confondre avec ceftazidime-avibactam — le ceftolozane-tazobactam est inactif sur KPC.</w:t>
      </w:r>
      <w:r>
        <w:t xml:space="preserve"> </w:t>
      </w:r>
      <w:r>
        <w:t xml:space="preserve">- Règle de prise : Toutes les 8 h, perfusion 1 h.</w:t>
      </w:r>
      <w:r>
        <w:t xml:space="preserve"> </w:t>
      </w:r>
      <w:r>
        <w:t xml:space="preserve">- Préparation et Conservation : Solution stable 4 h à température ambiante, 24 h à +4 °C.</w:t>
      </w:r>
      <w:r>
        <w:t xml:space="preserve"> </w:t>
      </w:r>
      <w:r>
        <w:t xml:space="preserve">- Piège du surdosage / Substitution : Adapter en IR.</w:t>
      </w:r>
    </w:p>
    <w:p>
      <w:r>
        <w:pict>
          <v:rect style="width:0;height:1.5pt" o:hralign="center" o:hrstd="t" o:hr="t"/>
        </w:pict>
      </w:r>
    </w:p>
    <w:bookmarkEnd w:id="83"/>
    <w:bookmarkEnd w:id="84"/>
    <w:bookmarkStart w:id="88" w:name="g.-carbapénèmes"/>
    <w:p>
      <w:pPr>
        <w:pStyle w:val="Heading2"/>
      </w:pPr>
      <w:r>
        <w:t xml:space="preserve">G. Carbapénèmes</w:t>
      </w:r>
    </w:p>
    <w:bookmarkStart w:id="85" w:name="présentation-de-la-sous-classe-6"/>
    <w:p>
      <w:pPr>
        <w:pStyle w:val="Heading3"/>
      </w:pPr>
      <w:r>
        <w:t xml:space="preserve">Présentation de la sous-classe</w:t>
      </w:r>
    </w:p>
    <w:p>
      <w:pPr>
        <w:pStyle w:val="FirstParagraph"/>
      </w:pPr>
      <w:r>
        <w:t xml:space="preserve">Les carbapénèmes (imipénème, méropénème, ertapénème, doripénème) constituent la classe d’antibiotiques β-lactamines au</w:t>
      </w:r>
      <w:r>
        <w:t xml:space="preserve"> </w:t>
      </w:r>
      <w:r>
        <w:rPr>
          <w:b/>
          <w:bCs/>
        </w:rPr>
        <w:t xml:space="preserve">spectre le plus large</w:t>
      </w:r>
      <w:r>
        <w:t xml:space="preserve"> </w:t>
      </w:r>
      <w:r>
        <w:t xml:space="preserve">: cocci Gram positif (y compris SARM non,</w:t>
      </w:r>
      <w:r>
        <w:t xml:space="preserve"> </w:t>
      </w:r>
      <w:r>
        <w:rPr>
          <w:i/>
          <w:iCs/>
        </w:rPr>
        <w:t xml:space="preserve">Enterococcus faecalis</w:t>
      </w:r>
      <w:r>
        <w:t xml:space="preserve"> </w:t>
      </w:r>
      <w:r>
        <w:t xml:space="preserve">pour imipénème), bacilles Gram négatif aéroboies (entérobactéries BLSE, AmpC,</w:t>
      </w:r>
      <w:r>
        <w:t xml:space="preserve"> </w:t>
      </w:r>
      <w:r>
        <w:rPr>
          <w:i/>
          <w:iCs/>
        </w:rPr>
        <w:t xml:space="preserve">Pseudomonas</w:t>
      </w:r>
      <w:r>
        <w:t xml:space="preserve">,</w:t>
      </w:r>
      <w:r>
        <w:t xml:space="preserve"> </w:t>
      </w:r>
      <w:r>
        <w:rPr>
          <w:i/>
          <w:iCs/>
        </w:rPr>
        <w:t xml:space="preserve">Acinetobacter</w:t>
      </w:r>
      <w:r>
        <w:t xml:space="preserve">), anaérobies. Seuls l’</w:t>
      </w:r>
      <w:r>
        <w:rPr>
          <w:b/>
          <w:bCs/>
        </w:rPr>
        <w:t xml:space="preserve">imipénème-cilastatine</w:t>
      </w:r>
      <w:r>
        <w:t xml:space="preserve"> </w:t>
      </w:r>
      <w:r>
        <w:t xml:space="preserve">et le</w:t>
      </w:r>
      <w:r>
        <w:t xml:space="preserve"> </w:t>
      </w:r>
      <w:r>
        <w:rPr>
          <w:b/>
          <w:bCs/>
        </w:rPr>
        <w:t xml:space="preserve">méropénème</w:t>
      </w:r>
      <w:r>
        <w:t xml:space="preserve"> </w:t>
      </w:r>
      <w:r>
        <w:t xml:space="preserve">sont disponibles en Algérie.</w:t>
      </w:r>
    </w:p>
    <w:p>
      <w:pPr>
        <w:pStyle w:val="BodyText"/>
      </w:pPr>
      <w:r>
        <w:t xml:space="preserve">Le noyau carbapénème confère une stabilité exceptionnelle aux β-lactamases (BLSE, AmpC, pénicillinases), à l’exception des métallo-β-lactamases (NDM, VIM, IMP) et des carbapénèmases de type OXA-48 et KPC (variable selon molécule).</w:t>
      </w:r>
    </w:p>
    <w:p>
      <w:pPr>
        <w:pStyle w:val="BodyText"/>
      </w:pPr>
      <w:r>
        <w:t xml:space="preserve">Sur le plan PK, les carbapénèmes ont une</w:t>
      </w:r>
      <w:r>
        <w:t xml:space="preserve"> </w:t>
      </w:r>
      <w:r>
        <w:rPr>
          <w:b/>
          <w:bCs/>
        </w:rPr>
        <w:t xml:space="preserve">demi-vie courte (1 h)</w:t>
      </w:r>
      <w:r>
        <w:t xml:space="preserve"> </w:t>
      </w:r>
      <w:r>
        <w:t xml:space="preserve">et une élimination rénale exclusive, imposant adaptation posologique en IR et administration toutes les 6 à 8 heures. L’imipénème est associé à la</w:t>
      </w:r>
      <w:r>
        <w:t xml:space="preserve"> </w:t>
      </w:r>
      <w:r>
        <w:rPr>
          <w:b/>
          <w:bCs/>
        </w:rPr>
        <w:t xml:space="preserve">cilastatine</w:t>
      </w:r>
      <w:r>
        <w:t xml:space="preserve">, inhibiteur de la déhydropeptidase I rénale qui dégrade l’imipénème et qui est néphrotoxique. Le méropénème n’a pas besoin de cette association.</w:t>
      </w:r>
    </w:p>
    <w:p>
      <w:pPr>
        <w:pStyle w:val="BodyText"/>
      </w:pPr>
      <w:r>
        <w:t xml:space="preserve">Concerns : risque de</w:t>
      </w:r>
      <w:r>
        <w:t xml:space="preserve"> </w:t>
      </w:r>
      <w:r>
        <w:rPr>
          <w:b/>
          <w:bCs/>
        </w:rPr>
        <w:t xml:space="preserve">convulsions</w:t>
      </w:r>
      <w:r>
        <w:t xml:space="preserve"> </w:t>
      </w:r>
      <w:r>
        <w:t xml:space="preserve">à forte dose (surtout imipénème, en IR et en méningite), émergence de carbapénèmases, effet sur la flore digestive. À réserver aux infections sévères à BMR documentées ou suspectées.</w:t>
      </w:r>
    </w:p>
    <w:p>
      <w:r>
        <w:pict>
          <v:rect style="width:0;height:1.5pt" o:hralign="center" o:hrstd="t" o:hr="t"/>
        </w:pict>
      </w:r>
    </w:p>
    <w:bookmarkEnd w:id="85"/>
    <w:bookmarkStart w:id="86" w:name="dci-imipénème-cilastatine-en-association"/>
    <w:p>
      <w:pPr>
        <w:pStyle w:val="Heading3"/>
      </w:pPr>
      <w:r>
        <w:t xml:space="preserve">18. DCI : Imipénème + Cilastatine (En Association)</w:t>
      </w:r>
    </w:p>
    <w:p>
      <w:pPr>
        <w:pStyle w:val="FirstParagraph"/>
      </w:pPr>
      <w:r>
        <w:rPr>
          <w:b/>
          <w:bCs/>
        </w:rPr>
        <w:t xml:space="preserve">Liste des Catégories :</w:t>
      </w:r>
      <w:r>
        <w:t xml:space="preserve"> </w:t>
      </w:r>
      <w:r>
        <w:t xml:space="preserve">Carbapénèmes ; Liste I ; Injectable.</w:t>
      </w:r>
    </w:p>
    <w:p>
      <w:pPr>
        <w:pStyle w:val="BodyText"/>
      </w:pPr>
      <w:r>
        <w:rPr>
          <w:b/>
          <w:bCs/>
        </w:rPr>
        <w:t xml:space="preserve">Médicaments disponibles en Algérie (Marques, Laboratoires, Formes et Dosages) :</w:t>
      </w:r>
    </w:p>
    <w:p>
      <w:pPr>
        <w:pStyle w:val="Compact"/>
        <w:numPr>
          <w:ilvl w:val="0"/>
          <w:numId w:val="1244"/>
        </w:numPr>
      </w:pPr>
      <w:r>
        <w:rPr>
          <w:b/>
          <w:bCs/>
        </w:rPr>
        <w:t xml:space="preserve">CILANEM</w:t>
      </w:r>
      <w:r>
        <w:t xml:space="preserve"> </w:t>
      </w:r>
      <w:r>
        <w:t xml:space="preserve">(RANBAXY LABORATORIES LIMITED)</w:t>
      </w:r>
    </w:p>
    <w:p>
      <w:pPr>
        <w:pStyle w:val="Compact"/>
        <w:numPr>
          <w:ilvl w:val="1"/>
          <w:numId w:val="1245"/>
        </w:numPr>
      </w:pPr>
      <w:r>
        <w:t xml:space="preserve">Formes et Dosages : Poudre pour solution injectable — 500 mg/500 mg/flacon</w:t>
      </w:r>
    </w:p>
    <w:p>
      <w:pPr>
        <w:pStyle w:val="Compact"/>
        <w:numPr>
          <w:ilvl w:val="1"/>
          <w:numId w:val="1245"/>
        </w:numPr>
      </w:pPr>
      <w:r>
        <w:t xml:space="preserve">Statut : Actif</w:t>
      </w:r>
    </w:p>
    <w:p>
      <w:pPr>
        <w:pStyle w:val="Compact"/>
        <w:numPr>
          <w:ilvl w:val="0"/>
          <w:numId w:val="1244"/>
        </w:numPr>
      </w:pPr>
      <w:r>
        <w:rPr>
          <w:b/>
          <w:bCs/>
        </w:rPr>
        <w:t xml:space="preserve">IMECISTAL</w:t>
      </w:r>
      <w:r>
        <w:t xml:space="preserve"> </w:t>
      </w:r>
      <w:r>
        <w:t xml:space="preserve">(SOCIETE PHARMACEUTIQUE ALGERIENNE SOPHAL)</w:t>
      </w:r>
    </w:p>
    <w:p>
      <w:pPr>
        <w:pStyle w:val="Compact"/>
        <w:numPr>
          <w:ilvl w:val="1"/>
          <w:numId w:val="1246"/>
        </w:numPr>
      </w:pPr>
      <w:r>
        <w:t xml:space="preserve">Formes et Dosages : Poudre pour solution pour perfusion — 500 mg/500 mg (B/10 flacons de 10 ml)</w:t>
      </w:r>
    </w:p>
    <w:p>
      <w:pPr>
        <w:pStyle w:val="Compact"/>
        <w:numPr>
          <w:ilvl w:val="1"/>
          <w:numId w:val="1246"/>
        </w:numPr>
      </w:pPr>
      <w:r>
        <w:t xml:space="preserve">Statut : Actif</w:t>
      </w:r>
    </w:p>
    <w:p>
      <w:pPr>
        <w:pStyle w:val="Compact"/>
        <w:numPr>
          <w:ilvl w:val="0"/>
          <w:numId w:val="1244"/>
        </w:numPr>
      </w:pPr>
      <w:r>
        <w:rPr>
          <w:b/>
          <w:bCs/>
        </w:rPr>
        <w:t xml:space="preserve">SAMIPENEM</w:t>
      </w:r>
      <w:r>
        <w:t xml:space="preserve"> </w:t>
      </w:r>
      <w:r>
        <w:t xml:space="preserve">(IMGSA GROUPE INDUSTRIE PHARMACEUTIQUE)</w:t>
      </w:r>
    </w:p>
    <w:p>
      <w:pPr>
        <w:pStyle w:val="Compact"/>
        <w:numPr>
          <w:ilvl w:val="1"/>
          <w:numId w:val="1247"/>
        </w:numPr>
      </w:pPr>
      <w:r>
        <w:t xml:space="preserve">Formes et Dosages : Poudre pour solution pour perfusion — 500 mg/500 mg/flacon (B/1 flacon de 20 ml)</w:t>
      </w:r>
    </w:p>
    <w:p>
      <w:pPr>
        <w:pStyle w:val="Compact"/>
        <w:numPr>
          <w:ilvl w:val="1"/>
          <w:numId w:val="1247"/>
        </w:numPr>
      </w:pPr>
      <w:r>
        <w:t xml:space="preserve">Statut : Actif</w:t>
      </w:r>
    </w:p>
    <w:p>
      <w:pPr>
        <w:pStyle w:val="Compact"/>
        <w:numPr>
          <w:ilvl w:val="0"/>
          <w:numId w:val="1244"/>
        </w:numPr>
      </w:pPr>
      <w:r>
        <w:rPr>
          <w:b/>
          <w:bCs/>
        </w:rPr>
        <w:t xml:space="preserve">TIENAM</w:t>
      </w:r>
      <w:r>
        <w:t xml:space="preserve"> </w:t>
      </w:r>
      <w:r>
        <w:t xml:space="preserve">(MERCK SHARP ET DOHME CHIBRET)</w:t>
      </w:r>
    </w:p>
    <w:p>
      <w:pPr>
        <w:pStyle w:val="Compact"/>
        <w:numPr>
          <w:ilvl w:val="1"/>
          <w:numId w:val="1248"/>
        </w:numPr>
      </w:pPr>
      <w:r>
        <w:t xml:space="preserve">Formes et Dosages : Poudre pour perfusion IV — 500 mg/500 mg (B/1 et B/10 flacons de 20 ml)</w:t>
      </w:r>
    </w:p>
    <w:p>
      <w:pPr>
        <w:pStyle w:val="Compact"/>
        <w:numPr>
          <w:ilvl w:val="1"/>
          <w:numId w:val="1248"/>
        </w:numPr>
      </w:pPr>
      <w:r>
        <w:t xml:space="preserve">Statut : Retiré (R)</w:t>
      </w:r>
    </w:p>
    <w:p>
      <w:pPr>
        <w:pStyle w:val="FirstParagraph"/>
      </w:pPr>
      <w:r>
        <w:rPr>
          <w:b/>
          <w:bCs/>
        </w:rPr>
        <w:t xml:space="preserve">Sous-classe et Mécanisme d’action :</w:t>
      </w:r>
      <w:r>
        <w:t xml:space="preserve"> </w:t>
      </w:r>
      <w:r>
        <w:t xml:space="preserve">- Sous-classe : Carbapénème (imipénème) associé à la cilastatine (inhibiteur de la déhydropeptidase I rénale).</w:t>
      </w:r>
      <w:r>
        <w:t xml:space="preserve"> </w:t>
      </w:r>
      <w:r>
        <w:t xml:space="preserve">- Mécanisme d’action : Bactéricide par haute affinité pour les PLP2 (entraînant formation de sphéroplastes) et PLP1, PLP3, PLP4. Spectre couvrant cocci Gram + (y compris</w:t>
      </w:r>
      <w:r>
        <w:t xml:space="preserve"> </w:t>
      </w:r>
      <w:r>
        <w:rPr>
          <w:i/>
          <w:iCs/>
        </w:rPr>
        <w:t xml:space="preserve">E. faecalis</w:t>
      </w:r>
      <w:r>
        <w:t xml:space="preserve">, SASM ; SARM non couvert), bacilles Gram – (entérobactéries BLSE et AmpC,</w:t>
      </w:r>
      <w:r>
        <w:t xml:space="preserve"> </w:t>
      </w:r>
      <w:r>
        <w:rPr>
          <w:i/>
          <w:iCs/>
        </w:rPr>
        <w:t xml:space="preserve">Pseudomonas aeruginosa</w:t>
      </w:r>
      <w:r>
        <w:t xml:space="preserve">,</w:t>
      </w:r>
      <w:r>
        <w:t xml:space="preserve"> </w:t>
      </w:r>
      <w:r>
        <w:rPr>
          <w:i/>
          <w:iCs/>
        </w:rPr>
        <w:t xml:space="preserve">Acinetobacter</w:t>
      </w:r>
      <w:r>
        <w:t xml:space="preserve"> </w:t>
      </w:r>
      <w:r>
        <w:t xml:space="preserve">spp.), anaérobies (Bacteroides, Prevotella, Fusobacterium, Clostridium). Inactif sur</w:t>
      </w:r>
      <w:r>
        <w:t xml:space="preserve"> </w:t>
      </w:r>
      <w:r>
        <w:rPr>
          <w:i/>
          <w:iCs/>
        </w:rPr>
        <w:t xml:space="preserve">E. faecium</w:t>
      </w:r>
      <w:r>
        <w:t xml:space="preserve">,</w:t>
      </w:r>
      <w:r>
        <w:t xml:space="preserve"> </w:t>
      </w:r>
      <w:r>
        <w:rPr>
          <w:i/>
          <w:iCs/>
        </w:rPr>
        <w:t xml:space="preserve">Stenotrophomonas maltophilia</w:t>
      </w:r>
      <w:r>
        <w:t xml:space="preserve">,</w:t>
      </w:r>
      <w:r>
        <w:t xml:space="preserve"> </w:t>
      </w:r>
      <w:r>
        <w:rPr>
          <w:i/>
          <w:iCs/>
        </w:rPr>
        <w:t xml:space="preserve">Burkholderia cepacia</w:t>
      </w:r>
      <w:r>
        <w:t xml:space="preserve">, mycobactéries, mycoplasmes, chlamydia.</w:t>
      </w:r>
    </w:p>
    <w:p>
      <w:pPr>
        <w:pStyle w:val="BodyText"/>
      </w:pPr>
      <w:r>
        <w:rPr>
          <w:b/>
          <w:bCs/>
        </w:rPr>
        <w:t xml:space="preserve">Profil Pharmacologique :</w:t>
      </w:r>
      <w:r>
        <w:t xml:space="preserve"> </w:t>
      </w:r>
      <w:r>
        <w:t xml:space="preserve">- Indications : Infections sévères polymicrobiennes (péritonite, infection pelvienne, infection biliaire), septicémies, pneumopathies nosocomiales, infections urinaires compliquées, fièvre neutropénique (en alternative), infections à BMR (BLSE, AmpC) ; prophylaxie chirurgicale en chirurgie colorectale en alternative (rare). À réserver aux infections documentées ou suspectées à BMR.</w:t>
      </w:r>
      <w:r>
        <w:t xml:space="preserve"> </w:t>
      </w:r>
      <w:r>
        <w:t xml:space="preserve">- Contre-indications : Hypersensibilité aux carbapénèmes ; allergie grave aux pénicillines (cross-allergie possible, plus élevée que pour les céphalosporines) ; méningite chez l’enfant (risque convulsif accru).</w:t>
      </w:r>
      <w:r>
        <w:t xml:space="preserve"> </w:t>
      </w:r>
      <w:r>
        <w:t xml:space="preserve">- Effets Indésirables : Convulsions (surtout en IR, à forte dose, en méningite et chez le sujet âgé), rash, diarrhée, nausées, vomissements, élévation transaminases, thrombophlébite, candidose, positivité Coombs ; colite à</w:t>
      </w:r>
      <w:r>
        <w:t xml:space="preserve"> </w:t>
      </w:r>
      <w:r>
        <w:rPr>
          <w:i/>
          <w:iCs/>
        </w:rPr>
        <w:t xml:space="preserve">C. difficile</w:t>
      </w:r>
      <w:r>
        <w:t xml:space="preserve">. La cilastatine elle-même peut provoquer une tubulopathie proximale en surdosage.</w:t>
      </w:r>
    </w:p>
    <w:p>
      <w:pPr>
        <w:pStyle w:val="BodyText"/>
      </w:pPr>
      <w:r>
        <w:rPr>
          <w:b/>
          <w:bCs/>
        </w:rPr>
        <w:t xml:space="preserve">Prévention et Gestion des Effets Indésirables :</w:t>
      </w:r>
      <w:r>
        <w:t xml:space="preserve"> </w:t>
      </w:r>
      <w:r>
        <w:t xml:space="preserve">- Mesures Préventives : Adapter strictement la dose en IR (DFG 30–70 : 250–500 mg ×4/j ; DFG &lt; 30 : 250 mg ×4/j) ; ne pas dépasser 50 mg/kg/j ou 4 g/j chez l’adulte ; éviter la perfusion rapide en bolus ; surveiller fonction rénale et EEG en cas de traitement prolongé.</w:t>
      </w:r>
      <w:r>
        <w:t xml:space="preserve"> </w:t>
      </w:r>
      <w:r>
        <w:t xml:space="preserve">- Conduite à Tenir : Arrêt immédiat en cas de convulsions ; relais par méropénème (moins épileptogène) si indication maintenue.</w:t>
      </w:r>
    </w:p>
    <w:p>
      <w:pPr>
        <w:pStyle w:val="BodyText"/>
      </w:pPr>
      <w:r>
        <w:rPr>
          <w:b/>
          <w:bCs/>
        </w:rPr>
        <w:t xml:space="preserve">Interactions Importantes :</w:t>
      </w:r>
      <w:r>
        <w:t xml:space="preserve"> </w:t>
      </w:r>
      <w:r>
        <w:t xml:space="preserve">- Acide valproïque (Dépakine®) : Chute drastique et prolongée des concentrations de valproate (jusqu’à 70–100 % en 24 h) avec risque de récidive convulsive — contre-indication relative, surveillance étroite, alternative antibiotique si possible.</w:t>
      </w:r>
      <w:r>
        <w:t xml:space="preserve"> </w:t>
      </w:r>
      <w:r>
        <w:t xml:space="preserve">- Ganciclovir : Risque de convulsions majoré — éviter l’association.</w:t>
      </w:r>
      <w:r>
        <w:t xml:space="preserve"> </w:t>
      </w:r>
      <w:r>
        <w:t xml:space="preserve">- Probénécide : Augmentation des concentrations d’imipénème (compétition tubulaire).</w:t>
      </w:r>
      <w:r>
        <w:t xml:space="preserve"> </w:t>
      </w:r>
      <w:r>
        <w:t xml:space="preserve">- Théophylline : Risque de convulsions majoré.</w:t>
      </w:r>
    </w:p>
    <w:p>
      <w:pPr>
        <w:pStyle w:val="BodyText"/>
      </w:pPr>
      <w:r>
        <w:rPr>
          <w:b/>
          <w:bCs/>
        </w:rPr>
        <w:t xml:space="preserve">Grossesse et Allaitement :</w:t>
      </w:r>
      <w:r>
        <w:t xml:space="preserve"> </w:t>
      </w:r>
      <w:r>
        <w:t xml:space="preserve">- Grossesse : Indiqué selon CRAT, à utiliser si nécessaire (infection sévère à BMR).</w:t>
      </w:r>
      <w:r>
        <w:t xml:space="preserve"> </w:t>
      </w:r>
      <w:r>
        <w:t xml:space="preserve">- Allaitement : Compatible ; faible passage lacté.</w:t>
      </w:r>
      <w:r>
        <w:t xml:space="preserve"> </w:t>
      </w:r>
      <w:r>
        <w:t xml:space="preserve">- Précisions : À éviter au 1er trimestre si alternative, mais non CI absolue.</w:t>
      </w:r>
    </w:p>
    <w:p>
      <w:pPr>
        <w:pStyle w:val="BodyText"/>
      </w:pPr>
      <w:r>
        <w:rPr>
          <w:b/>
          <w:bCs/>
        </w:rPr>
        <w:t xml:space="preserve">Posologie et Mode d’administration (Standard) :</w:t>
      </w:r>
      <w:r>
        <w:t xml:space="preserve"> </w:t>
      </w:r>
      <w:r>
        <w:t xml:space="preserve">- Adulte : 500 mg à 1 g IV toutes les 6 à 8 heures ; maximum 4 g/j (ou 50 mg/kg/j).</w:t>
      </w:r>
      <w:r>
        <w:t xml:space="preserve"> </w:t>
      </w:r>
      <w:r>
        <w:t xml:space="preserve">- Enfant &gt;3 mois : 15–25 mg/kg ×4/j (60–100 mg/kg/j) ; maximum 4 g/j.</w:t>
      </w:r>
      <w:r>
        <w:t xml:space="preserve"> </w:t>
      </w:r>
      <w:r>
        <w:t xml:space="preserve">- Durée : 7–14 j selon indication.</w:t>
      </w:r>
      <w:r>
        <w:t xml:space="preserve"> </w:t>
      </w:r>
      <w:r>
        <w:t xml:space="preserve">- Moment de prise : Perfusion IV 30 minutes (60 minutes pour 1 g pour réduire la thrombophlébite et le risque convulsif).</w:t>
      </w:r>
    </w:p>
    <w:p>
      <w:pPr>
        <w:pStyle w:val="BodyText"/>
      </w:pPr>
      <w:r>
        <w:rPr>
          <w:b/>
          <w:bCs/>
        </w:rPr>
        <w:t xml:space="preserve">Arbitrage et Bénéfices des Formes Galéniques :</w:t>
      </w:r>
      <w:r>
        <w:t xml:space="preserve"> </w:t>
      </w:r>
      <w:r>
        <w:t xml:space="preserve">Exclusivement injectable, en perfusion stricte. Présentation 500 mg/500 mg. L’imipénème a un avantage d’activité anti-</w:t>
      </w:r>
      <w:r>
        <w:rPr>
          <w:i/>
          <w:iCs/>
        </w:rPr>
        <w:t xml:space="preserve">E. faecalis</w:t>
      </w:r>
      <w:r>
        <w:t xml:space="preserve"> </w:t>
      </w:r>
      <w:r>
        <w:t xml:space="preserve">et anti-anaérobies supérieur au méropénème, mais un désavantage net en termes de tolérance neurologique. À réserver aux infections sévères polymicrobiennes et aux BMR sensibles.</w:t>
      </w:r>
    </w:p>
    <w:p>
      <w:pPr>
        <w:pStyle w:val="BodyText"/>
      </w:pPr>
      <w:r>
        <w:rPr>
          <w:b/>
          <w:bCs/>
        </w:rPr>
        <w:t xml:space="preserve">Instructions et Conseils au Patient :</w:t>
      </w:r>
      <w:r>
        <w:t xml:space="preserve"> </w:t>
      </w:r>
      <w:r>
        <w:t xml:space="preserve">- Communication au comptoir : Usage hospitalier exclusif. Information sur le risque de convulsions et les interactions médicamenteuses.</w:t>
      </w:r>
      <w:r>
        <w:t xml:space="preserve"> </w:t>
      </w:r>
      <w:r>
        <w:t xml:space="preserve">- Mode d’utilisation pratique : Reconstitution avec 10 ml EPPPI, dilution dans 100 ml NaCl 0,9 %, perfusion 30–60 minutes.</w:t>
      </w:r>
    </w:p>
    <w:p>
      <w:pPr>
        <w:pStyle w:val="BodyText"/>
      </w:pPr>
      <w:r>
        <w:rPr>
          <w:b/>
          <w:bCs/>
        </w:rPr>
        <w:t xml:space="preserve">Notes, Règles d’Or &amp; Pièges au Comptoir :</w:t>
      </w:r>
      <w:r>
        <w:t xml:space="preserve"> </w:t>
      </w:r>
      <w:r>
        <w:t xml:space="preserve">- Piège classique : Co-prescrire avec valproate de sodium — chute des concentrations et récidive convulsive.</w:t>
      </w:r>
      <w:r>
        <w:t xml:space="preserve"> </w:t>
      </w:r>
      <w:r>
        <w:t xml:space="preserve">- Règle de prise : Toutes les 6–8 h, perfusion lente.</w:t>
      </w:r>
      <w:r>
        <w:t xml:space="preserve"> </w:t>
      </w:r>
      <w:r>
        <w:t xml:space="preserve">- Préparation et Conservation : Solution stable 4 h à température ambiante, 24 h à +4 °C ; ne pas congeler.</w:t>
      </w:r>
      <w:r>
        <w:t xml:space="preserve"> </w:t>
      </w:r>
      <w:r>
        <w:t xml:space="preserve">- Piège du surdosage / Substitution : Convulsions à forte dose, surtout en IR et méningite — préférer méropénème.</w:t>
      </w:r>
    </w:p>
    <w:p>
      <w:r>
        <w:pict>
          <v:rect style="width:0;height:1.5pt" o:hralign="center" o:hrstd="t" o:hr="t"/>
        </w:pict>
      </w:r>
    </w:p>
    <w:bookmarkEnd w:id="86"/>
    <w:bookmarkStart w:id="87" w:name="dci-méropénème-seule"/>
    <w:p>
      <w:pPr>
        <w:pStyle w:val="Heading3"/>
      </w:pPr>
      <w:r>
        <w:t xml:space="preserve">19. DCI : Méropénème (Seule)</w:t>
      </w:r>
    </w:p>
    <w:p>
      <w:pPr>
        <w:pStyle w:val="FirstParagraph"/>
      </w:pPr>
      <w:r>
        <w:rPr>
          <w:b/>
          <w:bCs/>
        </w:rPr>
        <w:t xml:space="preserve">Liste des Catégories :</w:t>
      </w:r>
      <w:r>
        <w:t xml:space="preserve"> </w:t>
      </w:r>
      <w:r>
        <w:t xml:space="preserve">Carbapénèmes ; Liste I ; Injectable.</w:t>
      </w:r>
    </w:p>
    <w:p>
      <w:pPr>
        <w:pStyle w:val="BodyText"/>
      </w:pPr>
      <w:r>
        <w:t xml:space="preserve">Le méropénème se distingue de l’imipénème par une</w:t>
      </w:r>
      <w:r>
        <w:t xml:space="preserve"> </w:t>
      </w:r>
      <w:r>
        <w:rPr>
          <w:b/>
          <w:bCs/>
        </w:rPr>
        <w:t xml:space="preserve">meilleure tolérance neurologique</w:t>
      </w:r>
      <w:r>
        <w:t xml:space="preserve"> </w:t>
      </w:r>
      <w:r>
        <w:t xml:space="preserve">(moins de convulsions) et une meilleure activité anti-Gram négatif (notamment</w:t>
      </w:r>
      <w:r>
        <w:t xml:space="preserve"> </w:t>
      </w:r>
      <w:r>
        <w:rPr>
          <w:i/>
          <w:iCs/>
        </w:rPr>
        <w:t xml:space="preserve">Pseudomonas</w:t>
      </w:r>
      <w:r>
        <w:t xml:space="preserve">). Il est le carbapénème de référence dans les méningites bactériennes nosocomiales et les infections sévères à</w:t>
      </w:r>
      <w:r>
        <w:t xml:space="preserve"> </w:t>
      </w:r>
      <w:r>
        <w:rPr>
          <w:i/>
          <w:iCs/>
        </w:rPr>
        <w:t xml:space="preserve">P. aeruginosa</w:t>
      </w:r>
      <w:r>
        <w:t xml:space="preserve">.</w:t>
      </w:r>
    </w:p>
    <w:p>
      <w:pPr>
        <w:pStyle w:val="BodyText"/>
      </w:pPr>
      <w:r>
        <w:rPr>
          <w:b/>
          <w:bCs/>
        </w:rPr>
        <w:t xml:space="preserve">Médicaments disponibles en Algérie (Marques, Laboratoires, Formes et Dosages) :</w:t>
      </w:r>
    </w:p>
    <w:p>
      <w:pPr>
        <w:pStyle w:val="Compact"/>
        <w:numPr>
          <w:ilvl w:val="0"/>
          <w:numId w:val="1249"/>
        </w:numPr>
      </w:pPr>
      <w:r>
        <w:rPr>
          <w:b/>
          <w:bCs/>
        </w:rPr>
        <w:t xml:space="preserve">ARCHIFAR</w:t>
      </w:r>
      <w:r>
        <w:t xml:space="preserve"> </w:t>
      </w:r>
      <w:r>
        <w:t xml:space="preserve">(MEDOCHEMIE LTD)</w:t>
      </w:r>
    </w:p>
    <w:p>
      <w:pPr>
        <w:pStyle w:val="Compact"/>
        <w:numPr>
          <w:ilvl w:val="1"/>
          <w:numId w:val="1250"/>
        </w:numPr>
      </w:pPr>
      <w:r>
        <w:t xml:space="preserve">Formes et Dosages : Poudre pour solution injectable ou perfusion IV — 1 g/flacon (B/10 flacons)</w:t>
      </w:r>
    </w:p>
    <w:p>
      <w:pPr>
        <w:pStyle w:val="Compact"/>
        <w:numPr>
          <w:ilvl w:val="1"/>
          <w:numId w:val="1250"/>
        </w:numPr>
      </w:pPr>
      <w:r>
        <w:t xml:space="preserve">Statut : Actif</w:t>
      </w:r>
    </w:p>
    <w:p>
      <w:pPr>
        <w:pStyle w:val="Compact"/>
        <w:numPr>
          <w:ilvl w:val="0"/>
          <w:numId w:val="1249"/>
        </w:numPr>
      </w:pPr>
      <w:r>
        <w:rPr>
          <w:b/>
          <w:bCs/>
        </w:rPr>
        <w:t xml:space="preserve">MEPRA</w:t>
      </w:r>
      <w:r>
        <w:t xml:space="preserve"> </w:t>
      </w:r>
      <w:r>
        <w:t xml:space="preserve">(HIKMA PHARMA ALGERIA)</w:t>
      </w:r>
    </w:p>
    <w:p>
      <w:pPr>
        <w:pStyle w:val="Compact"/>
        <w:numPr>
          <w:ilvl w:val="1"/>
          <w:numId w:val="1251"/>
        </w:numPr>
      </w:pPr>
      <w:r>
        <w:t xml:space="preserve">Formes et Dosages : Poudre pour solution injectable ou perfusion IV — 1 g/flacon (B/10 flacons de 20 ml) ; 500 mg/flacon (B/10 flacons de 20 ml)</w:t>
      </w:r>
    </w:p>
    <w:p>
      <w:pPr>
        <w:pStyle w:val="Compact"/>
        <w:numPr>
          <w:ilvl w:val="1"/>
          <w:numId w:val="1251"/>
        </w:numPr>
      </w:pPr>
      <w:r>
        <w:t xml:space="preserve">Statut : Actif</w:t>
      </w:r>
    </w:p>
    <w:p>
      <w:pPr>
        <w:pStyle w:val="Compact"/>
        <w:numPr>
          <w:ilvl w:val="0"/>
          <w:numId w:val="1249"/>
        </w:numPr>
      </w:pPr>
      <w:r>
        <w:rPr>
          <w:b/>
          <w:bCs/>
        </w:rPr>
        <w:t xml:space="preserve">MERONEM</w:t>
      </w:r>
      <w:r>
        <w:t xml:space="preserve"> </w:t>
      </w:r>
      <w:r>
        <w:t xml:space="preserve">(ASTRA ZENECA)</w:t>
      </w:r>
    </w:p>
    <w:p>
      <w:pPr>
        <w:pStyle w:val="Compact"/>
        <w:numPr>
          <w:ilvl w:val="1"/>
          <w:numId w:val="1252"/>
        </w:numPr>
      </w:pPr>
      <w:r>
        <w:t xml:space="preserve">Formes et Dosages : Poudre pour solution injectable IV — 1 g/flacon (B/10 flacons)</w:t>
      </w:r>
    </w:p>
    <w:p>
      <w:pPr>
        <w:pStyle w:val="Compact"/>
        <w:numPr>
          <w:ilvl w:val="1"/>
          <w:numId w:val="1252"/>
        </w:numPr>
      </w:pPr>
      <w:r>
        <w:t xml:space="preserve">Statut : Actif</w:t>
      </w:r>
    </w:p>
    <w:p>
      <w:pPr>
        <w:pStyle w:val="FirstParagraph"/>
      </w:pPr>
      <w:r>
        <w:rPr>
          <w:b/>
          <w:bCs/>
        </w:rPr>
        <w:t xml:space="preserve">Sous-classe et Mécanisme d’action :</w:t>
      </w:r>
      <w:r>
        <w:t xml:space="preserve"> </w:t>
      </w:r>
      <w:r>
        <w:t xml:space="preserve">- Sous-classe : Carbapénème, élimination rénale exclusive (70 % inchangé), demi-vie 1 h.</w:t>
      </w:r>
      <w:r>
        <w:t xml:space="preserve"> </w:t>
      </w:r>
      <w:r>
        <w:t xml:space="preserve">- Mécanisme d’action : Bactéricide, affinité PLP2 et PLP3. Spectre proche de l’imipénème avec une activité supérieure sur</w:t>
      </w:r>
      <w:r>
        <w:t xml:space="preserve"> </w:t>
      </w:r>
      <w:r>
        <w:rPr>
          <w:i/>
          <w:iCs/>
        </w:rPr>
        <w:t xml:space="preserve">P. aeruginosa</w:t>
      </w:r>
      <w:r>
        <w:t xml:space="preserve"> </w:t>
      </w:r>
      <w:r>
        <w:t xml:space="preserve">et</w:t>
      </w:r>
      <w:r>
        <w:t xml:space="preserve"> </w:t>
      </w:r>
      <w:r>
        <w:rPr>
          <w:i/>
          <w:iCs/>
        </w:rPr>
        <w:t xml:space="preserve">Acinetobacter</w:t>
      </w:r>
      <w:r>
        <w:t xml:space="preserve">, et une activité moindre sur</w:t>
      </w:r>
      <w:r>
        <w:t xml:space="preserve"> </w:t>
      </w:r>
      <w:r>
        <w:rPr>
          <w:i/>
          <w:iCs/>
        </w:rPr>
        <w:t xml:space="preserve">E. faecalis</w:t>
      </w:r>
      <w:r>
        <w:t xml:space="preserve"> </w:t>
      </w:r>
      <w:r>
        <w:t xml:space="preserve">et les Gram positif en général. Stable aux BLSE, AmpC. Hydrolysé par KPC (variable selon concentration), NDM, VIM, IMP, OXA-48.</w:t>
      </w:r>
    </w:p>
    <w:p>
      <w:pPr>
        <w:pStyle w:val="BodyText"/>
      </w:pPr>
      <w:r>
        <w:rPr>
          <w:b/>
          <w:bCs/>
        </w:rPr>
        <w:t xml:space="preserve">Profil Pharmacologique :</w:t>
      </w:r>
      <w:r>
        <w:t xml:space="preserve"> </w:t>
      </w:r>
      <w:r>
        <w:t xml:space="preserve">- Indications : Méningites nosocomiales, pneumonies nosocomiales et VAP, septicémies à entérobactéries BLSE ou AmpC, infections à</w:t>
      </w:r>
      <w:r>
        <w:t xml:space="preserve"> </w:t>
      </w:r>
      <w:r>
        <w:rPr>
          <w:i/>
          <w:iCs/>
        </w:rPr>
        <w:t xml:space="preserve">P. aeruginosa</w:t>
      </w:r>
      <w:r>
        <w:t xml:space="preserve"> </w:t>
      </w:r>
      <w:r>
        <w:t xml:space="preserve">multirésistant, infections intra-abdominales sévères, fièvre neutropénique empirique, infections urinaires compliquées à BMR.</w:t>
      </w:r>
      <w:r>
        <w:t xml:space="preserve"> </w:t>
      </w:r>
      <w:r>
        <w:t xml:space="preserve">- Contre-indications : Hypersensibilité aux carbapénèmes ; allergie grave aux pénicillines.</w:t>
      </w:r>
      <w:r>
        <w:t xml:space="preserve"> </w:t>
      </w:r>
      <w:r>
        <w:t xml:space="preserve">- Effets Indésirables : Céphalées, diarrhée, rash, élévation transaminases, thrombophlébite, candidose, positivité Coombs ; convulsions (plus rares qu’avec l’imipénème, mais possibles en IR et à forte dose) ; colite à</w:t>
      </w:r>
      <w:r>
        <w:t xml:space="preserve"> </w:t>
      </w:r>
      <w:r>
        <w:rPr>
          <w:i/>
          <w:iCs/>
        </w:rPr>
        <w:t xml:space="preserve">C. difficile</w:t>
      </w:r>
      <w:r>
        <w:t xml:space="preserve">.</w:t>
      </w:r>
    </w:p>
    <w:p>
      <w:pPr>
        <w:pStyle w:val="BodyText"/>
      </w:pPr>
      <w:r>
        <w:rPr>
          <w:b/>
          <w:bCs/>
        </w:rPr>
        <w:t xml:space="preserve">Prévention et Gestion des Effets Indésirables :</w:t>
      </w:r>
      <w:r>
        <w:t xml:space="preserve"> </w:t>
      </w:r>
      <w:r>
        <w:t xml:space="preserve">- Mesures Préventives : Adaptation rénale (DFG 26–50 : 1 g ×2/j ; DFG 10–25 : 0,5 g ×3/j ; DFG &lt; 10 : 0,5 g ×2/j) ; surveiller fonction rénale ; limité la durée à 7–14 j pour réduire le risque écologique.</w:t>
      </w:r>
      <w:r>
        <w:t xml:space="preserve"> </w:t>
      </w:r>
      <w:r>
        <w:t xml:space="preserve">- Conduite à Tenir : Arrêt en cas de convulsions ; relais par alternative selon antibiogramme.</w:t>
      </w:r>
    </w:p>
    <w:p>
      <w:pPr>
        <w:pStyle w:val="BodyText"/>
      </w:pPr>
      <w:r>
        <w:rPr>
          <w:b/>
          <w:bCs/>
        </w:rPr>
        <w:t xml:space="preserve">Interactions Importantes :</w:t>
      </w:r>
      <w:r>
        <w:t xml:space="preserve"> </w:t>
      </w:r>
      <w:r>
        <w:t xml:space="preserve">- Acide valproïque : Chute des concentrations (moindre qu’avec imipénème mais significative) — surveillance.</w:t>
      </w:r>
      <w:r>
        <w:t xml:space="preserve"> </w:t>
      </w:r>
      <w:r>
        <w:t xml:space="preserve">- Probénécide : Augmentation des concentrations.</w:t>
      </w:r>
      <w:r>
        <w:t xml:space="preserve"> </w:t>
      </w:r>
      <w:r>
        <w:t xml:space="preserve">- AVK : Majoration INR.</w:t>
      </w:r>
    </w:p>
    <w:p>
      <w:pPr>
        <w:pStyle w:val="BodyText"/>
      </w:pPr>
      <w:r>
        <w:rPr>
          <w:b/>
          <w:bCs/>
        </w:rPr>
        <w:t xml:space="preserve">Grossesse et Allaitement :</w:t>
      </w:r>
      <w:r>
        <w:t xml:space="preserve"> </w:t>
      </w:r>
      <w:r>
        <w:t xml:space="preserve">- Grossesse : Indiqué selon CRAT, à utiliser si nécessaire.</w:t>
      </w:r>
      <w:r>
        <w:t xml:space="preserve"> </w:t>
      </w:r>
      <w:r>
        <w:t xml:space="preserve">- Allaitement : Compatible ; faible passage lacté.</w:t>
      </w:r>
      <w:r>
        <w:t xml:space="preserve"> </w:t>
      </w:r>
      <w:r>
        <w:t xml:space="preserve">- Précisions : Préféré à l’imipénème chez la femme enceinte en cas de méningite nosocomiale.</w:t>
      </w:r>
    </w:p>
    <w:p>
      <w:pPr>
        <w:pStyle w:val="BodyText"/>
      </w:pPr>
      <w:r>
        <w:rPr>
          <w:b/>
          <w:bCs/>
        </w:rPr>
        <w:t xml:space="preserve">Posologie et Mode d’administration (Standard) :</w:t>
      </w:r>
      <w:r>
        <w:t xml:space="preserve"> </w:t>
      </w:r>
      <w:r>
        <w:t xml:space="preserve">- Adulte : 500 mg à 1 g IV toutes les 8 heures ; méningite et infection à</w:t>
      </w:r>
      <w:r>
        <w:t xml:space="preserve"> </w:t>
      </w:r>
      <w:r>
        <w:rPr>
          <w:i/>
          <w:iCs/>
        </w:rPr>
        <w:t xml:space="preserve">Pseudomonas</w:t>
      </w:r>
      <w:r>
        <w:t xml:space="preserve"> </w:t>
      </w:r>
      <w:r>
        <w:t xml:space="preserve">2 g ×3/jour (6 g/j). Maximum 6 g/j.</w:t>
      </w:r>
      <w:r>
        <w:t xml:space="preserve"> </w:t>
      </w:r>
      <w:r>
        <w:t xml:space="preserve">- Enfant &gt;3 mois : 10–20 mg/kg ×3/jour (60 mg/kg/jour) ; méningite 40 mg/kg ×3/jour (max 6 g/j).</w:t>
      </w:r>
      <w:r>
        <w:t xml:space="preserve"> </w:t>
      </w:r>
      <w:r>
        <w:t xml:space="preserve">- Durée : Méningite nosocomiale 14–21 j, pneumonie VAP 7–14 j, septicémie 7–14 j.</w:t>
      </w:r>
      <w:r>
        <w:t xml:space="preserve"> </w:t>
      </w:r>
      <w:r>
        <w:t xml:space="preserve">- Moment de prise : Perfusion IV 30 minutes (perfusions 2–3 h possibles en perfusion prolongée pour optimiser le temps &gt; CMI).</w:t>
      </w:r>
    </w:p>
    <w:p>
      <w:pPr>
        <w:pStyle w:val="BodyText"/>
      </w:pPr>
      <w:r>
        <w:rPr>
          <w:b/>
          <w:bCs/>
        </w:rPr>
        <w:t xml:space="preserve">Arbitrage et Bénéfices des Formes Galéniques :</w:t>
      </w:r>
      <w:r>
        <w:t xml:space="preserve"> </w:t>
      </w:r>
      <w:r>
        <w:t xml:space="preserve">Exclusivement injectable. Présentation 500 mg et 1 g. Le méropénème est préféré à l’imipénème chez le patient neurologique, en IR, et dans la méningite nosocomiale. La perfusion prolongée (3 h) optimise la PK/PD et permet de traiter des souches de</w:t>
      </w:r>
      <w:r>
        <w:t xml:space="preserve"> </w:t>
      </w:r>
      <w:r>
        <w:rPr>
          <w:i/>
          <w:iCs/>
        </w:rPr>
        <w:t xml:space="preserve">Pseudomonas</w:t>
      </w:r>
      <w:r>
        <w:t xml:space="preserve"> </w:t>
      </w:r>
      <w:r>
        <w:t xml:space="preserve">de CMI élevée.</w:t>
      </w:r>
    </w:p>
    <w:p>
      <w:pPr>
        <w:pStyle w:val="BodyText"/>
      </w:pPr>
      <w:r>
        <w:rPr>
          <w:b/>
          <w:bCs/>
        </w:rPr>
        <w:t xml:space="preserve">Instructions et Conseils au Patient :</w:t>
      </w:r>
      <w:r>
        <w:t xml:space="preserve"> </w:t>
      </w:r>
      <w:r>
        <w:t xml:space="preserve">- Communication au comptoir : Usage hospitalier exclusif. Information sur la surveillance neurologique et rénale.</w:t>
      </w:r>
      <w:r>
        <w:t xml:space="preserve"> </w:t>
      </w:r>
      <w:r>
        <w:t xml:space="preserve">- Mode d’utilisation pratique : Reconstitution avec 10 ml EPPPI, dilution dans 100 ml NaCl 0,9 %, perfusion 30 minutes ou 3 heures (perf prolongée).</w:t>
      </w:r>
    </w:p>
    <w:p>
      <w:pPr>
        <w:pStyle w:val="BodyText"/>
      </w:pPr>
      <w:r>
        <w:rPr>
          <w:b/>
          <w:bCs/>
        </w:rPr>
        <w:t xml:space="preserve">Notes, Règles d’Or &amp; Pièges au Comptoir :</w:t>
      </w:r>
      <w:r>
        <w:t xml:space="preserve"> </w:t>
      </w:r>
      <w:r>
        <w:t xml:space="preserve">- Piège classique : Co-prescrire avec valproate de sodium.</w:t>
      </w:r>
      <w:r>
        <w:t xml:space="preserve"> </w:t>
      </w:r>
      <w:r>
        <w:t xml:space="preserve">- Règle de prise : Toutes les 8 h, perfusion 30 min minimum.</w:t>
      </w:r>
      <w:r>
        <w:t xml:space="preserve"> </w:t>
      </w:r>
      <w:r>
        <w:t xml:space="preserve">- Préparation et Conservation : Solution stable 5 h à température ambiante, 24 h à +4 °C ; ne pas congeler (cristallisation).</w:t>
      </w:r>
      <w:r>
        <w:t xml:space="preserve"> </w:t>
      </w:r>
      <w:r>
        <w:t xml:space="preserve">- Piège du surdosage / Substitution : Adapter en IR ; éviter les fortes doses chez le sujet âgé.</w:t>
      </w:r>
    </w:p>
    <w:p>
      <w:r>
        <w:pict>
          <v:rect style="width:0;height:1.5pt" o:hralign="center" o:hrstd="t" o:hr="t"/>
        </w:pict>
      </w:r>
    </w:p>
    <w:bookmarkEnd w:id="87"/>
    <w:bookmarkEnd w:id="88"/>
    <w:bookmarkStart w:id="90" w:name="h.-monobactames-absence-en-algérie"/>
    <w:p>
      <w:pPr>
        <w:pStyle w:val="Heading2"/>
      </w:pPr>
      <w:r>
        <w:t xml:space="preserve">H. Monobactames — Absence en Algérie</w:t>
      </w:r>
    </w:p>
    <w:bookmarkStart w:id="89" w:name="présentation-de-la-sous-classe-7"/>
    <w:p>
      <w:pPr>
        <w:pStyle w:val="Heading3"/>
      </w:pPr>
      <w:r>
        <w:t xml:space="preserve">Présentation de la sous-classe</w:t>
      </w:r>
    </w:p>
    <w:p>
      <w:pPr>
        <w:pStyle w:val="FirstParagraph"/>
      </w:pPr>
      <w:r>
        <w:t xml:space="preserve">Les monobactames (aztréonam) sont des β-lactamines monocycliques actives exclusivement sur les bacilles Gram négatif aérobies (entérobactéries,</w:t>
      </w:r>
      <w:r>
        <w:t xml:space="preserve"> </w:t>
      </w:r>
      <w:r>
        <w:rPr>
          <w:i/>
          <w:iCs/>
        </w:rPr>
        <w:t xml:space="preserve">Pseudomonas</w:t>
      </w:r>
      <w:r>
        <w:t xml:space="preserve">,</w:t>
      </w:r>
      <w:r>
        <w:t xml:space="preserve"> </w:t>
      </w:r>
      <w:r>
        <w:rPr>
          <w:i/>
          <w:iCs/>
        </w:rPr>
        <w:t xml:space="preserve">Neisseria</w:t>
      </w:r>
      <w:r>
        <w:t xml:space="preserve">,</w:t>
      </w:r>
      <w:r>
        <w:t xml:space="preserve"> </w:t>
      </w:r>
      <w:r>
        <w:rPr>
          <w:i/>
          <w:iCs/>
        </w:rPr>
        <w:t xml:space="preserve">Haemophilus</w:t>
      </w:r>
      <w:r>
        <w:t xml:space="preserve">). Leur particularité est l’</w:t>
      </w:r>
      <w:r>
        <w:rPr>
          <w:b/>
          <w:bCs/>
        </w:rPr>
        <w:t xml:space="preserve">absence de cross-allergie avec les pénicillines et les céphalosporines</w:t>
      </w:r>
      <w:r>
        <w:t xml:space="preserve">, ce qui en fait l’alternative de choix chez les patients allergiques graves aux β-lactamines.</w:t>
      </w:r>
      <w:r>
        <w:t xml:space="preserve"> </w:t>
      </w:r>
      <w:r>
        <w:rPr>
          <w:b/>
          <w:bCs/>
        </w:rPr>
        <w:t xml:space="preserve">Aucun monobactame n’est actuellement commercialisé en Algérie.</w:t>
      </w:r>
      <w:r>
        <w:t xml:space="preserve"> </w:t>
      </w:r>
      <w:r>
        <w:t xml:space="preserve">Les alternatives locales sont les fluoroquinolones, les aminoglycosides, et éventuellement les carbapénèmes (en surveillant l’allergie croisée).</w:t>
      </w:r>
    </w:p>
    <w:p>
      <w:r>
        <w:pict>
          <v:rect style="width:0;height:1.5pt" o:hralign="center" o:hrstd="t" o:hr="t"/>
        </w:pict>
      </w:r>
    </w:p>
    <w:bookmarkEnd w:id="89"/>
    <w:bookmarkEnd w:id="90"/>
    <w:bookmarkStart w:id="91" w:name="X4ab938530b01ce8e4de43f9e46ac0a64b67ac9d"/>
    <w:p>
      <w:pPr>
        <w:pStyle w:val="Heading2"/>
      </w:pPr>
      <w:r>
        <w:t xml:space="preserve">Tableau Comparatif Synthétique des Céphalosporines, Carbapénèmes et apparentés disponibles en Algérie</w:t>
      </w:r>
    </w:p>
    <w:tbl>
      <w:tblPr>
        <w:tblStyle w:val="Table"/>
        <w:tblW w:type="pct" w:w="5000"/>
        <w:jc w:val="left"/>
        <w:tblLayout w:type="fixed"/>
        <w:tblLook w:firstRow="1" w:lastRow="0" w:firstColumn="0" w:lastColumn="0" w:noHBand="0" w:noVBand="0" w:val="0020"/>
      </w:tblPr>
      <w:tblGrid>
        <w:gridCol w:w="370"/>
        <w:gridCol w:w="888"/>
        <w:gridCol w:w="1332"/>
        <w:gridCol w:w="1036"/>
        <w:gridCol w:w="962"/>
        <w:gridCol w:w="1332"/>
        <w:gridCol w:w="1184"/>
        <w:gridCol w:w="814"/>
      </w:tblGrid>
      <w:tr>
        <w:trPr>
          <w:tblHeader w:val="on"/>
        </w:trPr>
        <w:tc>
          <w:tcPr/>
          <w:p>
            <w:pPr>
              <w:pStyle w:val="Compact"/>
              <w:jc w:val="left"/>
            </w:pPr>
            <w:r>
              <w:t xml:space="preserve">DCI</w:t>
            </w:r>
          </w:p>
        </w:tc>
        <w:tc>
          <w:tcPr/>
          <w:p>
            <w:pPr>
              <w:pStyle w:val="Compact"/>
              <w:jc w:val="left"/>
            </w:pPr>
            <w:r>
              <w:t xml:space="preserve">Génération</w:t>
            </w:r>
          </w:p>
        </w:tc>
        <w:tc>
          <w:tcPr/>
          <w:p>
            <w:pPr>
              <w:pStyle w:val="Compact"/>
              <w:jc w:val="left"/>
            </w:pPr>
            <w:r>
              <w:t xml:space="preserve">Spectre dominant</w:t>
            </w:r>
          </w:p>
        </w:tc>
        <w:tc>
          <w:tcPr/>
          <w:p>
            <w:pPr>
              <w:pStyle w:val="Compact"/>
              <w:jc w:val="left"/>
            </w:pPr>
            <w:r>
              <w:t xml:space="preserve">Demi-vie (h)</w:t>
            </w:r>
          </w:p>
        </w:tc>
        <w:tc>
          <w:tcPr/>
          <w:p>
            <w:pPr>
              <w:pStyle w:val="Compact"/>
              <w:jc w:val="left"/>
            </w:pPr>
            <w:r>
              <w:t xml:space="preserve">Élimination</w:t>
            </w:r>
          </w:p>
        </w:tc>
        <w:tc>
          <w:tcPr/>
          <w:p>
            <w:pPr>
              <w:pStyle w:val="Compact"/>
              <w:jc w:val="left"/>
            </w:pPr>
            <w:r>
              <w:t xml:space="preserve">Posologie adulte</w:t>
            </w:r>
          </w:p>
        </w:tc>
        <w:tc>
          <w:tcPr/>
          <w:p>
            <w:pPr>
              <w:pStyle w:val="Compact"/>
              <w:jc w:val="left"/>
            </w:pPr>
            <w:r>
              <w:t xml:space="preserve">CI principales</w:t>
            </w:r>
          </w:p>
        </w:tc>
        <w:tc>
          <w:tcPr/>
          <w:p>
            <w:pPr>
              <w:pStyle w:val="Compact"/>
              <w:jc w:val="left"/>
            </w:pPr>
            <w:r>
              <w:t xml:space="preserve">Grossesse</w:t>
            </w:r>
          </w:p>
        </w:tc>
      </w:tr>
      <w:tr>
        <w:tc>
          <w:tcPr/>
          <w:p>
            <w:pPr>
              <w:pStyle w:val="Compact"/>
              <w:jc w:val="left"/>
            </w:pPr>
            <w:r>
              <w:t xml:space="preserve">Céfazoline</w:t>
            </w:r>
          </w:p>
        </w:tc>
        <w:tc>
          <w:tcPr/>
          <w:p>
            <w:pPr>
              <w:pStyle w:val="Compact"/>
              <w:jc w:val="left"/>
            </w:pPr>
            <w:r>
              <w:t xml:space="preserve">C1G inj</w:t>
            </w:r>
          </w:p>
        </w:tc>
        <w:tc>
          <w:tcPr/>
          <w:p>
            <w:pPr>
              <w:pStyle w:val="Compact"/>
              <w:jc w:val="left"/>
            </w:pPr>
            <w:r>
              <w:t xml:space="preserve">Gram +, entérobactéries communautaires</w:t>
            </w:r>
          </w:p>
        </w:tc>
        <w:tc>
          <w:tcPr/>
          <w:p>
            <w:pPr>
              <w:pStyle w:val="Compact"/>
              <w:jc w:val="left"/>
            </w:pPr>
            <w:r>
              <w:t xml:space="preserve">1,8</w:t>
            </w:r>
          </w:p>
        </w:tc>
        <w:tc>
          <w:tcPr/>
          <w:p>
            <w:pPr>
              <w:pStyle w:val="Compact"/>
              <w:jc w:val="left"/>
            </w:pPr>
            <w:r>
              <w:t xml:space="preserve">Rénale</w:t>
            </w:r>
          </w:p>
        </w:tc>
        <w:tc>
          <w:tcPr/>
          <w:p>
            <w:pPr>
              <w:pStyle w:val="Compact"/>
              <w:jc w:val="left"/>
            </w:pPr>
            <w:r>
              <w:t xml:space="preserve">1–2 g ×3/j IV/IM ; prophylaxie 2 g</w:t>
            </w:r>
          </w:p>
        </w:tc>
        <w:tc>
          <w:tcPr/>
          <w:p>
            <w:pPr>
              <w:pStyle w:val="Compact"/>
              <w:jc w:val="left"/>
            </w:pPr>
            <w:r>
              <w:t xml:space="preserve">Allergie β-lactamines</w:t>
            </w:r>
          </w:p>
        </w:tc>
        <w:tc>
          <w:tcPr/>
          <w:p>
            <w:pPr>
              <w:pStyle w:val="Compact"/>
              <w:jc w:val="left"/>
            </w:pPr>
            <w:r>
              <w:t xml:space="preserve">Indiqué</w:t>
            </w:r>
          </w:p>
        </w:tc>
      </w:tr>
      <w:tr>
        <w:tc>
          <w:tcPr/>
          <w:p>
            <w:pPr>
              <w:pStyle w:val="Compact"/>
              <w:jc w:val="left"/>
            </w:pPr>
            <w:r>
              <w:t xml:space="preserve">Céphalexine</w:t>
            </w:r>
          </w:p>
        </w:tc>
        <w:tc>
          <w:tcPr/>
          <w:p>
            <w:pPr>
              <w:pStyle w:val="Compact"/>
              <w:jc w:val="left"/>
            </w:pPr>
            <w:r>
              <w:t xml:space="preserve">C1G po</w:t>
            </w:r>
          </w:p>
        </w:tc>
        <w:tc>
          <w:tcPr/>
          <w:p>
            <w:pPr>
              <w:pStyle w:val="Compact"/>
              <w:jc w:val="left"/>
            </w:pPr>
            <w:r>
              <w:t xml:space="preserve">Gram +, entérobactéries communautaires</w:t>
            </w:r>
          </w:p>
        </w:tc>
        <w:tc>
          <w:tcPr/>
          <w:p>
            <w:pPr>
              <w:pStyle w:val="Compact"/>
              <w:jc w:val="left"/>
            </w:pPr>
            <w:r>
              <w:t xml:space="preserve">0,9</w:t>
            </w:r>
          </w:p>
        </w:tc>
        <w:tc>
          <w:tcPr/>
          <w:p>
            <w:pPr>
              <w:pStyle w:val="Compact"/>
              <w:jc w:val="left"/>
            </w:pPr>
            <w:r>
              <w:t xml:space="preserve">Rénale</w:t>
            </w:r>
          </w:p>
        </w:tc>
        <w:tc>
          <w:tcPr/>
          <w:p>
            <w:pPr>
              <w:pStyle w:val="Compact"/>
              <w:jc w:val="left"/>
            </w:pPr>
            <w:r>
              <w:t xml:space="preserve">500 mg ×4/j ou 1 g ×2/j</w:t>
            </w:r>
          </w:p>
        </w:tc>
        <w:tc>
          <w:tcPr/>
          <w:p>
            <w:pPr>
              <w:pStyle w:val="Compact"/>
              <w:jc w:val="left"/>
            </w:pPr>
            <w:r>
              <w:t xml:space="preserve">Allergie β-lactamines, porphyrie</w:t>
            </w:r>
          </w:p>
        </w:tc>
        <w:tc>
          <w:tcPr/>
          <w:p>
            <w:pPr>
              <w:pStyle w:val="Compact"/>
              <w:jc w:val="left"/>
            </w:pPr>
            <w:r>
              <w:t xml:space="preserve">Indiqué</w:t>
            </w:r>
          </w:p>
        </w:tc>
      </w:tr>
      <w:tr>
        <w:tc>
          <w:tcPr/>
          <w:p>
            <w:pPr>
              <w:pStyle w:val="Compact"/>
              <w:jc w:val="left"/>
            </w:pPr>
            <w:r>
              <w:t xml:space="preserve">Céfradine</w:t>
            </w:r>
          </w:p>
        </w:tc>
        <w:tc>
          <w:tcPr/>
          <w:p>
            <w:pPr>
              <w:pStyle w:val="Compact"/>
              <w:jc w:val="left"/>
            </w:pPr>
            <w:r>
              <w:t xml:space="preserve">C1G po</w:t>
            </w:r>
          </w:p>
        </w:tc>
        <w:tc>
          <w:tcPr/>
          <w:p>
            <w:pPr>
              <w:pStyle w:val="Compact"/>
              <w:jc w:val="left"/>
            </w:pPr>
            <w:r>
              <w:t xml:space="preserve">Identique céphalexine</w:t>
            </w:r>
          </w:p>
        </w:tc>
        <w:tc>
          <w:tcPr/>
          <w:p>
            <w:pPr>
              <w:pStyle w:val="Compact"/>
              <w:jc w:val="left"/>
            </w:pPr>
            <w:r>
              <w:t xml:space="preserve">0,9</w:t>
            </w:r>
          </w:p>
        </w:tc>
        <w:tc>
          <w:tcPr/>
          <w:p>
            <w:pPr>
              <w:pStyle w:val="Compact"/>
              <w:jc w:val="left"/>
            </w:pPr>
            <w:r>
              <w:t xml:space="preserve">Rénale</w:t>
            </w:r>
          </w:p>
        </w:tc>
        <w:tc>
          <w:tcPr/>
          <w:p>
            <w:pPr>
              <w:pStyle w:val="Compact"/>
              <w:jc w:val="left"/>
            </w:pPr>
            <w:r>
              <w:t xml:space="preserve">500 mg ×4/j ou 1 g ×2/j</w:t>
            </w:r>
          </w:p>
        </w:tc>
        <w:tc>
          <w:tcPr/>
          <w:p>
            <w:pPr>
              <w:pStyle w:val="Compact"/>
              <w:jc w:val="left"/>
            </w:pPr>
            <w:r>
              <w:t xml:space="preserve">Allergie β-lactamines</w:t>
            </w:r>
          </w:p>
        </w:tc>
        <w:tc>
          <w:tcPr/>
          <w:p>
            <w:pPr>
              <w:pStyle w:val="Compact"/>
              <w:jc w:val="left"/>
            </w:pPr>
            <w:r>
              <w:t xml:space="preserve">Indiqué</w:t>
            </w:r>
          </w:p>
        </w:tc>
      </w:tr>
      <w:tr>
        <w:tc>
          <w:tcPr/>
          <w:p>
            <w:pPr>
              <w:pStyle w:val="Compact"/>
              <w:jc w:val="left"/>
            </w:pPr>
            <w:r>
              <w:t xml:space="preserve">Cefadroxil</w:t>
            </w:r>
          </w:p>
        </w:tc>
        <w:tc>
          <w:tcPr/>
          <w:p>
            <w:pPr>
              <w:pStyle w:val="Compact"/>
              <w:jc w:val="left"/>
            </w:pPr>
            <w:r>
              <w:t xml:space="preserve">C1G po</w:t>
            </w:r>
          </w:p>
        </w:tc>
        <w:tc>
          <w:tcPr/>
          <w:p>
            <w:pPr>
              <w:pStyle w:val="Compact"/>
              <w:jc w:val="left"/>
            </w:pPr>
            <w:r>
              <w:t xml:space="preserve">Identique céphalexine</w:t>
            </w:r>
          </w:p>
        </w:tc>
        <w:tc>
          <w:tcPr/>
          <w:p>
            <w:pPr>
              <w:pStyle w:val="Compact"/>
              <w:jc w:val="left"/>
            </w:pPr>
            <w:r>
              <w:t xml:space="preserve">1,5–2</w:t>
            </w:r>
          </w:p>
        </w:tc>
        <w:tc>
          <w:tcPr/>
          <w:p>
            <w:pPr>
              <w:pStyle w:val="Compact"/>
              <w:jc w:val="left"/>
            </w:pPr>
            <w:r>
              <w:t xml:space="preserve">Rénale</w:t>
            </w:r>
          </w:p>
        </w:tc>
        <w:tc>
          <w:tcPr/>
          <w:p>
            <w:pPr>
              <w:pStyle w:val="Compact"/>
              <w:jc w:val="left"/>
            </w:pPr>
            <w:r>
              <w:t xml:space="preserve">1–2 g/j en 1 ou 2 prises</w:t>
            </w:r>
          </w:p>
        </w:tc>
        <w:tc>
          <w:tcPr/>
          <w:p>
            <w:pPr>
              <w:pStyle w:val="Compact"/>
              <w:jc w:val="left"/>
            </w:pPr>
            <w:r>
              <w:t xml:space="preserve">Allergie β-lactamines</w:t>
            </w:r>
          </w:p>
        </w:tc>
        <w:tc>
          <w:tcPr/>
          <w:p>
            <w:pPr>
              <w:pStyle w:val="Compact"/>
              <w:jc w:val="left"/>
            </w:pPr>
            <w:r>
              <w:t xml:space="preserve">Indiqué</w:t>
            </w:r>
          </w:p>
        </w:tc>
      </w:tr>
      <w:tr>
        <w:tc>
          <w:tcPr/>
          <w:p>
            <w:pPr>
              <w:pStyle w:val="Compact"/>
              <w:jc w:val="left"/>
            </w:pPr>
            <w:r>
              <w:t xml:space="preserve">Céfuroxime</w:t>
            </w:r>
          </w:p>
        </w:tc>
        <w:tc>
          <w:tcPr/>
          <w:p>
            <w:pPr>
              <w:pStyle w:val="Compact"/>
              <w:jc w:val="left"/>
            </w:pPr>
            <w:r>
              <w:t xml:space="preserve">C2G po/inj</w:t>
            </w:r>
          </w:p>
        </w:tc>
        <w:tc>
          <w:tcPr/>
          <w:p>
            <w:pPr>
              <w:pStyle w:val="Compact"/>
              <w:jc w:val="left"/>
            </w:pPr>
            <w:r>
              <w:t xml:space="preserve">Gram ±,</w:t>
            </w:r>
            <w:r>
              <w:t xml:space="preserve"> </w:t>
            </w:r>
            <w:r>
              <w:rPr>
                <w:i/>
                <w:iCs/>
              </w:rPr>
              <w:t xml:space="preserve">H. influenzae</w:t>
            </w:r>
            <w:r>
              <w:t xml:space="preserve">,</w:t>
            </w:r>
            <w:r>
              <w:t xml:space="preserve"> </w:t>
            </w:r>
            <w:r>
              <w:rPr>
                <w:i/>
                <w:iCs/>
              </w:rPr>
              <w:t xml:space="preserve">M. catarrhalis</w:t>
            </w:r>
          </w:p>
        </w:tc>
        <w:tc>
          <w:tcPr/>
          <w:p>
            <w:pPr>
              <w:pStyle w:val="Compact"/>
              <w:jc w:val="left"/>
            </w:pPr>
            <w:r>
              <w:t xml:space="preserve">1,2 (inj) / 1,2 (po)</w:t>
            </w:r>
          </w:p>
        </w:tc>
        <w:tc>
          <w:tcPr/>
          <w:p>
            <w:pPr>
              <w:pStyle w:val="Compact"/>
              <w:jc w:val="left"/>
            </w:pPr>
            <w:r>
              <w:t xml:space="preserve">Rénale</w:t>
            </w:r>
          </w:p>
        </w:tc>
        <w:tc>
          <w:tcPr/>
          <w:p>
            <w:pPr>
              <w:pStyle w:val="Compact"/>
              <w:jc w:val="left"/>
            </w:pPr>
            <w:r>
              <w:t xml:space="preserve">250–500 mg ×2/j po ; 750 mg–1,5 g ×3/j IV</w:t>
            </w:r>
          </w:p>
        </w:tc>
        <w:tc>
          <w:tcPr/>
          <w:p>
            <w:pPr>
              <w:pStyle w:val="Compact"/>
              <w:jc w:val="left"/>
            </w:pPr>
            <w:r>
              <w:t xml:space="preserve">Allergie β-lactamines</w:t>
            </w:r>
          </w:p>
        </w:tc>
        <w:tc>
          <w:tcPr/>
          <w:p>
            <w:pPr>
              <w:pStyle w:val="Compact"/>
              <w:jc w:val="left"/>
            </w:pPr>
            <w:r>
              <w:t xml:space="preserve">Indiqué</w:t>
            </w:r>
          </w:p>
        </w:tc>
      </w:tr>
      <w:tr>
        <w:tc>
          <w:tcPr/>
          <w:p>
            <w:pPr>
              <w:pStyle w:val="Compact"/>
              <w:jc w:val="left"/>
            </w:pPr>
            <w:r>
              <w:t xml:space="preserve">Céfoxitime</w:t>
            </w:r>
          </w:p>
        </w:tc>
        <w:tc>
          <w:tcPr/>
          <w:p>
            <w:pPr>
              <w:pStyle w:val="Compact"/>
              <w:jc w:val="left"/>
            </w:pPr>
            <w:r>
              <w:t xml:space="preserve">C2G inj</w:t>
            </w:r>
          </w:p>
        </w:tc>
        <w:tc>
          <w:tcPr/>
          <w:p>
            <w:pPr>
              <w:pStyle w:val="Compact"/>
              <w:jc w:val="left"/>
            </w:pPr>
            <w:r>
              <w:t xml:space="preserve">+ anaérobies (</w:t>
            </w:r>
            <w:r>
              <w:rPr>
                <w:i/>
                <w:iCs/>
              </w:rPr>
              <w:t xml:space="preserve">B. fragilis</w:t>
            </w:r>
            <w:r>
              <w:t xml:space="preserve">)</w:t>
            </w:r>
          </w:p>
        </w:tc>
        <w:tc>
          <w:tcPr/>
          <w:p>
            <w:pPr>
              <w:pStyle w:val="Compact"/>
              <w:jc w:val="left"/>
            </w:pPr>
            <w:r>
              <w:t xml:space="preserve">0,7</w:t>
            </w:r>
          </w:p>
        </w:tc>
        <w:tc>
          <w:tcPr/>
          <w:p>
            <w:pPr>
              <w:pStyle w:val="Compact"/>
              <w:jc w:val="left"/>
            </w:pPr>
            <w:r>
              <w:t xml:space="preserve">Rénale</w:t>
            </w:r>
          </w:p>
        </w:tc>
        <w:tc>
          <w:tcPr/>
          <w:p>
            <w:pPr>
              <w:pStyle w:val="Compact"/>
              <w:jc w:val="left"/>
            </w:pPr>
            <w:r>
              <w:t xml:space="preserve">1–2 g ×3–4/j IV</w:t>
            </w:r>
          </w:p>
        </w:tc>
        <w:tc>
          <w:tcPr/>
          <w:p>
            <w:pPr>
              <w:pStyle w:val="Compact"/>
              <w:jc w:val="left"/>
            </w:pPr>
            <w:r>
              <w:t xml:space="preserve">Allergie β-lactamines</w:t>
            </w:r>
          </w:p>
        </w:tc>
        <w:tc>
          <w:tcPr/>
          <w:p>
            <w:pPr>
              <w:pStyle w:val="Compact"/>
              <w:jc w:val="left"/>
            </w:pPr>
            <w:r>
              <w:t xml:space="preserve">Indiqué</w:t>
            </w:r>
          </w:p>
        </w:tc>
      </w:tr>
      <w:tr>
        <w:tc>
          <w:tcPr/>
          <w:p>
            <w:pPr>
              <w:pStyle w:val="Compact"/>
              <w:jc w:val="left"/>
            </w:pPr>
            <w:r>
              <w:t xml:space="preserve">Cefaclor</w:t>
            </w:r>
          </w:p>
        </w:tc>
        <w:tc>
          <w:tcPr/>
          <w:p>
            <w:pPr>
              <w:pStyle w:val="Compact"/>
              <w:jc w:val="left"/>
            </w:pPr>
            <w:r>
              <w:t xml:space="preserve">C2G po</w:t>
            </w:r>
          </w:p>
        </w:tc>
        <w:tc>
          <w:tcPr/>
          <w:p>
            <w:pPr>
              <w:pStyle w:val="Compact"/>
              <w:jc w:val="left"/>
            </w:pPr>
            <w:r>
              <w:t xml:space="preserve">Gram ±,</w:t>
            </w:r>
            <w:r>
              <w:t xml:space="preserve"> </w:t>
            </w:r>
            <w:r>
              <w:rPr>
                <w:i/>
                <w:iCs/>
              </w:rPr>
              <w:t xml:space="preserve">H. influenzae</w:t>
            </w:r>
          </w:p>
        </w:tc>
        <w:tc>
          <w:tcPr/>
          <w:p>
            <w:pPr>
              <w:pStyle w:val="Compact"/>
              <w:jc w:val="left"/>
            </w:pPr>
            <w:r>
              <w:t xml:space="preserve">0,8</w:t>
            </w:r>
          </w:p>
        </w:tc>
        <w:tc>
          <w:tcPr/>
          <w:p>
            <w:pPr>
              <w:pStyle w:val="Compact"/>
              <w:jc w:val="left"/>
            </w:pPr>
            <w:r>
              <w:t xml:space="preserve">Rénale</w:t>
            </w:r>
          </w:p>
        </w:tc>
        <w:tc>
          <w:tcPr/>
          <w:p>
            <w:pPr>
              <w:pStyle w:val="Compact"/>
              <w:jc w:val="left"/>
            </w:pPr>
            <w:r>
              <w:t xml:space="preserve">250–500 mg ×3/j ou 500–750 mg ×2/j MR</w:t>
            </w:r>
          </w:p>
        </w:tc>
        <w:tc>
          <w:tcPr/>
          <w:p>
            <w:pPr>
              <w:pStyle w:val="Compact"/>
              <w:jc w:val="left"/>
            </w:pPr>
            <w:r>
              <w:t xml:space="preserve">Allergie β-lactamines, sérum-maladie</w:t>
            </w:r>
          </w:p>
        </w:tc>
        <w:tc>
          <w:tcPr/>
          <w:p>
            <w:pPr>
              <w:pStyle w:val="Compact"/>
              <w:jc w:val="left"/>
            </w:pPr>
            <w:r>
              <w:t xml:space="preserve">Indiqué</w:t>
            </w:r>
          </w:p>
        </w:tc>
      </w:tr>
      <w:tr>
        <w:tc>
          <w:tcPr/>
          <w:p>
            <w:pPr>
              <w:pStyle w:val="Compact"/>
              <w:jc w:val="left"/>
            </w:pPr>
            <w:r>
              <w:t xml:space="preserve">Céfotaxime</w:t>
            </w:r>
          </w:p>
        </w:tc>
        <w:tc>
          <w:tcPr/>
          <w:p>
            <w:pPr>
              <w:pStyle w:val="Compact"/>
              <w:jc w:val="left"/>
            </w:pPr>
            <w:r>
              <w:t xml:space="preserve">C3G inj</w:t>
            </w:r>
          </w:p>
        </w:tc>
        <w:tc>
          <w:tcPr/>
          <w:p>
            <w:pPr>
              <w:pStyle w:val="Compact"/>
              <w:jc w:val="left"/>
            </w:pPr>
            <w:r>
              <w:t xml:space="preserve">Entérobactéries, pneumocoque,</w:t>
            </w:r>
            <w:r>
              <w:t xml:space="preserve"> </w:t>
            </w:r>
            <w:r>
              <w:rPr>
                <w:i/>
                <w:iCs/>
              </w:rPr>
              <w:t xml:space="preserve">Neisseria</w:t>
            </w:r>
          </w:p>
        </w:tc>
        <w:tc>
          <w:tcPr/>
          <w:p>
            <w:pPr>
              <w:pStyle w:val="Compact"/>
              <w:jc w:val="left"/>
            </w:pPr>
            <w:r>
              <w:t xml:space="preserve">1</w:t>
            </w:r>
          </w:p>
        </w:tc>
        <w:tc>
          <w:tcPr/>
          <w:p>
            <w:pPr>
              <w:pStyle w:val="Compact"/>
              <w:jc w:val="left"/>
            </w:pPr>
            <w:r>
              <w:t xml:space="preserve">Rénale</w:t>
            </w:r>
          </w:p>
        </w:tc>
        <w:tc>
          <w:tcPr/>
          <w:p>
            <w:pPr>
              <w:pStyle w:val="Compact"/>
              <w:jc w:val="left"/>
            </w:pPr>
            <w:r>
              <w:t xml:space="preserve">1–2 g ×3–4/j ; méningite 2 g ×4–6/j</w:t>
            </w:r>
          </w:p>
        </w:tc>
        <w:tc>
          <w:tcPr/>
          <w:p>
            <w:pPr>
              <w:pStyle w:val="Compact"/>
              <w:jc w:val="left"/>
            </w:pPr>
            <w:r>
              <w:t xml:space="preserve">Allergie β-lactamines</w:t>
            </w:r>
          </w:p>
        </w:tc>
        <w:tc>
          <w:tcPr/>
          <w:p>
            <w:pPr>
              <w:pStyle w:val="Compact"/>
              <w:jc w:val="left"/>
            </w:pPr>
            <w:r>
              <w:t xml:space="preserve">Indiqué</w:t>
            </w:r>
          </w:p>
        </w:tc>
      </w:tr>
      <w:tr>
        <w:tc>
          <w:tcPr/>
          <w:p>
            <w:pPr>
              <w:pStyle w:val="Compact"/>
              <w:jc w:val="left"/>
            </w:pPr>
            <w:r>
              <w:t xml:space="preserve">Ceftriaxone</w:t>
            </w:r>
          </w:p>
        </w:tc>
        <w:tc>
          <w:tcPr/>
          <w:p>
            <w:pPr>
              <w:pStyle w:val="Compact"/>
              <w:jc w:val="left"/>
            </w:pPr>
            <w:r>
              <w:t xml:space="preserve">C3G inj</w:t>
            </w:r>
          </w:p>
        </w:tc>
        <w:tc>
          <w:tcPr/>
          <w:p>
            <w:pPr>
              <w:pStyle w:val="Compact"/>
              <w:jc w:val="left"/>
            </w:pPr>
            <w:r>
              <w:t xml:space="preserve">Identique céfotaxime + longue t1/2</w:t>
            </w:r>
          </w:p>
        </w:tc>
        <w:tc>
          <w:tcPr/>
          <w:p>
            <w:pPr>
              <w:pStyle w:val="Compact"/>
              <w:jc w:val="left"/>
            </w:pPr>
            <w:r>
              <w:t xml:space="preserve">8</w:t>
            </w:r>
          </w:p>
        </w:tc>
        <w:tc>
          <w:tcPr/>
          <w:p>
            <w:pPr>
              <w:pStyle w:val="Compact"/>
              <w:jc w:val="left"/>
            </w:pPr>
            <w:r>
              <w:t xml:space="preserve">Rénale 50 % + biliaire 50 %</w:t>
            </w:r>
          </w:p>
        </w:tc>
        <w:tc>
          <w:tcPr/>
          <w:p>
            <w:pPr>
              <w:pStyle w:val="Compact"/>
              <w:jc w:val="left"/>
            </w:pPr>
            <w:r>
              <w:t xml:space="preserve">1–2 g ×1/j ; méningite 2 g ×1–2/j</w:t>
            </w:r>
          </w:p>
        </w:tc>
        <w:tc>
          <w:tcPr/>
          <w:p>
            <w:pPr>
              <w:pStyle w:val="Compact"/>
              <w:jc w:val="left"/>
            </w:pPr>
            <w:r>
              <w:t xml:space="preserve">Allergie β-lactamines, nouveau-né ictérique</w:t>
            </w:r>
          </w:p>
        </w:tc>
        <w:tc>
          <w:tcPr/>
          <w:p>
            <w:pPr>
              <w:pStyle w:val="Compact"/>
              <w:jc w:val="left"/>
            </w:pPr>
            <w:r>
              <w:t xml:space="preserve">Indiqué</w:t>
            </w:r>
          </w:p>
        </w:tc>
      </w:tr>
      <w:tr>
        <w:tc>
          <w:tcPr/>
          <w:p>
            <w:pPr>
              <w:pStyle w:val="Compact"/>
              <w:jc w:val="left"/>
            </w:pPr>
            <w:r>
              <w:t xml:space="preserve">Ceftazidime</w:t>
            </w:r>
          </w:p>
        </w:tc>
        <w:tc>
          <w:tcPr/>
          <w:p>
            <w:pPr>
              <w:pStyle w:val="Compact"/>
              <w:jc w:val="left"/>
            </w:pPr>
            <w:r>
              <w:t xml:space="preserve">C3G inj</w:t>
            </w:r>
          </w:p>
        </w:tc>
        <w:tc>
          <w:tcPr/>
          <w:p>
            <w:pPr>
              <w:pStyle w:val="Compact"/>
              <w:jc w:val="left"/>
            </w:pPr>
            <w:r>
              <w:t xml:space="preserve">+</w:t>
            </w:r>
            <w:r>
              <w:t xml:space="preserve"> </w:t>
            </w:r>
            <w:r>
              <w:rPr>
                <w:i/>
                <w:iCs/>
              </w:rPr>
              <w:t xml:space="preserve">Pseudomonas aeruginosa</w:t>
            </w:r>
          </w:p>
        </w:tc>
        <w:tc>
          <w:tcPr/>
          <w:p>
            <w:pPr>
              <w:pStyle w:val="Compact"/>
              <w:jc w:val="left"/>
            </w:pPr>
            <w:r>
              <w:t xml:space="preserve">1,8</w:t>
            </w:r>
          </w:p>
        </w:tc>
        <w:tc>
          <w:tcPr/>
          <w:p>
            <w:pPr>
              <w:pStyle w:val="Compact"/>
              <w:jc w:val="left"/>
            </w:pPr>
            <w:r>
              <w:t xml:space="preserve">Rénale</w:t>
            </w:r>
          </w:p>
        </w:tc>
        <w:tc>
          <w:tcPr/>
          <w:p>
            <w:pPr>
              <w:pStyle w:val="Compact"/>
              <w:jc w:val="left"/>
            </w:pPr>
            <w:r>
              <w:t xml:space="preserve">1–2 g ×3/j ; max 9 g/j</w:t>
            </w:r>
          </w:p>
        </w:tc>
        <w:tc>
          <w:tcPr/>
          <w:p>
            <w:pPr>
              <w:pStyle w:val="Compact"/>
              <w:jc w:val="left"/>
            </w:pPr>
            <w:r>
              <w:t xml:space="preserve">Allergie β-lactamines</w:t>
            </w:r>
          </w:p>
        </w:tc>
        <w:tc>
          <w:tcPr/>
          <w:p>
            <w:pPr>
              <w:pStyle w:val="Compact"/>
              <w:jc w:val="left"/>
            </w:pPr>
            <w:r>
              <w:t xml:space="preserve">Indiqué</w:t>
            </w:r>
          </w:p>
        </w:tc>
      </w:tr>
      <w:tr>
        <w:tc>
          <w:tcPr/>
          <w:p>
            <w:pPr>
              <w:pStyle w:val="Compact"/>
              <w:jc w:val="left"/>
            </w:pPr>
            <w:r>
              <w:t xml:space="preserve">Céfixime</w:t>
            </w:r>
          </w:p>
        </w:tc>
        <w:tc>
          <w:tcPr/>
          <w:p>
            <w:pPr>
              <w:pStyle w:val="Compact"/>
              <w:jc w:val="left"/>
            </w:pPr>
            <w:r>
              <w:t xml:space="preserve">C3G po</w:t>
            </w:r>
          </w:p>
        </w:tc>
        <w:tc>
          <w:tcPr/>
          <w:p>
            <w:pPr>
              <w:pStyle w:val="Compact"/>
              <w:jc w:val="left"/>
            </w:pPr>
            <w:r>
              <w:t xml:space="preserve">Entérobactéries,</w:t>
            </w:r>
            <w:r>
              <w:t xml:space="preserve"> </w:t>
            </w:r>
            <w:r>
              <w:rPr>
                <w:i/>
                <w:iCs/>
              </w:rPr>
              <w:t xml:space="preserve">H. influenzae</w:t>
            </w:r>
          </w:p>
        </w:tc>
        <w:tc>
          <w:tcPr/>
          <w:p>
            <w:pPr>
              <w:pStyle w:val="Compact"/>
              <w:jc w:val="left"/>
            </w:pPr>
            <w:r>
              <w:t xml:space="preserve">3–4</w:t>
            </w:r>
          </w:p>
        </w:tc>
        <w:tc>
          <w:tcPr/>
          <w:p>
            <w:pPr>
              <w:pStyle w:val="Compact"/>
              <w:jc w:val="left"/>
            </w:pPr>
            <w:r>
              <w:t xml:space="preserve">Rénale 50 % + biliaire 50 %</w:t>
            </w:r>
          </w:p>
        </w:tc>
        <w:tc>
          <w:tcPr/>
          <w:p>
            <w:pPr>
              <w:pStyle w:val="Compact"/>
              <w:jc w:val="left"/>
            </w:pPr>
            <w:r>
              <w:t xml:space="preserve">200 mg ×2/j ou 400 mg ×1/j</w:t>
            </w:r>
          </w:p>
        </w:tc>
        <w:tc>
          <w:tcPr/>
          <w:p>
            <w:pPr>
              <w:pStyle w:val="Compact"/>
              <w:jc w:val="left"/>
            </w:pPr>
            <w:r>
              <w:t xml:space="preserve">Allergie β-lactamines</w:t>
            </w:r>
          </w:p>
        </w:tc>
        <w:tc>
          <w:tcPr/>
          <w:p>
            <w:pPr>
              <w:pStyle w:val="Compact"/>
              <w:jc w:val="left"/>
            </w:pPr>
            <w:r>
              <w:t xml:space="preserve">Indiqué</w:t>
            </w:r>
          </w:p>
        </w:tc>
      </w:tr>
      <w:tr>
        <w:tc>
          <w:tcPr/>
          <w:p>
            <w:pPr>
              <w:pStyle w:val="Compact"/>
              <w:jc w:val="left"/>
            </w:pPr>
            <w:r>
              <w:t xml:space="preserve">Cefdinir</w:t>
            </w:r>
          </w:p>
        </w:tc>
        <w:tc>
          <w:tcPr/>
          <w:p>
            <w:pPr>
              <w:pStyle w:val="Compact"/>
              <w:jc w:val="left"/>
            </w:pPr>
            <w:r>
              <w:t xml:space="preserve">C3G po</w:t>
            </w:r>
          </w:p>
        </w:tc>
        <w:tc>
          <w:tcPr/>
          <w:p>
            <w:pPr>
              <w:pStyle w:val="Compact"/>
              <w:jc w:val="left"/>
            </w:pPr>
            <w:r>
              <w:t xml:space="preserve">Pneumocoque (PISP), Gram –</w:t>
            </w:r>
          </w:p>
        </w:tc>
        <w:tc>
          <w:tcPr/>
          <w:p>
            <w:pPr>
              <w:pStyle w:val="Compact"/>
              <w:jc w:val="left"/>
            </w:pPr>
            <w:r>
              <w:t xml:space="preserve">1,7</w:t>
            </w:r>
          </w:p>
        </w:tc>
        <w:tc>
          <w:tcPr/>
          <w:p>
            <w:pPr>
              <w:pStyle w:val="Compact"/>
              <w:jc w:val="left"/>
            </w:pPr>
            <w:r>
              <w:t xml:space="preserve">Rénale</w:t>
            </w:r>
          </w:p>
        </w:tc>
        <w:tc>
          <w:tcPr/>
          <w:p>
            <w:pPr>
              <w:pStyle w:val="Compact"/>
              <w:jc w:val="left"/>
            </w:pPr>
            <w:r>
              <w:t xml:space="preserve">300 mg ×2/j ou 600 mg ×1/j</w:t>
            </w:r>
          </w:p>
        </w:tc>
        <w:tc>
          <w:tcPr/>
          <w:p>
            <w:pPr>
              <w:pStyle w:val="Compact"/>
              <w:jc w:val="left"/>
            </w:pPr>
            <w:r>
              <w:t xml:space="preserve">Allergie β-lactamines</w:t>
            </w:r>
          </w:p>
        </w:tc>
        <w:tc>
          <w:tcPr/>
          <w:p>
            <w:pPr>
              <w:pStyle w:val="Compact"/>
              <w:jc w:val="left"/>
            </w:pPr>
            <w:r>
              <w:t xml:space="preserve">Indiqué</w:t>
            </w:r>
          </w:p>
        </w:tc>
      </w:tr>
      <w:tr>
        <w:tc>
          <w:tcPr/>
          <w:p>
            <w:pPr>
              <w:pStyle w:val="Compact"/>
              <w:jc w:val="left"/>
            </w:pPr>
            <w:r>
              <w:t xml:space="preserve">Cefopérazone</w:t>
            </w:r>
          </w:p>
        </w:tc>
        <w:tc>
          <w:tcPr/>
          <w:p>
            <w:pPr>
              <w:pStyle w:val="Compact"/>
              <w:jc w:val="left"/>
            </w:pPr>
            <w:r>
              <w:t xml:space="preserve">C3G inj</w:t>
            </w:r>
          </w:p>
        </w:tc>
        <w:tc>
          <w:tcPr/>
          <w:p>
            <w:pPr>
              <w:pStyle w:val="Compact"/>
              <w:jc w:val="left"/>
            </w:pPr>
            <w:r>
              <w:t xml:space="preserve">+</w:t>
            </w:r>
            <w:r>
              <w:t xml:space="preserve"> </w:t>
            </w:r>
            <w:r>
              <w:rPr>
                <w:i/>
                <w:iCs/>
              </w:rPr>
              <w:t xml:space="preserve">Pseudomonas</w:t>
            </w:r>
            <w:r>
              <w:t xml:space="preserve">, anaérobies modestes</w:t>
            </w:r>
          </w:p>
        </w:tc>
        <w:tc>
          <w:tcPr/>
          <w:p>
            <w:pPr>
              <w:pStyle w:val="Compact"/>
              <w:jc w:val="left"/>
            </w:pPr>
            <w:r>
              <w:t xml:space="preserve">2</w:t>
            </w:r>
          </w:p>
        </w:tc>
        <w:tc>
          <w:tcPr/>
          <w:p>
            <w:pPr>
              <w:pStyle w:val="Compact"/>
              <w:jc w:val="left"/>
            </w:pPr>
            <w:r>
              <w:t xml:space="preserve">Biliaire 80 %</w:t>
            </w:r>
          </w:p>
        </w:tc>
        <w:tc>
          <w:tcPr/>
          <w:p>
            <w:pPr>
              <w:pStyle w:val="Compact"/>
              <w:jc w:val="left"/>
            </w:pPr>
            <w:r>
              <w:t xml:space="preserve">1–2 g ×2–3/j ; max 12 g/j</w:t>
            </w:r>
          </w:p>
        </w:tc>
        <w:tc>
          <w:tcPr/>
          <w:p>
            <w:pPr>
              <w:pStyle w:val="Compact"/>
              <w:jc w:val="left"/>
            </w:pPr>
            <w:r>
              <w:t xml:space="preserve">Allergie β-lactamines, alcool, AVK</w:t>
            </w:r>
          </w:p>
        </w:tc>
        <w:tc>
          <w:tcPr/>
          <w:p>
            <w:pPr>
              <w:pStyle w:val="Compact"/>
              <w:jc w:val="left"/>
            </w:pPr>
            <w:r>
              <w:t xml:space="preserve">Indiqué (prudence 3e T)</w:t>
            </w:r>
          </w:p>
        </w:tc>
      </w:tr>
      <w:tr>
        <w:tc>
          <w:tcPr/>
          <w:p>
            <w:pPr>
              <w:pStyle w:val="Compact"/>
              <w:jc w:val="left"/>
            </w:pPr>
            <w:r>
              <w:t xml:space="preserve">Ceftizoxime</w:t>
            </w:r>
          </w:p>
        </w:tc>
        <w:tc>
          <w:tcPr/>
          <w:p>
            <w:pPr>
              <w:pStyle w:val="Compact"/>
              <w:jc w:val="left"/>
            </w:pPr>
            <w:r>
              <w:t xml:space="preserve">C3G inj</w:t>
            </w:r>
          </w:p>
        </w:tc>
        <w:tc>
          <w:tcPr/>
          <w:p>
            <w:pPr>
              <w:pStyle w:val="Compact"/>
              <w:jc w:val="left"/>
            </w:pPr>
            <w:r>
              <w:t xml:space="preserve">Identique céfotaxime</w:t>
            </w:r>
          </w:p>
        </w:tc>
        <w:tc>
          <w:tcPr/>
          <w:p>
            <w:pPr>
              <w:pStyle w:val="Compact"/>
              <w:jc w:val="left"/>
            </w:pPr>
            <w:r>
              <w:t xml:space="preserve">1,7</w:t>
            </w:r>
          </w:p>
        </w:tc>
        <w:tc>
          <w:tcPr/>
          <w:p>
            <w:pPr>
              <w:pStyle w:val="Compact"/>
              <w:jc w:val="left"/>
            </w:pPr>
            <w:r>
              <w:t xml:space="preserve">Rénale</w:t>
            </w:r>
          </w:p>
        </w:tc>
        <w:tc>
          <w:tcPr/>
          <w:p>
            <w:pPr>
              <w:pStyle w:val="Compact"/>
              <w:jc w:val="left"/>
            </w:pPr>
            <w:r>
              <w:t xml:space="preserve">1–2 g ×2–3/j</w:t>
            </w:r>
          </w:p>
        </w:tc>
        <w:tc>
          <w:tcPr/>
          <w:p>
            <w:pPr>
              <w:pStyle w:val="Compact"/>
              <w:jc w:val="left"/>
            </w:pPr>
            <w:r>
              <w:t xml:space="preserve">Allergie β-lactamines</w:t>
            </w:r>
          </w:p>
        </w:tc>
        <w:tc>
          <w:tcPr/>
          <w:p>
            <w:pPr>
              <w:pStyle w:val="Compact"/>
              <w:jc w:val="left"/>
            </w:pPr>
            <w:r>
              <w:t xml:space="preserve">Indiqué</w:t>
            </w:r>
          </w:p>
        </w:tc>
      </w:tr>
      <w:tr>
        <w:tc>
          <w:tcPr/>
          <w:p>
            <w:pPr>
              <w:pStyle w:val="Compact"/>
              <w:jc w:val="left"/>
            </w:pPr>
            <w:r>
              <w:t xml:space="preserve">Ceftaroline fosamil</w:t>
            </w:r>
          </w:p>
        </w:tc>
        <w:tc>
          <w:tcPr/>
          <w:p>
            <w:pPr>
              <w:pStyle w:val="Compact"/>
              <w:jc w:val="left"/>
            </w:pPr>
            <w:r>
              <w:t xml:space="preserve">C5G inj</w:t>
            </w:r>
          </w:p>
        </w:tc>
        <w:tc>
          <w:tcPr/>
          <w:p>
            <w:pPr>
              <w:pStyle w:val="Compact"/>
              <w:jc w:val="left"/>
            </w:pPr>
            <w:r>
              <w:t xml:space="preserve">+ SARM (PBP2a)</w:t>
            </w:r>
          </w:p>
        </w:tc>
        <w:tc>
          <w:tcPr/>
          <w:p>
            <w:pPr>
              <w:pStyle w:val="Compact"/>
              <w:jc w:val="left"/>
            </w:pPr>
            <w:r>
              <w:t xml:space="preserve">2,6</w:t>
            </w:r>
          </w:p>
        </w:tc>
        <w:tc>
          <w:tcPr/>
          <w:p>
            <w:pPr>
              <w:pStyle w:val="Compact"/>
              <w:jc w:val="left"/>
            </w:pPr>
            <w:r>
              <w:t xml:space="preserve">Rénale</w:t>
            </w:r>
          </w:p>
        </w:tc>
        <w:tc>
          <w:tcPr/>
          <w:p>
            <w:pPr>
              <w:pStyle w:val="Compact"/>
              <w:jc w:val="left"/>
            </w:pPr>
            <w:r>
              <w:t xml:space="preserve">600 mg ×2/j IV 1 h</w:t>
            </w:r>
          </w:p>
        </w:tc>
        <w:tc>
          <w:tcPr/>
          <w:p>
            <w:pPr>
              <w:pStyle w:val="Compact"/>
              <w:jc w:val="left"/>
            </w:pPr>
            <w:r>
              <w:t xml:space="preserve">Allergie β-lactamines</w:t>
            </w:r>
          </w:p>
        </w:tc>
        <w:tc>
          <w:tcPr/>
          <w:p>
            <w:pPr>
              <w:pStyle w:val="Compact"/>
              <w:jc w:val="left"/>
            </w:pPr>
            <w:r>
              <w:t xml:space="preserve">Précaution</w:t>
            </w:r>
          </w:p>
        </w:tc>
      </w:tr>
      <w:tr>
        <w:tc>
          <w:tcPr/>
          <w:p>
            <w:pPr>
              <w:pStyle w:val="Compact"/>
              <w:jc w:val="left"/>
            </w:pPr>
            <w:r>
              <w:t xml:space="preserve">Ceftazidime + Avibactam</w:t>
            </w:r>
          </w:p>
        </w:tc>
        <w:tc>
          <w:tcPr/>
          <w:p>
            <w:pPr>
              <w:pStyle w:val="Compact"/>
              <w:jc w:val="left"/>
            </w:pPr>
            <w:r>
              <w:t xml:space="preserve">C3G+inhib inj</w:t>
            </w:r>
          </w:p>
        </w:tc>
        <w:tc>
          <w:tcPr/>
          <w:p>
            <w:pPr>
              <w:pStyle w:val="Compact"/>
              <w:jc w:val="left"/>
            </w:pPr>
            <w:r>
              <w:t xml:space="preserve">+ BLSE, KPC,</w:t>
            </w:r>
            <w:r>
              <w:t xml:space="preserve"> </w:t>
            </w:r>
            <w:r>
              <w:rPr>
                <w:i/>
                <w:iCs/>
              </w:rPr>
              <w:t xml:space="preserve">Pseudomonas</w:t>
            </w:r>
            <w:r>
              <w:t xml:space="preserve"> </w:t>
            </w:r>
            <w:r>
              <w:t xml:space="preserve">résistant</w:t>
            </w:r>
          </w:p>
        </w:tc>
        <w:tc>
          <w:tcPr/>
          <w:p>
            <w:pPr>
              <w:pStyle w:val="Compact"/>
              <w:jc w:val="left"/>
            </w:pPr>
            <w:r>
              <w:t xml:space="preserve">3 (cefta) / 2,5 (avibac)</w:t>
            </w:r>
          </w:p>
        </w:tc>
        <w:tc>
          <w:tcPr/>
          <w:p>
            <w:pPr>
              <w:pStyle w:val="Compact"/>
              <w:jc w:val="left"/>
            </w:pPr>
            <w:r>
              <w:t xml:space="preserve">Rénale</w:t>
            </w:r>
          </w:p>
        </w:tc>
        <w:tc>
          <w:tcPr/>
          <w:p>
            <w:pPr>
              <w:pStyle w:val="Compact"/>
              <w:jc w:val="left"/>
            </w:pPr>
            <w:r>
              <w:t xml:space="preserve">2 g/0,5 g ×3/j IV 2 h</w:t>
            </w:r>
          </w:p>
        </w:tc>
        <w:tc>
          <w:tcPr/>
          <w:p>
            <w:pPr>
              <w:pStyle w:val="Compact"/>
              <w:jc w:val="left"/>
            </w:pPr>
            <w:r>
              <w:t xml:space="preserve">Allergie β-lactamines</w:t>
            </w:r>
          </w:p>
        </w:tc>
        <w:tc>
          <w:tcPr/>
          <w:p>
            <w:pPr>
              <w:pStyle w:val="Compact"/>
              <w:jc w:val="left"/>
            </w:pPr>
            <w:r>
              <w:t xml:space="preserve">Précaution</w:t>
            </w:r>
          </w:p>
        </w:tc>
      </w:tr>
      <w:tr>
        <w:tc>
          <w:tcPr/>
          <w:p>
            <w:pPr>
              <w:pStyle w:val="Compact"/>
              <w:jc w:val="left"/>
            </w:pPr>
            <w:r>
              <w:t xml:space="preserve">Ceftolozane + Tazobactam</w:t>
            </w:r>
          </w:p>
        </w:tc>
        <w:tc>
          <w:tcPr/>
          <w:p>
            <w:pPr>
              <w:pStyle w:val="Compact"/>
              <w:jc w:val="left"/>
            </w:pPr>
            <w:r>
              <w:t xml:space="preserve">C3G+inhib inj</w:t>
            </w:r>
          </w:p>
        </w:tc>
        <w:tc>
          <w:tcPr/>
          <w:p>
            <w:pPr>
              <w:pStyle w:val="Compact"/>
              <w:jc w:val="left"/>
            </w:pPr>
            <w:r>
              <w:t xml:space="preserve">+</w:t>
            </w:r>
            <w:r>
              <w:t xml:space="preserve"> </w:t>
            </w:r>
            <w:r>
              <w:rPr>
                <w:i/>
                <w:iCs/>
              </w:rPr>
              <w:t xml:space="preserve">Pseudomonas</w:t>
            </w:r>
            <w:r>
              <w:t xml:space="preserve"> </w:t>
            </w:r>
            <w:r>
              <w:t xml:space="preserve">multirésistant</w:t>
            </w:r>
          </w:p>
        </w:tc>
        <w:tc>
          <w:tcPr/>
          <w:p>
            <w:pPr>
              <w:pStyle w:val="Compact"/>
              <w:jc w:val="left"/>
            </w:pPr>
            <w:r>
              <w:t xml:space="preserve">3 (ceftolo) / 1 (tazo)</w:t>
            </w:r>
          </w:p>
        </w:tc>
        <w:tc>
          <w:tcPr/>
          <w:p>
            <w:pPr>
              <w:pStyle w:val="Compact"/>
              <w:jc w:val="left"/>
            </w:pPr>
            <w:r>
              <w:t xml:space="preserve">Rénale</w:t>
            </w:r>
          </w:p>
        </w:tc>
        <w:tc>
          <w:tcPr/>
          <w:p>
            <w:pPr>
              <w:pStyle w:val="Compact"/>
              <w:jc w:val="left"/>
            </w:pPr>
            <w:r>
              <w:t xml:space="preserve">1 g/0,5 g ×3/j IV 1 h</w:t>
            </w:r>
          </w:p>
        </w:tc>
        <w:tc>
          <w:tcPr/>
          <w:p>
            <w:pPr>
              <w:pStyle w:val="Compact"/>
              <w:jc w:val="left"/>
            </w:pPr>
            <w:r>
              <w:t xml:space="preserve">Allergie β-lactamines</w:t>
            </w:r>
          </w:p>
        </w:tc>
        <w:tc>
          <w:tcPr/>
          <w:p>
            <w:pPr>
              <w:pStyle w:val="Compact"/>
              <w:jc w:val="left"/>
            </w:pPr>
            <w:r>
              <w:t xml:space="preserve">Précaution</w:t>
            </w:r>
          </w:p>
        </w:tc>
      </w:tr>
      <w:tr>
        <w:tc>
          <w:tcPr/>
          <w:p>
            <w:pPr>
              <w:pStyle w:val="Compact"/>
              <w:jc w:val="left"/>
            </w:pPr>
            <w:r>
              <w:t xml:space="preserve">Imipénème + Cilastatine</w:t>
            </w:r>
          </w:p>
        </w:tc>
        <w:tc>
          <w:tcPr/>
          <w:p>
            <w:pPr>
              <w:pStyle w:val="Compact"/>
              <w:jc w:val="left"/>
            </w:pPr>
            <w:r>
              <w:t xml:space="preserve">Carbapénème inj</w:t>
            </w:r>
          </w:p>
        </w:tc>
        <w:tc>
          <w:tcPr/>
          <w:p>
            <w:pPr>
              <w:pStyle w:val="Compact"/>
              <w:jc w:val="left"/>
            </w:pPr>
            <w:r>
              <w:t xml:space="preserve">Spectre très large (sauf SARM,</w:t>
            </w:r>
            <w:r>
              <w:t xml:space="preserve"> </w:t>
            </w:r>
            <w:r>
              <w:rPr>
                <w:i/>
                <w:iCs/>
              </w:rPr>
              <w:t xml:space="preserve">E. faecium</w:t>
            </w:r>
            <w:r>
              <w:t xml:space="preserve">)</w:t>
            </w:r>
          </w:p>
        </w:tc>
        <w:tc>
          <w:tcPr/>
          <w:p>
            <w:pPr>
              <w:pStyle w:val="Compact"/>
              <w:jc w:val="left"/>
            </w:pPr>
            <w:r>
              <w:t xml:space="preserve">1</w:t>
            </w:r>
          </w:p>
        </w:tc>
        <w:tc>
          <w:tcPr/>
          <w:p>
            <w:pPr>
              <w:pStyle w:val="Compact"/>
              <w:jc w:val="left"/>
            </w:pPr>
            <w:r>
              <w:t xml:space="preserve">Rénale (déshydropeptidase inhibée)</w:t>
            </w:r>
          </w:p>
        </w:tc>
        <w:tc>
          <w:tcPr/>
          <w:p>
            <w:pPr>
              <w:pStyle w:val="Compact"/>
              <w:jc w:val="left"/>
            </w:pPr>
            <w:r>
              <w:t xml:space="preserve">500 mg–1 g ×3–4/j ; max 4 g/j</w:t>
            </w:r>
          </w:p>
        </w:tc>
        <w:tc>
          <w:tcPr/>
          <w:p>
            <w:pPr>
              <w:pStyle w:val="Compact"/>
              <w:jc w:val="left"/>
            </w:pPr>
            <w:r>
              <w:t xml:space="preserve">Allergie β-lactamines, méningite enfant, valproate</w:t>
            </w:r>
          </w:p>
        </w:tc>
        <w:tc>
          <w:tcPr/>
          <w:p>
            <w:pPr>
              <w:pStyle w:val="Compact"/>
              <w:jc w:val="left"/>
            </w:pPr>
            <w:r>
              <w:t xml:space="preserve">Indiqué</w:t>
            </w:r>
          </w:p>
        </w:tc>
      </w:tr>
      <w:tr>
        <w:tc>
          <w:tcPr/>
          <w:p>
            <w:pPr>
              <w:pStyle w:val="Compact"/>
              <w:jc w:val="left"/>
            </w:pPr>
            <w:r>
              <w:t xml:space="preserve">Méropénème</w:t>
            </w:r>
          </w:p>
        </w:tc>
        <w:tc>
          <w:tcPr/>
          <w:p>
            <w:pPr>
              <w:pStyle w:val="Compact"/>
              <w:jc w:val="left"/>
            </w:pPr>
            <w:r>
              <w:t xml:space="preserve">Carbapénème inj</w:t>
            </w:r>
          </w:p>
        </w:tc>
        <w:tc>
          <w:tcPr/>
          <w:p>
            <w:pPr>
              <w:pStyle w:val="Compact"/>
              <w:jc w:val="left"/>
            </w:pPr>
            <w:r>
              <w:t xml:space="preserve">Spectre très large, meilleur sur</w:t>
            </w:r>
            <w:r>
              <w:t xml:space="preserve"> </w:t>
            </w:r>
            <w:r>
              <w:rPr>
                <w:i/>
                <w:iCs/>
              </w:rPr>
              <w:t xml:space="preserve">Pseudomonas</w:t>
            </w:r>
          </w:p>
        </w:tc>
        <w:tc>
          <w:tcPr/>
          <w:p>
            <w:pPr>
              <w:pStyle w:val="Compact"/>
              <w:jc w:val="left"/>
            </w:pPr>
            <w:r>
              <w:t xml:space="preserve">1</w:t>
            </w:r>
          </w:p>
        </w:tc>
        <w:tc>
          <w:tcPr/>
          <w:p>
            <w:pPr>
              <w:pStyle w:val="Compact"/>
              <w:jc w:val="left"/>
            </w:pPr>
            <w:r>
              <w:t xml:space="preserve">Rénale</w:t>
            </w:r>
          </w:p>
        </w:tc>
        <w:tc>
          <w:tcPr/>
          <w:p>
            <w:pPr>
              <w:pStyle w:val="Compact"/>
              <w:jc w:val="left"/>
            </w:pPr>
            <w:r>
              <w:t xml:space="preserve">500 mg–1 g ×3/j ; méningite 2 g ×3/j</w:t>
            </w:r>
          </w:p>
        </w:tc>
        <w:tc>
          <w:tcPr/>
          <w:p>
            <w:pPr>
              <w:pStyle w:val="Compact"/>
              <w:jc w:val="left"/>
            </w:pPr>
            <w:r>
              <w:t xml:space="preserve">Allergie β-lactamines</w:t>
            </w:r>
          </w:p>
        </w:tc>
        <w:tc>
          <w:tcPr/>
          <w:p>
            <w:pPr>
              <w:pStyle w:val="Compact"/>
              <w:jc w:val="left"/>
            </w:pPr>
            <w:r>
              <w:t xml:space="preserve">Indiqué</w:t>
            </w:r>
          </w:p>
        </w:tc>
      </w:tr>
    </w:tbl>
    <w:p>
      <w:r>
        <w:pict>
          <v:rect style="width:0;height:1.5pt" o:hralign="center" o:hrstd="t" o:hr="t"/>
        </w:pict>
      </w:r>
    </w:p>
    <w:bookmarkEnd w:id="91"/>
    <w:bookmarkStart w:id="92" w:name="conclusion-de-la-section"/>
    <w:p>
      <w:pPr>
        <w:pStyle w:val="Heading2"/>
      </w:pPr>
      <w:r>
        <w:t xml:space="preserve">Conclusion de la section</w:t>
      </w:r>
    </w:p>
    <w:p>
      <w:pPr>
        <w:pStyle w:val="FirstParagraph"/>
      </w:pPr>
      <w:r>
        <w:t xml:space="preserve">Les céphalosporines et les carbapénèmes offrent en Algérie un arsenal thérapeutique complet, de l’antibiothérapie orale communautaire (céphalexine, cefadroxil, céfixime, cefaclor) au traitement des infections sévères nosocomiales et à BMR (méropénème, ceftazidime-avibactam, ceftolozane-tazobactam). La maîtrise de cette classe repose sur la connaissance fine des générations, des profils pharmacocinétiques (demi-vie, élimination, biodisponibilité orale), des spectres d’activité, et des effets indésirables spécifiques (sludge biliaire de la ceftriaxone, hypoprothrombinémie de la cefopérazone, convulsions de l’imipénème, sérum-maladie du cefaclor, coloration des selles du cefdinir).</w:t>
      </w:r>
    </w:p>
    <w:p>
      <w:pPr>
        <w:pStyle w:val="BodyText"/>
      </w:pPr>
      <w:r>
        <w:rPr>
          <w:b/>
          <w:bCs/>
        </w:rPr>
        <w:t xml:space="preserve">Règles d’or pratiques :</w:t>
      </w:r>
      <w:r>
        <w:t xml:space="preserve"> </w:t>
      </w:r>
      <w:r>
        <w:t xml:space="preserve">1.</w:t>
      </w:r>
      <w:r>
        <w:t xml:space="preserve"> </w:t>
      </w:r>
      <w:r>
        <w:rPr>
          <w:b/>
          <w:bCs/>
        </w:rPr>
        <w:t xml:space="preserve">Limiter le recours aux C3G injectables et aux carbapénèmes</w:t>
      </w:r>
      <w:r>
        <w:t xml:space="preserve"> </w:t>
      </w:r>
      <w:r>
        <w:t xml:space="preserve">aux infections sévères et/ou à BMR documentée.</w:t>
      </w:r>
      <w:r>
        <w:t xml:space="preserve"> </w:t>
      </w:r>
      <w:r>
        <w:t xml:space="preserve">2.</w:t>
      </w:r>
      <w:r>
        <w:t xml:space="preserve"> </w:t>
      </w:r>
      <w:r>
        <w:rPr>
          <w:b/>
          <w:bCs/>
        </w:rPr>
        <w:t xml:space="preserve">Préférer les C1G et C2G orales</w:t>
      </w:r>
      <w:r>
        <w:t xml:space="preserve"> </w:t>
      </w:r>
      <w:r>
        <w:t xml:space="preserve">aux fluoroquinolones dans les infections communautaires non sévères.</w:t>
      </w:r>
      <w:r>
        <w:t xml:space="preserve"> </w:t>
      </w:r>
      <w:r>
        <w:t xml:space="preserve">3.</w:t>
      </w:r>
      <w:r>
        <w:t xml:space="preserve"> </w:t>
      </w:r>
      <w:r>
        <w:rPr>
          <w:b/>
          <w:bCs/>
        </w:rPr>
        <w:t xml:space="preserve">Toujours vérifier l’allergologie</w:t>
      </w:r>
      <w:r>
        <w:t xml:space="preserve"> </w:t>
      </w:r>
      <w:r>
        <w:t xml:space="preserve">avant prescription, et garder à l’esprit la cross-allergie avec les pénicillines (5–10 %).</w:t>
      </w:r>
      <w:r>
        <w:t xml:space="preserve"> </w:t>
      </w:r>
      <w:r>
        <w:t xml:space="preserve">4.</w:t>
      </w:r>
      <w:r>
        <w:t xml:space="preserve"> </w:t>
      </w:r>
      <w:r>
        <w:rPr>
          <w:b/>
          <w:bCs/>
        </w:rPr>
        <w:t xml:space="preserve">Adapter la posologie en IR</w:t>
      </w:r>
      <w:r>
        <w:t xml:space="preserve"> </w:t>
      </w:r>
      <w:r>
        <w:t xml:space="preserve">pour toutes les molécules à élimination rénale (sauf cefopérazone, ceftriaxone).</w:t>
      </w:r>
      <w:r>
        <w:t xml:space="preserve"> </w:t>
      </w:r>
      <w:r>
        <w:t xml:space="preserve">5.</w:t>
      </w:r>
      <w:r>
        <w:t xml:space="preserve"> </w:t>
      </w:r>
      <w:r>
        <w:rPr>
          <w:b/>
          <w:bCs/>
        </w:rPr>
        <w:t xml:space="preserve">Surveiller les interactions spécifiques</w:t>
      </w:r>
      <w:r>
        <w:t xml:space="preserve"> </w:t>
      </w:r>
      <w:r>
        <w:t xml:space="preserve">: valproate + carbapénèmes, calcium + ceftriaxone chez le nouveau-né, alcool + cefopérazone.</w:t>
      </w:r>
      <w:r>
        <w:t xml:space="preserve"> </w:t>
      </w:r>
      <w:r>
        <w:t xml:space="preserve">6.</w:t>
      </w:r>
      <w:r>
        <w:t xml:space="preserve"> </w:t>
      </w:r>
      <w:r>
        <w:rPr>
          <w:b/>
          <w:bCs/>
        </w:rPr>
        <w:t xml:space="preserve">Prévenir la sélection de BMR</w:t>
      </w:r>
      <w:r>
        <w:t xml:space="preserve"> </w:t>
      </w:r>
      <w:r>
        <w:t xml:space="preserve">: antibiothérapie ciblée, durée la plus courte possible, réévaluation systématique à J3.</w:t>
      </w:r>
    </w:p>
    <w:p>
      <w:pPr>
        <w:pStyle w:val="BodyText"/>
      </w:pPr>
      <w:r>
        <w:t xml:space="preserve">La diversité des spécialités commerciales disponibles en Algérie (plus de 150 marques actives ou retirées pour les 19 DCI de cette section) offre au prescripteur et au pharmacien d’officine une flexibilité certaine, mais impose une vigilance accrue sur la qualité, la conservation, et l’observance. Le pharmacien d’officine joue ici un rôle pédagogique majeur : conseil au patient sur le respect des horaires, l’importance de terminer la cure, la conservation des suspensions reconstituées, et la reconnaissance précoce des effets indésirables nécessitant un avis médical (diarrhée sanglante, rash étendu, ictère).</w:t>
      </w:r>
    </w:p>
    <w:p>
      <w:pPr>
        <w:pStyle w:val="BodyText"/>
      </w:pPr>
      <w:r>
        <w:t xml:space="preserve">La formation continue des pharmaciens algériens sur les résistances bactériennes émergentes (BLSE, KPC, NDM) et sur le bon usage des carbapénèmes et des nouvelles associations inhibitrices (avibactam, tazobactam) constitue un enjeu de santé publique majeur pour préserver l’efficacité de ces antibiotiques de dernier recours.</w:t>
      </w:r>
    </w:p>
    <w:p>
      <w:r>
        <w:pict>
          <v:rect style="width:0;height:1.5pt" o:hralign="center" o:hrstd="t" o:hr="t"/>
        </w:pict>
      </w:r>
    </w:p>
    <w:bookmarkEnd w:id="92"/>
    <w:bookmarkStart w:id="99" w:name="X5ca37ebcfafe5d8b27d9d474e053819bf5b9a66"/>
    <w:p>
      <w:pPr>
        <w:pStyle w:val="Heading2"/>
      </w:pPr>
      <w:r>
        <w:t xml:space="preserve">Annexe — Principes pharmacocinétiques/pharmacodynamiques (PK/PD) applicables à la classe</w:t>
      </w:r>
    </w:p>
    <w:bookmarkStart w:id="93" w:name="index-pkpd-et-modalités-dadministration"/>
    <w:p>
      <w:pPr>
        <w:pStyle w:val="Heading3"/>
      </w:pPr>
      <w:r>
        <w:t xml:space="preserve">1. Index PK/PD et modalités d’administration</w:t>
      </w:r>
    </w:p>
    <w:p>
      <w:pPr>
        <w:pStyle w:val="FirstParagraph"/>
      </w:pPr>
      <w:r>
        <w:t xml:space="preserve">Pour l’ensemble des β-lactamines, le paramètre PK/PD prédictif de l’efficacité est le</w:t>
      </w:r>
      <w:r>
        <w:t xml:space="preserve"> </w:t>
      </w:r>
      <w:r>
        <w:rPr>
          <w:b/>
          <w:bCs/>
        </w:rPr>
        <w:t xml:space="preserve">temps pendant lequel la concentration libre reste supérieure à la CMI (T &gt; CMI)</w:t>
      </w:r>
      <w:r>
        <w:t xml:space="preserve">. L’objectif thérapeutique est d’atteindre un T &gt; CMI ≥ 40–60 % de l’intervalle inter-doses pour les céphalosporines, et ≥ 40 % pour les carbapénèmes. Cette caractéristique justifie :</w:t>
      </w:r>
    </w:p>
    <w:p>
      <w:pPr>
        <w:pStyle w:val="Compact"/>
        <w:numPr>
          <w:ilvl w:val="0"/>
          <w:numId w:val="1253"/>
        </w:numPr>
      </w:pPr>
      <w:r>
        <w:t xml:space="preserve">L’administration</w:t>
      </w:r>
      <w:r>
        <w:t xml:space="preserve"> </w:t>
      </w:r>
      <w:r>
        <w:rPr>
          <w:b/>
          <w:bCs/>
        </w:rPr>
        <w:t xml:space="preserve">fractionnée</w:t>
      </w:r>
      <w:r>
        <w:t xml:space="preserve"> </w:t>
      </w:r>
      <w:r>
        <w:t xml:space="preserve">des molécules à demi-vie courte (céfazoline, céfuroxime IV, céfotaxime, ceftazidime, imipénème, méropénème) en 3 à 4 injections par jour ;</w:t>
      </w:r>
    </w:p>
    <w:p>
      <w:pPr>
        <w:pStyle w:val="Compact"/>
        <w:numPr>
          <w:ilvl w:val="0"/>
          <w:numId w:val="1253"/>
        </w:numPr>
      </w:pPr>
      <w:r>
        <w:t xml:space="preserve">L’administration</w:t>
      </w:r>
      <w:r>
        <w:t xml:space="preserve"> </w:t>
      </w:r>
      <w:r>
        <w:rPr>
          <w:b/>
          <w:bCs/>
        </w:rPr>
        <w:t xml:space="preserve">uniquotidienne</w:t>
      </w:r>
      <w:r>
        <w:t xml:space="preserve"> </w:t>
      </w:r>
      <w:r>
        <w:t xml:space="preserve">des molécules à demi-vie longue (ceftriaxone 8 h, cefadroxil 2 h) ;</w:t>
      </w:r>
    </w:p>
    <w:p>
      <w:pPr>
        <w:pStyle w:val="Compact"/>
        <w:numPr>
          <w:ilvl w:val="0"/>
          <w:numId w:val="1253"/>
        </w:numPr>
      </w:pPr>
      <w:r>
        <w:t xml:space="preserve">Le recours à la</w:t>
      </w:r>
      <w:r>
        <w:t xml:space="preserve"> </w:t>
      </w:r>
      <w:r>
        <w:rPr>
          <w:b/>
          <w:bCs/>
        </w:rPr>
        <w:t xml:space="preserve">perfusion prolongée</w:t>
      </w:r>
      <w:r>
        <w:t xml:space="preserve"> </w:t>
      </w:r>
      <w:r>
        <w:t xml:space="preserve">(3 à 4 heures) ou</w:t>
      </w:r>
      <w:r>
        <w:t xml:space="preserve"> </w:t>
      </w:r>
      <w:r>
        <w:rPr>
          <w:b/>
          <w:bCs/>
        </w:rPr>
        <w:t xml:space="preserve">continue</w:t>
      </w:r>
      <w:r>
        <w:t xml:space="preserve"> </w:t>
      </w:r>
      <w:r>
        <w:t xml:space="preserve">pour le méropénème et la ceftazidime dans les infections sévères à</w:t>
      </w:r>
      <w:r>
        <w:t xml:space="preserve"> </w:t>
      </w:r>
      <w:r>
        <w:rPr>
          <w:i/>
          <w:iCs/>
        </w:rPr>
        <w:t xml:space="preserve">Pseudomonas</w:t>
      </w:r>
      <w:r>
        <w:t xml:space="preserve"> </w:t>
      </w:r>
      <w:r>
        <w:t xml:space="preserve">de CMI élevée (≥ 4 mg/L), afin d’optimiser le T &gt; CMI.</w:t>
      </w:r>
    </w:p>
    <w:bookmarkEnd w:id="93"/>
    <w:bookmarkStart w:id="94" w:name="diffusion-tissulaire-et-barriers"/>
    <w:p>
      <w:pPr>
        <w:pStyle w:val="Heading3"/>
      </w:pPr>
      <w:r>
        <w:t xml:space="preserve">2. Diffusion tissulaire et barriers</w:t>
      </w:r>
    </w:p>
    <w:p>
      <w:pPr>
        <w:pStyle w:val="Compact"/>
        <w:numPr>
          <w:ilvl w:val="0"/>
          <w:numId w:val="1254"/>
        </w:numPr>
      </w:pPr>
      <w:r>
        <w:rPr>
          <w:b/>
          <w:bCs/>
        </w:rPr>
        <w:t xml:space="preserve">Diffusion méningée</w:t>
      </w:r>
      <w:r>
        <w:t xml:space="preserve"> </w:t>
      </w:r>
      <w:r>
        <w:t xml:space="preserve">: céfotaxime, ceftriaxone, ceftizoxime, méropénème atteignent des concentrations LCS de 5 à 20 % de la concentration plasmatique en cas de méningite inflammatoire (≥ 0,5–5 mg/L), justifiant leur place de choix dans les méningites bactériennes. La ceftazidime y conserve une activité antipyocyanique. L’imipénème diffuse mais son risque convulsif en fait un mauvais choix.</w:t>
      </w:r>
    </w:p>
    <w:p>
      <w:pPr>
        <w:pStyle w:val="Compact"/>
        <w:numPr>
          <w:ilvl w:val="0"/>
          <w:numId w:val="1254"/>
        </w:numPr>
      </w:pPr>
      <w:r>
        <w:rPr>
          <w:b/>
          <w:bCs/>
        </w:rPr>
        <w:t xml:space="preserve">Diffusion biliaire</w:t>
      </w:r>
      <w:r>
        <w:t xml:space="preserve"> </w:t>
      </w:r>
      <w:r>
        <w:t xml:space="preserve">: ceftriaxone (concentrations biliaires ×100 plasmatiques), cefopérazone (×50–100), céfixime — utile dans les infections biliaires.</w:t>
      </w:r>
    </w:p>
    <w:p>
      <w:pPr>
        <w:pStyle w:val="Compact"/>
        <w:numPr>
          <w:ilvl w:val="0"/>
          <w:numId w:val="1254"/>
        </w:numPr>
      </w:pPr>
      <w:r>
        <w:rPr>
          <w:b/>
          <w:bCs/>
        </w:rPr>
        <w:t xml:space="preserve">Diffusion osseuse</w:t>
      </w:r>
      <w:r>
        <w:t xml:space="preserve"> </w:t>
      </w:r>
      <w:r>
        <w:t xml:space="preserve">: céfazoline, ceftriaxone, méropénème — concentrations osseuses 10–30 % du plasmatique.</w:t>
      </w:r>
    </w:p>
    <w:p>
      <w:pPr>
        <w:pStyle w:val="Compact"/>
        <w:numPr>
          <w:ilvl w:val="0"/>
          <w:numId w:val="1254"/>
        </w:numPr>
      </w:pPr>
      <w:r>
        <w:rPr>
          <w:b/>
          <w:bCs/>
        </w:rPr>
        <w:t xml:space="preserve">Diffusion urinaire</w:t>
      </w:r>
      <w:r>
        <w:t xml:space="preserve"> </w:t>
      </w:r>
      <w:r>
        <w:t xml:space="preserve">: toutes les céphalosporines sauf cefopérazone (élimination biliaire majoritaire), atteignent des concentrations urinaires très supérieures aux CMI des uropathogènes — justification de leur usage dans les infections urinaires.</w:t>
      </w:r>
    </w:p>
    <w:p>
      <w:pPr>
        <w:pStyle w:val="Compact"/>
        <w:numPr>
          <w:ilvl w:val="0"/>
          <w:numId w:val="1254"/>
        </w:numPr>
      </w:pPr>
      <w:r>
        <w:rPr>
          <w:b/>
          <w:bCs/>
        </w:rPr>
        <w:t xml:space="preserve">Barrière placentaire</w:t>
      </w:r>
      <w:r>
        <w:t xml:space="preserve"> </w:t>
      </w:r>
      <w:r>
        <w:t xml:space="preserve">: passage transplacentaire de 30–50 % — sans tératogénicité décrite, mais surveillance néonatale (flore, Candida).</w:t>
      </w:r>
    </w:p>
    <w:bookmarkEnd w:id="94"/>
    <w:bookmarkStart w:id="95" w:name="Xbbcf68bf23aaa011e499a028b6a56029fca2c1f"/>
    <w:p>
      <w:pPr>
        <w:pStyle w:val="Heading3"/>
      </w:pPr>
      <w:r>
        <w:t xml:space="preserve">3. Adaptation posologique en insuffisance rénale</w:t>
      </w:r>
    </w:p>
    <w:tbl>
      <w:tblPr>
        <w:tblStyle w:val="Table"/>
        <w:tblW w:type="pct" w:w="5000"/>
        <w:jc w:val="left"/>
        <w:tblLayout w:type="fixed"/>
        <w:tblLook w:firstRow="1" w:lastRow="0" w:firstColumn="0" w:lastColumn="0" w:noHBand="0" w:noVBand="0" w:val="0020"/>
      </w:tblPr>
      <w:tblGrid>
        <w:gridCol w:w="1680"/>
        <w:gridCol w:w="2400"/>
        <w:gridCol w:w="2160"/>
        <w:gridCol w:w="1680"/>
      </w:tblGrid>
      <w:tr>
        <w:trPr>
          <w:tblHeader w:val="on"/>
        </w:trPr>
        <w:tc>
          <w:tcPr/>
          <w:p>
            <w:pPr>
              <w:pStyle w:val="Compact"/>
              <w:jc w:val="left"/>
            </w:pPr>
            <w:r>
              <w:t xml:space="preserve">DFG (ml/min)</w:t>
            </w:r>
          </w:p>
        </w:tc>
        <w:tc>
          <w:tcPr/>
          <w:p>
            <w:pPr>
              <w:pStyle w:val="Compact"/>
              <w:jc w:val="left"/>
            </w:pPr>
            <w:r>
              <w:t xml:space="preserve">Céphalosporines 1G</w:t>
            </w:r>
          </w:p>
        </w:tc>
        <w:tc>
          <w:tcPr/>
          <w:p>
            <w:pPr>
              <w:pStyle w:val="Compact"/>
              <w:jc w:val="left"/>
            </w:pPr>
            <w:r>
              <w:t xml:space="preserve">C3G injectables</w:t>
            </w:r>
          </w:p>
        </w:tc>
        <w:tc>
          <w:tcPr/>
          <w:p>
            <w:pPr>
              <w:pStyle w:val="Compact"/>
              <w:jc w:val="left"/>
            </w:pPr>
            <w:r>
              <w:t xml:space="preserve">Carbapénèmes</w:t>
            </w:r>
          </w:p>
        </w:tc>
      </w:tr>
      <w:tr>
        <w:tc>
          <w:tcPr/>
          <w:p>
            <w:pPr>
              <w:pStyle w:val="Compact"/>
              <w:jc w:val="left"/>
            </w:pPr>
            <w:r>
              <w:t xml:space="preserve">&gt; 50</w:t>
            </w:r>
          </w:p>
        </w:tc>
        <w:tc>
          <w:tcPr/>
          <w:p>
            <w:pPr>
              <w:pStyle w:val="Compact"/>
              <w:jc w:val="left"/>
            </w:pPr>
            <w:r>
              <w:t xml:space="preserve">Dose standard</w:t>
            </w:r>
          </w:p>
        </w:tc>
        <w:tc>
          <w:tcPr/>
          <w:p>
            <w:pPr>
              <w:pStyle w:val="Compact"/>
              <w:jc w:val="left"/>
            </w:pPr>
            <w:r>
              <w:t xml:space="preserve">Dose standard</w:t>
            </w:r>
          </w:p>
        </w:tc>
        <w:tc>
          <w:tcPr/>
          <w:p>
            <w:pPr>
              <w:pStyle w:val="Compact"/>
              <w:jc w:val="left"/>
            </w:pPr>
            <w:r>
              <w:t xml:space="preserve">Dose standard</w:t>
            </w:r>
          </w:p>
        </w:tc>
      </w:tr>
      <w:tr>
        <w:tc>
          <w:tcPr/>
          <w:p>
            <w:pPr>
              <w:pStyle w:val="Compact"/>
              <w:jc w:val="left"/>
            </w:pPr>
            <w:r>
              <w:t xml:space="preserve">30–50</w:t>
            </w:r>
          </w:p>
        </w:tc>
        <w:tc>
          <w:tcPr/>
          <w:p>
            <w:pPr>
              <w:pStyle w:val="Compact"/>
              <w:jc w:val="left"/>
            </w:pPr>
            <w:r>
              <w:t xml:space="preserve">250–500 mg ×2–3/j (céfazoline)</w:t>
            </w:r>
          </w:p>
        </w:tc>
        <w:tc>
          <w:tcPr/>
          <w:p>
            <w:pPr>
              <w:pStyle w:val="Compact"/>
              <w:jc w:val="left"/>
            </w:pPr>
            <w:r>
              <w:t xml:space="preserve">1–2 g ×2/j (céfotaxime)</w:t>
            </w:r>
          </w:p>
        </w:tc>
        <w:tc>
          <w:tcPr/>
          <w:p>
            <w:pPr>
              <w:pStyle w:val="Compact"/>
              <w:jc w:val="left"/>
            </w:pPr>
            <w:r>
              <w:t xml:space="preserve">500 mg–1 g ×2/j (méropénème)</w:t>
            </w:r>
          </w:p>
        </w:tc>
      </w:tr>
      <w:tr>
        <w:tc>
          <w:tcPr/>
          <w:p>
            <w:pPr>
              <w:pStyle w:val="Compact"/>
              <w:jc w:val="left"/>
            </w:pPr>
            <w:r>
              <w:t xml:space="preserve">10–29</w:t>
            </w:r>
          </w:p>
        </w:tc>
        <w:tc>
          <w:tcPr/>
          <w:p>
            <w:pPr>
              <w:pStyle w:val="Compact"/>
              <w:jc w:val="left"/>
            </w:pPr>
            <w:r>
              <w:t xml:space="preserve">250–500 mg ×1–2/j</w:t>
            </w:r>
          </w:p>
        </w:tc>
        <w:tc>
          <w:tcPr/>
          <w:p>
            <w:pPr>
              <w:pStyle w:val="Compact"/>
              <w:jc w:val="left"/>
            </w:pPr>
            <w:r>
              <w:t xml:space="preserve">1 g ×1–2/j</w:t>
            </w:r>
          </w:p>
        </w:tc>
        <w:tc>
          <w:tcPr/>
          <w:p>
            <w:pPr>
              <w:pStyle w:val="Compact"/>
              <w:jc w:val="left"/>
            </w:pPr>
            <w:r>
              <w:t xml:space="preserve">500 mg ×2/j</w:t>
            </w:r>
          </w:p>
        </w:tc>
      </w:tr>
      <w:tr>
        <w:tc>
          <w:tcPr/>
          <w:p>
            <w:pPr>
              <w:pStyle w:val="Compact"/>
              <w:jc w:val="left"/>
            </w:pPr>
            <w:r>
              <w:t xml:space="preserve">&lt; 10 / Hémodialyse</w:t>
            </w:r>
          </w:p>
        </w:tc>
        <w:tc>
          <w:tcPr/>
          <w:p>
            <w:pPr>
              <w:pStyle w:val="Compact"/>
              <w:jc w:val="left"/>
            </w:pPr>
            <w:r>
              <w:t xml:space="preserve">250–500 mg ×1/j (post-dialyse)</w:t>
            </w:r>
          </w:p>
        </w:tc>
        <w:tc>
          <w:tcPr/>
          <w:p>
            <w:pPr>
              <w:pStyle w:val="Compact"/>
              <w:jc w:val="left"/>
            </w:pPr>
            <w:r>
              <w:t xml:space="preserve">1 g ×1/j (post-dialyse)</w:t>
            </w:r>
          </w:p>
        </w:tc>
        <w:tc>
          <w:tcPr/>
          <w:p>
            <w:pPr>
              <w:pStyle w:val="Compact"/>
              <w:jc w:val="left"/>
            </w:pPr>
            <w:r>
              <w:t xml:space="preserve">250–500 mg ×1/j</w:t>
            </w:r>
          </w:p>
        </w:tc>
      </w:tr>
    </w:tbl>
    <w:p>
      <w:pPr>
        <w:pStyle w:val="BodyText"/>
      </w:pPr>
      <w:r>
        <w:rPr>
          <w:b/>
          <w:bCs/>
        </w:rPr>
        <w:t xml:space="preserve">Exceptions notables</w:t>
      </w:r>
      <w:r>
        <w:t xml:space="preserve"> </w:t>
      </w:r>
      <w:r>
        <w:t xml:space="preserve">:</w:t>
      </w:r>
      <w:r>
        <w:t xml:space="preserve"> </w:t>
      </w:r>
      <w:r>
        <w:t xml:space="preserve">-</w:t>
      </w:r>
      <w:r>
        <w:t xml:space="preserve"> </w:t>
      </w:r>
      <w:r>
        <w:rPr>
          <w:b/>
          <w:bCs/>
        </w:rPr>
        <w:t xml:space="preserve">Ceftriaxone</w:t>
      </w:r>
      <w:r>
        <w:t xml:space="preserve"> </w:t>
      </w:r>
      <w:r>
        <w:t xml:space="preserve">: pas d’adaptation posologique jusqu’à DFG 10 ml/min (élimination biliaire compensatrice).</w:t>
      </w:r>
      <w:r>
        <w:t xml:space="preserve"> </w:t>
      </w:r>
      <w:r>
        <w:t xml:space="preserve">-</w:t>
      </w:r>
      <w:r>
        <w:t xml:space="preserve"> </w:t>
      </w:r>
      <w:r>
        <w:rPr>
          <w:b/>
          <w:bCs/>
        </w:rPr>
        <w:t xml:space="preserve">Cefopérazone</w:t>
      </w:r>
      <w:r>
        <w:t xml:space="preserve"> </w:t>
      </w:r>
      <w:r>
        <w:t xml:space="preserve">: pas d’adaptation posologique (élimination biliaire 80 %).</w:t>
      </w:r>
      <w:r>
        <w:t xml:space="preserve"> </w:t>
      </w:r>
      <w:r>
        <w:t xml:space="preserve">-</w:t>
      </w:r>
      <w:r>
        <w:t xml:space="preserve"> </w:t>
      </w:r>
      <w:r>
        <w:rPr>
          <w:b/>
          <w:bCs/>
        </w:rPr>
        <w:t xml:space="preserve">Ceftazidime</w:t>
      </w:r>
      <w:r>
        <w:t xml:space="preserve"> </w:t>
      </w:r>
      <w:r>
        <w:t xml:space="preserve">: risque d’encéphalopathie β-lactamine majoré en IR — surveillance neurologique.</w:t>
      </w:r>
    </w:p>
    <w:bookmarkEnd w:id="95"/>
    <w:bookmarkStart w:id="96" w:name="allergie-croisée-β-lactamines"/>
    <w:p>
      <w:pPr>
        <w:pStyle w:val="Heading3"/>
      </w:pPr>
      <w:r>
        <w:t xml:space="preserve">4. Allergie croisée β-lactamines</w:t>
      </w:r>
    </w:p>
    <w:p>
      <w:pPr>
        <w:pStyle w:val="Compact"/>
        <w:numPr>
          <w:ilvl w:val="0"/>
          <w:numId w:val="1255"/>
        </w:numPr>
      </w:pPr>
      <w:r>
        <w:rPr>
          <w:b/>
          <w:bCs/>
        </w:rPr>
        <w:t xml:space="preserve">Cross-allergie pénicillines ↔ céphalosporines</w:t>
      </w:r>
      <w:r>
        <w:t xml:space="preserve"> </w:t>
      </w:r>
      <w:r>
        <w:t xml:space="preserve">: 5–10 % en cas d’allergie IgE-médiée à la pénicilline (anaphylaxie, urticaire &lt; 1 h). Risque accru avec céphalosporines de 1ère génération (chaîne latérale R1 proche). Plus faible avec C3G et C5G.</w:t>
      </w:r>
    </w:p>
    <w:p>
      <w:pPr>
        <w:pStyle w:val="Compact"/>
        <w:numPr>
          <w:ilvl w:val="0"/>
          <w:numId w:val="1255"/>
        </w:numPr>
      </w:pPr>
      <w:r>
        <w:rPr>
          <w:b/>
          <w:bCs/>
        </w:rPr>
        <w:t xml:space="preserve">Cross-allergie pénicillines ↔ carbapénèmes</w:t>
      </w:r>
      <w:r>
        <w:t xml:space="preserve"> </w:t>
      </w:r>
      <w:r>
        <w:t xml:space="preserve">: &lt; 1 % (études récentes), administration possible en milieu hospitalier avec surveillance.</w:t>
      </w:r>
    </w:p>
    <w:p>
      <w:pPr>
        <w:pStyle w:val="Compact"/>
        <w:numPr>
          <w:ilvl w:val="0"/>
          <w:numId w:val="1255"/>
        </w:numPr>
      </w:pPr>
      <w:r>
        <w:rPr>
          <w:b/>
          <w:bCs/>
        </w:rPr>
        <w:t xml:space="preserve">Cross-allergie céphalosporines ↔ carbapénèmes</w:t>
      </w:r>
      <w:r>
        <w:t xml:space="preserve"> </w:t>
      </w:r>
      <w:r>
        <w:t xml:space="preserve">: &lt; 1 %.</w:t>
      </w:r>
    </w:p>
    <w:p>
      <w:pPr>
        <w:pStyle w:val="Compact"/>
        <w:numPr>
          <w:ilvl w:val="0"/>
          <w:numId w:val="1255"/>
        </w:numPr>
      </w:pPr>
      <w:r>
        <w:rPr>
          <w:b/>
          <w:bCs/>
        </w:rPr>
        <w:t xml:space="preserve">Monobactames (aztréonam)</w:t>
      </w:r>
      <w:r>
        <w:t xml:space="preserve"> </w:t>
      </w:r>
      <w:r>
        <w:t xml:space="preserve">: pas de cross-allergie avec pénicillines ou céphalosporines, sauf avec le céftazidime (chaîne latérale R1 identique).</w:t>
      </w:r>
    </w:p>
    <w:bookmarkEnd w:id="96"/>
    <w:bookmarkStart w:id="97" w:name="X99cd65c395070e2e2a31d1b47a5226d462b2793"/>
    <w:p>
      <w:pPr>
        <w:pStyle w:val="Heading3"/>
      </w:pPr>
      <w:r>
        <w:t xml:space="preserve">5. Place des inhibiteurs de β-lactamases en Algérie</w:t>
      </w:r>
    </w:p>
    <w:p>
      <w:pPr>
        <w:pStyle w:val="FirstParagraph"/>
      </w:pPr>
      <w:r>
        <w:t xml:space="preserve">L’émergence rapide des carbapénèmases (KPC, NDM, OXA-48, VIM) en Algérie et dans le bassin méditerranéen justifie la disponibilité des associations ceftazidime-avibactam et ceftolozane-tazobactam. Le choix repose sur le mécanisme de résistance documenté :</w:t>
      </w:r>
    </w:p>
    <w:p>
      <w:pPr>
        <w:pStyle w:val="Compact"/>
        <w:numPr>
          <w:ilvl w:val="0"/>
          <w:numId w:val="1256"/>
        </w:numPr>
      </w:pPr>
      <w:r>
        <w:rPr>
          <w:b/>
          <w:bCs/>
        </w:rPr>
        <w:t xml:space="preserve">Entérobactérie KPC</w:t>
      </w:r>
      <w:r>
        <w:t xml:space="preserve"> </w:t>
      </w:r>
      <w:r>
        <w:t xml:space="preserve">: ceftazidime-avibactam (seul actif).</w:t>
      </w:r>
    </w:p>
    <w:p>
      <w:pPr>
        <w:pStyle w:val="Compact"/>
        <w:numPr>
          <w:ilvl w:val="0"/>
          <w:numId w:val="1256"/>
        </w:numPr>
      </w:pPr>
      <w:r>
        <w:rPr>
          <w:b/>
          <w:bCs/>
        </w:rPr>
        <w:t xml:space="preserve">Entérobactérie BLSE classique (CTX-M)</w:t>
      </w:r>
      <w:r>
        <w:t xml:space="preserve"> </w:t>
      </w:r>
      <w:r>
        <w:t xml:space="preserve">: carbapénème ou ceftazidime-avibactam ou ceftolozane-tazobactam.</w:t>
      </w:r>
    </w:p>
    <w:p>
      <w:pPr>
        <w:pStyle w:val="Compact"/>
        <w:numPr>
          <w:ilvl w:val="0"/>
          <w:numId w:val="1256"/>
        </w:numPr>
      </w:pPr>
      <w:r>
        <w:rPr>
          <w:b/>
          <w:bCs/>
        </w:rPr>
        <w:t xml:space="preserve">Pseudomonas multirésistant</w:t>
      </w:r>
      <w:r>
        <w:t xml:space="preserve"> </w:t>
      </w:r>
      <w:r>
        <w:t xml:space="preserve">: ceftolozane-tazobactam (activité conservée), ou ceftazidime-avibactam en cas de BLSE associée.</w:t>
      </w:r>
    </w:p>
    <w:p>
      <w:pPr>
        <w:pStyle w:val="Compact"/>
        <w:numPr>
          <w:ilvl w:val="0"/>
          <w:numId w:val="1256"/>
        </w:numPr>
      </w:pPr>
      <w:r>
        <w:rPr>
          <w:b/>
          <w:bCs/>
        </w:rPr>
        <w:t xml:space="preserve">NDM, VIM, IMP (metallo-β-lactamases)</w:t>
      </w:r>
      <w:r>
        <w:t xml:space="preserve"> </w:t>
      </w:r>
      <w:r>
        <w:t xml:space="preserve">: ni ceftazidime-avibactam, ni ceftolozane-tazobactam — recours à la colistine, à l’aztréonam (en association à l’avibactam si disponible), ou à la fosfomycine.</w:t>
      </w:r>
    </w:p>
    <w:bookmarkEnd w:id="97"/>
    <w:bookmarkStart w:id="98" w:name="X702e59235cae5fdda123d48244a4eec7274bc4e"/>
    <w:p>
      <w:pPr>
        <w:pStyle w:val="Heading3"/>
      </w:pPr>
      <w:r>
        <w:t xml:space="preserve">6. Antibiothérapie et prophylaxie chirurgicale en Algérie</w:t>
      </w:r>
    </w:p>
    <w:p>
      <w:pPr>
        <w:pStyle w:val="FirstParagraph"/>
      </w:pPr>
      <w:r>
        <w:t xml:space="preserve">La céfazoline reste l’antibiotique de référence pour la prophylaxie chirurgicale en Algérie (2 g IV à l’induction, 1 g à 4 h en cas d’intervention longue). En chirurgie colorectale, l’association céfazoline + métronidazole, ou céfuroxime + métronidazole, est recommandée. En cas d’allergie β-lactamine documentée, la clindamycine (Gram +, anaérobies) associée à un aminoglycoside (gentamicine) ou à l’aztréonam (non disponible) constitue l’alternative. La durée de la prophylaxie doit être limitée à 24 heures (dose unique préférentielle) sauf situations exceptionnelles (chirurgie cardiaque avec matériel prothétique, à discuter au cas par cas).</w:t>
      </w:r>
    </w:p>
    <w:p>
      <w:r>
        <w:pict>
          <v:rect style="width:0;height:1.5pt" o:hralign="center" o:hrstd="t" o:hr="t"/>
        </w:pict>
      </w:r>
    </w:p>
    <w:bookmarkEnd w:id="98"/>
    <w:bookmarkEnd w:id="99"/>
    <w:bookmarkEnd w:id="100"/>
    <w:bookmarkStart w:id="122" w:name="Xe5aeb0ef5cc05b462e10de1fd64c5c61973b8b0"/>
    <w:p>
      <w:pPr>
        <w:pStyle w:val="Heading1"/>
      </w:pPr>
      <w:r>
        <w:t xml:space="preserve">Section 4 — Macrolides, Kétolides, Lincosamides, Streptogramines et Oxazolidinones</w:t>
      </w:r>
    </w:p>
    <w:bookmarkStart w:id="101" w:name="X9c74308f9bedaf30ea9d0684530e7718262c54c"/>
    <w:p>
      <w:pPr>
        <w:pStyle w:val="Heading2"/>
      </w:pPr>
      <w:r>
        <w:t xml:space="preserve">4.0 Introduction générale — Inhibiteurs de la synthèse protéique ribosomale 50S</w:t>
      </w:r>
    </w:p>
    <w:p>
      <w:pPr>
        <w:pStyle w:val="FirstParagraph"/>
      </w:pPr>
      <w:r>
        <w:t xml:space="preserve">Les familles traitées dans cette section — macrolides, kétolides, lincosamides, streptogramines et oxazolidinones — constituent un ensemble hétérogène d’antibiotiques qui partagent une cible moléculaire commune : la</w:t>
      </w:r>
      <w:r>
        <w:t xml:space="preserve"> </w:t>
      </w:r>
      <w:r>
        <w:rPr>
          <w:b/>
          <w:bCs/>
        </w:rPr>
        <w:t xml:space="preserve">sous-unité 50S du ribosome bactérien</w:t>
      </w:r>
      <w:r>
        <w:t xml:space="preserve">. Malgré cette convergence d’action, chacun possède un site de liaison distinct, un spectre différent et un profil de tolérance propre. Cette section regroupe</w:t>
      </w:r>
      <w:r>
        <w:t xml:space="preserve"> </w:t>
      </w:r>
      <w:r>
        <w:rPr>
          <w:b/>
          <w:bCs/>
        </w:rPr>
        <w:t xml:space="preserve">13 DCIs</w:t>
      </w:r>
      <w:r>
        <w:t xml:space="preserve"> </w:t>
      </w:r>
      <w:r>
        <w:t xml:space="preserve">commercialisées ou ayant été commercialisées en Algérie, dont 8 macrolides stricto sensu, 1 kétolide, 2 lincosamides, 1 streptogramine et 1 oxazolidinone.</w:t>
      </w:r>
    </w:p>
    <w:p>
      <w:pPr>
        <w:pStyle w:val="BodyText"/>
      </w:pPr>
      <w:r>
        <w:t xml:space="preserve">D’un point de vue pédagogique et clinique, ces familles méritent d’être enseignées ensemble car elles illustrent comment des structures chimiques très différentes peuvent converger vers une même cible, comment se construit la résistance bactérienne par méthylation 23S (phénotype MLSb), et comment la pharmacocinétique (Demi-vie longue de l’azithromycine, accumulation pulmonaire de la clarithromycine, biodisponibilité orale parfaite du linézolide) dicte les schémas thérapeutiques. Elles représentent aussi, en pratique algérienne, les alternatives de première intention chez le patient allergique aux bêta-lactamines.</w:t>
      </w:r>
    </w:p>
    <w:p>
      <w:r>
        <w:pict>
          <v:rect style="width:0;height:1.5pt" o:hralign="center" o:hrstd="t" o:hr="t"/>
        </w:pict>
      </w:r>
    </w:p>
    <w:bookmarkEnd w:id="101"/>
    <w:bookmarkStart w:id="110" w:name="sous-classe-macrolides"/>
    <w:p>
      <w:pPr>
        <w:pStyle w:val="Heading2"/>
      </w:pPr>
      <w:r>
        <w:t xml:space="preserve">4.1 Sous-classe : Macrolides</w:t>
      </w:r>
    </w:p>
    <w:p>
      <w:pPr>
        <w:pStyle w:val="FirstParagraph"/>
      </w:pPr>
      <w:r>
        <w:t xml:space="preserve">Les macrolides sont des antibiotiques macrocycliques constitués d’un grand anneau lactone (14, 15 ou 16 atomes) sur lequel sont greffés des sucres neutres et aminés. La classification repose sur la taille de l’anneau :</w:t>
      </w:r>
      <w:r>
        <w:t xml:space="preserve"> </w:t>
      </w:r>
      <w:r>
        <w:t xml:space="preserve">-</w:t>
      </w:r>
      <w:r>
        <w:t xml:space="preserve"> </w:t>
      </w:r>
      <w:r>
        <w:rPr>
          <w:b/>
          <w:bCs/>
        </w:rPr>
        <w:t xml:space="preserve">Macrolides à 14 atomes</w:t>
      </w:r>
      <w:r>
        <w:t xml:space="preserve"> </w:t>
      </w:r>
      <w:r>
        <w:t xml:space="preserve">: érythromycine (molécule historique, 1952), clarithromycine, roxithromycine.</w:t>
      </w:r>
      <w:r>
        <w:t xml:space="preserve"> </w:t>
      </w:r>
      <w:r>
        <w:t xml:space="preserve">-</w:t>
      </w:r>
      <w:r>
        <w:t xml:space="preserve"> </w:t>
      </w:r>
      <w:r>
        <w:rPr>
          <w:b/>
          <w:bCs/>
        </w:rPr>
        <w:t xml:space="preserve">Macrolide à 15 atomes (azalide)</w:t>
      </w:r>
      <w:r>
        <w:t xml:space="preserve"> </w:t>
      </w:r>
      <w:r>
        <w:t xml:space="preserve">: azithromycine — un atome d’azote inséré dans l’anneau, ce qui modifie la PK (demi-vie longue, pénétration intracellulaire accrue).</w:t>
      </w:r>
      <w:r>
        <w:t xml:space="preserve"> </w:t>
      </w:r>
      <w:r>
        <w:t xml:space="preserve">-</w:t>
      </w:r>
      <w:r>
        <w:t xml:space="preserve"> </w:t>
      </w:r>
      <w:r>
        <w:rPr>
          <w:b/>
          <w:bCs/>
        </w:rPr>
        <w:t xml:space="preserve">Macrolides à 16 atomes</w:t>
      </w:r>
      <w:r>
        <w:t xml:space="preserve"> </w:t>
      </w:r>
      <w:r>
        <w:t xml:space="preserve">: spiramycine, josamycine — mieux tolérés sur le plan digestif et QT, mais spectre plus étroit.</w:t>
      </w:r>
    </w:p>
    <w:p>
      <w:pPr>
        <w:pStyle w:val="BodyText"/>
      </w:pPr>
      <w:r>
        <w:rPr>
          <w:b/>
          <w:bCs/>
        </w:rPr>
        <w:t xml:space="preserve">Mécanisme commun</w:t>
      </w:r>
      <w:r>
        <w:t xml:space="preserve"> </w:t>
      </w:r>
      <w:r>
        <w:t xml:space="preserve">: liaison réversible à la sous-unité 50S ribosomale au niveau du</w:t>
      </w:r>
      <w:r>
        <w:t xml:space="preserve"> </w:t>
      </w:r>
      <w:r>
        <w:rPr>
          <w:b/>
          <w:bCs/>
        </w:rPr>
        <w:t xml:space="preserve">site donneur (site A)</w:t>
      </w:r>
      <w:r>
        <w:t xml:space="preserve">, inhibant la</w:t>
      </w:r>
      <w:r>
        <w:t xml:space="preserve"> </w:t>
      </w:r>
      <w:r>
        <w:rPr>
          <w:b/>
          <w:bCs/>
        </w:rPr>
        <w:t xml:space="preserve">translocation</w:t>
      </w:r>
      <w:r>
        <w:t xml:space="preserve"> </w:t>
      </w:r>
      <w:r>
        <w:t xml:space="preserve">du peptidyl-ARNt et bloquant ainsi l’élongation de la chaîne peptidique. L’effet est classiquement</w:t>
      </w:r>
      <w:r>
        <w:t xml:space="preserve"> </w:t>
      </w:r>
      <w:r>
        <w:rPr>
          <w:b/>
          <w:bCs/>
        </w:rPr>
        <w:t xml:space="preserve">bactériostatique</w:t>
      </w:r>
      <w:r>
        <w:t xml:space="preserve"> </w:t>
      </w:r>
      <w:r>
        <w:t xml:space="preserve">mais peut devenir bactéricide à forte concentration ou sur certaines souches (Streptocoque, H. influenzae pour l’azithromycine). Aucune action sur l’ARN 30S (différent des aminoglycosides et tétracyclines).</w:t>
      </w:r>
    </w:p>
    <w:p>
      <w:pPr>
        <w:pStyle w:val="BodyText"/>
      </w:pPr>
      <w:r>
        <w:rPr>
          <w:b/>
          <w:bCs/>
        </w:rPr>
        <w:t xml:space="preserve">Spectre commun</w:t>
      </w:r>
      <w:r>
        <w:t xml:space="preserve"> </w:t>
      </w:r>
      <w:r>
        <w:t xml:space="preserve">: cocci Gram positif (Streptocoque A et pneumocoque), agents de l’angine atypique (Mycoplasma, Chlamydia, Legionella), Bordetella pertussis, Helicobacter pylori (clarithromycine), Corynebacterium diphtheriae. Bactéries intracellulaires : Chlamydia trachomatis, Rickettsia. Activité partielle sur certains Gram négatifs respiratoires (H. influenzae, Moraxella). Pas d’activité sur les Entérobactéries.</w:t>
      </w:r>
    </w:p>
    <w:p>
      <w:pPr>
        <w:pStyle w:val="BodyText"/>
      </w:pPr>
      <w:r>
        <w:rPr>
          <w:b/>
          <w:bCs/>
        </w:rPr>
        <w:t xml:space="preserve">Résistance</w:t>
      </w:r>
      <w:r>
        <w:t xml:space="preserve"> </w:t>
      </w:r>
      <w:r>
        <w:t xml:space="preserve">: principalement par méthylation adénine 2058 de l’ARN ribosomal 23S (gène</w:t>
      </w:r>
      <w:r>
        <w:t xml:space="preserve"> </w:t>
      </w:r>
      <w:r>
        <w:rPr>
          <w:i/>
          <w:iCs/>
        </w:rPr>
        <w:t xml:space="preserve">erm</w:t>
      </w:r>
      <w:r>
        <w:t xml:space="preserve">), conférant le</w:t>
      </w:r>
      <w:r>
        <w:t xml:space="preserve"> </w:t>
      </w:r>
      <w:r>
        <w:rPr>
          <w:b/>
          <w:bCs/>
        </w:rPr>
        <w:t xml:space="preserve">phétype MLSb</w:t>
      </w:r>
      <w:r>
        <w:t xml:space="preserve"> </w:t>
      </w:r>
      <w:r>
        <w:t xml:space="preserve">de résistance croisée macrolides-lincosamides-streptogramines B. Mécanismes additionnels : efflux (gène</w:t>
      </w:r>
      <w:r>
        <w:t xml:space="preserve"> </w:t>
      </w:r>
      <w:r>
        <w:rPr>
          <w:i/>
          <w:iCs/>
        </w:rPr>
        <w:t xml:space="preserve">mef</w:t>
      </w:r>
      <w:r>
        <w:t xml:space="preserve"> </w:t>
      </w:r>
      <w:r>
        <w:t xml:space="preserve">— résistance de bas niveau, phénotype M), modifications enzymatiques (estérases, phosphotransférases). La prévalence de la résistance du pneumocoque en Algérie est estimée à 20–30 %, ce qui justifie la prudence dans les pneumonies communautaires sévères.</w:t>
      </w:r>
    </w:p>
    <w:p>
      <w:pPr>
        <w:pStyle w:val="BodyText"/>
      </w:pPr>
      <w:r>
        <w:rPr>
          <w:b/>
          <w:bCs/>
        </w:rPr>
        <w:t xml:space="preserve">Profil PK commun</w:t>
      </w:r>
      <w:r>
        <w:t xml:space="preserve"> </w:t>
      </w:r>
      <w:r>
        <w:t xml:space="preserve">: large distribution tissulaire, concentrations intracellulaires (phagolysosomes) très supérieures aux concentrations plasmatiques (rapport 10 à 100 selon la molécule), métabolisme hépatique via CYP3A4 pour la plupart (sauf azithromycine et spiramycine), élimination biliaire prédominante. Demi-vie très variable : 1,5 h (érythromycine) à 68 h (azithromycine).</w:t>
      </w:r>
    </w:p>
    <w:p>
      <w:r>
        <w:pict>
          <v:rect style="width:0;height:1.5pt" o:hralign="center" o:hrstd="t" o:hr="t"/>
        </w:pict>
      </w:r>
    </w:p>
    <w:bookmarkStart w:id="102" w:name="dci-érythromycine-seule"/>
    <w:p>
      <w:pPr>
        <w:pStyle w:val="Heading3"/>
      </w:pPr>
      <w:r>
        <w:t xml:space="preserve">4.1.1 DCI : Érythromycine (Seule)</w:t>
      </w:r>
    </w:p>
    <w:p>
      <w:pPr>
        <w:pStyle w:val="FirstParagraph"/>
      </w:pPr>
      <w:r>
        <w:rPr>
          <w:b/>
          <w:bCs/>
        </w:rPr>
        <w:t xml:space="preserve">Liste des Catégories :</w:t>
      </w:r>
      <w:r>
        <w:t xml:space="preserve"> </w:t>
      </w:r>
      <w:r>
        <w:t xml:space="preserve">Macrolide à 14 atomes — Molécule historique de référence (1952) — Listé Liste I — Formes orales (comprimés, suspensions buvables) et topique.</w:t>
      </w:r>
    </w:p>
    <w:p>
      <w:pPr>
        <w:pStyle w:val="BodyText"/>
      </w:pPr>
      <w:r>
        <w:t xml:space="preserve">L’érythromycine, isolée en 1952 à partir de</w:t>
      </w:r>
      <w:r>
        <w:t xml:space="preserve"> </w:t>
      </w:r>
      <w:r>
        <w:rPr>
          <w:i/>
          <w:iCs/>
        </w:rPr>
        <w:t xml:space="preserve">Streptomyces erythreus</w:t>
      </w:r>
      <w:r>
        <w:t xml:space="preserve">, demeure le macrolide de référence. Sa cinétique particulière (demi-vie courte, inactivation gastrique acide, métabolisme hépatique CYP3A4 puissant) impose une posologie en 3 à 4 prises quotidiennes et limite sa tolérance. Elle reste néanmoins incontournable : alternative de choix chez la femme enceinte allergique aux bêta-lactamines (angine, listériose, chlamydiose), traitement de la coqueluche du nourrisson, et prévention prophylactique de l’endocardite infectieuse chez les patients allergiques à la pénicilline avant geste bucco-dentaire (bien que remplacée par l’amoxicilline en première intention dans les recommandations 2021 de la Société Française de Cardiologie).</w:t>
      </w:r>
    </w:p>
    <w:p>
      <w:pPr>
        <w:pStyle w:val="BodyText"/>
      </w:pPr>
      <w:r>
        <w:rPr>
          <w:b/>
          <w:bCs/>
        </w:rPr>
        <w:t xml:space="preserve">Médicaments disponibles en Algérie (Marques, Laboratoires, Formes et Dosages) :</w:t>
      </w:r>
    </w:p>
    <w:p>
      <w:pPr>
        <w:pStyle w:val="Compact"/>
        <w:numPr>
          <w:ilvl w:val="0"/>
          <w:numId w:val="1257"/>
        </w:numPr>
      </w:pPr>
      <w:r>
        <w:rPr>
          <w:b/>
          <w:bCs/>
        </w:rPr>
        <w:t xml:space="preserve">ERYBESAN</w:t>
      </w:r>
      <w:r>
        <w:t xml:space="preserve"> </w:t>
      </w:r>
      <w:r>
        <w:t xml:space="preserve">(SANDOZ)</w:t>
      </w:r>
    </w:p>
    <w:p>
      <w:pPr>
        <w:pStyle w:val="Compact"/>
        <w:numPr>
          <w:ilvl w:val="1"/>
          <w:numId w:val="1258"/>
        </w:numPr>
      </w:pPr>
      <w:r>
        <w:t xml:space="preserve">Formes et Dosages : Granulé pour suspension buvable 200 mg/5 mL, flacon de 60 mL</w:t>
      </w:r>
    </w:p>
    <w:p>
      <w:pPr>
        <w:pStyle w:val="Compact"/>
        <w:numPr>
          <w:ilvl w:val="1"/>
          <w:numId w:val="1258"/>
        </w:numPr>
      </w:pPr>
      <w:r>
        <w:t xml:space="preserve">Statut : Actif</w:t>
      </w:r>
    </w:p>
    <w:p>
      <w:pPr>
        <w:pStyle w:val="Compact"/>
        <w:numPr>
          <w:ilvl w:val="0"/>
          <w:numId w:val="1257"/>
        </w:numPr>
      </w:pPr>
      <w:r>
        <w:rPr>
          <w:b/>
          <w:bCs/>
        </w:rPr>
        <w:t xml:space="preserve">ERYTHRODAR</w:t>
      </w:r>
      <w:r>
        <w:t xml:space="preserve"> </w:t>
      </w:r>
      <w:r>
        <w:t xml:space="preserve">(DAR AL DAWA)</w:t>
      </w:r>
    </w:p>
    <w:p>
      <w:pPr>
        <w:pStyle w:val="Compact"/>
        <w:numPr>
          <w:ilvl w:val="1"/>
          <w:numId w:val="1259"/>
        </w:numPr>
      </w:pPr>
      <w:r>
        <w:t xml:space="preserve">Formes et Dosages : Suspension buvable 200 mg/5 mL, flacon de 100 mL</w:t>
      </w:r>
    </w:p>
    <w:p>
      <w:pPr>
        <w:pStyle w:val="Compact"/>
        <w:numPr>
          <w:ilvl w:val="1"/>
          <w:numId w:val="1259"/>
        </w:numPr>
      </w:pPr>
      <w:r>
        <w:t xml:space="preserve">Statut : Actif</w:t>
      </w:r>
    </w:p>
    <w:p>
      <w:pPr>
        <w:pStyle w:val="Compact"/>
        <w:numPr>
          <w:ilvl w:val="0"/>
          <w:numId w:val="1257"/>
        </w:numPr>
      </w:pPr>
      <w:r>
        <w:rPr>
          <w:b/>
          <w:bCs/>
        </w:rPr>
        <w:t xml:space="preserve">MACROLID</w:t>
      </w:r>
      <w:r>
        <w:t xml:space="preserve"> </w:t>
      </w:r>
      <w:r>
        <w:t xml:space="preserve">(LIFEPHARMA)</w:t>
      </w:r>
    </w:p>
    <w:p>
      <w:pPr>
        <w:pStyle w:val="Compact"/>
        <w:numPr>
          <w:ilvl w:val="1"/>
          <w:numId w:val="1260"/>
        </w:numPr>
      </w:pPr>
      <w:r>
        <w:t xml:space="preserve">Formes et Dosages : Poudre pour suspension buvable 200 mg/5 mL, flacon de 60 mL</w:t>
      </w:r>
    </w:p>
    <w:p>
      <w:pPr>
        <w:pStyle w:val="Compact"/>
        <w:numPr>
          <w:ilvl w:val="1"/>
          <w:numId w:val="1260"/>
        </w:numPr>
      </w:pPr>
      <w:r>
        <w:t xml:space="preserve">Statut : Non Renouvelable</w:t>
      </w:r>
    </w:p>
    <w:p>
      <w:pPr>
        <w:pStyle w:val="Compact"/>
        <w:numPr>
          <w:ilvl w:val="0"/>
          <w:numId w:val="1257"/>
        </w:numPr>
      </w:pPr>
      <w:r>
        <w:rPr>
          <w:b/>
          <w:bCs/>
        </w:rPr>
        <w:t xml:space="preserve">RYTHROMAC</w:t>
      </w:r>
      <w:r>
        <w:t xml:space="preserve"> </w:t>
      </w:r>
      <w:r>
        <w:t xml:space="preserve">(RAM PHARMACEUTICAL INDUSTRIES)</w:t>
      </w:r>
    </w:p>
    <w:p>
      <w:pPr>
        <w:pStyle w:val="Compact"/>
        <w:numPr>
          <w:ilvl w:val="1"/>
          <w:numId w:val="1261"/>
        </w:numPr>
      </w:pPr>
      <w:r>
        <w:t xml:space="preserve">Formes et Dosages : Suspension buvable 200 mg/5 mL, flacon de 125 mL</w:t>
      </w:r>
    </w:p>
    <w:p>
      <w:pPr>
        <w:pStyle w:val="Compact"/>
        <w:numPr>
          <w:ilvl w:val="1"/>
          <w:numId w:val="1261"/>
        </w:numPr>
      </w:pPr>
      <w:r>
        <w:t xml:space="preserve">Statut : Non Renouvelable</w:t>
      </w:r>
    </w:p>
    <w:p>
      <w:pPr>
        <w:pStyle w:val="Compact"/>
        <w:numPr>
          <w:ilvl w:val="0"/>
          <w:numId w:val="1257"/>
        </w:numPr>
      </w:pPr>
      <w:r>
        <w:rPr>
          <w:b/>
          <w:bCs/>
        </w:rPr>
        <w:t xml:space="preserve">ERODAL</w:t>
      </w:r>
      <w:r>
        <w:t xml:space="preserve"> </w:t>
      </w:r>
      <w:r>
        <w:t xml:space="preserve">(GROUPE SAIDAL)</w:t>
      </w:r>
    </w:p>
    <w:p>
      <w:pPr>
        <w:pStyle w:val="Compact"/>
        <w:numPr>
          <w:ilvl w:val="1"/>
          <w:numId w:val="1262"/>
        </w:numPr>
      </w:pPr>
      <w:r>
        <w:t xml:space="preserve">Formes et Dosages : Poudre pour suspension buvable 200 mg/5 mL, flacon de 60 mL avec gobelet doseur</w:t>
      </w:r>
    </w:p>
    <w:p>
      <w:pPr>
        <w:pStyle w:val="Compact"/>
        <w:numPr>
          <w:ilvl w:val="1"/>
          <w:numId w:val="1262"/>
        </w:numPr>
      </w:pPr>
      <w:r>
        <w:t xml:space="preserve">Statut : Non Renouvelable</w:t>
      </w:r>
    </w:p>
    <w:p>
      <w:pPr>
        <w:pStyle w:val="Compact"/>
        <w:numPr>
          <w:ilvl w:val="0"/>
          <w:numId w:val="1257"/>
        </w:numPr>
      </w:pPr>
      <w:r>
        <w:rPr>
          <w:b/>
          <w:bCs/>
        </w:rPr>
        <w:t xml:space="preserve">ERY 500</w:t>
      </w:r>
      <w:r>
        <w:t xml:space="preserve"> </w:t>
      </w:r>
      <w:r>
        <w:t xml:space="preserve">(BOUCHARA-RECORDATI)</w:t>
      </w:r>
    </w:p>
    <w:p>
      <w:pPr>
        <w:pStyle w:val="Compact"/>
        <w:numPr>
          <w:ilvl w:val="1"/>
          <w:numId w:val="1263"/>
        </w:numPr>
      </w:pPr>
      <w:r>
        <w:t xml:space="preserve">Formes et Dosages : Comprimé 500 mg, boîte de 20</w:t>
      </w:r>
    </w:p>
    <w:p>
      <w:pPr>
        <w:pStyle w:val="Compact"/>
        <w:numPr>
          <w:ilvl w:val="1"/>
          <w:numId w:val="1263"/>
        </w:numPr>
      </w:pPr>
      <w:r>
        <w:t xml:space="preserve">Statut : Non Renouvelable</w:t>
      </w:r>
    </w:p>
    <w:p>
      <w:pPr>
        <w:pStyle w:val="Compact"/>
        <w:numPr>
          <w:ilvl w:val="0"/>
          <w:numId w:val="1257"/>
        </w:numPr>
      </w:pPr>
      <w:r>
        <w:rPr>
          <w:b/>
          <w:bCs/>
        </w:rPr>
        <w:t xml:space="preserve">MAROCID</w:t>
      </w:r>
      <w:r>
        <w:t xml:space="preserve"> </w:t>
      </w:r>
      <w:r>
        <w:t xml:space="preserve">(LIFEPHARMA)</w:t>
      </w:r>
    </w:p>
    <w:p>
      <w:pPr>
        <w:pStyle w:val="Compact"/>
        <w:numPr>
          <w:ilvl w:val="1"/>
          <w:numId w:val="1264"/>
        </w:numPr>
      </w:pPr>
      <w:r>
        <w:t xml:space="preserve">Formes et Dosages : Comprimé 500 mg, boîte de 16</w:t>
      </w:r>
    </w:p>
    <w:p>
      <w:pPr>
        <w:pStyle w:val="Compact"/>
        <w:numPr>
          <w:ilvl w:val="1"/>
          <w:numId w:val="1264"/>
        </w:numPr>
      </w:pPr>
      <w:r>
        <w:t xml:space="preserve">Statut : Non Renouvelable</w:t>
      </w:r>
    </w:p>
    <w:p>
      <w:pPr>
        <w:pStyle w:val="Compact"/>
        <w:numPr>
          <w:ilvl w:val="0"/>
          <w:numId w:val="1257"/>
        </w:numPr>
      </w:pPr>
      <w:r>
        <w:rPr>
          <w:b/>
          <w:bCs/>
        </w:rPr>
        <w:t xml:space="preserve">ERYBESAN</w:t>
      </w:r>
      <w:r>
        <w:t xml:space="preserve"> </w:t>
      </w:r>
      <w:r>
        <w:t xml:space="preserve">(SANDOZ SPA)</w:t>
      </w:r>
    </w:p>
    <w:p>
      <w:pPr>
        <w:pStyle w:val="Compact"/>
        <w:numPr>
          <w:ilvl w:val="1"/>
          <w:numId w:val="1265"/>
        </w:numPr>
      </w:pPr>
      <w:r>
        <w:t xml:space="preserve">Formes et Dosages : Comprimé pelliculé 500 mg, boîte de 12</w:t>
      </w:r>
    </w:p>
    <w:p>
      <w:pPr>
        <w:pStyle w:val="Compact"/>
        <w:numPr>
          <w:ilvl w:val="1"/>
          <w:numId w:val="1265"/>
        </w:numPr>
      </w:pPr>
      <w:r>
        <w:t xml:space="preserve">Statut : Non Renouvelable</w:t>
      </w:r>
    </w:p>
    <w:p>
      <w:pPr>
        <w:pStyle w:val="Compact"/>
        <w:numPr>
          <w:ilvl w:val="0"/>
          <w:numId w:val="1257"/>
        </w:numPr>
      </w:pPr>
      <w:r>
        <w:rPr>
          <w:b/>
          <w:bCs/>
        </w:rPr>
        <w:t xml:space="preserve">ERYACNE</w:t>
      </w:r>
      <w:r>
        <w:t xml:space="preserve"> </w:t>
      </w:r>
      <w:r>
        <w:t xml:space="preserve">(GALDERMA) (R)</w:t>
      </w:r>
    </w:p>
    <w:p>
      <w:pPr>
        <w:pStyle w:val="Compact"/>
        <w:numPr>
          <w:ilvl w:val="1"/>
          <w:numId w:val="1266"/>
        </w:numPr>
      </w:pPr>
      <w:r>
        <w:t xml:space="preserve">Formes et Dosages : Gel pour application locale 0,04 %, tube de 30 g</w:t>
      </w:r>
    </w:p>
    <w:p>
      <w:pPr>
        <w:pStyle w:val="Compact"/>
        <w:numPr>
          <w:ilvl w:val="1"/>
          <w:numId w:val="1266"/>
        </w:numPr>
      </w:pPr>
      <w:r>
        <w:t xml:space="preserve">Statut : Retiré</w:t>
      </w:r>
    </w:p>
    <w:p>
      <w:pPr>
        <w:pStyle w:val="Compact"/>
        <w:numPr>
          <w:ilvl w:val="0"/>
          <w:numId w:val="1257"/>
        </w:numPr>
      </w:pPr>
      <w:r>
        <w:rPr>
          <w:b/>
          <w:bCs/>
        </w:rPr>
        <w:t xml:space="preserve">RYBAC</w:t>
      </w:r>
      <w:r>
        <w:t xml:space="preserve"> </w:t>
      </w:r>
      <w:r>
        <w:t xml:space="preserve">(GALENICA) (R)</w:t>
      </w:r>
    </w:p>
    <w:p>
      <w:pPr>
        <w:pStyle w:val="Compact"/>
        <w:numPr>
          <w:ilvl w:val="1"/>
          <w:numId w:val="1267"/>
        </w:numPr>
      </w:pPr>
      <w:r>
        <w:t xml:space="preserve">Formes et Dosages : Suspension buvable 200 mg/5 mL, flacon de 60 mL ; Comprimé 500 mg, boîte de 20</w:t>
      </w:r>
    </w:p>
    <w:p>
      <w:pPr>
        <w:pStyle w:val="Compact"/>
        <w:numPr>
          <w:ilvl w:val="1"/>
          <w:numId w:val="1267"/>
        </w:numPr>
      </w:pPr>
      <w:r>
        <w:t xml:space="preserve">Statut : Retiré</w:t>
      </w:r>
    </w:p>
    <w:p>
      <w:pPr>
        <w:pStyle w:val="Compact"/>
        <w:numPr>
          <w:ilvl w:val="0"/>
          <w:numId w:val="1257"/>
        </w:numPr>
      </w:pPr>
      <w:r>
        <w:rPr>
          <w:b/>
          <w:bCs/>
        </w:rPr>
        <w:t xml:space="preserve">ABBOTICINE</w:t>
      </w:r>
      <w:r>
        <w:t xml:space="preserve"> </w:t>
      </w:r>
      <w:r>
        <w:t xml:space="preserve">(ABBOT) (R)</w:t>
      </w:r>
    </w:p>
    <w:p>
      <w:pPr>
        <w:pStyle w:val="Compact"/>
        <w:numPr>
          <w:ilvl w:val="1"/>
          <w:numId w:val="1268"/>
        </w:numPr>
      </w:pPr>
      <w:r>
        <w:t xml:space="preserve">Formes et Dosages : Granulés pour suspension buvable 200 mg/5 mL, flacon de 60 mL</w:t>
      </w:r>
    </w:p>
    <w:p>
      <w:pPr>
        <w:pStyle w:val="Compact"/>
        <w:numPr>
          <w:ilvl w:val="1"/>
          <w:numId w:val="1268"/>
        </w:numPr>
      </w:pPr>
      <w:r>
        <w:t xml:space="preserve">Statut : Retiré</w:t>
      </w:r>
    </w:p>
    <w:p>
      <w:pPr>
        <w:pStyle w:val="Compact"/>
        <w:numPr>
          <w:ilvl w:val="0"/>
          <w:numId w:val="1257"/>
        </w:numPr>
      </w:pPr>
      <w:r>
        <w:rPr>
          <w:b/>
          <w:bCs/>
        </w:rPr>
        <w:t xml:space="preserve">RYTHINATE</w:t>
      </w:r>
      <w:r>
        <w:t xml:space="preserve"> </w:t>
      </w:r>
      <w:r>
        <w:t xml:space="preserve">(HIKMA PHARMACEUTICALS) (R)</w:t>
      </w:r>
    </w:p>
    <w:p>
      <w:pPr>
        <w:pStyle w:val="Compact"/>
        <w:numPr>
          <w:ilvl w:val="1"/>
          <w:numId w:val="1269"/>
        </w:numPr>
      </w:pPr>
      <w:r>
        <w:t xml:space="preserve">Formes et Dosages : Suspension buvable 200 mg/5 mL, flacon de 100 mL</w:t>
      </w:r>
    </w:p>
    <w:p>
      <w:pPr>
        <w:pStyle w:val="Compact"/>
        <w:numPr>
          <w:ilvl w:val="1"/>
          <w:numId w:val="1269"/>
        </w:numPr>
      </w:pPr>
      <w:r>
        <w:t xml:space="preserve">Statut : Retiré</w:t>
      </w:r>
    </w:p>
    <w:p>
      <w:pPr>
        <w:pStyle w:val="Compact"/>
        <w:numPr>
          <w:ilvl w:val="0"/>
          <w:numId w:val="1257"/>
        </w:numPr>
      </w:pPr>
      <w:r>
        <w:rPr>
          <w:b/>
          <w:bCs/>
        </w:rPr>
        <w:t xml:space="preserve">EROMYCIN</w:t>
      </w:r>
      <w:r>
        <w:t xml:space="preserve"> </w:t>
      </w:r>
      <w:r>
        <w:t xml:space="preserve">(JULPHAR) (R)</w:t>
      </w:r>
    </w:p>
    <w:p>
      <w:pPr>
        <w:pStyle w:val="Compact"/>
        <w:numPr>
          <w:ilvl w:val="1"/>
          <w:numId w:val="1270"/>
        </w:numPr>
      </w:pPr>
      <w:r>
        <w:t xml:space="preserve">Formes et Dosages : Granulés pour suspension buvable 200 mg/5 mL, flacon de 100 mL</w:t>
      </w:r>
    </w:p>
    <w:p>
      <w:pPr>
        <w:pStyle w:val="Compact"/>
        <w:numPr>
          <w:ilvl w:val="1"/>
          <w:numId w:val="1270"/>
        </w:numPr>
      </w:pPr>
      <w:r>
        <w:t xml:space="preserve">Statut : Retiré</w:t>
      </w:r>
    </w:p>
    <w:p>
      <w:pPr>
        <w:pStyle w:val="Compact"/>
        <w:numPr>
          <w:ilvl w:val="0"/>
          <w:numId w:val="1257"/>
        </w:numPr>
      </w:pPr>
      <w:r>
        <w:rPr>
          <w:b/>
          <w:bCs/>
        </w:rPr>
        <w:t xml:space="preserve">ERYTHROMIL</w:t>
      </w:r>
      <w:r>
        <w:t xml:space="preserve"> </w:t>
      </w:r>
      <w:r>
        <w:t xml:space="preserve">(ARAB PHARMACEUTICAL MANUFACTURING) (R)</w:t>
      </w:r>
    </w:p>
    <w:p>
      <w:pPr>
        <w:pStyle w:val="Compact"/>
        <w:numPr>
          <w:ilvl w:val="1"/>
          <w:numId w:val="1271"/>
        </w:numPr>
      </w:pPr>
      <w:r>
        <w:t xml:space="preserve">Formes et Dosages : Suspension buvable 200 mg/5 mL, flacon de 100 mL ; Comprimé 500 mg, boîte de 15</w:t>
      </w:r>
    </w:p>
    <w:p>
      <w:pPr>
        <w:pStyle w:val="Compact"/>
        <w:numPr>
          <w:ilvl w:val="1"/>
          <w:numId w:val="1271"/>
        </w:numPr>
      </w:pPr>
      <w:r>
        <w:t xml:space="preserve">Statut : Retiré</w:t>
      </w:r>
    </w:p>
    <w:p>
      <w:pPr>
        <w:pStyle w:val="Compact"/>
        <w:numPr>
          <w:ilvl w:val="0"/>
          <w:numId w:val="1257"/>
        </w:numPr>
      </w:pPr>
      <w:r>
        <w:rPr>
          <w:b/>
          <w:bCs/>
        </w:rPr>
        <w:t xml:space="preserve">RUBYMICIN</w:t>
      </w:r>
      <w:r>
        <w:t xml:space="preserve"> </w:t>
      </w:r>
      <w:r>
        <w:t xml:space="preserve">(PHARMACARE LIMITED) (R)</w:t>
      </w:r>
    </w:p>
    <w:p>
      <w:pPr>
        <w:pStyle w:val="Compact"/>
        <w:numPr>
          <w:ilvl w:val="1"/>
          <w:numId w:val="1272"/>
        </w:numPr>
      </w:pPr>
      <w:r>
        <w:t xml:space="preserve">Formes et Dosages : Comprimé 500 mg, boîte de 15</w:t>
      </w:r>
    </w:p>
    <w:p>
      <w:pPr>
        <w:pStyle w:val="Compact"/>
        <w:numPr>
          <w:ilvl w:val="1"/>
          <w:numId w:val="1272"/>
        </w:numPr>
      </w:pPr>
      <w:r>
        <w:t xml:space="preserve">Statut : Retiré</w:t>
      </w:r>
    </w:p>
    <w:p>
      <w:pPr>
        <w:pStyle w:val="Compact"/>
        <w:numPr>
          <w:ilvl w:val="0"/>
          <w:numId w:val="1257"/>
        </w:numPr>
      </w:pPr>
      <w:r>
        <w:rPr>
          <w:b/>
          <w:bCs/>
        </w:rPr>
        <w:t xml:space="preserve">ERYKO-500</w:t>
      </w:r>
      <w:r>
        <w:t xml:space="preserve"> </w:t>
      </w:r>
      <w:r>
        <w:t xml:space="preserve">(KOPRAN) (R)</w:t>
      </w:r>
    </w:p>
    <w:p>
      <w:pPr>
        <w:pStyle w:val="Compact"/>
        <w:numPr>
          <w:ilvl w:val="1"/>
          <w:numId w:val="1273"/>
        </w:numPr>
      </w:pPr>
      <w:r>
        <w:t xml:space="preserve">Formes et Dosages : Comprimé 500 mg, boîte de 20</w:t>
      </w:r>
    </w:p>
    <w:p>
      <w:pPr>
        <w:pStyle w:val="Compact"/>
        <w:numPr>
          <w:ilvl w:val="1"/>
          <w:numId w:val="1273"/>
        </w:numPr>
      </w:pPr>
      <w:r>
        <w:t xml:space="preserve">Statut : Retiré</w:t>
      </w:r>
    </w:p>
    <w:p>
      <w:pPr>
        <w:pStyle w:val="Compact"/>
        <w:numPr>
          <w:ilvl w:val="0"/>
          <w:numId w:val="1257"/>
        </w:numPr>
      </w:pPr>
      <w:r>
        <w:rPr>
          <w:b/>
          <w:bCs/>
        </w:rPr>
        <w:t xml:space="preserve">ERYTHROCINE</w:t>
      </w:r>
      <w:r>
        <w:t xml:space="preserve"> </w:t>
      </w:r>
      <w:r>
        <w:t xml:space="preserve">(ABBOT) (R)</w:t>
      </w:r>
    </w:p>
    <w:p>
      <w:pPr>
        <w:pStyle w:val="Compact"/>
        <w:numPr>
          <w:ilvl w:val="1"/>
          <w:numId w:val="1274"/>
        </w:numPr>
      </w:pPr>
      <w:r>
        <w:t xml:space="preserve">Formes et Dosages : Comprimé pelliculé 500 mg, boîte de 20</w:t>
      </w:r>
    </w:p>
    <w:p>
      <w:pPr>
        <w:pStyle w:val="Compact"/>
        <w:numPr>
          <w:ilvl w:val="1"/>
          <w:numId w:val="1274"/>
        </w:numPr>
      </w:pPr>
      <w:r>
        <w:t xml:space="preserve">Statut : Retiré</w:t>
      </w:r>
    </w:p>
    <w:p>
      <w:pPr>
        <w:pStyle w:val="Compact"/>
        <w:numPr>
          <w:ilvl w:val="0"/>
          <w:numId w:val="1257"/>
        </w:numPr>
      </w:pPr>
      <w:r>
        <w:rPr>
          <w:b/>
          <w:bCs/>
        </w:rPr>
        <w:t xml:space="preserve">LOGECINE</w:t>
      </w:r>
      <w:r>
        <w:t xml:space="preserve"> </w:t>
      </w:r>
      <w:r>
        <w:t xml:space="preserve">(JACQUES LOGEAIS) (R)</w:t>
      </w:r>
    </w:p>
    <w:p>
      <w:pPr>
        <w:pStyle w:val="Compact"/>
        <w:numPr>
          <w:ilvl w:val="1"/>
          <w:numId w:val="1275"/>
        </w:numPr>
      </w:pPr>
      <w:r>
        <w:t xml:space="preserve">Formes et Dosages : Gélules microgranules gastro-résistantes 250 mg, boîte de 20</w:t>
      </w:r>
    </w:p>
    <w:p>
      <w:pPr>
        <w:pStyle w:val="Compact"/>
        <w:numPr>
          <w:ilvl w:val="1"/>
          <w:numId w:val="1275"/>
        </w:numPr>
      </w:pPr>
      <w:r>
        <w:t xml:space="preserve">Statut : Retiré</w:t>
      </w:r>
    </w:p>
    <w:p>
      <w:pPr>
        <w:pStyle w:val="FirstParagraph"/>
      </w:pPr>
      <w:r>
        <w:rPr>
          <w:b/>
          <w:bCs/>
        </w:rPr>
        <w:t xml:space="preserve">Sous-classe et Mécanisme d’action :</w:t>
      </w:r>
      <w:r>
        <w:t xml:space="preserve"> </w:t>
      </w:r>
      <w:r>
        <w:t xml:space="preserve">- Sous-classe : Macrolide de référence à noyau 14 atomes (érythromycine A), chef de file historique. Précurseur des dérivés semi-synthétiques (clarithromycine, roxithromycine, azithromycine).</w:t>
      </w:r>
      <w:r>
        <w:t xml:space="preserve"> </w:t>
      </w:r>
      <w:r>
        <w:t xml:space="preserve">- Mécanisme d’action : Bactériostatique. Liaison réversible à la sous-unité 50S du ribosome bactérien au niveau du</w:t>
      </w:r>
      <w:r>
        <w:t xml:space="preserve"> </w:t>
      </w:r>
      <w:r>
        <w:rPr>
          <w:b/>
          <w:bCs/>
        </w:rPr>
        <w:t xml:space="preserve">domaine V de l’ARN 23S</w:t>
      </w:r>
      <w:r>
        <w:t xml:space="preserve">, site A (acceptor site), inhibant la</w:t>
      </w:r>
      <w:r>
        <w:t xml:space="preserve"> </w:t>
      </w:r>
      <w:r>
        <w:rPr>
          <w:b/>
          <w:bCs/>
        </w:rPr>
        <w:t xml:space="preserve">translocation</w:t>
      </w:r>
      <w:r>
        <w:t xml:space="preserve"> </w:t>
      </w:r>
      <w:r>
        <w:t xml:space="preserve">du peptidyl-ARNt du site A au site P. Blocage de l’élongation peptidique. Pas d’effet sur l’ARNm ni sur la sous-unité 30S. Bactéricide possible à forte dose sur Streptococcus pyogenes et pneumocoque.</w:t>
      </w:r>
    </w:p>
    <w:p>
      <w:pPr>
        <w:pStyle w:val="BodyText"/>
      </w:pPr>
      <w:r>
        <w:rPr>
          <w:b/>
          <w:bCs/>
        </w:rPr>
        <w:t xml:space="preserve">Profil Pharmacologique :</w:t>
      </w:r>
      <w:r>
        <w:t xml:space="preserve"> </w:t>
      </w:r>
      <w:r>
        <w:t xml:space="preserve">- Indications : Angine à streptocoque bêta-hémolytique A (alternative pénicilline chez allergique), pneumopathie atypique (Mycoplasma, Chlamydia, Legionella), coqueluche et prophylaxie des sujets contacts, infections ORL et bronchopulmonaires, infections génitales à Chlamydia trachomatis, infections cutanées bénignes, prophylaxie de l’endocardite infectieuse (en cas d’allergie aux bêta-lactamines), diarrhée à Campylobacter, gastroduodénale à Helicobacter pylori (en association, bien que clarithromycine soit préférée), acné inflammatoire (forme topique).</w:t>
      </w:r>
      <w:r>
        <w:t xml:space="preserve"> </w:t>
      </w:r>
      <w:r>
        <w:t xml:space="preserve">- Contre-indications : Allongement acquis ou congénital de l’intervalle QT, antécédents d’arythmie ventriculaire ou de torsades de pointe, hypokaliémie et hypomagnésémie non corrigées, insuffisance hépatique sévère, association avec médicaments allongeant le QT ou métabolisés par CYP3A4 (astémizole, cisapride, pimozide, terfénadine, dihydroergotamine, ergotamine, colchicine chez insuffisant rénal/hépatique), allaitement (passage dans le lait, risque de pylé sténosant), myasthénie (risque d’aggravation).</w:t>
      </w:r>
      <w:r>
        <w:t xml:space="preserve"> </w:t>
      </w:r>
      <w:r>
        <w:t xml:space="preserve">- Effets Indésirables : Troubles digestifs dose-dépendants (nausées, vomissements, diarrhée, crampes épigastriques) par agonisme des récepteurs motiline — à l’origine de l’effet prokinétique ; éruption cutanée, prurit, urticaire ; allergie rare (anaphylaxie, érythème polymorphe, DRESS, syndrome Stevens-Johnson) ; allongement de l’intervalle QT avec risque de torsades de pointes (effet classe) ; ototoxicité (hypoacousie transitoire, acouphènes, surtout en cas d’insuffisance rénale ou de doses élevées &gt; 4 g/j) ; choléstase hépatique et hépatite cytolytique (surtout avec l’estolate, forme non disponible en Algérie) ; colite à Clostridioides difficile ; agranulocytose, thrombopénie exceptionnelles.</w:t>
      </w:r>
    </w:p>
    <w:p>
      <w:pPr>
        <w:pStyle w:val="BodyText"/>
      </w:pPr>
      <w:r>
        <w:rPr>
          <w:b/>
          <w:bCs/>
        </w:rPr>
        <w:t xml:space="preserve">Prévention et Gestion des Effets Indésirables :</w:t>
      </w:r>
      <w:r>
        <w:t xml:space="preserve"> </w:t>
      </w:r>
      <w:r>
        <w:t xml:space="preserve">- Mesures Préventives : ECG avant traitement prolongé chez sujet à risque (âgé, cardiopathie, hypokaliémie, association QT-long), contrôle kaliémie et magnésémie si traitement diurétique concomitant, prise au cours ou en fin de repas pour réduire l’intolérance gastrique, surveillance ALAT/ASAT/bilirubine si traitement &gt; 7 jours ou terrain hépatique, prise en charge probiotique non systématique mais envisageable en cas d’antécédent de diarrhée post-antibiotique.</w:t>
      </w:r>
      <w:r>
        <w:t xml:space="preserve"> </w:t>
      </w:r>
      <w:r>
        <w:t xml:space="preserve">- Conduite à Tenir : En cas de diarrhée sanglante ou fébrile, arrêt immédiat et consultation (recherche toxine C. difficile). En cas d’altération de l’audition, diminution de la dose ou arrêt selon sévérité. En cas de rash extensif, fièvre, éosinophilie, évoquer DRESS et arrêter. En cas d’ictère cholestatique, arrêt définitif et bilan hépatique. QT &gt; 500 ms ou allongement &gt; 60 ms par rapport à la baseline = arrêt.</w:t>
      </w:r>
    </w:p>
    <w:p>
      <w:pPr>
        <w:pStyle w:val="BodyText"/>
      </w:pPr>
      <w:r>
        <w:rPr>
          <w:b/>
          <w:bCs/>
        </w:rPr>
        <w:t xml:space="preserve">Interactions Importantes :</w:t>
      </w:r>
      <w:r>
        <w:t xml:space="preserve"> </w:t>
      </w:r>
      <w:r>
        <w:t xml:space="preserve">-</w:t>
      </w:r>
      <w:r>
        <w:t xml:space="preserve"> </w:t>
      </w:r>
      <w:r>
        <w:rPr>
          <w:b/>
          <w:bCs/>
        </w:rPr>
        <w:t xml:space="preserve">Statines (simvastatine, atorvastatine, lovastatine)</w:t>
      </w:r>
      <w:r>
        <w:t xml:space="preserve"> </w:t>
      </w:r>
      <w:r>
        <w:t xml:space="preserve">: Inhibition CYP3A4 → augmentation x 5 à 10 des concentrations de statine avec risque majeur de rhabdomyolyse. Recommandation : suspendre la statine pendant le traitement ou utiliser pravastatine/rosuvastatine (non métabolisées par CYP3A4).</w:t>
      </w:r>
      <w:r>
        <w:t xml:space="preserve"> </w:t>
      </w:r>
      <w:r>
        <w:t xml:space="preserve">-</w:t>
      </w:r>
      <w:r>
        <w:t xml:space="preserve"> </w:t>
      </w:r>
      <w:r>
        <w:rPr>
          <w:b/>
          <w:bCs/>
        </w:rPr>
        <w:t xml:space="preserve">Antiarythmiques classe III (amiodarone, sotalol), halofantrine, luméfantrine, fluoroquinolones (moxifloxacine)</w:t>
      </w:r>
      <w:r>
        <w:t xml:space="preserve"> </w:t>
      </w:r>
      <w:r>
        <w:t xml:space="preserve">: Additions d’effets sur le QT, risque majeur de torsades de pointe.</w:t>
      </w:r>
      <w:r>
        <w:t xml:space="preserve"> </w:t>
      </w:r>
      <w:r>
        <w:t xml:space="preserve">-</w:t>
      </w:r>
      <w:r>
        <w:t xml:space="preserve"> </w:t>
      </w:r>
      <w:r>
        <w:rPr>
          <w:b/>
          <w:bCs/>
        </w:rPr>
        <w:t xml:space="preserve">Dérivés de l’ergot de seigle (ergotamine, dihydroergotamine)</w:t>
      </w:r>
      <w:r>
        <w:t xml:space="preserve"> </w:t>
      </w:r>
      <w:r>
        <w:t xml:space="preserve">: Inhibition CYP3A4 → ergotisme grave (vasospasme, ischémie des extrémités). Association CI.</w:t>
      </w:r>
      <w:r>
        <w:t xml:space="preserve"> </w:t>
      </w:r>
      <w:r>
        <w:t xml:space="preserve">-</w:t>
      </w:r>
      <w:r>
        <w:t xml:space="preserve"> </w:t>
      </w:r>
      <w:r>
        <w:rPr>
          <w:b/>
          <w:bCs/>
        </w:rPr>
        <w:t xml:space="preserve">Anticoagulants oraux (warfarine, acénocoumarol)</w:t>
      </w:r>
      <w:r>
        <w:t xml:space="preserve"> </w:t>
      </w:r>
      <w:r>
        <w:t xml:space="preserve">: Inhibition CYP3A4 + modification de la flore intestinale (synthèse vitamine K) → surdosage, hémorragie. Surveillance INR tous les 2–3 jours.</w:t>
      </w:r>
      <w:r>
        <w:t xml:space="preserve"> </w:t>
      </w:r>
      <w:r>
        <w:t xml:space="preserve">-</w:t>
      </w:r>
      <w:r>
        <w:t xml:space="preserve"> </w:t>
      </w:r>
      <w:r>
        <w:rPr>
          <w:b/>
          <w:bCs/>
        </w:rPr>
        <w:t xml:space="preserve">Digoxine</w:t>
      </w:r>
      <w:r>
        <w:t xml:space="preserve"> </w:t>
      </w:r>
      <w:r>
        <w:t xml:space="preserve">: Augmentation des concentrations par modification de la flore métabolisant la digoxine, surveillance clinique et ECG.</w:t>
      </w:r>
      <w:r>
        <w:t xml:space="preserve"> </w:t>
      </w:r>
      <w:r>
        <w:t xml:space="preserve">-</w:t>
      </w:r>
      <w:r>
        <w:t xml:space="preserve"> </w:t>
      </w:r>
      <w:r>
        <w:rPr>
          <w:b/>
          <w:bCs/>
        </w:rPr>
        <w:t xml:space="preserve">Carbamazépine, théophylline, ciclosporine, tacrolimus, midazolam, triazolam</w:t>
      </w:r>
      <w:r>
        <w:t xml:space="preserve"> </w:t>
      </w:r>
      <w:r>
        <w:t xml:space="preserve">: Inhibition CYP3A4 → surdosage. Adapter posologie et surveiller.</w:t>
      </w:r>
      <w:r>
        <w:t xml:space="preserve"> </w:t>
      </w:r>
      <w:r>
        <w:t xml:space="preserve">-</w:t>
      </w:r>
      <w:r>
        <w:t xml:space="preserve"> </w:t>
      </w:r>
      <w:r>
        <w:rPr>
          <w:b/>
          <w:bCs/>
        </w:rPr>
        <w:t xml:space="preserve">Colchicine</w:t>
      </w:r>
      <w:r>
        <w:t xml:space="preserve"> </w:t>
      </w:r>
      <w:r>
        <w:t xml:space="preserve">: Inhibition CYP3A4 et P-gp → toxicité grave voire fatale, surtout chez insuffisant rénal/hépatique. CI chez ces patients.</w:t>
      </w:r>
    </w:p>
    <w:p>
      <w:pPr>
        <w:pStyle w:val="BodyText"/>
      </w:pPr>
      <w:r>
        <w:rPr>
          <w:b/>
          <w:bCs/>
        </w:rPr>
        <w:t xml:space="preserve">Grossesse et Allaitement :</w:t>
      </w:r>
      <w:r>
        <w:t xml:space="preserve"> </w:t>
      </w:r>
      <w:r>
        <w:t xml:space="preserve">- Grossesse : Autorisé si nécessaire, sur tous les trimestres (CRAT : effet malformatif non retrouvé chez l’animal, données humaines rassurantes). Macrolide de référence chez la femme enceinte allergique aux bêta-lactamines. La spiramycine reste préférée en cas de toxoplasmose gravidique.</w:t>
      </w:r>
      <w:r>
        <w:t xml:space="preserve"> </w:t>
      </w:r>
      <w:r>
        <w:t xml:space="preserve">- Allaitement : Déconseillé (passage dans le lait, risque de pylé sténosant chez le nourrisson — signal historique non confirmé mais principe de précaution). Si indispensable, surveillance de l’enfant (digestif, statut pondéral).</w:t>
      </w:r>
      <w:r>
        <w:t xml:space="preserve"> </w:t>
      </w:r>
      <w:r>
        <w:t xml:space="preserve">- Précisions : Préférer érythromycine base ou ethylsuccinate plutôt que estolate (hépatotoxicité) en cas d’association avec une grossesse ; vérifier le sel disponible en pharmacie.</w:t>
      </w:r>
    </w:p>
    <w:p>
      <w:pPr>
        <w:pStyle w:val="BodyText"/>
      </w:pPr>
      <w:r>
        <w:rPr>
          <w:b/>
          <w:bCs/>
        </w:rPr>
        <w:t xml:space="preserve">Posologie et Mode d’administration (Standard) :</w:t>
      </w:r>
      <w:r>
        <w:t xml:space="preserve"> </w:t>
      </w:r>
      <w:r>
        <w:t xml:space="preserve">- Adulte : 1 à 2 g/jour en 2 à 4 prises (comprimés 500 mg : 1 cp × 2 à 4 fois/j). Max 4 g/j (exceptionnel). Pour la coqueluche : 500 mg × 4/j pendant 14 jours. Pour Chlamydia : 500 mg × 4/j pendant 7 jours.</w:t>
      </w:r>
      <w:r>
        <w:t xml:space="preserve"> </w:t>
      </w:r>
      <w:r>
        <w:t xml:space="preserve">- Enfant : 30 à 50 mg/kg/jour en 2 à 4 prises (suspension 200 mg/5 mL). Coqueluche : 50 mg/kg/j × 14 j (max 2 g/j). Max 1 g/j chez nourrisson &lt; 1 an.</w:t>
      </w:r>
      <w:r>
        <w:t xml:space="preserve"> </w:t>
      </w:r>
      <w:r>
        <w:t xml:space="preserve">- Durée : Angine 6 jours ; pneumopathie 7 à 14 j selon germe (21 j pour Legionella) ; coqueluche 14 j ; Chlamydia 7 j ; prophylaxie endocardite : 1 heure avant le geste, dose unique.</w:t>
      </w:r>
      <w:r>
        <w:t xml:space="preserve"> </w:t>
      </w:r>
      <w:r>
        <w:t xml:space="preserve">- Moment de prise : Pendant ou en dehors des repas (la forme base est inactivée par l’acidité gastrique, mais l’ethylsuccinate et les formes entériques sont moins sensibles). En pratique, prise au cours du repas améliore la tolérance digestive.</w:t>
      </w:r>
    </w:p>
    <w:p>
      <w:pPr>
        <w:pStyle w:val="BodyText"/>
      </w:pPr>
      <w:r>
        <w:rPr>
          <w:b/>
          <w:bCs/>
        </w:rPr>
        <w:t xml:space="preserve">Arbitrage et Bénéfices des Formes Galéniques :</w:t>
      </w:r>
      <w:r>
        <w:t xml:space="preserve"> </w:t>
      </w:r>
      <w:r>
        <w:t xml:space="preserve">La suspension buvable (200 mg/5 mL) est la forme pédiatrique de référence, permettant un dosage pondéral précis. Les comprimés pelliculés à 500 mg conviennent à l’adulte et à l’enfant &gt; 40 kg. La forme topique (gel 0,04 %) est indiquée dans l’acné inflammatoire modérée, mais elle a été retirée du marché algérien (ERYACNE) — substituer par clindamycine topique ou peroxyde de benzoyle. La biodisponibilité orale de l’érythromycine base est d’environ 35 % (dégradation acide), améliorée par l’ethylsuccinate prodrogue. Il n’existe pas de forme injectable disponible en Algérie (la forme IV a été associée à des douleurs phlebitiques sévères). En cas d’inefficacité ou d’intolérance, le switch vers clarithromycine (meilleure tolérance, BID) ou azithromycine (monodose ou 3 jours) est recommandé.</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Cet antibiotique se prend à heures régulières, plusieurs fois par jour. Il peut donner des nausées au début, c’est normal et ça passe en quelques jours. Prenez-le pendant les repas pour protéger votre estomac.</w:t>
      </w:r>
      <w:r>
        <w:t xml:space="preserve">”</w:t>
      </w:r>
      <w:r>
        <w:t xml:space="preserve"> </w:t>
      </w:r>
      <w:r>
        <w:t xml:space="preserve">- Mode d’utilisation pratique : Bien agiter la suspension avant chaque prise, utiliser la cuillère doseuse fournie, conserver au réfrigérateur après reconstitution (stabilité 10 à 14 jours), ne pas congeler. Pour les comprimés : avaler entiers avec un grand verre d’eau. En cas d’oubli, prendre la dose dès que possible, mais ne jamais doubler la dose suivante. Compléter la totalité de la prescription même si l’amélioration est rapide. Signaler toute diarrhée sanglante, éruption cutanée, fatigue intense ou jaunisse.</w:t>
      </w:r>
    </w:p>
    <w:p>
      <w:pPr>
        <w:pStyle w:val="BodyText"/>
      </w:pPr>
      <w:r>
        <w:rPr>
          <w:b/>
          <w:bCs/>
        </w:rPr>
        <w:t xml:space="preserve">Notes, Règles d’Or &amp; Pièges au Comptoir :</w:t>
      </w:r>
      <w:r>
        <w:t xml:space="preserve"> </w:t>
      </w:r>
      <w:r>
        <w:t xml:space="preserve">- Piège classique : Patient sous statine (simvastatine) à qui l’on délivre de l’érythromycine sans alerte → rhabdomyolyse possible. Toujours demander les traitements associés, surtout chez les patients âgés polymédiqués.</w:t>
      </w:r>
      <w:r>
        <w:t xml:space="preserve"> </w:t>
      </w:r>
      <w:r>
        <w:t xml:space="preserve">- Règle de prise : Respecter les intervalles (toutes les 6 ou 8 heures), ne pas associer lait/antiacides dans l’heure qui suit (modification de l’absorption).</w:t>
      </w:r>
      <w:r>
        <w:t xml:space="preserve"> </w:t>
      </w:r>
      <w:r>
        <w:t xml:space="preserve">- Préparation et Conservation : Reconstitution de la suspension avec eau bouillie refroidie jusqu’au trait de graduation, agitation vigoureuse, conservation au réfrigérateur 14 jours maximum, jeter au-delà. Ne pas congeler.</w:t>
      </w:r>
      <w:r>
        <w:t xml:space="preserve"> </w:t>
      </w:r>
      <w:r>
        <w:t xml:space="preserve">- Piège du surdosage / Substitution : L’ototoxicité est dose-dépendante ; ne pas dépasser 4 g/j. Attention à la substitution érythromycine base ↔ ethylsuccinate : les équivalences en mg ne sont pas directes (500 mg base ≈ 800 mg ethylsuccinate).</w:t>
      </w:r>
    </w:p>
    <w:p>
      <w:r>
        <w:pict>
          <v:rect style="width:0;height:1.5pt" o:hralign="center" o:hrstd="t" o:hr="t"/>
        </w:pict>
      </w:r>
    </w:p>
    <w:bookmarkEnd w:id="102"/>
    <w:bookmarkStart w:id="103" w:name="dci-azithromycine-seule"/>
    <w:p>
      <w:pPr>
        <w:pStyle w:val="Heading3"/>
      </w:pPr>
      <w:r>
        <w:t xml:space="preserve">4.1.2 DCI : Azithromycine (Seule)</w:t>
      </w:r>
    </w:p>
    <w:p>
      <w:pPr>
        <w:pStyle w:val="FirstParagraph"/>
      </w:pPr>
      <w:r>
        <w:rPr>
          <w:b/>
          <w:bCs/>
        </w:rPr>
        <w:t xml:space="preserve">Liste des Catégories :</w:t>
      </w:r>
      <w:r>
        <w:t xml:space="preserve"> </w:t>
      </w:r>
      <w:r>
        <w:t xml:space="preserve">Macrolide — Azalide (15 atomes) — Listé Liste I — Formes orales (comprimés, gélules, suspensions), collyre unidose.</w:t>
      </w:r>
    </w:p>
    <w:p>
      <w:pPr>
        <w:pStyle w:val="BodyText"/>
      </w:pPr>
      <w:r>
        <w:t xml:space="preserve">L’azithromycine est le macrolide le plus prescrit au monde. Sa structure d’azalide (atome d’azote inséré dans le lactone à 14 atomes, devenant un anneau à 15 atomes) lui confère une</w:t>
      </w:r>
      <w:r>
        <w:t xml:space="preserve"> </w:t>
      </w:r>
      <w:r>
        <w:rPr>
          <w:b/>
          <w:bCs/>
        </w:rPr>
        <w:t xml:space="preserve">demi-vie d’élimination prolongée (68 h)</w:t>
      </w:r>
      <w:r>
        <w:t xml:space="preserve">, une pénétration intracellulaire exceptionnelle (concentrations phagocytaires × 100 par rapport au plasma), un métabolisme non dépendant du CYP3A4 (peu d’interactions), et une tolérance digestive supérieure à l’érythromycine. Ces propriétés autorisent des schémas courts (monodose pour chlamydia, 3 jours pour pneumopathie). Elle est largement disponible en Algérie avec de très nombreuses marques génériques (16 au total, dont 12 actives).</w:t>
      </w:r>
    </w:p>
    <w:p>
      <w:pPr>
        <w:pStyle w:val="BodyText"/>
      </w:pPr>
      <w:r>
        <w:rPr>
          <w:b/>
          <w:bCs/>
        </w:rPr>
        <w:t xml:space="preserve">Médicaments disponibles en Algérie (Marques, Laboratoires, Formes et Dosages) :</w:t>
      </w:r>
    </w:p>
    <w:p>
      <w:pPr>
        <w:pStyle w:val="Compact"/>
        <w:numPr>
          <w:ilvl w:val="0"/>
          <w:numId w:val="1276"/>
        </w:numPr>
      </w:pPr>
      <w:r>
        <w:rPr>
          <w:b/>
          <w:bCs/>
        </w:rPr>
        <w:t xml:space="preserve">AZIMYCINE</w:t>
      </w:r>
      <w:r>
        <w:t xml:space="preserve"> </w:t>
      </w:r>
      <w:r>
        <w:t xml:space="preserve">(GROUPE SAIDAL)</w:t>
      </w:r>
    </w:p>
    <w:p>
      <w:pPr>
        <w:pStyle w:val="Compact"/>
        <w:numPr>
          <w:ilvl w:val="1"/>
          <w:numId w:val="1277"/>
        </w:numPr>
      </w:pPr>
      <w:r>
        <w:t xml:space="preserve">Formes et Dosages : Gélule 250 mg, boîte de 6 ; Poudre pour suspension buvable 40 mg/mL (200 mg/5 mL), flacon de 15 mL (Non Renouvelable)</w:t>
      </w:r>
    </w:p>
    <w:p>
      <w:pPr>
        <w:pStyle w:val="Compact"/>
        <w:numPr>
          <w:ilvl w:val="1"/>
          <w:numId w:val="1277"/>
        </w:numPr>
      </w:pPr>
      <w:r>
        <w:t xml:space="preserve">Statut : Actif / Non Renouvelable</w:t>
      </w:r>
    </w:p>
    <w:p>
      <w:pPr>
        <w:pStyle w:val="Compact"/>
        <w:numPr>
          <w:ilvl w:val="0"/>
          <w:numId w:val="1276"/>
        </w:numPr>
      </w:pPr>
      <w:r>
        <w:rPr>
          <w:b/>
          <w:bCs/>
        </w:rPr>
        <w:t xml:space="preserve">BINOZYT</w:t>
      </w:r>
      <w:r>
        <w:t xml:space="preserve"> </w:t>
      </w:r>
      <w:r>
        <w:t xml:space="preserve">(SPA JAMJOOM ALGERIA LIL DAWA)</w:t>
      </w:r>
    </w:p>
    <w:p>
      <w:pPr>
        <w:pStyle w:val="Compact"/>
        <w:numPr>
          <w:ilvl w:val="1"/>
          <w:numId w:val="1278"/>
        </w:numPr>
      </w:pPr>
      <w:r>
        <w:t xml:space="preserve">Formes et Dosages : Gélule 250 mg, boîte de 6 ; Comprimé pelliculé 500 mg, boîte de 3 ; Poudre pour suspension buvable 200 mg/5 mL, flacon de 15 mL (Retiré)</w:t>
      </w:r>
    </w:p>
    <w:p>
      <w:pPr>
        <w:pStyle w:val="Compact"/>
        <w:numPr>
          <w:ilvl w:val="1"/>
          <w:numId w:val="1278"/>
        </w:numPr>
      </w:pPr>
      <w:r>
        <w:t xml:space="preserve">Statut : Actif / Retiré</w:t>
      </w:r>
    </w:p>
    <w:p>
      <w:pPr>
        <w:pStyle w:val="Compact"/>
        <w:numPr>
          <w:ilvl w:val="0"/>
          <w:numId w:val="1276"/>
        </w:numPr>
      </w:pPr>
      <w:r>
        <w:rPr>
          <w:b/>
          <w:bCs/>
        </w:rPr>
        <w:t xml:space="preserve">MYCINAD</w:t>
      </w:r>
      <w:r>
        <w:t xml:space="preserve"> </w:t>
      </w:r>
      <w:r>
        <w:t xml:space="preserve">(NADPHARMADIC-PRODUCTION)</w:t>
      </w:r>
    </w:p>
    <w:p>
      <w:pPr>
        <w:pStyle w:val="Compact"/>
        <w:numPr>
          <w:ilvl w:val="1"/>
          <w:numId w:val="1279"/>
        </w:numPr>
      </w:pPr>
      <w:r>
        <w:t xml:space="preserve">Formes et Dosages : Comprimé pelliculé 250 mg, boîte de 6 ; Comprimé pelliculé sécable 500 mg, boîte de 3</w:t>
      </w:r>
    </w:p>
    <w:p>
      <w:pPr>
        <w:pStyle w:val="Compact"/>
        <w:numPr>
          <w:ilvl w:val="1"/>
          <w:numId w:val="1279"/>
        </w:numPr>
      </w:pPr>
      <w:r>
        <w:t xml:space="preserve">Statut : Actif</w:t>
      </w:r>
    </w:p>
    <w:p>
      <w:pPr>
        <w:pStyle w:val="Compact"/>
        <w:numPr>
          <w:ilvl w:val="0"/>
          <w:numId w:val="1276"/>
        </w:numPr>
      </w:pPr>
      <w:r>
        <w:rPr>
          <w:b/>
          <w:bCs/>
        </w:rPr>
        <w:t xml:space="preserve">ZETRON</w:t>
      </w:r>
      <w:r>
        <w:t xml:space="preserve"> </w:t>
      </w:r>
      <w:r>
        <w:t xml:space="preserve">(EL KENDI INDUSTRIE DU MEDICAMENT)</w:t>
      </w:r>
    </w:p>
    <w:p>
      <w:pPr>
        <w:pStyle w:val="Compact"/>
        <w:numPr>
          <w:ilvl w:val="1"/>
          <w:numId w:val="1280"/>
        </w:numPr>
      </w:pPr>
      <w:r>
        <w:t xml:space="preserve">Formes et Dosages : Gélule 250 mg, boîte de 6 ; Comprimé pelliculé 500 mg, boîte de 3 ; Suspension orale 40 mg/mL (Retiré)</w:t>
      </w:r>
    </w:p>
    <w:p>
      <w:pPr>
        <w:pStyle w:val="Compact"/>
        <w:numPr>
          <w:ilvl w:val="1"/>
          <w:numId w:val="1280"/>
        </w:numPr>
      </w:pPr>
      <w:r>
        <w:t xml:space="preserve">Statut : Actif / Retiré</w:t>
      </w:r>
    </w:p>
    <w:p>
      <w:pPr>
        <w:pStyle w:val="Compact"/>
        <w:numPr>
          <w:ilvl w:val="0"/>
          <w:numId w:val="1276"/>
        </w:numPr>
      </w:pPr>
      <w:r>
        <w:rPr>
          <w:b/>
          <w:bCs/>
        </w:rPr>
        <w:t xml:space="preserve">ZITROMICINE</w:t>
      </w:r>
      <w:r>
        <w:t xml:space="preserve"> </w:t>
      </w:r>
      <w:r>
        <w:t xml:space="preserve">(TABET PHARM)</w:t>
      </w:r>
    </w:p>
    <w:p>
      <w:pPr>
        <w:pStyle w:val="Compact"/>
        <w:numPr>
          <w:ilvl w:val="1"/>
          <w:numId w:val="1281"/>
        </w:numPr>
      </w:pPr>
      <w:r>
        <w:t xml:space="preserve">Formes et Dosages : Comprimé pelliculé 250 mg, boîte de 6 ; Comprimé pelliculé 500 mg, boîte de 3</w:t>
      </w:r>
    </w:p>
    <w:p>
      <w:pPr>
        <w:pStyle w:val="Compact"/>
        <w:numPr>
          <w:ilvl w:val="1"/>
          <w:numId w:val="1281"/>
        </w:numPr>
      </w:pPr>
      <w:r>
        <w:t xml:space="preserve">Statut : Actif</w:t>
      </w:r>
    </w:p>
    <w:p>
      <w:pPr>
        <w:pStyle w:val="Compact"/>
        <w:numPr>
          <w:ilvl w:val="0"/>
          <w:numId w:val="1276"/>
        </w:numPr>
      </w:pPr>
      <w:r>
        <w:rPr>
          <w:b/>
          <w:bCs/>
        </w:rPr>
        <w:t xml:space="preserve">ZOTRIX</w:t>
      </w:r>
      <w:r>
        <w:t xml:space="preserve"> </w:t>
      </w:r>
      <w:r>
        <w:t xml:space="preserve">(PHARMALLIANCE)</w:t>
      </w:r>
    </w:p>
    <w:p>
      <w:pPr>
        <w:pStyle w:val="Compact"/>
        <w:numPr>
          <w:ilvl w:val="1"/>
          <w:numId w:val="1282"/>
        </w:numPr>
      </w:pPr>
      <w:r>
        <w:t xml:space="preserve">Formes et Dosages : Comprimé pelliculé 250 mg, boîte de 6 ; Comprimé pelliculé sécable 500 mg, boîte de 3 ; Poudre pour solution buvable 200 mg/5 mL, flacons de 15 mL / 30 mL / 37,5 mL avec pipette</w:t>
      </w:r>
    </w:p>
    <w:p>
      <w:pPr>
        <w:pStyle w:val="Compact"/>
        <w:numPr>
          <w:ilvl w:val="1"/>
          <w:numId w:val="1282"/>
        </w:numPr>
      </w:pPr>
      <w:r>
        <w:t xml:space="preserve">Statut : Actif</w:t>
      </w:r>
    </w:p>
    <w:p>
      <w:pPr>
        <w:pStyle w:val="Compact"/>
        <w:numPr>
          <w:ilvl w:val="0"/>
          <w:numId w:val="1276"/>
        </w:numPr>
      </w:pPr>
      <w:r>
        <w:rPr>
          <w:b/>
          <w:bCs/>
        </w:rPr>
        <w:t xml:space="preserve">ZOMAX</w:t>
      </w:r>
      <w:r>
        <w:t xml:space="preserve"> </w:t>
      </w:r>
      <w:r>
        <w:t xml:space="preserve">(HIKMA PHARMA ALGERIA)</w:t>
      </w:r>
    </w:p>
    <w:p>
      <w:pPr>
        <w:pStyle w:val="Compact"/>
        <w:numPr>
          <w:ilvl w:val="1"/>
          <w:numId w:val="1283"/>
        </w:numPr>
      </w:pPr>
      <w:r>
        <w:t xml:space="preserve">Formes et Dosages : Poudre pour solution buvable 200 mg/5 mL, flacons de 15 mL et 22,5 mL (300 mg/7,5 mL) avec cuillère ; Comprimé 500 mg, boîte de 3 (Non Renouvelable) ; Gélule 250 mg (Retiré)</w:t>
      </w:r>
    </w:p>
    <w:p>
      <w:pPr>
        <w:pStyle w:val="Compact"/>
        <w:numPr>
          <w:ilvl w:val="1"/>
          <w:numId w:val="1283"/>
        </w:numPr>
      </w:pPr>
      <w:r>
        <w:t xml:space="preserve">Statut : Actif / Non Renouvelable / Retiré</w:t>
      </w:r>
    </w:p>
    <w:p>
      <w:pPr>
        <w:pStyle w:val="Compact"/>
        <w:numPr>
          <w:ilvl w:val="0"/>
          <w:numId w:val="1276"/>
        </w:numPr>
      </w:pPr>
      <w:r>
        <w:rPr>
          <w:b/>
          <w:bCs/>
        </w:rPr>
        <w:t xml:space="preserve">AZIMAC</w:t>
      </w:r>
      <w:r>
        <w:t xml:space="preserve"> </w:t>
      </w:r>
      <w:r>
        <w:t xml:space="preserve">(DAR AL DAWA)</w:t>
      </w:r>
    </w:p>
    <w:p>
      <w:pPr>
        <w:pStyle w:val="Compact"/>
        <w:numPr>
          <w:ilvl w:val="1"/>
          <w:numId w:val="1284"/>
        </w:numPr>
      </w:pPr>
      <w:r>
        <w:t xml:space="preserve">Formes et Dosages : Comprimé pelliculé sécable 500 mg, boîte de 3</w:t>
      </w:r>
    </w:p>
    <w:p>
      <w:pPr>
        <w:pStyle w:val="Compact"/>
        <w:numPr>
          <w:ilvl w:val="1"/>
          <w:numId w:val="1284"/>
        </w:numPr>
      </w:pPr>
      <w:r>
        <w:t xml:space="preserve">Statut : Actif</w:t>
      </w:r>
    </w:p>
    <w:p>
      <w:pPr>
        <w:pStyle w:val="Compact"/>
        <w:numPr>
          <w:ilvl w:val="0"/>
          <w:numId w:val="1276"/>
        </w:numPr>
      </w:pPr>
      <w:r>
        <w:rPr>
          <w:b/>
          <w:bCs/>
        </w:rPr>
        <w:t xml:space="preserve">AZITHRAL</w:t>
      </w:r>
      <w:r>
        <w:t xml:space="preserve"> </w:t>
      </w:r>
      <w:r>
        <w:t xml:space="preserve">(SOPHAL)</w:t>
      </w:r>
    </w:p>
    <w:p>
      <w:pPr>
        <w:pStyle w:val="Compact"/>
        <w:numPr>
          <w:ilvl w:val="1"/>
          <w:numId w:val="1285"/>
        </w:numPr>
      </w:pPr>
      <w:r>
        <w:t xml:space="preserve">Formes et Dosages : Comprimé pelliculé sécable 500 mg, boîte de 3</w:t>
      </w:r>
    </w:p>
    <w:p>
      <w:pPr>
        <w:pStyle w:val="Compact"/>
        <w:numPr>
          <w:ilvl w:val="1"/>
          <w:numId w:val="1285"/>
        </w:numPr>
      </w:pPr>
      <w:r>
        <w:t xml:space="preserve">Statut : Actif</w:t>
      </w:r>
    </w:p>
    <w:p>
      <w:pPr>
        <w:pStyle w:val="Compact"/>
        <w:numPr>
          <w:ilvl w:val="0"/>
          <w:numId w:val="1276"/>
        </w:numPr>
      </w:pPr>
      <w:r>
        <w:rPr>
          <w:b/>
          <w:bCs/>
        </w:rPr>
        <w:t xml:space="preserve">AZITHROM HUP</w:t>
      </w:r>
      <w:r>
        <w:t xml:space="preserve"> </w:t>
      </w:r>
      <w:r>
        <w:t xml:space="preserve">(HUPP PHARMA)</w:t>
      </w:r>
    </w:p>
    <w:p>
      <w:pPr>
        <w:pStyle w:val="Compact"/>
        <w:numPr>
          <w:ilvl w:val="1"/>
          <w:numId w:val="1286"/>
        </w:numPr>
      </w:pPr>
      <w:r>
        <w:t xml:space="preserve">Formes et Dosages : Comprimé pelliculé sécable 500 mg, boîte de 3</w:t>
      </w:r>
    </w:p>
    <w:p>
      <w:pPr>
        <w:pStyle w:val="Compact"/>
        <w:numPr>
          <w:ilvl w:val="1"/>
          <w:numId w:val="1286"/>
        </w:numPr>
      </w:pPr>
      <w:r>
        <w:t xml:space="preserve">Statut : Actif</w:t>
      </w:r>
    </w:p>
    <w:p>
      <w:pPr>
        <w:pStyle w:val="Compact"/>
        <w:numPr>
          <w:ilvl w:val="0"/>
          <w:numId w:val="1276"/>
        </w:numPr>
      </w:pPr>
      <w:r>
        <w:rPr>
          <w:b/>
          <w:bCs/>
        </w:rPr>
        <w:t xml:space="preserve">AZITHROMYCINE BEKER</w:t>
      </w:r>
      <w:r>
        <w:t xml:space="preserve"> </w:t>
      </w:r>
      <w:r>
        <w:t xml:space="preserve">(LABORATOIRES BEKER)</w:t>
      </w:r>
    </w:p>
    <w:p>
      <w:pPr>
        <w:pStyle w:val="Compact"/>
        <w:numPr>
          <w:ilvl w:val="1"/>
          <w:numId w:val="1287"/>
        </w:numPr>
      </w:pPr>
      <w:r>
        <w:t xml:space="preserve">Formes et Dosages : Comprimé pelliculé sécable 500 mg, boîte de 3</w:t>
      </w:r>
    </w:p>
    <w:p>
      <w:pPr>
        <w:pStyle w:val="Compact"/>
        <w:numPr>
          <w:ilvl w:val="1"/>
          <w:numId w:val="1287"/>
        </w:numPr>
      </w:pPr>
      <w:r>
        <w:t xml:space="preserve">Statut : Actif</w:t>
      </w:r>
    </w:p>
    <w:p>
      <w:pPr>
        <w:pStyle w:val="Compact"/>
        <w:numPr>
          <w:ilvl w:val="0"/>
          <w:numId w:val="1276"/>
        </w:numPr>
      </w:pPr>
      <w:r>
        <w:rPr>
          <w:b/>
          <w:bCs/>
        </w:rPr>
        <w:t xml:space="preserve">AZITHROMYCINE NS</w:t>
      </w:r>
      <w:r>
        <w:t xml:space="preserve"> </w:t>
      </w:r>
      <w:r>
        <w:t xml:space="preserve">(PHARMIDAL NS)</w:t>
      </w:r>
    </w:p>
    <w:p>
      <w:pPr>
        <w:pStyle w:val="Compact"/>
        <w:numPr>
          <w:ilvl w:val="1"/>
          <w:numId w:val="1288"/>
        </w:numPr>
      </w:pPr>
      <w:r>
        <w:t xml:space="preserve">Formes et Dosages : Comprimé pelliculé sécable 500 mg, boîte de 3</w:t>
      </w:r>
    </w:p>
    <w:p>
      <w:pPr>
        <w:pStyle w:val="Compact"/>
        <w:numPr>
          <w:ilvl w:val="1"/>
          <w:numId w:val="1288"/>
        </w:numPr>
      </w:pPr>
      <w:r>
        <w:t xml:space="preserve">Statut : Actif</w:t>
      </w:r>
    </w:p>
    <w:p>
      <w:pPr>
        <w:pStyle w:val="Compact"/>
        <w:numPr>
          <w:ilvl w:val="0"/>
          <w:numId w:val="1276"/>
        </w:numPr>
      </w:pPr>
      <w:r>
        <w:rPr>
          <w:b/>
          <w:bCs/>
        </w:rPr>
        <w:t xml:space="preserve">ZITHROMAX</w:t>
      </w:r>
      <w:r>
        <w:t xml:space="preserve"> </w:t>
      </w:r>
      <w:r>
        <w:t xml:space="preserve">(UPJOHN SAIDAL PHARMA)</w:t>
      </w:r>
    </w:p>
    <w:p>
      <w:pPr>
        <w:pStyle w:val="Compact"/>
        <w:numPr>
          <w:ilvl w:val="1"/>
          <w:numId w:val="1289"/>
        </w:numPr>
      </w:pPr>
      <w:r>
        <w:t xml:space="preserve">Formes et Dosages : Comprimé pelliculé sécable 500 mg, boîte de 3</w:t>
      </w:r>
    </w:p>
    <w:p>
      <w:pPr>
        <w:pStyle w:val="Compact"/>
        <w:numPr>
          <w:ilvl w:val="1"/>
          <w:numId w:val="1289"/>
        </w:numPr>
      </w:pPr>
      <w:r>
        <w:t xml:space="preserve">Statut : Actif</w:t>
      </w:r>
    </w:p>
    <w:p>
      <w:pPr>
        <w:pStyle w:val="Compact"/>
        <w:numPr>
          <w:ilvl w:val="0"/>
          <w:numId w:val="1276"/>
        </w:numPr>
      </w:pPr>
      <w:r>
        <w:rPr>
          <w:b/>
          <w:bCs/>
        </w:rPr>
        <w:t xml:space="preserve">ZITHROMYCINE BGL</w:t>
      </w:r>
      <w:r>
        <w:t xml:space="preserve"> </w:t>
      </w:r>
      <w:r>
        <w:t xml:space="preserve">(BIOGALENIC)</w:t>
      </w:r>
    </w:p>
    <w:p>
      <w:pPr>
        <w:pStyle w:val="Compact"/>
        <w:numPr>
          <w:ilvl w:val="1"/>
          <w:numId w:val="1290"/>
        </w:numPr>
      </w:pPr>
      <w:r>
        <w:t xml:space="preserve">Formes et Dosages : Comprimé pelliculé sécable 500 mg, boîte de 3</w:t>
      </w:r>
    </w:p>
    <w:p>
      <w:pPr>
        <w:pStyle w:val="Compact"/>
        <w:numPr>
          <w:ilvl w:val="1"/>
          <w:numId w:val="1290"/>
        </w:numPr>
      </w:pPr>
      <w:r>
        <w:t xml:space="preserve">Statut : Actif</w:t>
      </w:r>
    </w:p>
    <w:p>
      <w:pPr>
        <w:pStyle w:val="Compact"/>
        <w:numPr>
          <w:ilvl w:val="0"/>
          <w:numId w:val="1276"/>
        </w:numPr>
      </w:pPr>
      <w:r>
        <w:rPr>
          <w:b/>
          <w:bCs/>
        </w:rPr>
        <w:t xml:space="preserve">AZYTER</w:t>
      </w:r>
      <w:r>
        <w:t xml:space="preserve"> </w:t>
      </w:r>
      <w:r>
        <w:t xml:space="preserve">(THEA)</w:t>
      </w:r>
    </w:p>
    <w:p>
      <w:pPr>
        <w:pStyle w:val="Compact"/>
        <w:numPr>
          <w:ilvl w:val="1"/>
          <w:numId w:val="1291"/>
        </w:numPr>
      </w:pPr>
      <w:r>
        <w:t xml:space="preserve">Formes et Dosages : Collyre en solution en récipient unidose 15 mg/g, boîte de 6 unidoses</w:t>
      </w:r>
    </w:p>
    <w:p>
      <w:pPr>
        <w:pStyle w:val="Compact"/>
        <w:numPr>
          <w:ilvl w:val="1"/>
          <w:numId w:val="1291"/>
        </w:numPr>
      </w:pPr>
      <w:r>
        <w:t xml:space="preserve">Statut : Actif</w:t>
      </w:r>
    </w:p>
    <w:p>
      <w:pPr>
        <w:pStyle w:val="Compact"/>
        <w:numPr>
          <w:ilvl w:val="0"/>
          <w:numId w:val="1276"/>
        </w:numPr>
      </w:pPr>
      <w:r>
        <w:rPr>
          <w:b/>
          <w:bCs/>
        </w:rPr>
        <w:t xml:space="preserve">ZITHRON</w:t>
      </w:r>
      <w:r>
        <w:t xml:space="preserve"> </w:t>
      </w:r>
      <w:r>
        <w:t xml:space="preserve">(FRATER) (Non Renouvelable / Retiré)</w:t>
      </w:r>
    </w:p>
    <w:p>
      <w:pPr>
        <w:pStyle w:val="Compact"/>
        <w:numPr>
          <w:ilvl w:val="1"/>
          <w:numId w:val="1292"/>
        </w:numPr>
      </w:pPr>
      <w:r>
        <w:t xml:space="preserve">Formes et Dosages : Comprimé pelliculé 600 mg, boîte de 8 (Non Renouvelable) ; Comprimé pelliculé 250 mg (Retiré)</w:t>
      </w:r>
    </w:p>
    <w:p>
      <w:pPr>
        <w:pStyle w:val="Compact"/>
        <w:numPr>
          <w:ilvl w:val="0"/>
          <w:numId w:val="1276"/>
        </w:numPr>
      </w:pPr>
      <w:r>
        <w:rPr>
          <w:b/>
          <w:bCs/>
        </w:rPr>
        <w:t xml:space="preserve">AZED</w:t>
      </w:r>
      <w:r>
        <w:t xml:space="preserve"> </w:t>
      </w:r>
      <w:r>
        <w:t xml:space="preserve">(BIOVITAL) (R)</w:t>
      </w:r>
    </w:p>
    <w:p>
      <w:pPr>
        <w:pStyle w:val="Compact"/>
        <w:numPr>
          <w:ilvl w:val="1"/>
          <w:numId w:val="1293"/>
        </w:numPr>
      </w:pPr>
      <w:r>
        <w:t xml:space="preserve">Formes et Dosages : Comprimé 250 mg, boîte de 6</w:t>
      </w:r>
    </w:p>
    <w:p>
      <w:pPr>
        <w:pStyle w:val="Compact"/>
        <w:numPr>
          <w:ilvl w:val="1"/>
          <w:numId w:val="1293"/>
        </w:numPr>
      </w:pPr>
      <w:r>
        <w:t xml:space="preserve">Statut : Retiré</w:t>
      </w:r>
    </w:p>
    <w:p>
      <w:pPr>
        <w:pStyle w:val="Compact"/>
        <w:numPr>
          <w:ilvl w:val="0"/>
          <w:numId w:val="1276"/>
        </w:numPr>
      </w:pPr>
      <w:r>
        <w:rPr>
          <w:b/>
          <w:bCs/>
        </w:rPr>
        <w:t xml:space="preserve">ZITROCIN</w:t>
      </w:r>
      <w:r>
        <w:t xml:space="preserve"> </w:t>
      </w:r>
      <w:r>
        <w:t xml:space="preserve">(AL QUDS PHARMACEUTICALS) (R)</w:t>
      </w:r>
    </w:p>
    <w:p>
      <w:pPr>
        <w:pStyle w:val="Compact"/>
        <w:numPr>
          <w:ilvl w:val="1"/>
          <w:numId w:val="1294"/>
        </w:numPr>
      </w:pPr>
      <w:r>
        <w:t xml:space="preserve">Formes et Dosages : Gélule 250 mg, boîte de 6</w:t>
      </w:r>
    </w:p>
    <w:p>
      <w:pPr>
        <w:pStyle w:val="Compact"/>
        <w:numPr>
          <w:ilvl w:val="1"/>
          <w:numId w:val="1294"/>
        </w:numPr>
      </w:pPr>
      <w:r>
        <w:t xml:space="preserve">Statut : Retiré</w:t>
      </w:r>
    </w:p>
    <w:p>
      <w:pPr>
        <w:pStyle w:val="Compact"/>
        <w:numPr>
          <w:ilvl w:val="0"/>
          <w:numId w:val="1276"/>
        </w:numPr>
      </w:pPr>
      <w:r>
        <w:rPr>
          <w:b/>
          <w:bCs/>
        </w:rPr>
        <w:t xml:space="preserve">ZITHROMAX</w:t>
      </w:r>
      <w:r>
        <w:t xml:space="preserve"> </w:t>
      </w:r>
      <w:r>
        <w:t xml:space="preserve">(PFIZER) (R)</w:t>
      </w:r>
    </w:p>
    <w:p>
      <w:pPr>
        <w:pStyle w:val="Compact"/>
        <w:numPr>
          <w:ilvl w:val="1"/>
          <w:numId w:val="1295"/>
        </w:numPr>
      </w:pPr>
      <w:r>
        <w:t xml:space="preserve">Formes et Dosages : Gélule 250 mg, boîte de 6 ; Poudre pour suspension buvable 40 mg/mL, flacon de 15 mL</w:t>
      </w:r>
    </w:p>
    <w:p>
      <w:pPr>
        <w:pStyle w:val="Compact"/>
        <w:numPr>
          <w:ilvl w:val="1"/>
          <w:numId w:val="1295"/>
        </w:numPr>
      </w:pPr>
      <w:r>
        <w:t xml:space="preserve">Statut : Retiré</w:t>
      </w:r>
    </w:p>
    <w:p>
      <w:pPr>
        <w:pStyle w:val="Compact"/>
        <w:numPr>
          <w:ilvl w:val="0"/>
          <w:numId w:val="1276"/>
        </w:numPr>
      </w:pPr>
      <w:r>
        <w:rPr>
          <w:b/>
          <w:bCs/>
        </w:rPr>
        <w:t xml:space="preserve">AZITHROMYCINE IBERAL</w:t>
      </w:r>
      <w:r>
        <w:t xml:space="preserve"> </w:t>
      </w:r>
      <w:r>
        <w:t xml:space="preserve">(IBERAL SPA) (R)</w:t>
      </w:r>
    </w:p>
    <w:p>
      <w:pPr>
        <w:pStyle w:val="Compact"/>
        <w:numPr>
          <w:ilvl w:val="1"/>
          <w:numId w:val="1296"/>
        </w:numPr>
      </w:pPr>
      <w:r>
        <w:t xml:space="preserve">Formes et Dosages : Comprimé pelliculé 500 mg, boîte de 3</w:t>
      </w:r>
    </w:p>
    <w:p>
      <w:pPr>
        <w:pStyle w:val="Compact"/>
        <w:numPr>
          <w:ilvl w:val="1"/>
          <w:numId w:val="1296"/>
        </w:numPr>
      </w:pPr>
      <w:r>
        <w:t xml:space="preserve">Statut : Retiré</w:t>
      </w:r>
    </w:p>
    <w:p>
      <w:pPr>
        <w:pStyle w:val="Compact"/>
        <w:numPr>
          <w:ilvl w:val="0"/>
          <w:numId w:val="1276"/>
        </w:numPr>
      </w:pPr>
      <w:r>
        <w:rPr>
          <w:b/>
          <w:bCs/>
        </w:rPr>
        <w:t xml:space="preserve">AZROLID</w:t>
      </w:r>
      <w:r>
        <w:t xml:space="preserve"> </w:t>
      </w:r>
      <w:r>
        <w:t xml:space="preserve">(AMRIYA) (R)</w:t>
      </w:r>
    </w:p>
    <w:p>
      <w:pPr>
        <w:pStyle w:val="Compact"/>
        <w:numPr>
          <w:ilvl w:val="1"/>
          <w:numId w:val="1297"/>
        </w:numPr>
      </w:pPr>
      <w:r>
        <w:t xml:space="preserve">Formes et Dosages : Comprimé pelliculé 500 mg, boîte de 3</w:t>
      </w:r>
    </w:p>
    <w:p>
      <w:pPr>
        <w:pStyle w:val="Compact"/>
        <w:numPr>
          <w:ilvl w:val="1"/>
          <w:numId w:val="1297"/>
        </w:numPr>
      </w:pPr>
      <w:r>
        <w:t xml:space="preserve">Statut : Retiré</w:t>
      </w:r>
    </w:p>
    <w:p>
      <w:pPr>
        <w:pStyle w:val="FirstParagraph"/>
      </w:pPr>
      <w:r>
        <w:rPr>
          <w:b/>
          <w:bCs/>
        </w:rPr>
        <w:t xml:space="preserve">Sous-classe et Mécanisme d’action :</w:t>
      </w:r>
      <w:r>
        <w:t xml:space="preserve"> </w:t>
      </w:r>
      <w:r>
        <w:t xml:space="preserve">- Sous-classe : Azalide (anneau macrocyclique à 15 atomes), obtenu par insertion d’un atome d’azote dans le lactone de l’érythromycine. Cette modification structurale diminue l’affinité pour le CYP3A4 et améliore la pharmacocinétique.</w:t>
      </w:r>
      <w:r>
        <w:t xml:space="preserve"> </w:t>
      </w:r>
      <w:r>
        <w:t xml:space="preserve">- Mécanisme d’action : Bactériostatique (bactéricide à forte concentration sur S. pyogenes et H. influenzae). Liaison à la sous-unité 50S du ribosome, site A, inhibition de la translocation peptidyl-ARNt, blocage de la synthèse protéique. Moins de risque de résistance croisée par efflux (gène</w:t>
      </w:r>
      <w:r>
        <w:t xml:space="preserve"> </w:t>
      </w:r>
      <w:r>
        <w:rPr>
          <w:i/>
          <w:iCs/>
        </w:rPr>
        <w:t xml:space="preserve">mef</w:t>
      </w:r>
      <w:r>
        <w:t xml:space="preserve">) que les macrolides à 14 atomes — mais résistance</w:t>
      </w:r>
      <w:r>
        <w:t xml:space="preserve"> </w:t>
      </w:r>
      <w:r>
        <w:rPr>
          <w:i/>
          <w:iCs/>
        </w:rPr>
        <w:t xml:space="preserve">erm</w:t>
      </w:r>
      <w:r>
        <w:t xml:space="preserve"> </w:t>
      </w:r>
      <w:r>
        <w:t xml:space="preserve">(MLSb) reste pleinement active.</w:t>
      </w:r>
    </w:p>
    <w:p>
      <w:pPr>
        <w:pStyle w:val="BodyText"/>
      </w:pPr>
      <w:r>
        <w:rPr>
          <w:b/>
          <w:bCs/>
        </w:rPr>
        <w:t xml:space="preserve">Profil Pharmacologique :</w:t>
      </w:r>
      <w:r>
        <w:t xml:space="preserve"> </w:t>
      </w:r>
      <w:r>
        <w:t xml:space="preserve">- Indications : Angines (alternative en cas d’allergie), pneumopathies aiguës communautaires y compris atypiques (Mycoplasma, Chlamydophila, Legionella), exacerbations de BPCO, sinusites, otites moyennes aiguës de l’enfant, infections génitales à Chlamydia trachomatis (urétrite, cervicite — traitement monodose), chancroïde, infections à Mycobacterium avium complex chez le patient VIH (prophylaxie primaire et curative), maladie de Lyme, fièvre typhoïde (alternative), prophylaxie de l’endocardite infectieuse, conjonctivite bactérienne (collyre AZYTER), трахома.</w:t>
      </w:r>
      <w:r>
        <w:t xml:space="preserve"> </w:t>
      </w:r>
      <w:r>
        <w:t xml:space="preserve">- Contre-indications : Allergie aux macrolides, allongement QT documenté, antécédents de torsades de pointe, associations avec antiarythmiques classe IA et III, cisapride, ergotamine, dihydroergotamine (CI relative tenant à la prudence QT). Insuffisance hépatique sévère.</w:t>
      </w:r>
      <w:r>
        <w:t xml:space="preserve"> </w:t>
      </w:r>
      <w:r>
        <w:t xml:space="preserve">- Effets Indésirables : Bien tolérée globalement. Troubles digestifs (nausées, diarrhée, douleurs abdominales) moins fréquents qu’avec érythromycine (10–15 %) ; allongement du QT (effet classe, risque faible mais réel — alerte FDA 2013) ; ototoxicité transitoire à dose élevée (1 g puis 500 mg/j × 5 j, ou 500 mg/j prolongé &gt; 5 j) ; hépatotoxicité cholestatique rare ; allergies cutanées (rash maculopapuleux, urticaire) ; neutropénie thrombopénie exceptionnelles ; colite à C. difficile ; candidose orale ou vaginale. À très fortes doses (MAC, mucoviscidose), surdité parfois définitive.</w:t>
      </w:r>
    </w:p>
    <w:p>
      <w:pPr>
        <w:pStyle w:val="BodyText"/>
      </w:pPr>
      <w:r>
        <w:rPr>
          <w:b/>
          <w:bCs/>
        </w:rPr>
        <w:t xml:space="preserve">Prévention et Gestion des Effets Indésirables :</w:t>
      </w:r>
      <w:r>
        <w:t xml:space="preserve"> </w:t>
      </w:r>
      <w:r>
        <w:t xml:space="preserve">- Mesures Préventives : ECG avant traitement prolongé (&gt; 5 jours) ou chez sujet à risque cardiovasculaire ; contrôle kaliémie ; surveillance hépatique si traitement prolongé ; information du patient sur les signes précoces de diarrhée persistante.</w:t>
      </w:r>
      <w:r>
        <w:t xml:space="preserve"> </w:t>
      </w:r>
      <w:r>
        <w:t xml:space="preserve">- Conduite à Tenir : Arrêt immédiat et bilan si diarrhée sanglante, ictère, fièvre élevée avec rash (DRESS), surdité. Pour allongement QT asymptomatique : réévaluation du rapport bénéfice/risque, surtout si association QT-long.</w:t>
      </w:r>
    </w:p>
    <w:p>
      <w:pPr>
        <w:pStyle w:val="BodyText"/>
      </w:pPr>
      <w:r>
        <w:rPr>
          <w:b/>
          <w:bCs/>
        </w:rPr>
        <w:t xml:space="preserve">Interactions Importantes :</w:t>
      </w:r>
      <w:r>
        <w:t xml:space="preserve"> </w:t>
      </w:r>
      <w:r>
        <w:t xml:space="preserve">-</w:t>
      </w:r>
      <w:r>
        <w:t xml:space="preserve"> </w:t>
      </w:r>
      <w:r>
        <w:rPr>
          <w:b/>
          <w:bCs/>
        </w:rPr>
        <w:t xml:space="preserve">Anticoagulants oraux (warfarine, acénocoumarol)</w:t>
      </w:r>
      <w:r>
        <w:t xml:space="preserve"> </w:t>
      </w:r>
      <w:r>
        <w:t xml:space="preserve">: Potentialisation de l’effet anticoagulant (inhibition CYP2C9 et CYP3A4 mineure + effet flore) → surveillance INR.</w:t>
      </w:r>
      <w:r>
        <w:t xml:space="preserve"> </w:t>
      </w:r>
      <w:r>
        <w:t xml:space="preserve">-</w:t>
      </w:r>
      <w:r>
        <w:t xml:space="preserve"> </w:t>
      </w:r>
      <w:r>
        <w:rPr>
          <w:b/>
          <w:bCs/>
        </w:rPr>
        <w:t xml:space="preserve">Digoxine</w:t>
      </w:r>
      <w:r>
        <w:t xml:space="preserve"> </w:t>
      </w:r>
      <w:r>
        <w:t xml:space="preserve">: Augmentation des concentrations (modification flore intestinale métabolisant la digoxine).</w:t>
      </w:r>
      <w:r>
        <w:t xml:space="preserve"> </w:t>
      </w:r>
      <w:r>
        <w:t xml:space="preserve">-</w:t>
      </w:r>
      <w:r>
        <w:t xml:space="preserve"> </w:t>
      </w:r>
      <w:r>
        <w:rPr>
          <w:b/>
          <w:bCs/>
        </w:rPr>
        <w:t xml:space="preserve">Ciclosporine, tacrolimus</w:t>
      </w:r>
      <w:r>
        <w:t xml:space="preserve"> </w:t>
      </w:r>
      <w:r>
        <w:t xml:space="preserve">: Augmentation modérée des concentrations — surveillance.</w:t>
      </w:r>
      <w:r>
        <w:t xml:space="preserve"> </w:t>
      </w:r>
      <w:r>
        <w:t xml:space="preserve">-</w:t>
      </w:r>
      <w:r>
        <w:t xml:space="preserve"> </w:t>
      </w:r>
      <w:r>
        <w:rPr>
          <w:b/>
          <w:bCs/>
        </w:rPr>
        <w:t xml:space="preserve">Ergotamine, dihydroergotamine</w:t>
      </w:r>
      <w:r>
        <w:t xml:space="preserve"> </w:t>
      </w:r>
      <w:r>
        <w:t xml:space="preserve">: Ergotisme — CI.</w:t>
      </w:r>
      <w:r>
        <w:t xml:space="preserve"> </w:t>
      </w:r>
      <w:r>
        <w:t xml:space="preserve">-</w:t>
      </w:r>
      <w:r>
        <w:t xml:space="preserve"> </w:t>
      </w:r>
      <w:r>
        <w:rPr>
          <w:b/>
          <w:bCs/>
        </w:rPr>
        <w:t xml:space="preserve">Statines</w:t>
      </w:r>
      <w:r>
        <w:t xml:space="preserve"> </w:t>
      </w:r>
      <w:r>
        <w:t xml:space="preserve">: Interaction faible (l’azithromycine n’est pas un inhibiteur puissant du CYP3A4), mais prudence chez patient âgé avec simvastatine.</w:t>
      </w:r>
      <w:r>
        <w:t xml:space="preserve"> </w:t>
      </w:r>
      <w:r>
        <w:t xml:space="preserve">-</w:t>
      </w:r>
      <w:r>
        <w:t xml:space="preserve"> </w:t>
      </w:r>
      <w:r>
        <w:rPr>
          <w:b/>
          <w:bCs/>
        </w:rPr>
        <w:t xml:space="preserve">Antiarythmiques III (amiodarone, sotalol), fluoroquinolones</w:t>
      </w:r>
      <w:r>
        <w:t xml:space="preserve"> </w:t>
      </w:r>
      <w:r>
        <w:t xml:space="preserve">: Effet additif QT.</w:t>
      </w:r>
      <w:r>
        <w:t xml:space="preserve"> </w:t>
      </w:r>
      <w:r>
        <w:t xml:space="preserve">-</w:t>
      </w:r>
      <w:r>
        <w:t xml:space="preserve"> </w:t>
      </w:r>
      <w:r>
        <w:rPr>
          <w:b/>
          <w:bCs/>
        </w:rPr>
        <w:t xml:space="preserve">Nelfinavir, ritonavir (antirétroviraux)</w:t>
      </w:r>
      <w:r>
        <w:t xml:space="preserve"> </w:t>
      </w:r>
      <w:r>
        <w:t xml:space="preserve">: Augmentation des concentrations d’azithromycine — surveillance otologique et hépatique.</w:t>
      </w:r>
      <w:r>
        <w:t xml:space="preserve"> </w:t>
      </w:r>
      <w:r>
        <w:t xml:space="preserve">- Pas d’interaction significative avec théophylline, carbamazépine, terfénadine, triazolam (avantage majeur vs érythromycine et clarithromycine).</w:t>
      </w:r>
    </w:p>
    <w:p>
      <w:pPr>
        <w:pStyle w:val="BodyText"/>
      </w:pPr>
      <w:r>
        <w:rPr>
          <w:b/>
          <w:bCs/>
        </w:rPr>
        <w:t xml:space="preserve">Grossesse et Allaitement :</w:t>
      </w:r>
      <w:r>
        <w:t xml:space="preserve"> </w:t>
      </w:r>
      <w:r>
        <w:t xml:space="preserve">- Grossesse : Autorisée si nécessaire. Données rassurantes issues de grandes cohortes (CRAT, FDA catégorie B). Préférer comme macrolide en cas de nécessité chez la femme enceinte (alternative à l’érythromycine, à la clarithromycine qui est plutôt déconseillée). Pas d’augmentation du risque malformatif.</w:t>
      </w:r>
      <w:r>
        <w:t xml:space="preserve"> </w:t>
      </w:r>
      <w:r>
        <w:t xml:space="preserve">- Allaitement : Compatible sur prescription ponctuelle (données rassurantes). Surveiller l’enfant (transit, candidose buccale). Pour cure prolongée (MAC) : déconseillé.</w:t>
      </w:r>
      <w:r>
        <w:t xml:space="preserve"> </w:t>
      </w:r>
      <w:r>
        <w:t xml:space="preserve">- Précisions : En cas de chlamydiose gravidique : azithromycine 1 g dose unique est le traitement de choix.</w:t>
      </w:r>
    </w:p>
    <w:p>
      <w:pPr>
        <w:pStyle w:val="BodyText"/>
      </w:pPr>
      <w:r>
        <w:rPr>
          <w:b/>
          <w:bCs/>
        </w:rPr>
        <w:t xml:space="preserve">Posologie et Mode d’administration (Standard) :</w:t>
      </w:r>
      <w:r>
        <w:t xml:space="preserve"> </w:t>
      </w:r>
      <w:r>
        <w:t xml:space="preserve">- Adulte : 500 mg J1 puis 250 mg J2 à J5 (schéma en 5 jours) OU 500 mg/j × 3 jours (schéma court) OU 1 g en monodose (Chlamydia trachomatis, chancroïde). Pour pneumopathie : 500 mg/j × 3 jours suffit grâce à la demi-vie longue. Pour MAC : 500 mg/j au long cours.</w:t>
      </w:r>
      <w:r>
        <w:t xml:space="preserve"> </w:t>
      </w:r>
      <w:r>
        <w:t xml:space="preserve">- Enfant : 10 mg/kg J1 puis 5 mg/kg J2 à J5 (sans dépasser la dose adulte) ; ou 10 mg/kg/j × 3 jours ; ou 30 mg/kg en monodose (otite, angine). Suspension buvable 200 mg/5 mL (40 mg/mL) ou 100 mg/5 mL pour les plus jeunes. Pour enfant &lt; 45 kg, préférer la suspension.</w:t>
      </w:r>
      <w:r>
        <w:t xml:space="preserve"> </w:t>
      </w:r>
      <w:r>
        <w:t xml:space="preserve">- Durée : Variable selon indication (1 prise à 5 jours). Pour pneumopathie atypique : 3 à 5 jours suffisent. Pour MAC prophylaxie : traitement prolongé.</w:t>
      </w:r>
      <w:r>
        <w:t xml:space="preserve"> </w:t>
      </w:r>
      <w:r>
        <w:t xml:space="preserve">- Moment de prise : À distance des antiacides (2 h avant ou après, l’aluminium et le magnésium diminuent le pic plasmatique). La prise alimentaire ne modifie pas significativement l’absorption (les comprimés peuvent être pris pendant ou en dehors des repas ; la suspension est plutôt prise à jeun 1 h avant ou 2 h après repas).</w:t>
      </w:r>
    </w:p>
    <w:p>
      <w:pPr>
        <w:pStyle w:val="BodyText"/>
      </w:pPr>
      <w:r>
        <w:rPr>
          <w:b/>
          <w:bCs/>
        </w:rPr>
        <w:t xml:space="preserve">Arbitrage et Bénéfices des Formes Galéniques :</w:t>
      </w:r>
      <w:r>
        <w:t xml:space="preserve"> </w:t>
      </w:r>
      <w:r>
        <w:t xml:space="preserve">La diversité des formes (comprimés 250 et 500 mg, gélules, suspensions à plusieurs concentrations, collyre unidose) permet une grande adaptabilité. Le collyre AZYTER (15 mg/g, 1 goutte × 2/j pendant 3 jours dans l’œil atteint) est un traitement de référence de la conjonctivite bactérienne purulente, avec l’avantage d’une courte durée et d’un excellent passage tissulaire oculaire. Les suspensions buvables sont adaptées aux enfants de moins de 45 kg et permettent une dose pondérale précise. Les comprimés 500 mg sécables (boîte de 3) correspondent au schéma court de 3 jours. Pour les patients incapables d’avaler les comprimés, la suspension reste utilisable chez l’adulte.</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Vous allez prendre ce traitement pendant seulement 3 ou 5 jours, mais son action persiste plusieurs jours après la dernière prise grâce à son accumulation dans les tissus. Respectez bien les horaires et terminez la boîte.</w:t>
      </w:r>
      <w:r>
        <w:t xml:space="preserve">”</w:t>
      </w:r>
      <w:r>
        <w:t xml:space="preserve"> </w:t>
      </w:r>
      <w:r>
        <w:t xml:space="preserve">- Mode d’utilisation pratique : Pour le comprimé : avaler entier avec un verre d’eau. Pour la suspension : reconstituer avec eau purifiée fournie, agiter vigoureusement avant chaque prise, utiliser la pipette doseuse. En cas d’oubli, prendre dès que possible dans la journée, ne pas doubler. Ne pas prendre d’antiacide (Maalox, Gaviscon) dans les 2 heures entourant la prise. Pour le collyre : se laver les mains, instiller 1 goutte dans l’œil atteint matin et soir pendant 3 jours, jeter l’unidose après usage (ne pas conserver).</w:t>
      </w:r>
    </w:p>
    <w:p>
      <w:pPr>
        <w:pStyle w:val="BodyText"/>
      </w:pPr>
      <w:r>
        <w:rPr>
          <w:b/>
          <w:bCs/>
        </w:rPr>
        <w:t xml:space="preserve">Notes, Règles d’Or &amp; Pièges au Comptoir :</w:t>
      </w:r>
      <w:r>
        <w:t xml:space="preserve"> </w:t>
      </w:r>
      <w:r>
        <w:t xml:space="preserve">- Piège classique : Penser que l’azithromycine est</w:t>
      </w:r>
      <w:r>
        <w:t xml:space="preserve"> </w:t>
      </w:r>
      <w:r>
        <w:t xml:space="preserve">“</w:t>
      </w:r>
      <w:r>
        <w:t xml:space="preserve">100 % sûre</w:t>
      </w:r>
      <w:r>
        <w:t xml:space="preserve">”</w:t>
      </w:r>
      <w:r>
        <w:t xml:space="preserve"> </w:t>
      </w:r>
      <w:r>
        <w:t xml:space="preserve">du fait de l’absence d’interaction CYP3A4 majeure — faux pour le QT et la warfarine. Vérifier le traitement associé.</w:t>
      </w:r>
      <w:r>
        <w:t xml:space="preserve"> </w:t>
      </w:r>
      <w:r>
        <w:t xml:space="preserve">- Règle de prise : Ne pas associer antiacide à moins de 2 h. Toujours préciser le schéma (J1 dose de charge, puis demi-dose).</w:t>
      </w:r>
      <w:r>
        <w:t xml:space="preserve"> </w:t>
      </w:r>
      <w:r>
        <w:t xml:space="preserve">- Préparation et Conservation : Suspension reconstituée stable 5 jours à température ambiante ou 10 jours au réfrigérateur (selon fabricant — vérifier la notice). Bien agiter avant emploi.</w:t>
      </w:r>
      <w:r>
        <w:t xml:space="preserve"> </w:t>
      </w:r>
      <w:r>
        <w:t xml:space="preserve">- Piège du surdosage / Substitution : Ne pas dépasser 500 mg/j chez l’insuffisant hépatique sévère. Attention : la substitution entre spécialités peut modifier la tolérance digestive (excipients différents). La forme</w:t>
      </w:r>
      <w:r>
        <w:t xml:space="preserve"> </w:t>
      </w:r>
      <w:r>
        <w:t xml:space="preserve">“</w:t>
      </w:r>
      <w:r>
        <w:t xml:space="preserve">600 mg</w:t>
      </w:r>
      <w:r>
        <w:t xml:space="preserve">”</w:t>
      </w:r>
      <w:r>
        <w:t xml:space="preserve"> </w:t>
      </w:r>
      <w:r>
        <w:t xml:space="preserve">(ZITHRON, Retiré) était réservée au MAC.</w:t>
      </w:r>
    </w:p>
    <w:p>
      <w:r>
        <w:pict>
          <v:rect style="width:0;height:1.5pt" o:hralign="center" o:hrstd="t" o:hr="t"/>
        </w:pict>
      </w:r>
    </w:p>
    <w:bookmarkEnd w:id="103"/>
    <w:bookmarkStart w:id="104" w:name="dci-clarithromycine-seule"/>
    <w:p>
      <w:pPr>
        <w:pStyle w:val="Heading3"/>
      </w:pPr>
      <w:r>
        <w:t xml:space="preserve">4.1.3 DCI : Clarithromycine (Seule)</w:t>
      </w:r>
    </w:p>
    <w:p>
      <w:pPr>
        <w:pStyle w:val="FirstParagraph"/>
      </w:pPr>
      <w:r>
        <w:rPr>
          <w:b/>
          <w:bCs/>
        </w:rPr>
        <w:t xml:space="preserve">Liste des Catégories :</w:t>
      </w:r>
      <w:r>
        <w:t xml:space="preserve"> </w:t>
      </w:r>
      <w:r>
        <w:t xml:space="preserve">Macrolide semi-synthétique à 14 atomes — Listé Liste I — Formes orales (comprimés 250/500 mg, suspensions pédiatriques 125/250 mg/5 mL, granulés 25/50 mg/mL).</w:t>
      </w:r>
    </w:p>
    <w:p>
      <w:pPr>
        <w:pStyle w:val="BodyText"/>
      </w:pPr>
      <w:r>
        <w:t xml:space="preserve">La clarithromycine est un macrolide semi-synthétique obtenu par substitution hydroxyle par méthoxy sur l’érythromycine, ce qui améliore la stabilité gastrique, la biodisponibilité (≈ 55 %), la tolérance digestive et l’activité contre H. influenzae. Sa demi-vie (3–7 h) autorise une posologie BID (deux prises par jour), plus pratique que l’érythromycine. Elle est également le macrolide de référence dans les protocoles d’éradication de Helicobacter pylori (trithérapie avec amoxicilline + IPP). Comme l’érythromycine, c’est un inhibiteur puissant du CYP3A4 — interactions nombreuses.</w:t>
      </w:r>
    </w:p>
    <w:p>
      <w:pPr>
        <w:pStyle w:val="BodyText"/>
      </w:pPr>
      <w:r>
        <w:rPr>
          <w:b/>
          <w:bCs/>
        </w:rPr>
        <w:t xml:space="preserve">Médicaments disponibles en Algérie (Marques, Laboratoires, Formes et Dosages) :</w:t>
      </w:r>
    </w:p>
    <w:p>
      <w:pPr>
        <w:pStyle w:val="BodyText"/>
      </w:pPr>
      <w:r>
        <w:t xml:space="preserve">Formes orales solides (comprimés pelliculés) 500 mg :</w:t>
      </w:r>
      <w:r>
        <w:t xml:space="preserve"> </w:t>
      </w:r>
      <w:r>
        <w:t xml:space="preserve">-</w:t>
      </w:r>
      <w:r>
        <w:t xml:space="preserve"> </w:t>
      </w:r>
      <w:r>
        <w:rPr>
          <w:b/>
          <w:bCs/>
        </w:rPr>
        <w:t xml:space="preserve">ORADRO</w:t>
      </w:r>
      <w:r>
        <w:t xml:space="preserve"> </w:t>
      </w:r>
      <w:r>
        <w:t xml:space="preserve">(WORLD MEDECINE LIMITED) — Actif</w:t>
      </w:r>
      <w:r>
        <w:t xml:space="preserve"> </w:t>
      </w:r>
      <w:r>
        <w:t xml:space="preserve">-</w:t>
      </w:r>
      <w:r>
        <w:t xml:space="preserve"> </w:t>
      </w:r>
      <w:r>
        <w:rPr>
          <w:b/>
          <w:bCs/>
        </w:rPr>
        <w:t xml:space="preserve">ARICLARE</w:t>
      </w:r>
      <w:r>
        <w:t xml:space="preserve"> </w:t>
      </w:r>
      <w:r>
        <w:t xml:space="preserve">(EL KENDI INDUSTRIE DU MEDICAMENT) — Actif</w:t>
      </w:r>
      <w:r>
        <w:t xml:space="preserve"> </w:t>
      </w:r>
      <w:r>
        <w:t xml:space="preserve">-</w:t>
      </w:r>
      <w:r>
        <w:t xml:space="preserve"> </w:t>
      </w:r>
      <w:r>
        <w:rPr>
          <w:b/>
          <w:bCs/>
        </w:rPr>
        <w:t xml:space="preserve">CLARIDAR 500</w:t>
      </w:r>
      <w:r>
        <w:t xml:space="preserve"> </w:t>
      </w:r>
      <w:r>
        <w:t xml:space="preserve">(DAR AL DAWA) — Actif</w:t>
      </w:r>
      <w:r>
        <w:t xml:space="preserve"> </w:t>
      </w:r>
      <w:r>
        <w:t xml:space="preserve">-</w:t>
      </w:r>
      <w:r>
        <w:t xml:space="preserve"> </w:t>
      </w:r>
      <w:r>
        <w:rPr>
          <w:b/>
          <w:bCs/>
        </w:rPr>
        <w:t xml:space="preserve">CLARITAL</w:t>
      </w:r>
      <w:r>
        <w:t xml:space="preserve"> </w:t>
      </w:r>
      <w:r>
        <w:t xml:space="preserve">(SOPHAL) — Actif</w:t>
      </w:r>
      <w:r>
        <w:t xml:space="preserve"> </w:t>
      </w:r>
      <w:r>
        <w:t xml:space="preserve">-</w:t>
      </w:r>
      <w:r>
        <w:t xml:space="preserve"> </w:t>
      </w:r>
      <w:r>
        <w:rPr>
          <w:b/>
          <w:bCs/>
        </w:rPr>
        <w:t xml:space="preserve">CLARITHRO</w:t>
      </w:r>
      <w:r>
        <w:t xml:space="preserve"> </w:t>
      </w:r>
      <w:r>
        <w:t xml:space="preserve">(BIOGALENIC) — Actif</w:t>
      </w:r>
      <w:r>
        <w:t xml:space="preserve"> </w:t>
      </w:r>
      <w:r>
        <w:t xml:space="preserve">-</w:t>
      </w:r>
      <w:r>
        <w:t xml:space="preserve"> </w:t>
      </w:r>
      <w:r>
        <w:rPr>
          <w:b/>
          <w:bCs/>
        </w:rPr>
        <w:t xml:space="preserve">CLARITHROMYCINE NS</w:t>
      </w:r>
      <w:r>
        <w:t xml:space="preserve"> </w:t>
      </w:r>
      <w:r>
        <w:t xml:space="preserve">(PHARMIDAL NS) — Actif</w:t>
      </w:r>
      <w:r>
        <w:t xml:space="preserve"> </w:t>
      </w:r>
      <w:r>
        <w:t xml:space="preserve">-</w:t>
      </w:r>
      <w:r>
        <w:t xml:space="preserve"> </w:t>
      </w:r>
      <w:r>
        <w:rPr>
          <w:b/>
          <w:bCs/>
        </w:rPr>
        <w:t xml:space="preserve">MEDOCLAR</w:t>
      </w:r>
      <w:r>
        <w:t xml:space="preserve"> </w:t>
      </w:r>
      <w:r>
        <w:t xml:space="preserve">(JANIS MED SARL) — Actif</w:t>
      </w:r>
      <w:r>
        <w:t xml:space="preserve"> </w:t>
      </w:r>
      <w:r>
        <w:t xml:space="preserve">-</w:t>
      </w:r>
      <w:r>
        <w:t xml:space="preserve"> </w:t>
      </w:r>
      <w:r>
        <w:rPr>
          <w:b/>
          <w:bCs/>
        </w:rPr>
        <w:t xml:space="preserve">RITOCINE</w:t>
      </w:r>
      <w:r>
        <w:t xml:space="preserve"> </w:t>
      </w:r>
      <w:r>
        <w:t xml:space="preserve">(PHARMALLIANCE) — Actif (B/10, B/14, B/30)</w:t>
      </w:r>
      <w:r>
        <w:t xml:space="preserve"> </w:t>
      </w:r>
      <w:r>
        <w:t xml:space="preserve">-</w:t>
      </w:r>
      <w:r>
        <w:t xml:space="preserve"> </w:t>
      </w:r>
      <w:r>
        <w:rPr>
          <w:b/>
          <w:bCs/>
        </w:rPr>
        <w:t xml:space="preserve">ZECLAR</w:t>
      </w:r>
      <w:r>
        <w:t xml:space="preserve"> </w:t>
      </w:r>
      <w:r>
        <w:t xml:space="preserve">(ABBOTT PRODUCTS SAS) — Actif</w:t>
      </w:r>
    </w:p>
    <w:p>
      <w:pPr>
        <w:pStyle w:val="BodyText"/>
      </w:pPr>
      <w:r>
        <w:t xml:space="preserve">Comprimés 250 mg :</w:t>
      </w:r>
      <w:r>
        <w:t xml:space="preserve"> </w:t>
      </w:r>
      <w:r>
        <w:t xml:space="preserve">-</w:t>
      </w:r>
      <w:r>
        <w:t xml:space="preserve"> </w:t>
      </w:r>
      <w:r>
        <w:rPr>
          <w:b/>
          <w:bCs/>
        </w:rPr>
        <w:t xml:space="preserve">ORADRO</w:t>
      </w:r>
      <w:r>
        <w:t xml:space="preserve"> </w:t>
      </w:r>
      <w:r>
        <w:t xml:space="preserve">(WORLD MEDECINE LIMITED) — Actif</w:t>
      </w:r>
      <w:r>
        <w:t xml:space="preserve"> </w:t>
      </w:r>
      <w:r>
        <w:t xml:space="preserve">-</w:t>
      </w:r>
      <w:r>
        <w:t xml:space="preserve"> </w:t>
      </w:r>
      <w:r>
        <w:rPr>
          <w:b/>
          <w:bCs/>
        </w:rPr>
        <w:t xml:space="preserve">CLARIDAR 250</w:t>
      </w:r>
      <w:r>
        <w:t xml:space="preserve"> </w:t>
      </w:r>
      <w:r>
        <w:t xml:space="preserve">(DAR AL DAWA) — Actif</w:t>
      </w:r>
      <w:r>
        <w:t xml:space="preserve"> </w:t>
      </w:r>
      <w:r>
        <w:t xml:space="preserve">-</w:t>
      </w:r>
      <w:r>
        <w:t xml:space="preserve"> </w:t>
      </w:r>
      <w:r>
        <w:rPr>
          <w:b/>
          <w:bCs/>
        </w:rPr>
        <w:t xml:space="preserve">MEDOCLAR</w:t>
      </w:r>
      <w:r>
        <w:t xml:space="preserve"> </w:t>
      </w:r>
      <w:r>
        <w:t xml:space="preserve">(JANIS MED SARL) — Actif</w:t>
      </w:r>
      <w:r>
        <w:t xml:space="preserve"> </w:t>
      </w:r>
      <w:r>
        <w:t xml:space="preserve">-</w:t>
      </w:r>
      <w:r>
        <w:t xml:space="preserve"> </w:t>
      </w:r>
      <w:r>
        <w:rPr>
          <w:b/>
          <w:bCs/>
        </w:rPr>
        <w:t xml:space="preserve">RITOCINE</w:t>
      </w:r>
      <w:r>
        <w:t xml:space="preserve"> </w:t>
      </w:r>
      <w:r>
        <w:t xml:space="preserve">(PHARMALLIANCE) — Actif</w:t>
      </w:r>
      <w:r>
        <w:t xml:space="preserve"> </w:t>
      </w:r>
      <w:r>
        <w:t xml:space="preserve">-</w:t>
      </w:r>
      <w:r>
        <w:t xml:space="preserve"> </w:t>
      </w:r>
      <w:r>
        <w:rPr>
          <w:b/>
          <w:bCs/>
        </w:rPr>
        <w:t xml:space="preserve">ZECLAR</w:t>
      </w:r>
      <w:r>
        <w:t xml:space="preserve"> </w:t>
      </w:r>
      <w:r>
        <w:t xml:space="preserve">(ABBOTT PRODUCTS SAS) — Actif</w:t>
      </w:r>
    </w:p>
    <w:p>
      <w:pPr>
        <w:pStyle w:val="BodyText"/>
      </w:pPr>
      <w:r>
        <w:t xml:space="preserve">Suspensions buvables (formes pédiatriques) :</w:t>
      </w:r>
      <w:r>
        <w:t xml:space="preserve"> </w:t>
      </w:r>
      <w:r>
        <w:t xml:space="preserve">-</w:t>
      </w:r>
      <w:r>
        <w:t xml:space="preserve"> </w:t>
      </w:r>
      <w:r>
        <w:rPr>
          <w:b/>
          <w:bCs/>
        </w:rPr>
        <w:t xml:space="preserve">CLARIDAR 125</w:t>
      </w:r>
      <w:r>
        <w:t xml:space="preserve"> </w:t>
      </w:r>
      <w:r>
        <w:t xml:space="preserve">(DAR AL DAWA) — Poudre pour suspension buvable 125 mg/5 mL, flacon 60 mL + cuillère — Actif</w:t>
      </w:r>
      <w:r>
        <w:t xml:space="preserve"> </w:t>
      </w:r>
      <w:r>
        <w:t xml:space="preserve">-</w:t>
      </w:r>
      <w:r>
        <w:t xml:space="preserve"> </w:t>
      </w:r>
      <w:r>
        <w:rPr>
          <w:b/>
          <w:bCs/>
        </w:rPr>
        <w:t xml:space="preserve">CLARIDAR 250</w:t>
      </w:r>
      <w:r>
        <w:t xml:space="preserve"> </w:t>
      </w:r>
      <w:r>
        <w:t xml:space="preserve">(DAR AL DAWA) — Poudre pour suspension buvable 250 mg/5 mL, flacon 100 mL + cuillère — Actif</w:t>
      </w:r>
      <w:r>
        <w:t xml:space="preserve"> </w:t>
      </w:r>
      <w:r>
        <w:t xml:space="preserve">-</w:t>
      </w:r>
      <w:r>
        <w:t xml:space="preserve"> </w:t>
      </w:r>
      <w:r>
        <w:rPr>
          <w:b/>
          <w:bCs/>
        </w:rPr>
        <w:t xml:space="preserve">HUCLAR</w:t>
      </w:r>
      <w:r>
        <w:t xml:space="preserve"> </w:t>
      </w:r>
      <w:r>
        <w:t xml:space="preserve">(HUPP PHARMA) — Granulé pour suspension buvable 125 mg/5 mL (flacon 100 mL) ; Poudre pour suspension buvable 250 mg/5 mL — Actif</w:t>
      </w:r>
      <w:r>
        <w:t xml:space="preserve"> </w:t>
      </w:r>
      <w:r>
        <w:t xml:space="preserve">-</w:t>
      </w:r>
      <w:r>
        <w:t xml:space="preserve"> </w:t>
      </w:r>
      <w:r>
        <w:rPr>
          <w:b/>
          <w:bCs/>
        </w:rPr>
        <w:t xml:space="preserve">CLARITHRO</w:t>
      </w:r>
      <w:r>
        <w:t xml:space="preserve"> </w:t>
      </w:r>
      <w:r>
        <w:t xml:space="preserve">(BIOGALENIC) — Granulé pour suspension buvable 25 mg/mL et 50 mg/mL, flacon 60 mL + seringue — Actif</w:t>
      </w:r>
      <w:r>
        <w:t xml:space="preserve"> </w:t>
      </w:r>
      <w:r>
        <w:t xml:space="preserve">-</w:t>
      </w:r>
      <w:r>
        <w:t xml:space="preserve"> </w:t>
      </w:r>
      <w:r>
        <w:rPr>
          <w:b/>
          <w:bCs/>
        </w:rPr>
        <w:t xml:space="preserve">ZECLAR 25</w:t>
      </w:r>
      <w:r>
        <w:t xml:space="preserve"> </w:t>
      </w:r>
      <w:r>
        <w:t xml:space="preserve">(ABBOTT PRODUCTS SAS) — Granulé pour suspension buvable 125 mg/5 mL, flacon 100 mL — Actif</w:t>
      </w:r>
    </w:p>
    <w:p>
      <w:pPr>
        <w:pStyle w:val="BodyText"/>
      </w:pPr>
      <w:r>
        <w:t xml:space="preserve">Formes retirées / non renouvelables :</w:t>
      </w:r>
      <w:r>
        <w:t xml:space="preserve"> </w:t>
      </w:r>
      <w:r>
        <w:t xml:space="preserve">-</w:t>
      </w:r>
      <w:r>
        <w:t xml:space="preserve"> </w:t>
      </w:r>
      <w:r>
        <w:rPr>
          <w:b/>
          <w:bCs/>
        </w:rPr>
        <w:t xml:space="preserve">RITHRODAL</w:t>
      </w:r>
      <w:r>
        <w:t xml:space="preserve"> </w:t>
      </w:r>
      <w:r>
        <w:t xml:space="preserve">(GROUPE SAIDAL) — Comprimé pelliculé 500 mg et 250 mg ; Poudre pour suspension buvable 250 mg/5 mL — Non Renouvelable</w:t>
      </w:r>
      <w:r>
        <w:t xml:space="preserve"> </w:t>
      </w:r>
      <w:r>
        <w:t xml:space="preserve">-</w:t>
      </w:r>
      <w:r>
        <w:t xml:space="preserve"> </w:t>
      </w:r>
      <w:r>
        <w:rPr>
          <w:b/>
          <w:bCs/>
        </w:rPr>
        <w:t xml:space="preserve">CLARITHROMYCINE GEO</w:t>
      </w:r>
      <w:r>
        <w:t xml:space="preserve"> </w:t>
      </w:r>
      <w:r>
        <w:t xml:space="preserve">(GEOPHARM) — Comprimé 500 mg — Non Renouvelable</w:t>
      </w:r>
      <w:r>
        <w:t xml:space="preserve"> </w:t>
      </w:r>
      <w:r>
        <w:t xml:space="preserve">-</w:t>
      </w:r>
      <w:r>
        <w:t xml:space="preserve"> </w:t>
      </w:r>
      <w:r>
        <w:rPr>
          <w:b/>
          <w:bCs/>
        </w:rPr>
        <w:t xml:space="preserve">ERACID 500</w:t>
      </w:r>
      <w:r>
        <w:t xml:space="preserve"> </w:t>
      </w:r>
      <w:r>
        <w:t xml:space="preserve">(JPM) — Comprimé pelliculé 500 mg — Non Renouvelable</w:t>
      </w:r>
      <w:r>
        <w:t xml:space="preserve"> </w:t>
      </w:r>
      <w:r>
        <w:t xml:space="preserve">-</w:t>
      </w:r>
      <w:r>
        <w:t xml:space="preserve"> </w:t>
      </w:r>
      <w:r>
        <w:rPr>
          <w:b/>
          <w:bCs/>
        </w:rPr>
        <w:t xml:space="preserve">ERACID</w:t>
      </w:r>
      <w:r>
        <w:t xml:space="preserve"> </w:t>
      </w:r>
      <w:r>
        <w:t xml:space="preserve">(JPM) — Comprimé 250 mg — Non Renouvelable</w:t>
      </w:r>
      <w:r>
        <w:t xml:space="preserve"> </w:t>
      </w:r>
      <w:r>
        <w:t xml:space="preserve">-</w:t>
      </w:r>
      <w:r>
        <w:t xml:space="preserve"> </w:t>
      </w:r>
      <w:r>
        <w:rPr>
          <w:b/>
          <w:bCs/>
        </w:rPr>
        <w:t xml:space="preserve">KLAXIN</w:t>
      </w:r>
      <w:r>
        <w:t xml:space="preserve"> </w:t>
      </w:r>
      <w:r>
        <w:t xml:space="preserve">(HIKMA PHARMACEUTICALS) — Comprimé pelliculé 250 mg — Non Renouvelable</w:t>
      </w:r>
      <w:r>
        <w:t xml:space="preserve"> </w:t>
      </w:r>
      <w:r>
        <w:t xml:space="preserve">-</w:t>
      </w:r>
      <w:r>
        <w:t xml:space="preserve"> </w:t>
      </w:r>
      <w:r>
        <w:rPr>
          <w:b/>
          <w:bCs/>
        </w:rPr>
        <w:t xml:space="preserve">CLARITT</w:t>
      </w:r>
      <w:r>
        <w:t xml:space="preserve"> </w:t>
      </w:r>
      <w:r>
        <w:t xml:space="preserve">(EL KENDI) — Suspension orale 250 mg/5 mL — Non Renouvelable</w:t>
      </w:r>
      <w:r>
        <w:t xml:space="preserve"> </w:t>
      </w:r>
      <w:r>
        <w:t xml:space="preserve">-</w:t>
      </w:r>
      <w:r>
        <w:t xml:space="preserve"> </w:t>
      </w:r>
      <w:r>
        <w:rPr>
          <w:b/>
          <w:bCs/>
        </w:rPr>
        <w:t xml:space="preserve">ZECLAR 50</w:t>
      </w:r>
      <w:r>
        <w:t xml:space="preserve"> </w:t>
      </w:r>
      <w:r>
        <w:t xml:space="preserve">(ABBOTT) — Granulé pour suspension buvable 250 mg/5 mL — Non Renouvelable</w:t>
      </w:r>
      <w:r>
        <w:t xml:space="preserve"> </w:t>
      </w:r>
      <w:r>
        <w:t xml:space="preserve">-</w:t>
      </w:r>
      <w:r>
        <w:t xml:space="preserve"> </w:t>
      </w:r>
      <w:r>
        <w:rPr>
          <w:b/>
          <w:bCs/>
        </w:rPr>
        <w:t xml:space="preserve">KLARIMIX 500</w:t>
      </w:r>
      <w:r>
        <w:t xml:space="preserve"> </w:t>
      </w:r>
      <w:r>
        <w:t xml:space="preserve">(SIGMA) — Comprimé 500 mg (R) — Retiré</w:t>
      </w:r>
    </w:p>
    <w:p>
      <w:pPr>
        <w:pStyle w:val="BodyText"/>
      </w:pPr>
      <w:r>
        <w:rPr>
          <w:b/>
          <w:bCs/>
        </w:rPr>
        <w:t xml:space="preserve">Sous-classe et Mécanisme d’action :</w:t>
      </w:r>
      <w:r>
        <w:t xml:space="preserve"> </w:t>
      </w:r>
      <w:r>
        <w:t xml:space="preserve">- Sous-classe : Macrolide semi-synthétique à noyau 14 atomes (6-O-méthylérythromycine A). Métabolite actif : 14-hydroxyclarithromycine (activité augmentée contre H. influenzae).</w:t>
      </w:r>
      <w:r>
        <w:t xml:space="preserve"> </w:t>
      </w:r>
      <w:r>
        <w:t xml:space="preserve">- Mécanisme d’action : Bactériostatique. Liaison sous-unité 50S, site A, inhibition translocation, blocage synthèse protéique — identique à l’érythromycine mais avec meilleure pénétration tissulaire pulmonaire (concentrations pulmonaires × 10 à 20 par rapport au sérum).</w:t>
      </w:r>
    </w:p>
    <w:p>
      <w:pPr>
        <w:pStyle w:val="BodyText"/>
      </w:pPr>
      <w:r>
        <w:rPr>
          <w:b/>
          <w:bCs/>
        </w:rPr>
        <w:t xml:space="preserve">Profil Pharmacologique :</w:t>
      </w:r>
      <w:r>
        <w:t xml:space="preserve"> </w:t>
      </w:r>
      <w:r>
        <w:t xml:space="preserve">- Indications : Pneumopathies aiguës communautaires, exacerbations de BPCO, sinusites, angines (alternative), otites, infections cutanées, infections à mycobactéries atypiques (M. avium complex, M. chelonae, M. fortuitum), éradication de Helicobacter pylori (trithérapie avec amoxicilline + IPP pendant 7–14 jours), infections odontogènes (alternative à la pénicilline), prophylaxie de l’endocardite infectieuse.</w:t>
      </w:r>
      <w:r>
        <w:t xml:space="preserve"> </w:t>
      </w:r>
      <w:r>
        <w:t xml:space="preserve">- Contre-indications : Allergie macrolides ; allongement QT ; association avec cisapride, pimozide, astémizole, terfénadine, ergotamine, dihydroergotamine, colchicine (CI), simvastatine à haute dose ; insuffisance hépatique sévère ; co-prescription avec inhibiteur puissant CYP3A4 ; hypokaliémie non corrigée.</w:t>
      </w:r>
      <w:r>
        <w:t xml:space="preserve"> </w:t>
      </w:r>
      <w:r>
        <w:t xml:space="preserve">- Effets Indésirables : Troubles digestifs (nausées, diarrhée, dysgueusie métallique — très fréquente 15 %) ; céphalées ; rash cutané ; allongement QT (effet classe) ; hépatotoxicité cholestatique ; colite C. difficile ; OT cylindrique rare ; thrombopénie, leucopénie ; agitation, anxiété, insomnie (effet CNS, surtout en association avec rifabutine).</w:t>
      </w:r>
    </w:p>
    <w:p>
      <w:pPr>
        <w:pStyle w:val="BodyText"/>
      </w:pPr>
      <w:r>
        <w:rPr>
          <w:b/>
          <w:bCs/>
        </w:rPr>
        <w:t xml:space="preserve">Prévention et Gestion des Effets Indésirables :</w:t>
      </w:r>
      <w:r>
        <w:t xml:space="preserve"> </w:t>
      </w:r>
      <w:r>
        <w:t xml:space="preserve">- Mesures Préventives : ECG avant traitement prolongé ; surveillance kaliémie ; suspension de la statine pendant le traitement (simvastatine surtout) ; information patient sur la dysgueusie transitoire ; surveillance hépatique si &gt; 14 jours.</w:t>
      </w:r>
      <w:r>
        <w:t xml:space="preserve"> </w:t>
      </w:r>
      <w:r>
        <w:t xml:space="preserve">- Conduite à Tenir : Arrêt si diarrhée sanglante, ictère, rash étendu, trouble du rythme. Adapter la dose en cas d’insuffisance rénale (clairance créatinine &lt; 30 mL/min : réduire la dose de moitié ou espacer).</w:t>
      </w:r>
    </w:p>
    <w:p>
      <w:pPr>
        <w:pStyle w:val="BodyText"/>
      </w:pPr>
      <w:r>
        <w:rPr>
          <w:b/>
          <w:bCs/>
        </w:rPr>
        <w:t xml:space="preserve">Interactions Importantes :</w:t>
      </w:r>
      <w:r>
        <w:t xml:space="preserve"> </w:t>
      </w:r>
      <w:r>
        <w:t xml:space="preserve">-</w:t>
      </w:r>
      <w:r>
        <w:t xml:space="preserve"> </w:t>
      </w:r>
      <w:r>
        <w:rPr>
          <w:b/>
          <w:bCs/>
        </w:rPr>
        <w:t xml:space="preserve">Statines (simvastatine surtout, atorvastatine, lovastatine)</w:t>
      </w:r>
      <w:r>
        <w:t xml:space="preserve"> </w:t>
      </w:r>
      <w:r>
        <w:t xml:space="preserve">: Inhibition CYP3A4 → rhabdomyolyse grave. CI avec simvastatine (recommandation EMA/ANSM). Utiliser pravastatine ou rosuvastatine.</w:t>
      </w:r>
      <w:r>
        <w:t xml:space="preserve"> </w:t>
      </w:r>
      <w:r>
        <w:t xml:space="preserve">-</w:t>
      </w:r>
      <w:r>
        <w:t xml:space="preserve"> </w:t>
      </w:r>
      <w:r>
        <w:rPr>
          <w:b/>
          <w:bCs/>
        </w:rPr>
        <w:t xml:space="preserve">Calcineurines (ciclosporine, tacrolimus)</w:t>
      </w:r>
      <w:r>
        <w:t xml:space="preserve"> </w:t>
      </w:r>
      <w:r>
        <w:t xml:space="preserve">: Augmentation importante des concentrations → nephrotoxicité. Surveillance taux sanguins.</w:t>
      </w:r>
      <w:r>
        <w:t xml:space="preserve"> </w:t>
      </w:r>
      <w:r>
        <w:t xml:space="preserve">-</w:t>
      </w:r>
      <w:r>
        <w:t xml:space="preserve"> </w:t>
      </w:r>
      <w:r>
        <w:rPr>
          <w:b/>
          <w:bCs/>
        </w:rPr>
        <w:t xml:space="preserve">Anticoagulants oraux</w:t>
      </w:r>
      <w:r>
        <w:t xml:space="preserve"> </w:t>
      </w:r>
      <w:r>
        <w:t xml:space="preserve">: Majoration INR, surveillance étroite.</w:t>
      </w:r>
      <w:r>
        <w:t xml:space="preserve"> </w:t>
      </w:r>
      <w:r>
        <w:t xml:space="preserve">-</w:t>
      </w:r>
      <w:r>
        <w:t xml:space="preserve"> </w:t>
      </w:r>
      <w:r>
        <w:rPr>
          <w:b/>
          <w:bCs/>
        </w:rPr>
        <w:t xml:space="preserve">Carbamazépine, phénytoïne, théophylline</w:t>
      </w:r>
      <w:r>
        <w:t xml:space="preserve"> </w:t>
      </w:r>
      <w:r>
        <w:t xml:space="preserve">: Augmentation des concentrations.</w:t>
      </w:r>
      <w:r>
        <w:t xml:space="preserve"> </w:t>
      </w:r>
      <w:r>
        <w:t xml:space="preserve">-</w:t>
      </w:r>
      <w:r>
        <w:t xml:space="preserve"> </w:t>
      </w:r>
      <w:r>
        <w:rPr>
          <w:b/>
          <w:bCs/>
        </w:rPr>
        <w:t xml:space="preserve">Colchicine</w:t>
      </w:r>
      <w:r>
        <w:t xml:space="preserve"> </w:t>
      </w:r>
      <w:r>
        <w:t xml:space="preserve">: CI absolue chez insuffisant rénal ou hépatique (toxicité fatale possible).</w:t>
      </w:r>
      <w:r>
        <w:t xml:space="preserve"> </w:t>
      </w:r>
      <w:r>
        <w:t xml:space="preserve">-</w:t>
      </w:r>
      <w:r>
        <w:t xml:space="preserve"> </w:t>
      </w:r>
      <w:r>
        <w:rPr>
          <w:b/>
          <w:bCs/>
        </w:rPr>
        <w:t xml:space="preserve">Rifabutine</w:t>
      </w:r>
      <w:r>
        <w:t xml:space="preserve"> </w:t>
      </w:r>
      <w:r>
        <w:t xml:space="preserve">: Risque d’uvéite (clarithromycine augmente la rifabutine).</w:t>
      </w:r>
      <w:r>
        <w:t xml:space="preserve"> </w:t>
      </w:r>
      <w:r>
        <w:t xml:space="preserve">-</w:t>
      </w:r>
      <w:r>
        <w:t xml:space="preserve"> </w:t>
      </w:r>
      <w:r>
        <w:rPr>
          <w:b/>
          <w:bCs/>
        </w:rPr>
        <w:t xml:space="preserve">Efavirenz, névirapine</w:t>
      </w:r>
      <w:r>
        <w:t xml:space="preserve"> </w:t>
      </w:r>
      <w:r>
        <w:t xml:space="preserve">: Diminution des concentrations de clarithromycine (induction CYP3A4) — ajustement.</w:t>
      </w:r>
      <w:r>
        <w:t xml:space="preserve"> </w:t>
      </w:r>
      <w:r>
        <w:t xml:space="preserve">-</w:t>
      </w:r>
      <w:r>
        <w:t xml:space="preserve"> </w:t>
      </w:r>
      <w:r>
        <w:rPr>
          <w:b/>
          <w:bCs/>
        </w:rPr>
        <w:t xml:space="preserve">Cisapride, astémizole, terfénadine, pimozide</w:t>
      </w:r>
      <w:r>
        <w:t xml:space="preserve"> </w:t>
      </w:r>
      <w:r>
        <w:t xml:space="preserve">: Allongement QT majeur → torsades. CI absolue.</w:t>
      </w:r>
      <w:r>
        <w:t xml:space="preserve"> </w:t>
      </w:r>
      <w:r>
        <w:t xml:space="preserve">-</w:t>
      </w:r>
      <w:r>
        <w:t xml:space="preserve"> </w:t>
      </w:r>
      <w:r>
        <w:rPr>
          <w:b/>
          <w:bCs/>
        </w:rPr>
        <w:t xml:space="preserve">Ergotamine, dihydroergotamine</w:t>
      </w:r>
      <w:r>
        <w:t xml:space="preserve"> </w:t>
      </w:r>
      <w:r>
        <w:t xml:space="preserve">: Ergotisme. CI absolue.</w:t>
      </w:r>
      <w:r>
        <w:t xml:space="preserve"> </w:t>
      </w:r>
      <w:r>
        <w:t xml:space="preserve">-</w:t>
      </w:r>
      <w:r>
        <w:t xml:space="preserve"> </w:t>
      </w:r>
      <w:r>
        <w:rPr>
          <w:b/>
          <w:bCs/>
        </w:rPr>
        <w:t xml:space="preserve">Digoxine</w:t>
      </w:r>
      <w:r>
        <w:t xml:space="preserve"> </w:t>
      </w:r>
      <w:r>
        <w:t xml:space="preserve">: Augmentation concentrations (modification flore).</w:t>
      </w:r>
    </w:p>
    <w:p>
      <w:pPr>
        <w:pStyle w:val="BodyText"/>
      </w:pPr>
      <w:r>
        <w:rPr>
          <w:b/>
          <w:bCs/>
        </w:rPr>
        <w:t xml:space="preserve">Grossesse et Allaitement :</w:t>
      </w:r>
      <w:r>
        <w:t xml:space="preserve"> </w:t>
      </w:r>
      <w:r>
        <w:t xml:space="preserve">- Grossesse : Déconseillée, surtout au 1er trimestre (effets cardiovasculaires et malformatifs dans les études animales — CRAT). Préférer érythromycine ou azithromycine en cas de nécessité.</w:t>
      </w:r>
      <w:r>
        <w:t xml:space="preserve"> </w:t>
      </w:r>
      <w:r>
        <w:t xml:space="preserve">- Allaitement : Déconseillé (passage dans le lait, données limitées). Préférer érythromycine ou azithromycine.</w:t>
      </w:r>
      <w:r>
        <w:t xml:space="preserve"> </w:t>
      </w:r>
      <w:r>
        <w:t xml:space="preserve">- Précisions : En cas d’éradication H. pylori chez femme enceinte : différer le traitement après l’accouchement si possible.</w:t>
      </w:r>
    </w:p>
    <w:p>
      <w:pPr>
        <w:pStyle w:val="BodyText"/>
      </w:pPr>
      <w:r>
        <w:rPr>
          <w:b/>
          <w:bCs/>
        </w:rPr>
        <w:t xml:space="preserve">Posologie et Mode d’administration (Standard) :</w:t>
      </w:r>
      <w:r>
        <w:t xml:space="preserve"> </w:t>
      </w:r>
      <w:r>
        <w:t xml:space="preserve">- Adulte : 250 mg × 2/j ou 500 mg × 2/j selon la sévérité, pendant 7 à 14 jours. Pour H. pylori : 500 mg × 2/j pendant 7 à 14 j (en trithérapie). Pour MAC : 500 mg × 2/j au long cours. Pour prophylaxie endocardite : 500 mg 1 h avant le geste.</w:t>
      </w:r>
      <w:r>
        <w:t xml:space="preserve"> </w:t>
      </w:r>
      <w:r>
        <w:t xml:space="preserve">- Enfant : 15 mg/kg/jour en 2 prises (sans dépasser 1 g/j), pendant 7 à 10 jours. Suspension 125 ou 250 mg/5 mL. Pour enfant &gt; 20 kg : formes solides possibles.</w:t>
      </w:r>
      <w:r>
        <w:t xml:space="preserve"> </w:t>
      </w:r>
      <w:r>
        <w:t xml:space="preserve">- Durée : 5 à 14 jours selon indication. MAC : traitement prolongé jusqu’à immunorestauration.</w:t>
      </w:r>
      <w:r>
        <w:t xml:space="preserve"> </w:t>
      </w:r>
      <w:r>
        <w:t xml:space="preserve">- Moment de prise : Pendant ou en dehors des repas (l’absorption est améliorée par la nourriture pour le comprimé, indifférente pour la suspension). Prises espacées de 12 heures.</w:t>
      </w:r>
    </w:p>
    <w:p>
      <w:pPr>
        <w:pStyle w:val="BodyText"/>
      </w:pPr>
      <w:r>
        <w:rPr>
          <w:b/>
          <w:bCs/>
        </w:rPr>
        <w:t xml:space="preserve">Arbitrage et Bénéfices des Formes Galéniques :</w:t>
      </w:r>
      <w:r>
        <w:t xml:space="preserve"> </w:t>
      </w:r>
      <w:r>
        <w:t xml:space="preserve">La clarithromycine est le macrolide avec la plus large gamme galénique en Algérie : comprimés à 250 et 500 mg, suspensions à 25, 50, 125 et 250 mg/5 mL. La suspension 25 mg/mL est particulièrement adaptée au nourrisson de moins de 10 kg. Le comprimé à 500 mg en boîte de 14 (ZECLAR, CLARIDAR) couvre le traitement standard de pneumopathie. La disponibilité d’une forme pédiatrique avec seringue graduée (BIOGALENIC) permet une administration précise. Le switch IV/per os n’est pas pertinent en Algérie (pas de forme IV disponible). Pour les patients sous oméprazole + amoxicilline pour H. pylori, la clarithromycine à 500 mg × 2/j × 7 jours reste le schéma standard.</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Prenez ce médicament matin et soir, à 12 heures d’intervalle, pendant 7 à 14 jours. Il peut donner un goût métallique dans la bouche, c’est normal. Si vous prenez un traitement pour le cholestérol, parlez-en à votre médecin — il faudra peut-être l’arrêter temporairement.</w:t>
      </w:r>
      <w:r>
        <w:t xml:space="preserve">”</w:t>
      </w:r>
      <w:r>
        <w:t xml:space="preserve"> </w:t>
      </w:r>
      <w:r>
        <w:t xml:space="preserve">- Mode d’utilisation pratique : Avaler les comprimés entiers avec un grand verre d’eau. Pour la suspension : reconstitution avec eau, agitation avant chaque prise, conservation limitée (14 jours au frigo). Compléter la prescription même si amélioration rapide.</w:t>
      </w:r>
    </w:p>
    <w:p>
      <w:pPr>
        <w:pStyle w:val="BodyText"/>
      </w:pPr>
      <w:r>
        <w:rPr>
          <w:b/>
          <w:bCs/>
        </w:rPr>
        <w:t xml:space="preserve">Notes, Règles d’Or &amp; Pièges au Comptoir :</w:t>
      </w:r>
      <w:r>
        <w:t xml:space="preserve"> </w:t>
      </w:r>
      <w:r>
        <w:t xml:space="preserve">- Piège classique : Patient sous simvastatine 40 mg délivré en clarithromycine → rhabdomyolyse. Toujours demander les statines.</w:t>
      </w:r>
      <w:r>
        <w:t xml:space="preserve"> </w:t>
      </w:r>
      <w:r>
        <w:t xml:space="preserve">- Règle de prise : BID strict, à 12 h d’intervalle. Pas de pamplemousse (inhibiteur CYP3A4 additif).</w:t>
      </w:r>
      <w:r>
        <w:t xml:space="preserve"> </w:t>
      </w:r>
      <w:r>
        <w:t xml:space="preserve">- Préparation et Conservation : Suspension reconstituée stable 14 jours au réfrigérateur, agitation obligatoire avant chaque prise.</w:t>
      </w:r>
      <w:r>
        <w:t xml:space="preserve"> </w:t>
      </w:r>
      <w:r>
        <w:t xml:space="preserve">- Piège du surdosage / Substitution : Réduire la dose de moitié si ClCr &lt; 30 mL/min. Attention à la substitution ZECLAR ↔ générique (vérifier la forme et le dosage).</w:t>
      </w:r>
    </w:p>
    <w:p>
      <w:r>
        <w:pict>
          <v:rect style="width:0;height:1.5pt" o:hralign="center" o:hrstd="t" o:hr="t"/>
        </w:pict>
      </w:r>
    </w:p>
    <w:bookmarkEnd w:id="104"/>
    <w:bookmarkStart w:id="105" w:name="dci-spiramycine-seule"/>
    <w:p>
      <w:pPr>
        <w:pStyle w:val="Heading3"/>
      </w:pPr>
      <w:r>
        <w:t xml:space="preserve">4.1.4 DCI : Spiramycine (Seule)</w:t>
      </w:r>
    </w:p>
    <w:p>
      <w:pPr>
        <w:pStyle w:val="FirstParagraph"/>
      </w:pPr>
      <w:r>
        <w:rPr>
          <w:b/>
          <w:bCs/>
        </w:rPr>
        <w:t xml:space="preserve">Liste des Catégories :</w:t>
      </w:r>
      <w:r>
        <w:t xml:space="preserve"> </w:t>
      </w:r>
      <w:r>
        <w:t xml:space="preserve">Macrolide à 16 atomes — Listé Liste I — Formes orales (comprimés 1,5 et 3 MUI, sirop 0,375 MUI/5 mL).</w:t>
      </w:r>
    </w:p>
    <w:p>
      <w:pPr>
        <w:pStyle w:val="BodyText"/>
      </w:pPr>
      <w:r>
        <w:t xml:space="preserve">La spiramycine est un macrolide à 16 atomes isolé de</w:t>
      </w:r>
      <w:r>
        <w:t xml:space="preserve"> </w:t>
      </w:r>
      <w:r>
        <w:rPr>
          <w:i/>
          <w:iCs/>
        </w:rPr>
        <w:t xml:space="preserve">Streptomyces ambofaciens</w:t>
      </w:r>
      <w:r>
        <w:t xml:space="preserve">. Elle se distingue par une</w:t>
      </w:r>
      <w:r>
        <w:t xml:space="preserve"> </w:t>
      </w:r>
      <w:r>
        <w:rPr>
          <w:b/>
          <w:bCs/>
        </w:rPr>
        <w:t xml:space="preserve">absence d’inhibition du CYP3A4</w:t>
      </w:r>
      <w:r>
        <w:t xml:space="preserve"> </w:t>
      </w:r>
      <w:r>
        <w:t xml:space="preserve">(peu d’interactions), une excellente tolérance digestive et OT (pas d’effet allongement QT notable), une élimination biliaire et tissulaire majeure (concentrations tissulaires &gt; plasmatiques), et une activité particulièrement reconnue sur</w:t>
      </w:r>
      <w:r>
        <w:t xml:space="preserve"> </w:t>
      </w:r>
      <w:r>
        <w:rPr>
          <w:b/>
          <w:bCs/>
        </w:rPr>
        <w:t xml:space="preserve">Toxoplasma gondii</w:t>
      </w:r>
      <w:r>
        <w:t xml:space="preserve"> </w:t>
      </w:r>
      <w:r>
        <w:t xml:space="preserve">(indication de référence chez la femme enceinte pour prévenir la transmission materno-fœtale de la toxoplasmose). Son spectre antibactérien est un peu plus étroit que celui de l’érythromycine mais couvre les cocci Gram positif et les bactéries intracellulaires. Elle est très largement disponible en Algérie avec de nombreuses spécialités concurrentes.</w:t>
      </w:r>
    </w:p>
    <w:p>
      <w:pPr>
        <w:pStyle w:val="BodyText"/>
      </w:pPr>
      <w:r>
        <w:rPr>
          <w:b/>
          <w:bCs/>
        </w:rPr>
        <w:t xml:space="preserve">Médicaments disponibles en Algérie (Marques, Laboratoires, Formes et Dosages) :</w:t>
      </w:r>
    </w:p>
    <w:p>
      <w:pPr>
        <w:pStyle w:val="BodyText"/>
      </w:pPr>
      <w:r>
        <w:t xml:space="preserve">Comprimés pelliculés 1,5 MUI :</w:t>
      </w:r>
      <w:r>
        <w:t xml:space="preserve"> </w:t>
      </w:r>
      <w:r>
        <w:t xml:space="preserve">-</w:t>
      </w:r>
      <w:r>
        <w:t xml:space="preserve"> </w:t>
      </w:r>
      <w:r>
        <w:rPr>
          <w:b/>
          <w:bCs/>
        </w:rPr>
        <w:t xml:space="preserve">PRAMYCINE</w:t>
      </w:r>
      <w:r>
        <w:t xml:space="preserve"> </w:t>
      </w:r>
      <w:r>
        <w:t xml:space="preserve">(BIOGALENIC) — Actif</w:t>
      </w:r>
      <w:r>
        <w:t xml:space="preserve"> </w:t>
      </w:r>
      <w:r>
        <w:t xml:space="preserve">-</w:t>
      </w:r>
      <w:r>
        <w:t xml:space="preserve"> </w:t>
      </w:r>
      <w:r>
        <w:rPr>
          <w:b/>
          <w:bCs/>
        </w:rPr>
        <w:t xml:space="preserve">ROVAMYNE</w:t>
      </w:r>
      <w:r>
        <w:t xml:space="preserve"> </w:t>
      </w:r>
      <w:r>
        <w:t xml:space="preserve">(HUPP PHARMA) — Actif</w:t>
      </w:r>
      <w:r>
        <w:t xml:space="preserve"> </w:t>
      </w:r>
      <w:r>
        <w:t xml:space="preserve">-</w:t>
      </w:r>
      <w:r>
        <w:t xml:space="preserve"> </w:t>
      </w:r>
      <w:r>
        <w:rPr>
          <w:b/>
          <w:bCs/>
        </w:rPr>
        <w:t xml:space="preserve">SPIRA</w:t>
      </w:r>
      <w:r>
        <w:t xml:space="preserve"> </w:t>
      </w:r>
      <w:r>
        <w:t xml:space="preserve">(BIOPHARM) — Actif</w:t>
      </w:r>
      <w:r>
        <w:t xml:space="preserve"> </w:t>
      </w:r>
      <w:r>
        <w:t xml:space="preserve">-</w:t>
      </w:r>
      <w:r>
        <w:t xml:space="preserve"> </w:t>
      </w:r>
      <w:r>
        <w:rPr>
          <w:b/>
          <w:bCs/>
        </w:rPr>
        <w:t xml:space="preserve">SPIRACARE</w:t>
      </w:r>
      <w:r>
        <w:t xml:space="preserve"> </w:t>
      </w:r>
      <w:r>
        <w:t xml:space="preserve">(BIOCARE) — Actif</w:t>
      </w:r>
      <w:r>
        <w:t xml:space="preserve"> </w:t>
      </w:r>
      <w:r>
        <w:t xml:space="preserve">-</w:t>
      </w:r>
      <w:r>
        <w:t xml:space="preserve"> </w:t>
      </w:r>
      <w:r>
        <w:rPr>
          <w:b/>
          <w:bCs/>
        </w:rPr>
        <w:t xml:space="preserve">SPIRALEX</w:t>
      </w:r>
      <w:r>
        <w:t xml:space="preserve"> </w:t>
      </w:r>
      <w:r>
        <w:t xml:space="preserve">(LABORATOIRES MM) — Actif</w:t>
      </w:r>
      <w:r>
        <w:t xml:space="preserve"> </w:t>
      </w:r>
      <w:r>
        <w:t xml:space="preserve">-</w:t>
      </w:r>
      <w:r>
        <w:t xml:space="preserve"> </w:t>
      </w:r>
      <w:r>
        <w:rPr>
          <w:b/>
          <w:bCs/>
        </w:rPr>
        <w:t xml:space="preserve">SPIRAMEX</w:t>
      </w:r>
      <w:r>
        <w:t xml:space="preserve"> </w:t>
      </w:r>
      <w:r>
        <w:t xml:space="preserve">(KPMA BIOTIC) — Actif</w:t>
      </w:r>
      <w:r>
        <w:t xml:space="preserve"> </w:t>
      </w:r>
      <w:r>
        <w:t xml:space="preserve">-</w:t>
      </w:r>
      <w:r>
        <w:t xml:space="preserve"> </w:t>
      </w:r>
      <w:r>
        <w:rPr>
          <w:b/>
          <w:bCs/>
        </w:rPr>
        <w:t xml:space="preserve">ROVA NS</w:t>
      </w:r>
      <w:r>
        <w:t xml:space="preserve"> </w:t>
      </w:r>
      <w:r>
        <w:t xml:space="preserve">(PHARMIDAL NS) — Actif</w:t>
      </w:r>
      <w:r>
        <w:t xml:space="preserve"> </w:t>
      </w:r>
      <w:r>
        <w:t xml:space="preserve">-</w:t>
      </w:r>
      <w:r>
        <w:t xml:space="preserve"> </w:t>
      </w:r>
      <w:r>
        <w:rPr>
          <w:b/>
          <w:bCs/>
        </w:rPr>
        <w:t xml:space="preserve">SPIRAMYNAL</w:t>
      </w:r>
      <w:r>
        <w:t xml:space="preserve"> </w:t>
      </w:r>
      <w:r>
        <w:t xml:space="preserve">(SOPHAL) — Actif</w:t>
      </w:r>
      <w:r>
        <w:t xml:space="preserve"> </w:t>
      </w:r>
      <w:r>
        <w:t xml:space="preserve">-</w:t>
      </w:r>
      <w:r>
        <w:t xml:space="preserve"> </w:t>
      </w:r>
      <w:r>
        <w:rPr>
          <w:b/>
          <w:bCs/>
        </w:rPr>
        <w:t xml:space="preserve">ROVADAL</w:t>
      </w:r>
      <w:r>
        <w:t xml:space="preserve"> </w:t>
      </w:r>
      <w:r>
        <w:t xml:space="preserve">(GROUPE SAIDAL) — Non Renouvelable</w:t>
      </w:r>
      <w:r>
        <w:t xml:space="preserve"> </w:t>
      </w:r>
      <w:r>
        <w:t xml:space="preserve">-</w:t>
      </w:r>
      <w:r>
        <w:t xml:space="preserve"> </w:t>
      </w:r>
      <w:r>
        <w:rPr>
          <w:b/>
          <w:bCs/>
        </w:rPr>
        <w:t xml:space="preserve">DONTOMYCINE</w:t>
      </w:r>
      <w:r>
        <w:t xml:space="preserve"> </w:t>
      </w:r>
      <w:r>
        <w:t xml:space="preserve">(PHARMA 5) (R) — Retiré</w:t>
      </w:r>
      <w:r>
        <w:t xml:space="preserve"> </w:t>
      </w:r>
      <w:r>
        <w:t xml:space="preserve">-</w:t>
      </w:r>
      <w:r>
        <w:t xml:space="preserve"> </w:t>
      </w:r>
      <w:r>
        <w:rPr>
          <w:b/>
          <w:bCs/>
        </w:rPr>
        <w:t xml:space="preserve">ROVAMYCINE</w:t>
      </w:r>
      <w:r>
        <w:t xml:space="preserve"> </w:t>
      </w:r>
      <w:r>
        <w:t xml:space="preserve">(WINTHROP PHARMA SAIDAL) (R) — Retiré</w:t>
      </w:r>
    </w:p>
    <w:p>
      <w:pPr>
        <w:pStyle w:val="BodyText"/>
      </w:pPr>
      <w:r>
        <w:t xml:space="preserve">Comprimés pelliculés 3 MUI :</w:t>
      </w:r>
      <w:r>
        <w:t xml:space="preserve"> </w:t>
      </w:r>
      <w:r>
        <w:t xml:space="preserve">-</w:t>
      </w:r>
      <w:r>
        <w:t xml:space="preserve"> </w:t>
      </w:r>
      <w:r>
        <w:rPr>
          <w:b/>
          <w:bCs/>
        </w:rPr>
        <w:t xml:space="preserve">PRAMYCINE</w:t>
      </w:r>
      <w:r>
        <w:t xml:space="preserve"> </w:t>
      </w:r>
      <w:r>
        <w:t xml:space="preserve">(BIOGALENIC) — Actif (B/16)</w:t>
      </w:r>
      <w:r>
        <w:t xml:space="preserve"> </w:t>
      </w:r>
      <w:r>
        <w:t xml:space="preserve">-</w:t>
      </w:r>
      <w:r>
        <w:t xml:space="preserve"> </w:t>
      </w:r>
      <w:r>
        <w:rPr>
          <w:b/>
          <w:bCs/>
        </w:rPr>
        <w:t xml:space="preserve">ROVADAL</w:t>
      </w:r>
      <w:r>
        <w:t xml:space="preserve"> </w:t>
      </w:r>
      <w:r>
        <w:t xml:space="preserve">(GROUPE SAIDAL) — Actif (B/15 et B/10)</w:t>
      </w:r>
      <w:r>
        <w:t xml:space="preserve"> </w:t>
      </w:r>
      <w:r>
        <w:t xml:space="preserve">-</w:t>
      </w:r>
      <w:r>
        <w:t xml:space="preserve"> </w:t>
      </w:r>
      <w:r>
        <w:rPr>
          <w:b/>
          <w:bCs/>
        </w:rPr>
        <w:t xml:space="preserve">ROVAMYNE</w:t>
      </w:r>
      <w:r>
        <w:t xml:space="preserve"> </w:t>
      </w:r>
      <w:r>
        <w:t xml:space="preserve">(HUPP PHARMA) — Actif (B/10)</w:t>
      </w:r>
      <w:r>
        <w:t xml:space="preserve"> </w:t>
      </w:r>
      <w:r>
        <w:t xml:space="preserve">-</w:t>
      </w:r>
      <w:r>
        <w:t xml:space="preserve"> </w:t>
      </w:r>
      <w:r>
        <w:rPr>
          <w:b/>
          <w:bCs/>
        </w:rPr>
        <w:t xml:space="preserve">SPIRA</w:t>
      </w:r>
      <w:r>
        <w:t xml:space="preserve"> </w:t>
      </w:r>
      <w:r>
        <w:t xml:space="preserve">(BIOPHARM) — Actif (B/10)</w:t>
      </w:r>
      <w:r>
        <w:t xml:space="preserve"> </w:t>
      </w:r>
      <w:r>
        <w:t xml:space="preserve">-</w:t>
      </w:r>
      <w:r>
        <w:t xml:space="preserve"> </w:t>
      </w:r>
      <w:r>
        <w:rPr>
          <w:b/>
          <w:bCs/>
        </w:rPr>
        <w:t xml:space="preserve">SPIRACARE</w:t>
      </w:r>
      <w:r>
        <w:t xml:space="preserve"> </w:t>
      </w:r>
      <w:r>
        <w:t xml:space="preserve">(BIOCARE) — Actif (B/10)</w:t>
      </w:r>
      <w:r>
        <w:t xml:space="preserve"> </w:t>
      </w:r>
      <w:r>
        <w:t xml:space="preserve">-</w:t>
      </w:r>
      <w:r>
        <w:t xml:space="preserve"> </w:t>
      </w:r>
      <w:r>
        <w:rPr>
          <w:b/>
          <w:bCs/>
        </w:rPr>
        <w:t xml:space="preserve">SPIRALEX</w:t>
      </w:r>
      <w:r>
        <w:t xml:space="preserve"> </w:t>
      </w:r>
      <w:r>
        <w:t xml:space="preserve">(LABORATOIRES MM) — Actif (B/10)</w:t>
      </w:r>
      <w:r>
        <w:t xml:space="preserve"> </w:t>
      </w:r>
      <w:r>
        <w:t xml:space="preserve">-</w:t>
      </w:r>
      <w:r>
        <w:t xml:space="preserve"> </w:t>
      </w:r>
      <w:r>
        <w:rPr>
          <w:b/>
          <w:bCs/>
        </w:rPr>
        <w:t xml:space="preserve">ROVA NS</w:t>
      </w:r>
      <w:r>
        <w:t xml:space="preserve"> </w:t>
      </w:r>
      <w:r>
        <w:t xml:space="preserve">(PHARMIDAL NS) — Actif (B/10)</w:t>
      </w:r>
      <w:r>
        <w:t xml:space="preserve"> </w:t>
      </w:r>
      <w:r>
        <w:t xml:space="preserve">-</w:t>
      </w:r>
      <w:r>
        <w:t xml:space="preserve"> </w:t>
      </w:r>
      <w:r>
        <w:rPr>
          <w:b/>
          <w:bCs/>
        </w:rPr>
        <w:t xml:space="preserve">SPIRAMEX</w:t>
      </w:r>
      <w:r>
        <w:t xml:space="preserve"> </w:t>
      </w:r>
      <w:r>
        <w:t xml:space="preserve">(KPMA BIOTIC) — Actif (B/10)</w:t>
      </w:r>
      <w:r>
        <w:t xml:space="preserve"> </w:t>
      </w:r>
      <w:r>
        <w:t xml:space="preserve">-</w:t>
      </w:r>
      <w:r>
        <w:t xml:space="preserve"> </w:t>
      </w:r>
      <w:r>
        <w:rPr>
          <w:b/>
          <w:bCs/>
        </w:rPr>
        <w:t xml:space="preserve">SPIRAMYNAL</w:t>
      </w:r>
      <w:r>
        <w:t xml:space="preserve"> </w:t>
      </w:r>
      <w:r>
        <w:t xml:space="preserve">(SOPHAL) — Actif (B/10)</w:t>
      </w:r>
      <w:r>
        <w:t xml:space="preserve"> </w:t>
      </w:r>
      <w:r>
        <w:t xml:space="preserve">-</w:t>
      </w:r>
      <w:r>
        <w:t xml:space="preserve"> </w:t>
      </w:r>
      <w:r>
        <w:rPr>
          <w:b/>
          <w:bCs/>
        </w:rPr>
        <w:t xml:space="preserve">DONTOMYCINE</w:t>
      </w:r>
      <w:r>
        <w:t xml:space="preserve"> </w:t>
      </w:r>
      <w:r>
        <w:t xml:space="preserve">(PHARMA 5) (R) — Retiré</w:t>
      </w:r>
      <w:r>
        <w:t xml:space="preserve"> </w:t>
      </w:r>
      <w:r>
        <w:t xml:space="preserve">-</w:t>
      </w:r>
      <w:r>
        <w:t xml:space="preserve"> </w:t>
      </w:r>
      <w:r>
        <w:rPr>
          <w:b/>
          <w:bCs/>
        </w:rPr>
        <w:t xml:space="preserve">ROVAMYCINE</w:t>
      </w:r>
      <w:r>
        <w:t xml:space="preserve"> </w:t>
      </w:r>
      <w:r>
        <w:t xml:space="preserve">(WINTHROP PHARMA SAIDAL) (R) — Retiré (comprimé sécable)</w:t>
      </w:r>
    </w:p>
    <w:p>
      <w:pPr>
        <w:pStyle w:val="BodyText"/>
      </w:pPr>
      <w:r>
        <w:t xml:space="preserve">Sirop 0,375 MUI/5 mL :</w:t>
      </w:r>
      <w:r>
        <w:t xml:space="preserve"> </w:t>
      </w:r>
      <w:r>
        <w:t xml:space="preserve">-</w:t>
      </w:r>
      <w:r>
        <w:t xml:space="preserve"> </w:t>
      </w:r>
      <w:r>
        <w:rPr>
          <w:b/>
          <w:bCs/>
        </w:rPr>
        <w:t xml:space="preserve">ROVADAL</w:t>
      </w:r>
      <w:r>
        <w:t xml:space="preserve"> </w:t>
      </w:r>
      <w:r>
        <w:t xml:space="preserve">(GROUPE SAIDAL) — Sirop flacon 150 mL — Actif</w:t>
      </w:r>
      <w:r>
        <w:t xml:space="preserve"> </w:t>
      </w:r>
      <w:r>
        <w:t xml:space="preserve">-</w:t>
      </w:r>
      <w:r>
        <w:t xml:space="preserve"> </w:t>
      </w:r>
      <w:r>
        <w:rPr>
          <w:b/>
          <w:bCs/>
        </w:rPr>
        <w:t xml:space="preserve">SPIRAMYCINE AFRO</w:t>
      </w:r>
      <w:r>
        <w:t xml:space="preserve"> </w:t>
      </w:r>
      <w:r>
        <w:t xml:space="preserve">(AFROPHARM SPA) — Actif</w:t>
      </w:r>
      <w:r>
        <w:t xml:space="preserve"> </w:t>
      </w:r>
      <w:r>
        <w:t xml:space="preserve">-</w:t>
      </w:r>
      <w:r>
        <w:t xml:space="preserve"> </w:t>
      </w:r>
      <w:r>
        <w:rPr>
          <w:b/>
          <w:bCs/>
        </w:rPr>
        <w:t xml:space="preserve">SPIRAMYCINE ISO</w:t>
      </w:r>
      <w:r>
        <w:t xml:space="preserve"> </w:t>
      </w:r>
      <w:r>
        <w:t xml:space="preserve">(ISOPHARM ALGERIE) — Actif</w:t>
      </w:r>
      <w:r>
        <w:t xml:space="preserve"> </w:t>
      </w:r>
      <w:r>
        <w:t xml:space="preserve">-</w:t>
      </w:r>
      <w:r>
        <w:t xml:space="preserve"> </w:t>
      </w:r>
      <w:r>
        <w:rPr>
          <w:b/>
          <w:bCs/>
        </w:rPr>
        <w:t xml:space="preserve">ROVAMYCINE</w:t>
      </w:r>
      <w:r>
        <w:t xml:space="preserve"> </w:t>
      </w:r>
      <w:r>
        <w:t xml:space="preserve">(AVENTIS PHARMA) (R) — Sirop nourrisson/enfant — Retiré</w:t>
      </w:r>
    </w:p>
    <w:p>
      <w:pPr>
        <w:pStyle w:val="BodyText"/>
      </w:pPr>
      <w:r>
        <w:rPr>
          <w:b/>
          <w:bCs/>
        </w:rPr>
        <w:t xml:space="preserve">Sous-classe et Mécanisme d’action :</w:t>
      </w:r>
      <w:r>
        <w:t xml:space="preserve"> </w:t>
      </w:r>
      <w:r>
        <w:t xml:space="preserve">- Sous-classe : Macrolide naturel à 16 atomes, sans métabolite actif majeur. L’absence de groupement cladinose (vs érythromycine) limite l’inactivation acide et la formation de métabolites hépatotoxiques.</w:t>
      </w:r>
      <w:r>
        <w:t xml:space="preserve"> </w:t>
      </w:r>
      <w:r>
        <w:t xml:space="preserve">- Mécanisme d’action : Bactériostatique. Liaison à la sous-unité 50S ribosomale, site A, inhibition de la translocation. Spectre légèrement différent : moins actif sur le streptocoque A que l’érythromycine mais actif sur Toxoplasma gondii, Mycoplasma, Chlamydia, Legionella, Treponema pallidum.</w:t>
      </w:r>
    </w:p>
    <w:p>
      <w:pPr>
        <w:pStyle w:val="BodyText"/>
      </w:pPr>
      <w:r>
        <w:rPr>
          <w:b/>
          <w:bCs/>
        </w:rPr>
        <w:t xml:space="preserve">Profil Pharmacologique :</w:t>
      </w:r>
      <w:r>
        <w:t xml:space="preserve"> </w:t>
      </w:r>
      <w:r>
        <w:t xml:space="preserve">- Indications :</w:t>
      </w:r>
      <w:r>
        <w:t xml:space="preserve"> </w:t>
      </w:r>
      <w:r>
        <w:rPr>
          <w:b/>
          <w:bCs/>
        </w:rPr>
        <w:t xml:space="preserve">Toxoplasmose gravidique</w:t>
      </w:r>
      <w:r>
        <w:t xml:space="preserve"> </w:t>
      </w:r>
      <w:r>
        <w:t xml:space="preserve">(indication princeps — prévention de la transmission materno-fœtale, 3 MUI × 2/j pendant toute la grossesse dès la séroconversion) ; toxoplasmose oculaire et cérébrale (alternative chez immunodéprimé) ; pneumopathies atypiques ; infections ORL et stomatologiques (aphtose, infections parodontales) ; coqueluche ; chlamydioses ; alternative à la pénicilline V dans l’angine de l’enfant.</w:t>
      </w:r>
      <w:r>
        <w:t xml:space="preserve"> </w:t>
      </w:r>
      <w:r>
        <w:t xml:space="preserve">- Contre-indications : Allergie macrolides. Insuffisance hépatique sévère. Pas d’allongement QT notable (avantage).</w:t>
      </w:r>
      <w:r>
        <w:t xml:space="preserve"> </w:t>
      </w:r>
      <w:r>
        <w:t xml:space="preserve">- Effets Indésirables : Très bien tolérée. Troubles digestifs mineurs (nausées, diarrhée) moins fréquents qu’avec l’érythromycine ; éruptions cutanées bénignes ; augmentation transitoire des transaminases ; colite C. difficile rare.</w:t>
      </w:r>
      <w:r>
        <w:t xml:space="preserve"> </w:t>
      </w:r>
      <w:r>
        <w:rPr>
          <w:b/>
          <w:bCs/>
        </w:rPr>
        <w:t xml:space="preserve">Pas deffet QT notable</w:t>
      </w:r>
      <w:r>
        <w:t xml:space="preserve">,</w:t>
      </w:r>
      <w:r>
        <w:t xml:space="preserve"> </w:t>
      </w:r>
      <w:r>
        <w:rPr>
          <w:b/>
          <w:bCs/>
        </w:rPr>
        <w:t xml:space="preserve">pas d’inhibition CYP3A4</w:t>
      </w:r>
      <w:r>
        <w:t xml:space="preserve"> </w:t>
      </w:r>
      <w:r>
        <w:t xml:space="preserve">(avantage majeur chez le patient polymédiqué).</w:t>
      </w:r>
    </w:p>
    <w:p>
      <w:pPr>
        <w:pStyle w:val="BodyText"/>
      </w:pPr>
      <w:r>
        <w:rPr>
          <w:b/>
          <w:bCs/>
        </w:rPr>
        <w:t xml:space="preserve">Prévention et Gestion des Effets Indésirables :</w:t>
      </w:r>
      <w:r>
        <w:t xml:space="preserve"> </w:t>
      </w:r>
      <w:r>
        <w:t xml:space="preserve">- Mesures Préventives : Aucune mesure particulière en dehors d’une surveillance hépatique si traitement prolongé (toxoplasmose gravidique : contrôle ASAT/ALAT mensuel). Information du patient sur la tolérance habituellement bonne.</w:t>
      </w:r>
      <w:r>
        <w:t xml:space="preserve"> </w:t>
      </w:r>
      <w:r>
        <w:t xml:space="preserve">- Conduite à Tenir : Arrêt rarement nécessaire. En cas de diarrhée persistante ou de rash : réévaluation.</w:t>
      </w:r>
    </w:p>
    <w:p>
      <w:pPr>
        <w:pStyle w:val="BodyText"/>
      </w:pPr>
      <w:r>
        <w:rPr>
          <w:b/>
          <w:bCs/>
        </w:rPr>
        <w:t xml:space="preserve">Interactions Importantes :</w:t>
      </w:r>
      <w:r>
        <w:t xml:space="preserve"> </w:t>
      </w:r>
      <w:r>
        <w:t xml:space="preserve">-</w:t>
      </w:r>
      <w:r>
        <w:t xml:space="preserve"> </w:t>
      </w:r>
      <w:r>
        <w:rPr>
          <w:b/>
          <w:bCs/>
        </w:rPr>
        <w:t xml:space="preserve">Antiparkinsoniens dopaminergiques (lévodopa)</w:t>
      </w:r>
      <w:r>
        <w:t xml:space="preserve"> </w:t>
      </w:r>
      <w:r>
        <w:t xml:space="preserve">: La spiramycine peut diminuer l’absorption de la lévodopa (modification du pH gastrique).</w:t>
      </w:r>
      <w:r>
        <w:t xml:space="preserve"> </w:t>
      </w:r>
      <w:r>
        <w:t xml:space="preserve">-</w:t>
      </w:r>
      <w:r>
        <w:t xml:space="preserve"> </w:t>
      </w:r>
      <w:r>
        <w:rPr>
          <w:b/>
          <w:bCs/>
        </w:rPr>
        <w:t xml:space="preserve">Anticoagulants oraux</w:t>
      </w:r>
      <w:r>
        <w:t xml:space="preserve"> </w:t>
      </w:r>
      <w:r>
        <w:t xml:space="preserve">: Interaction faible mais surveillance INR (modification flore).</w:t>
      </w:r>
      <w:r>
        <w:t xml:space="preserve"> </w:t>
      </w:r>
      <w:r>
        <w:t xml:space="preserve">-</w:t>
      </w:r>
      <w:r>
        <w:t xml:space="preserve"> </w:t>
      </w:r>
      <w:r>
        <w:rPr>
          <w:b/>
          <w:bCs/>
        </w:rPr>
        <w:t xml:space="preserve">Contraceptifs oraux estroprogestatifs</w:t>
      </w:r>
      <w:r>
        <w:t xml:space="preserve"> </w:t>
      </w:r>
      <w:r>
        <w:t xml:space="preserve">: Diminution théorique d’efficacité (modification flore intestinale, recyclage entérohépatique des estrogènes) — discuter méthode complémentaire si traitement long.</w:t>
      </w:r>
      <w:r>
        <w:t xml:space="preserve"> </w:t>
      </w:r>
      <w:r>
        <w:t xml:space="preserve">- Pas d’interaction avec le CYP3A4 (avantage majeur vs érythromycine et clarithromycine) : pas de risque avec les statines, les dérivés de l’ergot, les benzodiazépines, etc.</w:t>
      </w:r>
    </w:p>
    <w:p>
      <w:pPr>
        <w:pStyle w:val="BodyText"/>
      </w:pPr>
      <w:r>
        <w:rPr>
          <w:b/>
          <w:bCs/>
        </w:rPr>
        <w:t xml:space="preserve">Grossesse et Allaitement :</w:t>
      </w:r>
      <w:r>
        <w:t xml:space="preserve"> </w:t>
      </w:r>
      <w:r>
        <w:t xml:space="preserve">- Grossesse : Macrolide de choix chez la femme enceinte (CRAT : données rassurantes, utilisation massive dans la toxoplasmose gravidique depuis les années 1970 sans effet malformatif ni fœtotoxique rapporté). Autorisé sur tous les trimestres.</w:t>
      </w:r>
      <w:r>
        <w:t xml:space="preserve"> </w:t>
      </w:r>
      <w:r>
        <w:t xml:space="preserve">- Allaitement : Autorisé (passage dans le lait mais doses faibles, tolérance bonne). Surveillance de l’enfant (transit).</w:t>
      </w:r>
      <w:r>
        <w:t xml:space="preserve"> </w:t>
      </w:r>
      <w:r>
        <w:t xml:space="preserve">- Précisions : C’est le macrolide de référence pour le traitement de la toxoplasmose acquise au cours de la grossesse, prescrit jusqu’à l’accouchement (3 MUI × 2/j). En cas de toxoplasmose cérébrale chez patient VIH : pyriméthamine + sulfadiazine + spiramycine en alternative.</w:t>
      </w:r>
    </w:p>
    <w:p>
      <w:pPr>
        <w:pStyle w:val="BodyText"/>
      </w:pPr>
      <w:r>
        <w:rPr>
          <w:b/>
          <w:bCs/>
        </w:rPr>
        <w:t xml:space="preserve">Posologie et Mode d’administration (Standard) :</w:t>
      </w:r>
      <w:r>
        <w:t xml:space="preserve"> </w:t>
      </w:r>
      <w:r>
        <w:t xml:space="preserve">- Adulte : 1,5 à 3 MUI × 2 à 3/jour (soit 4,5 à 9 MUI/jour). Pour toxoplasmose gravidique : 3 MUI × 2/jour (6 MUI/j) pendant toute la grossesse. Pour infection ORL : 1,5 MUI × 2 à 3/j × 7 jours.</w:t>
      </w:r>
      <w:r>
        <w:t xml:space="preserve"> </w:t>
      </w:r>
      <w:r>
        <w:t xml:space="preserve">- Enfant : 50 000 UI/kg × 2 à 3/jour. Sirop 0,375 MUI/5 mL particulièrement adapté. Exemple nourrisson 5 kg : 250 000 UI × 2/j = 3,3 mL × 2/j.</w:t>
      </w:r>
      <w:r>
        <w:t xml:space="preserve"> </w:t>
      </w:r>
      <w:r>
        <w:t xml:space="preserve">- Durée : Variable selon indication. Toxoplasmose gravidique : traitement continu jusqu’à l’accouchement. Infections ORL : 7 jours. Pneumopathie atypique : 7 à 14 jours.</w:t>
      </w:r>
      <w:r>
        <w:t xml:space="preserve"> </w:t>
      </w:r>
      <w:r>
        <w:t xml:space="preserve">- Moment de prise : À distance des repas (l’absorption est diminuée si prise concomitante avec un repas riche en graisses). En pratique, prendre 1 h avant ou 2 h après le repas.</w:t>
      </w:r>
    </w:p>
    <w:p>
      <w:pPr>
        <w:pStyle w:val="BodyText"/>
      </w:pPr>
      <w:r>
        <w:rPr>
          <w:b/>
          <w:bCs/>
        </w:rPr>
        <w:t xml:space="preserve">Arbitrage et Bénéfices des Formes Galéniques :</w:t>
      </w:r>
      <w:r>
        <w:t xml:space="preserve"> </w:t>
      </w:r>
      <w:r>
        <w:t xml:space="preserve">La spiramycine bénéficie d’une riche palette galénique en Algérie : comprimés 1,5 et 3 MUI pour adultes et grands enfants, sirop 0,375 MUI/5 mL pour le nourrisson et l’enfant. La disponibilité de la spécialité princeps (ROVAMYCINE) a été remplacée par de nombreuses génériques (ROVADAL, SPIRA, ROVAMYNE, etc.). Le sirop est particulièrement adapté à la prophylaxie toxoplasmose du nourrisson. La biodisponibilité orale est modeste (30 à 40 %) mais largement compensée par l’importante distribution tissulaire (foie, poumon, placenta — concentrations × 5 à 20 par rapport au plasma). Pas de forme IV disponible en Algérie.</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Ce médicament se prend à jeun ou à distance des repas. Pour la femme enceinte (toxoplasmose), le traitement doit être pris tous les jours jusqu’à l’accouchement, sans interruption. C’est un antibiotique généralement bien toléré.</w:t>
      </w:r>
      <w:r>
        <w:t xml:space="preserve">”</w:t>
      </w:r>
      <w:r>
        <w:t xml:space="preserve"> </w:t>
      </w:r>
      <w:r>
        <w:t xml:space="preserve">- Mode d’utilisation pratique : Comprimés à avaler entiers avec un grand verre d’eau. Sirop : bien agiter, utiliser la cuillère doseuse. En cas d’oubli, prendre dès que possible et continuer le schéma. Ne jamais interrompre brutalement le traitement de la toxoplasmose gravidique sans avis médical.</w:t>
      </w:r>
    </w:p>
    <w:p>
      <w:pPr>
        <w:pStyle w:val="BodyText"/>
      </w:pPr>
      <w:r>
        <w:rPr>
          <w:b/>
          <w:bCs/>
        </w:rPr>
        <w:t xml:space="preserve">Notes, Règles d’Or &amp; Pièges au Comptoir :</w:t>
      </w:r>
      <w:r>
        <w:t xml:space="preserve"> </w:t>
      </w:r>
      <w:r>
        <w:t xml:space="preserve">- Piège classique : Penser que tous les macrolides sont équivalents chez la femme enceinte — non, la spiramycine est le macrolide de choix dans la toxoplasmose gravidique ; clarithromycine déconseillée au 1er trimestre.</w:t>
      </w:r>
      <w:r>
        <w:t xml:space="preserve"> </w:t>
      </w:r>
      <w:r>
        <w:t xml:space="preserve">- Règle de prise : À distance des repas (meilleure absorption).</w:t>
      </w:r>
      <w:r>
        <w:t xml:space="preserve"> </w:t>
      </w:r>
      <w:r>
        <w:t xml:space="preserve">- Préparation et Conservation : Sirop prêt à l’emploi, conservation à température ambiante &lt; 25 °C, durée de validité après ouverture 30 jours (vérifier notice).</w:t>
      </w:r>
      <w:r>
        <w:t xml:space="preserve"> </w:t>
      </w:r>
      <w:r>
        <w:t xml:space="preserve">- Piège du surdosage / Substitution : Vérifier la prescription en MUI (millions d’unités internationales) et non en mg. Ne pas confondre 1,5 et 3 MUI. Toujours préciser le dosage lors de la substitution.</w:t>
      </w:r>
    </w:p>
    <w:p>
      <w:r>
        <w:pict>
          <v:rect style="width:0;height:1.5pt" o:hralign="center" o:hrstd="t" o:hr="t"/>
        </w:pict>
      </w:r>
    </w:p>
    <w:bookmarkEnd w:id="105"/>
    <w:bookmarkStart w:id="106" w:name="dci-josamycine-seule"/>
    <w:p>
      <w:pPr>
        <w:pStyle w:val="Heading3"/>
      </w:pPr>
      <w:r>
        <w:t xml:space="preserve">4.1.5 DCI : Josamycine (Seule)</w:t>
      </w:r>
    </w:p>
    <w:p>
      <w:pPr>
        <w:pStyle w:val="FirstParagraph"/>
      </w:pPr>
      <w:r>
        <w:rPr>
          <w:b/>
          <w:bCs/>
        </w:rPr>
        <w:t xml:space="preserve">Liste des Catégories :</w:t>
      </w:r>
      <w:r>
        <w:t xml:space="preserve"> </w:t>
      </w:r>
      <w:r>
        <w:t xml:space="preserve">Macrolide à 16 atomes — Listé Liste I — Formes orales (sachets, granulés pour suspension, comprimés).</w:t>
      </w:r>
    </w:p>
    <w:p>
      <w:pPr>
        <w:pStyle w:val="BodyText"/>
      </w:pPr>
      <w:r>
        <w:t xml:space="preserve">La josamycine est un macrolide naturel à 16 atomes isolé de</w:t>
      </w:r>
      <w:r>
        <w:t xml:space="preserve"> </w:t>
      </w:r>
      <w:r>
        <w:rPr>
          <w:i/>
          <w:iCs/>
        </w:rPr>
        <w:t xml:space="preserve">Streptomyces josamyceticus</w:t>
      </w:r>
      <w:r>
        <w:t xml:space="preserve">. Comme la spiramycine, elle présente une bonne tolérance digestive, une absence d’inhibition significative du CYP3A4 et un effet QT négligeable. Son spectre couvre les cocci Gram positif, les bactéries atypiques respiratoires et les germes intracellulaires. Historiquement très prescrite en pédiatrie française (JOSACINE princeps), elle est actuellement peu disponible en Algérie (toutes les spécialités sont retirées ou non renouvelées). Elle reste une alternative intéressante en cas d’allergie ou d’intolérance à l’érythromycine.</w:t>
      </w:r>
    </w:p>
    <w:p>
      <w:pPr>
        <w:pStyle w:val="BodyText"/>
      </w:pPr>
      <w:r>
        <w:rPr>
          <w:b/>
          <w:bCs/>
        </w:rPr>
        <w:t xml:space="preserve">Médicaments disponibles en Algérie (Marques, Laboratoires, Formes et Dosages) :</w:t>
      </w:r>
    </w:p>
    <w:p>
      <w:pPr>
        <w:pStyle w:val="Compact"/>
        <w:numPr>
          <w:ilvl w:val="0"/>
          <w:numId w:val="1298"/>
        </w:numPr>
      </w:pPr>
      <w:r>
        <w:rPr>
          <w:b/>
          <w:bCs/>
        </w:rPr>
        <w:t xml:space="preserve">JOSACINE</w:t>
      </w:r>
      <w:r>
        <w:t xml:space="preserve"> </w:t>
      </w:r>
      <w:r>
        <w:t xml:space="preserve">(RHONE POULENC RORER) — Non Renouvelable</w:t>
      </w:r>
    </w:p>
    <w:p>
      <w:pPr>
        <w:pStyle w:val="Compact"/>
        <w:numPr>
          <w:ilvl w:val="1"/>
          <w:numId w:val="1299"/>
        </w:numPr>
      </w:pPr>
      <w:r>
        <w:t xml:space="preserve">Formes et Dosages : Poudre orale en sachet 250 mg, boîte de 12 ; Poudre orale en sachet 500 mg, boîte de 12</w:t>
      </w:r>
    </w:p>
    <w:p>
      <w:pPr>
        <w:pStyle w:val="Compact"/>
        <w:numPr>
          <w:ilvl w:val="0"/>
          <w:numId w:val="1298"/>
        </w:numPr>
      </w:pPr>
      <w:r>
        <w:rPr>
          <w:b/>
          <w:bCs/>
        </w:rPr>
        <w:t xml:space="preserve">JOSACINE</w:t>
      </w:r>
      <w:r>
        <w:t xml:space="preserve"> </w:t>
      </w:r>
      <w:r>
        <w:t xml:space="preserve">(ASTELLAS PHARMA) (R)</w:t>
      </w:r>
    </w:p>
    <w:p>
      <w:pPr>
        <w:pStyle w:val="Compact"/>
        <w:numPr>
          <w:ilvl w:val="1"/>
          <w:numId w:val="1300"/>
        </w:numPr>
      </w:pPr>
      <w:r>
        <w:t xml:space="preserve">Formes et Dosages : Granulé en suspension buvable 125 mg/5 mL, flacon 60 mL (15 g) avec seringue ; Granulé en suspension buvable 250 mg/5 mL, flacon 60 mL ; Granulé en suspension buvable 500 mg/5 mL, flacon 60 mL ; Comprimé pelliculé 500 mg, boîte de 20</w:t>
      </w:r>
    </w:p>
    <w:p>
      <w:pPr>
        <w:pStyle w:val="Compact"/>
        <w:numPr>
          <w:ilvl w:val="1"/>
          <w:numId w:val="1300"/>
        </w:numPr>
      </w:pPr>
      <w:r>
        <w:t xml:space="preserve">Statut : Retiré</w:t>
      </w:r>
    </w:p>
    <w:p>
      <w:pPr>
        <w:pStyle w:val="FirstParagraph"/>
      </w:pPr>
      <w:r>
        <w:rPr>
          <w:b/>
          <w:bCs/>
        </w:rPr>
        <w:t xml:space="preserve">Sous-classe et Mécanisme d’action :</w:t>
      </w:r>
      <w:r>
        <w:t xml:space="preserve"> </w:t>
      </w:r>
      <w:r>
        <w:t xml:space="preserve">- Sous-classe : Macrolide naturel à 16 atomes. Bonne diffusion tissulaire, en particulier pulmonaire, ORL, stomatologique et prostatique.</w:t>
      </w:r>
      <w:r>
        <w:t xml:space="preserve"> </w:t>
      </w:r>
      <w:r>
        <w:t xml:space="preserve">- Mécanisme d’action : Bactériostatique. Liaison sous-unité 50S, site A, inhibition translocation peptidyl-ARNt. Spectre identique à la spiramycine.</w:t>
      </w:r>
    </w:p>
    <w:p>
      <w:pPr>
        <w:pStyle w:val="BodyText"/>
      </w:pPr>
      <w:r>
        <w:rPr>
          <w:b/>
          <w:bCs/>
        </w:rPr>
        <w:t xml:space="preserve">Profil Pharmacologique :</w:t>
      </w:r>
      <w:r>
        <w:t xml:space="preserve"> </w:t>
      </w:r>
      <w:r>
        <w:t xml:space="preserve">- Indications : Infections ORL et bronchopulmonaires (angine, sinusite, otite, bronchite, pneumopathie atypique), infections stomatologiques, infections génitales à Chlamydia et Mycoplasma, infections cutanées bénignes, coqueluche, infections à</w:t>
      </w:r>
      <w:r>
        <w:t xml:space="preserve"> </w:t>
      </w:r>
      <w:r>
        <w:rPr>
          <w:i/>
          <w:iCs/>
        </w:rPr>
        <w:t xml:space="preserve">Ureaplasma</w:t>
      </w:r>
      <w:r>
        <w:t xml:space="preserve">.</w:t>
      </w:r>
      <w:r>
        <w:t xml:space="preserve"> </w:t>
      </w:r>
      <w:r>
        <w:t xml:space="preserve">- Contre-indications : Allergie macrolides, insuffisance hépatique sévère.</w:t>
      </w:r>
      <w:r>
        <w:t xml:space="preserve"> </w:t>
      </w:r>
      <w:r>
        <w:t xml:space="preserve">- Effets Indésirables : Très bien tolérée. Troubles digestifs mineurs (nausées, diarrhée), rash cutané rare, augmentation transitoire des transaminases, candidose orale en cas d’usage prolongé. Pas d’effet QT notable, pas d’inhibition CYP3A4.</w:t>
      </w:r>
    </w:p>
    <w:p>
      <w:pPr>
        <w:pStyle w:val="BodyText"/>
      </w:pPr>
      <w:r>
        <w:rPr>
          <w:b/>
          <w:bCs/>
        </w:rPr>
        <w:t xml:space="preserve">Prévention et Gestion des Effets Indésirables :</w:t>
      </w:r>
      <w:r>
        <w:t xml:space="preserve"> </w:t>
      </w:r>
      <w:r>
        <w:t xml:space="preserve">- Mesures Préventives : Prise au cours des repas pour limiter l’intolérance gastrique ; surveillance hépatique si traitement prolongé.</w:t>
      </w:r>
      <w:r>
        <w:t xml:space="preserve"> </w:t>
      </w:r>
      <w:r>
        <w:t xml:space="preserve">- Conduite à Tenir : Arrêt en cas d’ictère, de diarrhée persistante ou de rash étendu.</w:t>
      </w:r>
    </w:p>
    <w:p>
      <w:pPr>
        <w:pStyle w:val="BodyText"/>
      </w:pPr>
      <w:r>
        <w:rPr>
          <w:b/>
          <w:bCs/>
        </w:rPr>
        <w:t xml:space="preserve">Interactions Importantes :</w:t>
      </w:r>
      <w:r>
        <w:t xml:space="preserve"> </w:t>
      </w:r>
      <w:r>
        <w:t xml:space="preserve">-</w:t>
      </w:r>
      <w:r>
        <w:t xml:space="preserve"> </w:t>
      </w:r>
      <w:r>
        <w:rPr>
          <w:b/>
          <w:bCs/>
        </w:rPr>
        <w:t xml:space="preserve">Anticoagulants oraux</w:t>
      </w:r>
      <w:r>
        <w:t xml:space="preserve"> </w:t>
      </w:r>
      <w:r>
        <w:t xml:space="preserve">: Interaction faible, surveillance INR.</w:t>
      </w:r>
      <w:r>
        <w:t xml:space="preserve"> </w:t>
      </w:r>
      <w:r>
        <w:t xml:space="preserve">-</w:t>
      </w:r>
      <w:r>
        <w:t xml:space="preserve"> </w:t>
      </w:r>
      <w:r>
        <w:rPr>
          <w:b/>
          <w:bCs/>
        </w:rPr>
        <w:t xml:space="preserve">Ergotamine, dihydroergotamine</w:t>
      </w:r>
      <w:r>
        <w:t xml:space="preserve"> </w:t>
      </w:r>
      <w:r>
        <w:t xml:space="preserve">: Prudence théorique mais interaction faible (pas d’inhibition CYP3A4 significative).</w:t>
      </w:r>
      <w:r>
        <w:t xml:space="preserve"> </w:t>
      </w:r>
      <w:r>
        <w:t xml:space="preserve">-</w:t>
      </w:r>
      <w:r>
        <w:t xml:space="preserve"> </w:t>
      </w:r>
      <w:r>
        <w:rPr>
          <w:b/>
          <w:bCs/>
        </w:rPr>
        <w:t xml:space="preserve">Contraceptifs oraux</w:t>
      </w:r>
      <w:r>
        <w:t xml:space="preserve"> </w:t>
      </w:r>
      <w:r>
        <w:t xml:space="preserve">: Diminution théorique de l’efficacité en cas d’usage prolongé.</w:t>
      </w:r>
      <w:r>
        <w:t xml:space="preserve"> </w:t>
      </w:r>
      <w:r>
        <w:t xml:space="preserve">- Peu d’interactions significatives — avantage par rapport à l’érythromycine.</w:t>
      </w:r>
    </w:p>
    <w:p>
      <w:pPr>
        <w:pStyle w:val="BodyText"/>
      </w:pPr>
      <w:r>
        <w:rPr>
          <w:b/>
          <w:bCs/>
        </w:rPr>
        <w:t xml:space="preserve">Grossesse et Allaitement :</w:t>
      </w:r>
      <w:r>
        <w:t xml:space="preserve"> </w:t>
      </w:r>
      <w:r>
        <w:t xml:space="preserve">- Grossesse : Données limitées, en pratique autorisée si nécessaire. Préférer spiramycine ou érythromycine si disponible.</w:t>
      </w:r>
      <w:r>
        <w:t xml:space="preserve"> </w:t>
      </w:r>
      <w:r>
        <w:t xml:space="preserve">- Allaitement : Autorisée en cas de nécessité (données limitées mais rassurantes).</w:t>
      </w:r>
      <w:r>
        <w:t xml:space="preserve"> </w:t>
      </w:r>
      <w:r>
        <w:t xml:space="preserve">- Précisions : En Algérie, la disponibilité limitée de la josamycine rend son utilisation rare en pratique obstétricale.</w:t>
      </w:r>
    </w:p>
    <w:p>
      <w:pPr>
        <w:pStyle w:val="BodyText"/>
      </w:pPr>
      <w:r>
        <w:rPr>
          <w:b/>
          <w:bCs/>
        </w:rPr>
        <w:t xml:space="preserve">Posologie et Mode d’administration (Standard) :</w:t>
      </w:r>
      <w:r>
        <w:t xml:space="preserve"> </w:t>
      </w:r>
      <w:r>
        <w:t xml:space="preserve">- Adulte : 2 à 3 g/jour en 2 ou 3 prises (comprimés 500 mg : 1 cp × 2 à 3/j).</w:t>
      </w:r>
      <w:r>
        <w:t xml:space="preserve"> </w:t>
      </w:r>
      <w:r>
        <w:t xml:space="preserve">- Enfant : 30 à 50 mg/kg/jour en 2 à 3 prises. Suspension 125/250/500 mg/5 mL selon l’âge et le poids.</w:t>
      </w:r>
      <w:r>
        <w:t xml:space="preserve"> </w:t>
      </w:r>
      <w:r>
        <w:t xml:space="preserve">- Durée : 7 à 10 jours selon indication. Coqueluche : 14 jours.</w:t>
      </w:r>
      <w:r>
        <w:t xml:space="preserve"> </w:t>
      </w:r>
      <w:r>
        <w:t xml:space="preserve">- Moment de prise : Pendant les repas (améliore la tolérance digestive).</w:t>
      </w:r>
    </w:p>
    <w:p>
      <w:pPr>
        <w:pStyle w:val="BodyText"/>
      </w:pPr>
      <w:r>
        <w:rPr>
          <w:b/>
          <w:bCs/>
        </w:rPr>
        <w:t xml:space="preserve">Arbitrage et Bénéfices des Formes Galéniques :</w:t>
      </w:r>
      <w:r>
        <w:t xml:space="preserve"> </w:t>
      </w:r>
      <w:r>
        <w:t xml:space="preserve">La josamycine disposait d’une gamme galénique complète : comprimés 500 mg pour adultes, suspensions buvables à 3 dosages pour la pédiatrie, sachets pratiques pour l’extemporané. La disparition de toutes les spécialités du marché algérien limite considérablement son utilisation. En pratique, substituer par spiramycine ou azithromycine selon l’indication. Le sirop à 125 mg/5 mL était particulièrement adapté au nourrisson.</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Ce médicament se prend pendant les repas, plusieurs fois par jour. Bien agiter la suspension avant chaque prise.</w:t>
      </w:r>
      <w:r>
        <w:t xml:space="preserve">”</w:t>
      </w:r>
      <w:r>
        <w:t xml:space="preserve"> </w:t>
      </w:r>
      <w:r>
        <w:t xml:space="preserve">- Mode d’utilisation pratique : Pour les sachets : diluer dans un peu d’eau et boire immédiatement. Pour la suspension : reconstitution avec eau, conservation 14 jours au réfrigérateur, agitation obligatoire.</w:t>
      </w:r>
    </w:p>
    <w:p>
      <w:pPr>
        <w:pStyle w:val="BodyText"/>
      </w:pPr>
      <w:r>
        <w:rPr>
          <w:b/>
          <w:bCs/>
        </w:rPr>
        <w:t xml:space="preserve">Notes, Règles d’Or &amp; Pièges au Comptoir :</w:t>
      </w:r>
      <w:r>
        <w:t xml:space="preserve"> </w:t>
      </w:r>
      <w:r>
        <w:t xml:space="preserve">- Piège classique : La josamycine n’étant plus disponible en Algérie, ne pas la proposer comme alternative ; orienter vers spiramycine ou azithromycine.</w:t>
      </w:r>
      <w:r>
        <w:t xml:space="preserve"> </w:t>
      </w:r>
      <w:r>
        <w:t xml:space="preserve">- Règle de prise : Pendant les repas (meilleure tolérance).</w:t>
      </w:r>
      <w:r>
        <w:t xml:space="preserve"> </w:t>
      </w:r>
      <w:r>
        <w:t xml:space="preserve">- Préparation et Conservation : Suspension reconstituée : 14 jours au réfrigérateur.</w:t>
      </w:r>
      <w:r>
        <w:t xml:space="preserve"> </w:t>
      </w:r>
      <w:r>
        <w:t xml:space="preserve">- Piège du surdosage / Substitution : Les suspensions à 3 concentrations différentes (125/250/500 mg/5 mL) peuvent prêter à confusion — toujours vérifier le dosage prescrit.</w:t>
      </w:r>
    </w:p>
    <w:p>
      <w:r>
        <w:pict>
          <v:rect style="width:0;height:1.5pt" o:hralign="center" o:hrstd="t" o:hr="t"/>
        </w:pict>
      </w:r>
    </w:p>
    <w:bookmarkEnd w:id="106"/>
    <w:bookmarkStart w:id="107" w:name="dci-roxithromycine-seule"/>
    <w:p>
      <w:pPr>
        <w:pStyle w:val="Heading3"/>
      </w:pPr>
      <w:r>
        <w:t xml:space="preserve">4.1.6 DCI : Roxithromycine (Seule)</w:t>
      </w:r>
    </w:p>
    <w:p>
      <w:pPr>
        <w:pStyle w:val="FirstParagraph"/>
      </w:pPr>
      <w:r>
        <w:rPr>
          <w:b/>
          <w:bCs/>
        </w:rPr>
        <w:t xml:space="preserve">Liste des Catégories :</w:t>
      </w:r>
      <w:r>
        <w:t xml:space="preserve"> </w:t>
      </w:r>
      <w:r>
        <w:t xml:space="preserve">Macrolide semi-synthétique à 14 atomes — Listé Liste I — Formes orales (comprimés 150 mg).</w:t>
      </w:r>
    </w:p>
    <w:p>
      <w:pPr>
        <w:pStyle w:val="BodyText"/>
      </w:pPr>
      <w:r>
        <w:t xml:space="preserve">La roxithromycine est un macrolide semi-synthétique à 14 atomes obtenu par substitution de l’érythromycine. Sa caractéristique principale est sa</w:t>
      </w:r>
      <w:r>
        <w:t xml:space="preserve"> </w:t>
      </w:r>
      <w:r>
        <w:rPr>
          <w:b/>
          <w:bCs/>
        </w:rPr>
        <w:t xml:space="preserve">demi-vie longue (12 h)</w:t>
      </w:r>
      <w:r>
        <w:t xml:space="preserve"> </w:t>
      </w:r>
      <w:r>
        <w:t xml:space="preserve">qui autorise une posologie BID (deux prises par jour), et sa meilleure tolérance digestive par rapport à l’érythromycine. Son métabolisme hépatique est limité et l’inhibition du CYP3A4 est moindre que pour l’érythromycine ou la clarithromycine. Disponibilité algérienne restreinte : 3 spécialités actives sur 5 historiques.</w:t>
      </w:r>
    </w:p>
    <w:p>
      <w:pPr>
        <w:pStyle w:val="BodyText"/>
      </w:pPr>
      <w:r>
        <w:rPr>
          <w:b/>
          <w:bCs/>
        </w:rPr>
        <w:t xml:space="preserve">Médicaments disponibles en Algérie (Marques, Laboratoires, Formes et Dosages) :</w:t>
      </w:r>
    </w:p>
    <w:p>
      <w:pPr>
        <w:pStyle w:val="Compact"/>
        <w:numPr>
          <w:ilvl w:val="0"/>
          <w:numId w:val="1301"/>
        </w:numPr>
      </w:pPr>
      <w:r>
        <w:rPr>
          <w:b/>
          <w:bCs/>
        </w:rPr>
        <w:t xml:space="preserve">ROXAMED</w:t>
      </w:r>
      <w:r>
        <w:t xml:space="preserve"> </w:t>
      </w:r>
      <w:r>
        <w:t xml:space="preserve">(DAR AL DAWA) — Actif</w:t>
      </w:r>
    </w:p>
    <w:p>
      <w:pPr>
        <w:pStyle w:val="Compact"/>
        <w:numPr>
          <w:ilvl w:val="1"/>
          <w:numId w:val="1302"/>
        </w:numPr>
      </w:pPr>
      <w:r>
        <w:t xml:space="preserve">Formes et Dosages : Comprimé enrobé 150 mg, boîte de 10</w:t>
      </w:r>
    </w:p>
    <w:p>
      <w:pPr>
        <w:pStyle w:val="Compact"/>
        <w:numPr>
          <w:ilvl w:val="0"/>
          <w:numId w:val="1301"/>
        </w:numPr>
      </w:pPr>
      <w:r>
        <w:rPr>
          <w:b/>
          <w:bCs/>
        </w:rPr>
        <w:t xml:space="preserve">ROXIBACT ALEMBIC MAMI</w:t>
      </w:r>
      <w:r>
        <w:t xml:space="preserve"> </w:t>
      </w:r>
      <w:r>
        <w:t xml:space="preserve">(ALEMBIC MAMI SPA) — Actif</w:t>
      </w:r>
    </w:p>
    <w:p>
      <w:pPr>
        <w:pStyle w:val="Compact"/>
        <w:numPr>
          <w:ilvl w:val="1"/>
          <w:numId w:val="1303"/>
        </w:numPr>
      </w:pPr>
      <w:r>
        <w:t xml:space="preserve">Formes et Dosages : Comprimé pelliculé 150 mg, boîte de 10</w:t>
      </w:r>
    </w:p>
    <w:p>
      <w:pPr>
        <w:pStyle w:val="Compact"/>
        <w:numPr>
          <w:ilvl w:val="0"/>
          <w:numId w:val="1301"/>
        </w:numPr>
      </w:pPr>
      <w:r>
        <w:rPr>
          <w:b/>
          <w:bCs/>
        </w:rPr>
        <w:t xml:space="preserve">ROXITHROMYCINE HUP</w:t>
      </w:r>
      <w:r>
        <w:t xml:space="preserve"> </w:t>
      </w:r>
      <w:r>
        <w:t xml:space="preserve">(HUPP PHARMA) — Actif</w:t>
      </w:r>
    </w:p>
    <w:p>
      <w:pPr>
        <w:pStyle w:val="Compact"/>
        <w:numPr>
          <w:ilvl w:val="1"/>
          <w:numId w:val="1304"/>
        </w:numPr>
      </w:pPr>
      <w:r>
        <w:t xml:space="preserve">Formes et Dosages : Comprimé pelliculé 150 mg, boîte de 10</w:t>
      </w:r>
    </w:p>
    <w:p>
      <w:pPr>
        <w:pStyle w:val="Compact"/>
        <w:numPr>
          <w:ilvl w:val="0"/>
          <w:numId w:val="1301"/>
        </w:numPr>
      </w:pPr>
      <w:r>
        <w:rPr>
          <w:b/>
          <w:bCs/>
        </w:rPr>
        <w:t xml:space="preserve">ROXID</w:t>
      </w:r>
      <w:r>
        <w:t xml:space="preserve"> </w:t>
      </w:r>
      <w:r>
        <w:t xml:space="preserve">(PHARMALLIANCE) — Non Renouvelable</w:t>
      </w:r>
    </w:p>
    <w:p>
      <w:pPr>
        <w:pStyle w:val="Compact"/>
        <w:numPr>
          <w:ilvl w:val="1"/>
          <w:numId w:val="1305"/>
        </w:numPr>
      </w:pPr>
      <w:r>
        <w:t xml:space="preserve">Formes et Dosages : Comprimé 150 mg, boîte de 10</w:t>
      </w:r>
    </w:p>
    <w:p>
      <w:pPr>
        <w:pStyle w:val="Compact"/>
        <w:numPr>
          <w:ilvl w:val="0"/>
          <w:numId w:val="1301"/>
        </w:numPr>
      </w:pPr>
      <w:r>
        <w:rPr>
          <w:b/>
          <w:bCs/>
        </w:rPr>
        <w:t xml:space="preserve">RULID</w:t>
      </w:r>
      <w:r>
        <w:t xml:space="preserve"> </w:t>
      </w:r>
      <w:r>
        <w:t xml:space="preserve">(ROUSSEL) (R) — Retiré</w:t>
      </w:r>
    </w:p>
    <w:p>
      <w:pPr>
        <w:pStyle w:val="Compact"/>
        <w:numPr>
          <w:ilvl w:val="1"/>
          <w:numId w:val="1306"/>
        </w:numPr>
      </w:pPr>
      <w:r>
        <w:t xml:space="preserve">Formes et Dosages : Comprimé 150 mg, boîte de 10</w:t>
      </w:r>
    </w:p>
    <w:p>
      <w:pPr>
        <w:pStyle w:val="FirstParagraph"/>
      </w:pPr>
      <w:r>
        <w:rPr>
          <w:b/>
          <w:bCs/>
        </w:rPr>
        <w:t xml:space="preserve">Sous-classe et Mécanisme d’action :</w:t>
      </w:r>
      <w:r>
        <w:t xml:space="preserve"> </w:t>
      </w:r>
      <w:r>
        <w:t xml:space="preserve">- Sous-classe : Macrolide semi-synthétique à 14 atomes (9-O-érythromycine A oxime). Biodisponibilité orale de 50–60 %, demi-vie prolongée 12 h.</w:t>
      </w:r>
      <w:r>
        <w:t xml:space="preserve"> </w:t>
      </w:r>
      <w:r>
        <w:t xml:space="preserve">- Mécanisme d’action : Bactériostatique. Liaison à la sous-unité 50S, site A, inhibition de la translocation. Spectre identique à l’érythromycine.</w:t>
      </w:r>
    </w:p>
    <w:p>
      <w:pPr>
        <w:pStyle w:val="BodyText"/>
      </w:pPr>
      <w:r>
        <w:rPr>
          <w:b/>
          <w:bCs/>
        </w:rPr>
        <w:t xml:space="preserve">Profil Pharmacologique :</w:t>
      </w:r>
      <w:r>
        <w:t xml:space="preserve"> </w:t>
      </w:r>
      <w:r>
        <w:t xml:space="preserve">- Indications : Infections ORL (angine, sinusite, otite), bronchopulmonaires (bronchite aiguë, pneumopathie communautaire, exacerbation BPCO), pneumopathies atypiques, infections génitales à Chlamydia et Mycoplasma, infections cutanées, infections odontologiques.</w:t>
      </w:r>
      <w:r>
        <w:t xml:space="preserve"> </w:t>
      </w:r>
      <w:r>
        <w:t xml:space="preserve">- Contre-indications : Allergie macrolides ; allongement QT ; association avec cisapride, ergotamine, pimozide, terfénadine (prudence) ; insuffisance hépatique sévère.</w:t>
      </w:r>
      <w:r>
        <w:t xml:space="preserve"> </w:t>
      </w:r>
      <w:r>
        <w:t xml:space="preserve">- Effets Indésirables : Troubles digestifs (nausées, diarrhée, douleurs abdominales) moins fréquents qu’avec érythromycine ; céphalées ; rash cutané ; augmentation transitoire des transaminases ; allongement QT (effet classe) ; candidose orale ; colite C. difficile.</w:t>
      </w:r>
    </w:p>
    <w:p>
      <w:pPr>
        <w:pStyle w:val="BodyText"/>
      </w:pPr>
      <w:r>
        <w:rPr>
          <w:b/>
          <w:bCs/>
        </w:rPr>
        <w:t xml:space="preserve">Prévention et Gestion des Effets Indésirables :</w:t>
      </w:r>
      <w:r>
        <w:t xml:space="preserve"> </w:t>
      </w:r>
      <w:r>
        <w:t xml:space="preserve">- Mesures Préventives : ECG si terrain à risque ; surveillance hépatique si traitement prolongé ; prise pendant les repas pour améliorer la tolérance digestive.</w:t>
      </w:r>
      <w:r>
        <w:t xml:space="preserve"> </w:t>
      </w:r>
      <w:r>
        <w:t xml:space="preserve">- Conduite à Tenir : Arrêt si diarrhée sanglante, ictère, rash étendu, trouble du rythme.</w:t>
      </w:r>
    </w:p>
    <w:p>
      <w:pPr>
        <w:pStyle w:val="BodyText"/>
      </w:pPr>
      <w:r>
        <w:rPr>
          <w:b/>
          <w:bCs/>
        </w:rPr>
        <w:t xml:space="preserve">Interactions Importantes :</w:t>
      </w:r>
      <w:r>
        <w:t xml:space="preserve"> </w:t>
      </w:r>
      <w:r>
        <w:t xml:space="preserve">-</w:t>
      </w:r>
      <w:r>
        <w:t xml:space="preserve"> </w:t>
      </w:r>
      <w:r>
        <w:rPr>
          <w:b/>
          <w:bCs/>
        </w:rPr>
        <w:t xml:space="preserve">Terfénadine, astémizole (antihistaminiques)</w:t>
      </w:r>
      <w:r>
        <w:t xml:space="preserve"> </w:t>
      </w:r>
      <w:r>
        <w:t xml:space="preserve">: Inhibition CYP3A4 moindre qu’avec érythromycine mais prudence — risque d’allongement QT.</w:t>
      </w:r>
      <w:r>
        <w:t xml:space="preserve"> </w:t>
      </w:r>
      <w:r>
        <w:t xml:space="preserve">-</w:t>
      </w:r>
      <w:r>
        <w:t xml:space="preserve"> </w:t>
      </w:r>
      <w:r>
        <w:rPr>
          <w:b/>
          <w:bCs/>
        </w:rPr>
        <w:t xml:space="preserve">Cisapride</w:t>
      </w:r>
      <w:r>
        <w:t xml:space="preserve"> </w:t>
      </w:r>
      <w:r>
        <w:t xml:space="preserve">: CI absolue (allongement QT).</w:t>
      </w:r>
      <w:r>
        <w:t xml:space="preserve"> </w:t>
      </w:r>
      <w:r>
        <w:t xml:space="preserve">-</w:t>
      </w:r>
      <w:r>
        <w:t xml:space="preserve"> </w:t>
      </w:r>
      <w:r>
        <w:rPr>
          <w:b/>
          <w:bCs/>
        </w:rPr>
        <w:t xml:space="preserve">Ergotamine, dihydroergotamine</w:t>
      </w:r>
      <w:r>
        <w:t xml:space="preserve"> </w:t>
      </w:r>
      <w:r>
        <w:t xml:space="preserve">: CI (ergotisme).</w:t>
      </w:r>
      <w:r>
        <w:t xml:space="preserve"> </w:t>
      </w:r>
      <w:r>
        <w:t xml:space="preserve">-</w:t>
      </w:r>
      <w:r>
        <w:t xml:space="preserve"> </w:t>
      </w:r>
      <w:r>
        <w:rPr>
          <w:b/>
          <w:bCs/>
        </w:rPr>
        <w:t xml:space="preserve">Anticoagulants oraux</w:t>
      </w:r>
      <w:r>
        <w:t xml:space="preserve"> </w:t>
      </w:r>
      <w:r>
        <w:t xml:space="preserve">: Surveillance INR (modification flore).</w:t>
      </w:r>
      <w:r>
        <w:t xml:space="preserve"> </w:t>
      </w:r>
      <w:r>
        <w:t xml:space="preserve">-</w:t>
      </w:r>
      <w:r>
        <w:t xml:space="preserve"> </w:t>
      </w:r>
      <w:r>
        <w:rPr>
          <w:b/>
          <w:bCs/>
        </w:rPr>
        <w:t xml:space="preserve">Théophylline, carbamazépine</w:t>
      </w:r>
      <w:r>
        <w:t xml:space="preserve"> </w:t>
      </w:r>
      <w:r>
        <w:t xml:space="preserve">: Augmentation modérée des concentrations.</w:t>
      </w:r>
      <w:r>
        <w:t xml:space="preserve"> </w:t>
      </w:r>
      <w:r>
        <w:t xml:space="preserve">-</w:t>
      </w:r>
      <w:r>
        <w:t xml:space="preserve"> </w:t>
      </w:r>
      <w:r>
        <w:rPr>
          <w:b/>
          <w:bCs/>
        </w:rPr>
        <w:t xml:space="preserve">Midazolam, triazolam</w:t>
      </w:r>
      <w:r>
        <w:t xml:space="preserve"> </w:t>
      </w:r>
      <w:r>
        <w:t xml:space="preserve">: Augmentation de la sédation (prudence).</w:t>
      </w:r>
      <w:r>
        <w:t xml:space="preserve"> </w:t>
      </w:r>
      <w:r>
        <w:t xml:space="preserve">- Statines : interaction possible mais moindre qu’avec clarithromycine.</w:t>
      </w:r>
    </w:p>
    <w:p>
      <w:pPr>
        <w:pStyle w:val="BodyText"/>
      </w:pPr>
      <w:r>
        <w:rPr>
          <w:b/>
          <w:bCs/>
        </w:rPr>
        <w:t xml:space="preserve">Grossesse et Allaitement :</w:t>
      </w:r>
      <w:r>
        <w:t xml:space="preserve"> </w:t>
      </w:r>
      <w:r>
        <w:t xml:space="preserve">- Grossesse : Données limitées, à éviter par prudence surtout au 1er trimestre. Préférer érythromycine, spiramycine ou azithromycine.</w:t>
      </w:r>
      <w:r>
        <w:t xml:space="preserve"> </w:t>
      </w:r>
      <w:r>
        <w:t xml:space="preserve">- Allaitement : Déconseillé (passage dans le lait, données limitées).</w:t>
      </w:r>
      <w:r>
        <w:t xml:space="preserve"> </w:t>
      </w:r>
      <w:r>
        <w:t xml:space="preserve">- Précisions : En cas de nécessité chez la femme enceinte, utiliser une alternative mieux documentée.</w:t>
      </w:r>
    </w:p>
    <w:p>
      <w:pPr>
        <w:pStyle w:val="BodyText"/>
      </w:pPr>
      <w:r>
        <w:rPr>
          <w:b/>
          <w:bCs/>
        </w:rPr>
        <w:t xml:space="preserve">Posologie et Mode d’administration (Standard) :</w:t>
      </w:r>
      <w:r>
        <w:t xml:space="preserve"> </w:t>
      </w:r>
      <w:r>
        <w:t xml:space="preserve">- Adulte : 150 mg × 2/jour (soit 300 mg/j) avant les repas. Pour pneumopathie ou infection sévère : 300 mg × 2/j (rare).</w:t>
      </w:r>
      <w:r>
        <w:t xml:space="preserve"> </w:t>
      </w:r>
      <w:r>
        <w:t xml:space="preserve">- Enfant &gt; 40 kg : Posologie adulte. Enfant &lt; 40 kg : schéma pondéral non standardisé (la forme 150 mg n’est pas adaptée au nourrisson — préférer un autre macrolide).</w:t>
      </w:r>
      <w:r>
        <w:t xml:space="preserve"> </w:t>
      </w:r>
      <w:r>
        <w:t xml:space="preserve">- Durée : 7 à 14 jours selon indication.</w:t>
      </w:r>
      <w:r>
        <w:t xml:space="preserve"> </w:t>
      </w:r>
      <w:r>
        <w:t xml:space="preserve">- Moment de prise : Avant les repas (meilleure absorption à jeun).</w:t>
      </w:r>
    </w:p>
    <w:p>
      <w:pPr>
        <w:pStyle w:val="BodyText"/>
      </w:pPr>
      <w:r>
        <w:rPr>
          <w:b/>
          <w:bCs/>
        </w:rPr>
        <w:t xml:space="preserve">Arbitrage et Bénéfices des Formes Galéniques :</w:t>
      </w:r>
      <w:r>
        <w:t xml:space="preserve"> </w:t>
      </w:r>
      <w:r>
        <w:t xml:space="preserve">La roxithromycine n’existe qu’en comprimé à 150 mg en Algérie, ce qui limite son utilisation à l’adulte et à l’enfant de plus de 40 kg. L’absence de forme pédiatrique (sirop ou suspension) rend cette molécule inadaptée pour le nourrisson et le jeune enfant. La boîte de 10 comprimés correspond à un traitement de 5 jours. Pour un traitement de 10 jours, deux boîtes sont nécessaires. La biodisponibilité est bonne (50–60 %), peu modifiée par les repas mais l’absorption est optimisée à jeun. La longue demi-vie autorise un schéma BID, plus pratique que l’érythromycine QID.</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Prenez ce médicament matin et soir, à jeun (avant les repas), pendant 5 à 10 jours. Avalez les comprimés entiers avec un grand verre d’eau.</w:t>
      </w:r>
      <w:r>
        <w:t xml:space="preserve">”</w:t>
      </w:r>
      <w:r>
        <w:t xml:space="preserve"> </w:t>
      </w:r>
      <w:r>
        <w:t xml:space="preserve">- Mode d’utilisation pratique : Respecter l’intervalle de 12 heures entre les prises. Ne pas doubler la dose en cas d’oubli. Compléter la prescription même si amélioration rapide.</w:t>
      </w:r>
    </w:p>
    <w:p>
      <w:pPr>
        <w:pStyle w:val="BodyText"/>
      </w:pPr>
      <w:r>
        <w:rPr>
          <w:b/>
          <w:bCs/>
        </w:rPr>
        <w:t xml:space="preserve">Notes, Règles d’Or &amp; Pièges au Comptoir :</w:t>
      </w:r>
      <w:r>
        <w:t xml:space="preserve"> </w:t>
      </w:r>
      <w:r>
        <w:t xml:space="preserve">- Piège classique : Penser que la roxithromycine est sans interaction — elle inhibe moins le CYP3A4 que l’érythromycine mais le risque QT persiste, surtout avec cisapride.</w:t>
      </w:r>
      <w:r>
        <w:t xml:space="preserve"> </w:t>
      </w:r>
      <w:r>
        <w:t xml:space="preserve">- Règle de prise : À jeun, BID.</w:t>
      </w:r>
      <w:r>
        <w:t xml:space="preserve"> </w:t>
      </w:r>
      <w:r>
        <w:t xml:space="preserve">- Préparation et Conservation : Forme solide prête à l’emploi, conservation à température ambiante &lt; 25 °C.</w:t>
      </w:r>
      <w:r>
        <w:t xml:space="preserve"> </w:t>
      </w:r>
      <w:r>
        <w:t xml:space="preserve">- Piège du surdosage / Substitution : Ne pas utiliser chez l’enfant &lt; 40 kg (pas de forme adaptée). Adapter la dose en cas d’insuffisance hépatique.</w:t>
      </w:r>
    </w:p>
    <w:p>
      <w:r>
        <w:pict>
          <v:rect style="width:0;height:1.5pt" o:hralign="center" o:hrstd="t" o:hr="t"/>
        </w:pict>
      </w:r>
    </w:p>
    <w:bookmarkEnd w:id="107"/>
    <w:bookmarkStart w:id="108" w:name="X19825d0977389140ffd4df967593e443754fa4d"/>
    <w:p>
      <w:pPr>
        <w:pStyle w:val="Heading3"/>
      </w:pPr>
      <w:r>
        <w:t xml:space="preserve">4.1.7 DCI : Spiramycine + Métronidazole (Association)</w:t>
      </w:r>
    </w:p>
    <w:p>
      <w:pPr>
        <w:pStyle w:val="FirstParagraph"/>
      </w:pPr>
      <w:r>
        <w:rPr>
          <w:b/>
          <w:bCs/>
        </w:rPr>
        <w:t xml:space="preserve">Liste des Catégories :</w:t>
      </w:r>
      <w:r>
        <w:t xml:space="preserve"> </w:t>
      </w:r>
      <w:r>
        <w:t xml:space="preserve">Macrolide + Nitro-imidazolé — Listé Liste I — Forme orale (comprimés pelliculés à 2 dosages : 750 000 UI/125 mg et 1,5 MUI/250 mg).</w:t>
      </w:r>
    </w:p>
    <w:p>
      <w:pPr>
        <w:pStyle w:val="BodyText"/>
      </w:pPr>
      <w:r>
        <w:t xml:space="preserve">Cette association fixe combine un macrolide à 16 atomes (spiramycine) et un nitro-imidazolé (métronidazole). Elle est historiquement très populaire en France et en Algérie pour le traitement des</w:t>
      </w:r>
      <w:r>
        <w:t xml:space="preserve"> </w:t>
      </w:r>
      <w:r>
        <w:rPr>
          <w:b/>
          <w:bCs/>
        </w:rPr>
        <w:t xml:space="preserve">infections bucco-dentaires</w:t>
      </w:r>
      <w:r>
        <w:t xml:space="preserve"> </w:t>
      </w:r>
      <w:r>
        <w:t xml:space="preserve">et ORL, où la flore polymicrobienne (aérobies + anaérobies) justifie l’association. La spiramycine couvre les cocci Gram positif et les germes intracellulaires, tandis que le métronidazole complète le spectre sur les anaérobies stricts (Bacteroides, Prevotella, Fusobacterium). L’association est disponible en deux dosages, dont le double (1,5 MUI/250 mg) est désigné par le préfixe</w:t>
      </w:r>
      <w:r>
        <w:t xml:space="preserve"> </w:t>
      </w:r>
      <w:r>
        <w:t xml:space="preserve">“</w:t>
      </w:r>
      <w:r>
        <w:t xml:space="preserve">BI-</w:t>
      </w:r>
      <w:r>
        <w:t xml:space="preserve">”</w:t>
      </w:r>
      <w:r>
        <w:t xml:space="preserve"> </w:t>
      </w:r>
      <w:r>
        <w:t xml:space="preserve">sur la majorité des marques.</w:t>
      </w:r>
    </w:p>
    <w:p>
      <w:pPr>
        <w:pStyle w:val="BodyText"/>
      </w:pPr>
      <w:r>
        <w:rPr>
          <w:b/>
          <w:bCs/>
        </w:rPr>
        <w:t xml:space="preserve">Médicaments disponibles en Algérie (Marques, Laboratoires, Formes et Dosages) :</w:t>
      </w:r>
    </w:p>
    <w:p>
      <w:pPr>
        <w:pStyle w:val="BodyText"/>
      </w:pPr>
      <w:r>
        <w:t xml:space="preserve">Dosage simple 750 000 UI / 125 mg :</w:t>
      </w:r>
      <w:r>
        <w:t xml:space="preserve"> </w:t>
      </w:r>
      <w:r>
        <w:t xml:space="preserve">-</w:t>
      </w:r>
      <w:r>
        <w:t xml:space="preserve"> </w:t>
      </w:r>
      <w:r>
        <w:rPr>
          <w:b/>
          <w:bCs/>
        </w:rPr>
        <w:t xml:space="preserve">ODONGYL</w:t>
      </w:r>
      <w:r>
        <w:t xml:space="preserve"> </w:t>
      </w:r>
      <w:r>
        <w:t xml:space="preserve">(LABORATOIRES MM) — Actif</w:t>
      </w:r>
      <w:r>
        <w:t xml:space="preserve"> </w:t>
      </w:r>
      <w:r>
        <w:t xml:space="preserve">-</w:t>
      </w:r>
      <w:r>
        <w:t xml:space="preserve"> </w:t>
      </w:r>
      <w:r>
        <w:rPr>
          <w:b/>
          <w:bCs/>
        </w:rPr>
        <w:t xml:space="preserve">OROGYL</w:t>
      </w:r>
      <w:r>
        <w:t xml:space="preserve"> </w:t>
      </w:r>
      <w:r>
        <w:t xml:space="preserve">(BIOCARE) — Actif</w:t>
      </w:r>
      <w:r>
        <w:t xml:space="preserve"> </w:t>
      </w:r>
      <w:r>
        <w:t xml:space="preserve">-</w:t>
      </w:r>
      <w:r>
        <w:t xml:space="preserve"> </w:t>
      </w:r>
      <w:r>
        <w:rPr>
          <w:b/>
          <w:bCs/>
        </w:rPr>
        <w:t xml:space="preserve">ROVAGYL</w:t>
      </w:r>
      <w:r>
        <w:t xml:space="preserve"> </w:t>
      </w:r>
      <w:r>
        <w:t xml:space="preserve">(PHARMIDAL NS) — Actif</w:t>
      </w:r>
      <w:r>
        <w:t xml:space="preserve"> </w:t>
      </w:r>
      <w:r>
        <w:t xml:space="preserve">-</w:t>
      </w:r>
      <w:r>
        <w:t xml:space="preserve"> </w:t>
      </w:r>
      <w:r>
        <w:rPr>
          <w:b/>
          <w:bCs/>
        </w:rPr>
        <w:t xml:space="preserve">SPIDOGYL</w:t>
      </w:r>
      <w:r>
        <w:t xml:space="preserve"> </w:t>
      </w:r>
      <w:r>
        <w:t xml:space="preserve">(HUPP PHARMA) — Actif</w:t>
      </w:r>
      <w:r>
        <w:t xml:space="preserve"> </w:t>
      </w:r>
      <w:r>
        <w:t xml:space="preserve">-</w:t>
      </w:r>
      <w:r>
        <w:t xml:space="preserve"> </w:t>
      </w:r>
      <w:r>
        <w:rPr>
          <w:b/>
          <w:bCs/>
        </w:rPr>
        <w:t xml:space="preserve">SPIRADENT</w:t>
      </w:r>
      <w:r>
        <w:t xml:space="preserve"> </w:t>
      </w:r>
      <w:r>
        <w:t xml:space="preserve">(BIOPHARM) — Actif</w:t>
      </w:r>
    </w:p>
    <w:p>
      <w:pPr>
        <w:pStyle w:val="BodyText"/>
      </w:pPr>
      <w:r>
        <w:t xml:space="preserve">Dosage double 1,5 MUI / 250 mg :</w:t>
      </w:r>
      <w:r>
        <w:t xml:space="preserve"> </w:t>
      </w:r>
      <w:r>
        <w:t xml:space="preserve">-</w:t>
      </w:r>
      <w:r>
        <w:t xml:space="preserve"> </w:t>
      </w:r>
      <w:r>
        <w:rPr>
          <w:b/>
          <w:bCs/>
        </w:rPr>
        <w:t xml:space="preserve">BI. ODONGYL</w:t>
      </w:r>
      <w:r>
        <w:t xml:space="preserve"> </w:t>
      </w:r>
      <w:r>
        <w:t xml:space="preserve">(LABORATOIRES MM) — Actif</w:t>
      </w:r>
      <w:r>
        <w:t xml:space="preserve"> </w:t>
      </w:r>
      <w:r>
        <w:t xml:space="preserve">-</w:t>
      </w:r>
      <w:r>
        <w:t xml:space="preserve"> </w:t>
      </w:r>
      <w:r>
        <w:rPr>
          <w:b/>
          <w:bCs/>
        </w:rPr>
        <w:t xml:space="preserve">BI-OROGYL</w:t>
      </w:r>
      <w:r>
        <w:t xml:space="preserve"> </w:t>
      </w:r>
      <w:r>
        <w:t xml:space="preserve">(BIOCARE) — Actif</w:t>
      </w:r>
      <w:r>
        <w:t xml:space="preserve"> </w:t>
      </w:r>
      <w:r>
        <w:t xml:space="preserve">-</w:t>
      </w:r>
      <w:r>
        <w:t xml:space="preserve"> </w:t>
      </w:r>
      <w:r>
        <w:rPr>
          <w:b/>
          <w:bCs/>
        </w:rPr>
        <w:t xml:space="preserve">BISPIDOGYL</w:t>
      </w:r>
      <w:r>
        <w:t xml:space="preserve"> </w:t>
      </w:r>
      <w:r>
        <w:t xml:space="preserve">(HUPP PHARMA) — Actif</w:t>
      </w:r>
      <w:r>
        <w:t xml:space="preserve"> </w:t>
      </w:r>
      <w:r>
        <w:t xml:space="preserve">-</w:t>
      </w:r>
      <w:r>
        <w:t xml:space="preserve"> </w:t>
      </w:r>
      <w:r>
        <w:rPr>
          <w:b/>
          <w:bCs/>
        </w:rPr>
        <w:t xml:space="preserve">BISPIRADENT</w:t>
      </w:r>
      <w:r>
        <w:t xml:space="preserve"> </w:t>
      </w:r>
      <w:r>
        <w:t xml:space="preserve">(BIOPHARM) — Actif (comprimé sécable)</w:t>
      </w:r>
      <w:r>
        <w:t xml:space="preserve"> </w:t>
      </w:r>
      <w:r>
        <w:t xml:space="preserve">-</w:t>
      </w:r>
      <w:r>
        <w:t xml:space="preserve"> </w:t>
      </w:r>
      <w:r>
        <w:rPr>
          <w:b/>
          <w:bCs/>
        </w:rPr>
        <w:t xml:space="preserve">BUCCOGYL</w:t>
      </w:r>
      <w:r>
        <w:t xml:space="preserve"> </w:t>
      </w:r>
      <w:r>
        <w:t xml:space="preserve">(BIOGALENIC) — Actif</w:t>
      </w:r>
      <w:r>
        <w:t xml:space="preserve"> </w:t>
      </w:r>
      <w:r>
        <w:t xml:space="preserve">-</w:t>
      </w:r>
      <w:r>
        <w:t xml:space="preserve"> </w:t>
      </w:r>
      <w:r>
        <w:rPr>
          <w:b/>
          <w:bCs/>
        </w:rPr>
        <w:t xml:space="preserve">ROVAGYL</w:t>
      </w:r>
      <w:r>
        <w:t xml:space="preserve"> </w:t>
      </w:r>
      <w:r>
        <w:t xml:space="preserve">(PHARMIDAL NS) — Actif</w:t>
      </w:r>
    </w:p>
    <w:p>
      <w:pPr>
        <w:pStyle w:val="BodyText"/>
      </w:pPr>
      <w:r>
        <w:t xml:space="preserve">Formes non renouvelables / retirées :</w:t>
      </w:r>
      <w:r>
        <w:t xml:space="preserve"> </w:t>
      </w:r>
      <w:r>
        <w:t xml:space="preserve">-</w:t>
      </w:r>
      <w:r>
        <w:t xml:space="preserve"> </w:t>
      </w:r>
      <w:r>
        <w:rPr>
          <w:b/>
          <w:bCs/>
        </w:rPr>
        <w:t xml:space="preserve">BIRODOGYL</w:t>
      </w:r>
      <w:r>
        <w:t xml:space="preserve"> </w:t>
      </w:r>
      <w:r>
        <w:t xml:space="preserve">(SANOFI AVENTIS ALGERIE) — 1,5 MUI/250 mg — Non Renouvelable</w:t>
      </w:r>
      <w:r>
        <w:t xml:space="preserve"> </w:t>
      </w:r>
      <w:r>
        <w:t xml:space="preserve">-</w:t>
      </w:r>
      <w:r>
        <w:t xml:space="preserve"> </w:t>
      </w:r>
      <w:r>
        <w:rPr>
          <w:b/>
          <w:bCs/>
        </w:rPr>
        <w:t xml:space="preserve">METROMYCINE</w:t>
      </w:r>
      <w:r>
        <w:t xml:space="preserve"> </w:t>
      </w:r>
      <w:r>
        <w:t xml:space="preserve">(SOMEDIAL) — 1,5 MUI/250 mg — Non Renouvelable</w:t>
      </w:r>
      <w:r>
        <w:t xml:space="preserve"> </w:t>
      </w:r>
      <w:r>
        <w:t xml:space="preserve">-</w:t>
      </w:r>
      <w:r>
        <w:t xml:space="preserve"> </w:t>
      </w:r>
      <w:r>
        <w:rPr>
          <w:b/>
          <w:bCs/>
        </w:rPr>
        <w:t xml:space="preserve">ROVAGYL</w:t>
      </w:r>
      <w:r>
        <w:t xml:space="preserve"> </w:t>
      </w:r>
      <w:r>
        <w:t xml:space="preserve">(GROUPE SAIDAL) — 1,5 MUI/250 mg, comprimé dispersible — Non Renouvelable</w:t>
      </w:r>
    </w:p>
    <w:p>
      <w:pPr>
        <w:pStyle w:val="BodyText"/>
      </w:pPr>
      <w:r>
        <w:rPr>
          <w:b/>
          <w:bCs/>
        </w:rPr>
        <w:t xml:space="preserve">Sous-classe et Mécanisme d’action :</w:t>
      </w:r>
      <w:r>
        <w:t xml:space="preserve"> </w:t>
      </w:r>
      <w:r>
        <w:t xml:space="preserve">- Sous-classe : Association fixe macrolide (spiramycine) + nitro-imidazolé (métronidazole).</w:t>
      </w:r>
      <w:r>
        <w:t xml:space="preserve"> </w:t>
      </w:r>
      <w:r>
        <w:t xml:space="preserve">- Mécanisme d’action : Spiramycine : bactériostatique, liaison 50S, blocage synthèse protéique. Métronidazole : bactéricide, pénétration dans la bactérie anaérobie, réduction du groupement nitro en radical cytotoxique qui casse l’ADN bactérien. Synergie sur les infections mixtes aérobies-anaérobies.</w:t>
      </w:r>
    </w:p>
    <w:p>
      <w:pPr>
        <w:pStyle w:val="BodyText"/>
      </w:pPr>
      <w:r>
        <w:rPr>
          <w:b/>
          <w:bCs/>
        </w:rPr>
        <w:t xml:space="preserve">Profil Pharmacologique :</w:t>
      </w:r>
      <w:r>
        <w:t xml:space="preserve"> </w:t>
      </w:r>
      <w:r>
        <w:t xml:space="preserve">- Indications : Infections</w:t>
      </w:r>
      <w:r>
        <w:t xml:space="preserve"> </w:t>
      </w:r>
      <w:r>
        <w:rPr>
          <w:b/>
          <w:bCs/>
        </w:rPr>
        <w:t xml:space="preserve">bucco-dentaires</w:t>
      </w:r>
      <w:r>
        <w:t xml:space="preserve"> </w:t>
      </w:r>
      <w:r>
        <w:t xml:space="preserve">(abcès dentaire, gingivite, parodontite, post-chirurgie dentaire), infections ORL (angine, sinusite, otite avec composante anaérobie), infections cutanées polymicrobiennes, infections gynécologiques (alternative). Usage vétérinaire historique (chevaux) qui a donné son nom à plusieurs marques (</w:t>
      </w:r>
      <w:r>
        <w:t xml:space="preserve">“</w:t>
      </w:r>
      <w:r>
        <w:t xml:space="preserve">ODONGYL</w:t>
      </w:r>
      <w:r>
        <w:t xml:space="preserve">”</w:t>
      </w:r>
      <w:r>
        <w:t xml:space="preserve">).</w:t>
      </w:r>
      <w:r>
        <w:t xml:space="preserve"> </w:t>
      </w:r>
      <w:r>
        <w:t xml:space="preserve">- Contre-indications : Allergie macrolides ou nitro-imidazolés ; allaitement ; premier trimestre de grossesse (métronidazole) ; insuffisance hépatique sévère ; association avec disulfirame, alcool (effet antabuse avec métronidazole).</w:t>
      </w:r>
      <w:r>
        <w:t xml:space="preserve"> </w:t>
      </w:r>
      <w:r>
        <w:t xml:space="preserve">- Effets Indésirables : Troubles digestifs (nausées, diarrhée, métallique goût, langue pâteuse) dus au métronidazole ; neuropathies périphériques en cas de traitement prolongé (métronidazole) ; céphalées, vertiges ; candidose ; urine foncée (métronidazole, sans gravité) ; effet antabuse si consommation d’alcool ; colite C. difficile.</w:t>
      </w:r>
    </w:p>
    <w:p>
      <w:pPr>
        <w:pStyle w:val="BodyText"/>
      </w:pPr>
      <w:r>
        <w:rPr>
          <w:b/>
          <w:bCs/>
        </w:rPr>
        <w:t xml:space="preserve">Prévention et Gestion des Effets Indésirables :</w:t>
      </w:r>
      <w:r>
        <w:t xml:space="preserve"> </w:t>
      </w:r>
      <w:r>
        <w:t xml:space="preserve">- Mesures Préventives : Information sur l’interdiction stricte de l’alcool pendant et 48 h après la fin du traitement (effet antabuse) ; prise au cours des repas pour limiter l’intolérance digestive ; surveillance neurologique si traitement prolongé &gt; 10 jours.</w:t>
      </w:r>
      <w:r>
        <w:t xml:space="preserve"> </w:t>
      </w:r>
      <w:r>
        <w:t xml:space="preserve">- Conduite à Tenir : Arrêt en cas de paresthésies des extrémités (neuropathie au métronidazole), de diarrhée sanglante, d’ictère.</w:t>
      </w:r>
    </w:p>
    <w:p>
      <w:pPr>
        <w:pStyle w:val="BodyText"/>
      </w:pPr>
      <w:r>
        <w:rPr>
          <w:b/>
          <w:bCs/>
        </w:rPr>
        <w:t xml:space="preserve">Interactions Importantes :</w:t>
      </w:r>
      <w:r>
        <w:t xml:space="preserve"> </w:t>
      </w:r>
      <w:r>
        <w:t xml:space="preserve">-</w:t>
      </w:r>
      <w:r>
        <w:t xml:space="preserve"> </w:t>
      </w:r>
      <w:r>
        <w:rPr>
          <w:b/>
          <w:bCs/>
        </w:rPr>
        <w:t xml:space="preserve">Alcool</w:t>
      </w:r>
      <w:r>
        <w:t xml:space="preserve"> </w:t>
      </w:r>
      <w:r>
        <w:t xml:space="preserve">: Effet antabuse (bouffées vasomotrices, vomissements, tachycardie) — CI absolue pendant et 48 h après traitement.</w:t>
      </w:r>
      <w:r>
        <w:t xml:space="preserve"> </w:t>
      </w:r>
      <w:r>
        <w:t xml:space="preserve">-</w:t>
      </w:r>
      <w:r>
        <w:t xml:space="preserve"> </w:t>
      </w:r>
      <w:r>
        <w:rPr>
          <w:b/>
          <w:bCs/>
        </w:rPr>
        <w:t xml:space="preserve">Disulfirame</w:t>
      </w:r>
      <w:r>
        <w:t xml:space="preserve"> </w:t>
      </w:r>
      <w:r>
        <w:t xml:space="preserve">: Risque de délire aigu — CI.</w:t>
      </w:r>
      <w:r>
        <w:t xml:space="preserve"> </w:t>
      </w:r>
      <w:r>
        <w:t xml:space="preserve">-</w:t>
      </w:r>
      <w:r>
        <w:t xml:space="preserve"> </w:t>
      </w:r>
      <w:r>
        <w:rPr>
          <w:b/>
          <w:bCs/>
        </w:rPr>
        <w:t xml:space="preserve">Anticoagulants oraux (warfarine)</w:t>
      </w:r>
      <w:r>
        <w:t xml:space="preserve"> </w:t>
      </w:r>
      <w:r>
        <w:t xml:space="preserve">: Potentialisation majeure (métronidazole inhibe CYP2C9) — surveillance INR, adaptation dose.</w:t>
      </w:r>
      <w:r>
        <w:t xml:space="preserve"> </w:t>
      </w:r>
      <w:r>
        <w:t xml:space="preserve">-</w:t>
      </w:r>
      <w:r>
        <w:t xml:space="preserve"> </w:t>
      </w:r>
      <w:r>
        <w:rPr>
          <w:b/>
          <w:bCs/>
        </w:rPr>
        <w:t xml:space="preserve">Fluorouracile, busulfan</w:t>
      </w:r>
      <w:r>
        <w:t xml:space="preserve"> </w:t>
      </w:r>
      <w:r>
        <w:t xml:space="preserve">: Diminution de la clairance (métronidazole) — toxicité accrue.</w:t>
      </w:r>
      <w:r>
        <w:t xml:space="preserve"> </w:t>
      </w:r>
      <w:r>
        <w:t xml:space="preserve">-</w:t>
      </w:r>
      <w:r>
        <w:t xml:space="preserve"> </w:t>
      </w:r>
      <w:r>
        <w:rPr>
          <w:b/>
          <w:bCs/>
        </w:rPr>
        <w:t xml:space="preserve">Phénobarbital, rifampicine</w:t>
      </w:r>
      <w:r>
        <w:t xml:space="preserve"> </w:t>
      </w:r>
      <w:r>
        <w:t xml:space="preserve">: Induction enzymatique, diminution des concentrations de métronidazole.</w:t>
      </w:r>
      <w:r>
        <w:t xml:space="preserve"> </w:t>
      </w:r>
      <w:r>
        <w:t xml:space="preserve">-</w:t>
      </w:r>
      <w:r>
        <w:t xml:space="preserve"> </w:t>
      </w:r>
      <w:r>
        <w:rPr>
          <w:b/>
          <w:bCs/>
        </w:rPr>
        <w:t xml:space="preserve">Ciclosporine, tacrolimus</w:t>
      </w:r>
      <w:r>
        <w:t xml:space="preserve"> </w:t>
      </w:r>
      <w:r>
        <w:t xml:space="preserve">: Augmentation des concentrations (métronidazole) — surveillance.</w:t>
      </w:r>
      <w:r>
        <w:t xml:space="preserve"> </w:t>
      </w:r>
      <w:r>
        <w:t xml:space="preserve">-</w:t>
      </w:r>
      <w:r>
        <w:t xml:space="preserve"> </w:t>
      </w:r>
      <w:r>
        <w:rPr>
          <w:b/>
          <w:bCs/>
        </w:rPr>
        <w:t xml:space="preserve">Lithium</w:t>
      </w:r>
      <w:r>
        <w:t xml:space="preserve"> </w:t>
      </w:r>
      <w:r>
        <w:t xml:space="preserve">: Augmentation des concentrations, toxicité neurologique.</w:t>
      </w:r>
    </w:p>
    <w:p>
      <w:pPr>
        <w:pStyle w:val="BodyText"/>
      </w:pPr>
      <w:r>
        <w:rPr>
          <w:b/>
          <w:bCs/>
        </w:rPr>
        <w:t xml:space="preserve">Grossesse et Allaitement :</w:t>
      </w:r>
      <w:r>
        <w:t xml:space="preserve"> </w:t>
      </w:r>
      <w:r>
        <w:t xml:space="preserve">- Grossesse : CI au 1er trimestre (métronidazole tératogène chez l’animal). Aux 2e et 3e trimestres : ponctuellement possible si nécessaire. Pour les infections bucco-dentaires de la femme enceinte, préférer amoxicilline seule ou spiramycine seule.</w:t>
      </w:r>
      <w:r>
        <w:t xml:space="preserve"> </w:t>
      </w:r>
      <w:r>
        <w:t xml:space="preserve">- Allaitement : Déconseillé (métronidazole passe dans le lait). Si traitement ponctuel : suspendre l’allaitement pendant 12 à 24 h après la dernière prise.</w:t>
      </w:r>
      <w:r>
        <w:t xml:space="preserve"> </w:t>
      </w:r>
      <w:r>
        <w:t xml:space="preserve">- Précisions : Préférer spiramycine seule chez la femme enceinte présentant une infection dentaire.</w:t>
      </w:r>
    </w:p>
    <w:p>
      <w:pPr>
        <w:pStyle w:val="BodyText"/>
      </w:pPr>
      <w:r>
        <w:rPr>
          <w:b/>
          <w:bCs/>
        </w:rPr>
        <w:t xml:space="preserve">Posologie et Mode d’administration (Standard) :</w:t>
      </w:r>
      <w:r>
        <w:t xml:space="preserve"> </w:t>
      </w:r>
      <w:r>
        <w:t xml:space="preserve">- Adulte (dosage simple 750 000 UI/125 mg) : 2 comprimés × 2 à 3/jour pendant 5 à 7 jours.</w:t>
      </w:r>
      <w:r>
        <w:t xml:space="preserve"> </w:t>
      </w:r>
      <w:r>
        <w:t xml:space="preserve">- Adulte (dosage double 1,5 MUI/250 mg,</w:t>
      </w:r>
      <w:r>
        <w:t xml:space="preserve"> </w:t>
      </w:r>
      <w:r>
        <w:t xml:space="preserve">“</w:t>
      </w:r>
      <w:r>
        <w:t xml:space="preserve">BI-</w:t>
      </w:r>
      <w:r>
        <w:t xml:space="preserve">”</w:t>
      </w:r>
      <w:r>
        <w:t xml:space="preserve">) : 1 comprimé × 2 à 3/jour pendant 5 à 7 jours.</w:t>
      </w:r>
      <w:r>
        <w:t xml:space="preserve"> </w:t>
      </w:r>
      <w:r>
        <w:t xml:space="preserve">- Enfant : Adaptation pondérale non standardisée, l’association n’est pas recommandée chez l’enfant &lt; 30 kg. Préférer spiramycine seule en suspension.</w:t>
      </w:r>
      <w:r>
        <w:t xml:space="preserve"> </w:t>
      </w:r>
      <w:r>
        <w:t xml:space="preserve">- Durée : 5 à 7 jours pour les infections dentaires ; jusqu’à 10 jours pour les infections sévères.</w:t>
      </w:r>
      <w:r>
        <w:t xml:space="preserve"> </w:t>
      </w:r>
      <w:r>
        <w:t xml:space="preserve">- Moment de prise : Pendant les repas pour limiter l’intolérance digestive.</w:t>
      </w:r>
    </w:p>
    <w:p>
      <w:pPr>
        <w:pStyle w:val="BodyText"/>
      </w:pPr>
      <w:r>
        <w:rPr>
          <w:b/>
          <w:bCs/>
        </w:rPr>
        <w:t xml:space="preserve">Arbitrage et Bénéfices des Formes Galéniques :</w:t>
      </w:r>
      <w:r>
        <w:t xml:space="preserve"> </w:t>
      </w:r>
      <w:r>
        <w:t xml:space="preserve">Deux dosages disponibles : le dosage simple (750 000 UI/125 mg) et le dosage double (1,5 MUI/250 mg). Le dosage double</w:t>
      </w:r>
      <w:r>
        <w:t xml:space="preserve"> </w:t>
      </w:r>
      <w:r>
        <w:t xml:space="preserve">“</w:t>
      </w:r>
      <w:r>
        <w:t xml:space="preserve">BI-</w:t>
      </w:r>
      <w:r>
        <w:t xml:space="preserve">”</w:t>
      </w:r>
      <w:r>
        <w:t xml:space="preserve"> </w:t>
      </w:r>
      <w:r>
        <w:t xml:space="preserve">permet de réduire le nombre de comprimés par prise (1 cp × 2 à 3/j au lieu de 2 cp × 2 à 3/j), améliorant l’observance. La forme comprimé sécable (BISPIRADENT) permet une adaptation posologique. L’absence de forme pédiatrique limite l’usage chez l’enfant. Pour l’adulte, la boîte de 10 comprimés (dosage double) couvre un traitement de 3 à 5 jours ; la boîte de 20 (dosage simple) couvre 5 à 7 jours.</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Ce médicament combine deux antibiotiques.</w:t>
      </w:r>
      <w:r>
        <w:t xml:space="preserve"> </w:t>
      </w:r>
      <w:r>
        <w:rPr>
          <w:b/>
          <w:bCs/>
        </w:rPr>
        <w:t xml:space="preserve">Ne consommez aucune boisson alcoolisée pendant le traitement et les 48 heures qui suivent.</w:t>
      </w:r>
      <w:r>
        <w:t xml:space="preserve"> </w:t>
      </w:r>
      <w:r>
        <w:t xml:space="preserve">Prenez les comprimés pendant les repas. Votre urine peut devenir plus foncée, c’est normal.</w:t>
      </w:r>
      <w:r>
        <w:t xml:space="preserve">”</w:t>
      </w:r>
      <w:r>
        <w:t xml:space="preserve"> </w:t>
      </w:r>
      <w:r>
        <w:t xml:space="preserve">- Mode d’utilisation pratique : Avaler les comprimés entiers avec un grand verre d’eau pendant les repas. Respecter les horaires. Ne pas interrompre le traitement. Signaler tout fourmillement des mains ou des pieds.</w:t>
      </w:r>
    </w:p>
    <w:p>
      <w:pPr>
        <w:pStyle w:val="BodyText"/>
      </w:pPr>
      <w:r>
        <w:rPr>
          <w:b/>
          <w:bCs/>
        </w:rPr>
        <w:t xml:space="preserve">Notes, Règles d’Or &amp; Pièges au Comptoir :</w:t>
      </w:r>
      <w:r>
        <w:t xml:space="preserve"> </w:t>
      </w:r>
      <w:r>
        <w:t xml:space="preserve">- Piège classique : Oublier de mentionner l’interdiction de l’alcool — risque d’effet antabuse sévère.</w:t>
      </w:r>
      <w:r>
        <w:t xml:space="preserve"> </w:t>
      </w:r>
      <w:r>
        <w:t xml:space="preserve">- Règle de prise : Pendant les repas, sans alcool.</w:t>
      </w:r>
      <w:r>
        <w:t xml:space="preserve"> </w:t>
      </w:r>
      <w:r>
        <w:t xml:space="preserve">- Préparation et Conservation : Forme solide prête à l’emploi, conservation à température ambiante &lt; 25 °C.</w:t>
      </w:r>
      <w:r>
        <w:t xml:space="preserve"> </w:t>
      </w:r>
      <w:r>
        <w:t xml:space="preserve">- Piège du surdosage / Substitution : Vérifier le dosage prescrit (simple ou double,</w:t>
      </w:r>
      <w:r>
        <w:t xml:space="preserve"> </w:t>
      </w:r>
      <w:r>
        <w:t xml:space="preserve">“</w:t>
      </w:r>
      <w:r>
        <w:t xml:space="preserve">BI-</w:t>
      </w:r>
      <w:r>
        <w:t xml:space="preserve">”</w:t>
      </w:r>
      <w:r>
        <w:t xml:space="preserve">). Ne pas confondre les deux dosages lors de la substitution. La substitution entre marques est possible à condition de respecter strictement le dosage.</w:t>
      </w:r>
    </w:p>
    <w:p>
      <w:r>
        <w:pict>
          <v:rect style="width:0;height:1.5pt" o:hralign="center" o:hrstd="t" o:hr="t"/>
        </w:pict>
      </w:r>
    </w:p>
    <w:bookmarkEnd w:id="108"/>
    <w:bookmarkStart w:id="109" w:name="Xf2a269f6df7efa6b2e21481256d3a1ed926227f"/>
    <w:p>
      <w:pPr>
        <w:pStyle w:val="Heading3"/>
      </w:pPr>
      <w:r>
        <w:t xml:space="preserve">4.1.8 DCI : Acide rétinoïque + Érythromycine (Association topique)</w:t>
      </w:r>
    </w:p>
    <w:p>
      <w:pPr>
        <w:pStyle w:val="FirstParagraph"/>
      </w:pPr>
      <w:r>
        <w:rPr>
          <w:b/>
          <w:bCs/>
        </w:rPr>
        <w:t xml:space="preserve">Liste des Catégories :</w:t>
      </w:r>
      <w:r>
        <w:t xml:space="preserve"> </w:t>
      </w:r>
      <w:r>
        <w:t xml:space="preserve">Macrolide topique + Rétinoïde topique — Listé Liste I — Forme galénique : gel dermatologique.</w:t>
      </w:r>
    </w:p>
    <w:p>
      <w:pPr>
        <w:pStyle w:val="BodyText"/>
      </w:pPr>
      <w:r>
        <w:t xml:space="preserve">Cette association fixe associe</w:t>
      </w:r>
      <w:r>
        <w:t xml:space="preserve"> </w:t>
      </w:r>
      <w:r>
        <w:rPr>
          <w:b/>
          <w:bCs/>
        </w:rPr>
        <w:t xml:space="preserve">l’acide tout-trans-rétinoïque (trétinoïne)</w:t>
      </w:r>
      <w:r>
        <w:t xml:space="preserve"> </w:t>
      </w:r>
      <w:r>
        <w:t xml:space="preserve">à 0,025 % (rétinoïde topique comedolytique) et</w:t>
      </w:r>
      <w:r>
        <w:t xml:space="preserve"> </w:t>
      </w:r>
      <w:r>
        <w:rPr>
          <w:b/>
          <w:bCs/>
        </w:rPr>
        <w:t xml:space="preserve">l’érythromycine</w:t>
      </w:r>
      <w:r>
        <w:t xml:space="preserve"> </w:t>
      </w:r>
      <w:r>
        <w:t xml:space="preserve">à 4 % (macrolide bactériostatique) dans un gel dermatologique indiqué dans le traitement de l’acné vulgaire modérée à modérément sévère à composante inflammatoire et rétentionnelle. L’association vise à combiner l’action comedolytique et kératolytique du rétinoïde (qui favorise l’élimination des comédons) et l’action antibactérienne de l’érythromycine contre</w:t>
      </w:r>
      <w:r>
        <w:t xml:space="preserve"> </w:t>
      </w:r>
      <w:r>
        <w:rPr>
          <w:i/>
          <w:iCs/>
        </w:rPr>
        <w:t xml:space="preserve">Cutibacterium acnes</w:t>
      </w:r>
      <w:r>
        <w:t xml:space="preserve"> </w:t>
      </w:r>
      <w:r>
        <w:t xml:space="preserve">(anciennement</w:t>
      </w:r>
      <w:r>
        <w:t xml:space="preserve"> </w:t>
      </w:r>
      <w:r>
        <w:rPr>
          <w:i/>
          <w:iCs/>
        </w:rPr>
        <w:t xml:space="preserve">Propionibacterium acnes</w:t>
      </w:r>
      <w:r>
        <w:t xml:space="preserve">). L’efficacité est comparable à l’association peroxyde de benzoyle + adapalène.</w:t>
      </w:r>
    </w:p>
    <w:p>
      <w:pPr>
        <w:pStyle w:val="BodyText"/>
      </w:pPr>
      <w:r>
        <w:rPr>
          <w:b/>
          <w:bCs/>
        </w:rPr>
        <w:t xml:space="preserve">Médicaments disponibles en Algérie (Marques, Laboratoires, Formes et Dosages) :</w:t>
      </w:r>
    </w:p>
    <w:p>
      <w:pPr>
        <w:pStyle w:val="Compact"/>
        <w:numPr>
          <w:ilvl w:val="0"/>
          <w:numId w:val="1307"/>
        </w:numPr>
      </w:pPr>
      <w:r>
        <w:rPr>
          <w:b/>
          <w:bCs/>
        </w:rPr>
        <w:t xml:space="preserve">STIEVAMYCIN</w:t>
      </w:r>
      <w:r>
        <w:t xml:space="preserve"> </w:t>
      </w:r>
      <w:r>
        <w:t xml:space="preserve">(STIEFEL CANADA INC) — Non Renouvelable</w:t>
      </w:r>
    </w:p>
    <w:p>
      <w:pPr>
        <w:pStyle w:val="Compact"/>
        <w:numPr>
          <w:ilvl w:val="1"/>
          <w:numId w:val="1308"/>
        </w:numPr>
      </w:pPr>
      <w:r>
        <w:t xml:space="preserve">Formes et Dosages : Gel dermatique acide rétinoïque 0,025 % + érythromycine 4 %, tube de 25 g</w:t>
      </w:r>
    </w:p>
    <w:p>
      <w:pPr>
        <w:pStyle w:val="Compact"/>
        <w:numPr>
          <w:ilvl w:val="0"/>
          <w:numId w:val="1307"/>
        </w:numPr>
      </w:pPr>
      <w:r>
        <w:rPr>
          <w:b/>
          <w:bCs/>
        </w:rPr>
        <w:t xml:space="preserve">ANTIBIO-ABEREL</w:t>
      </w:r>
      <w:r>
        <w:t xml:space="preserve"> </w:t>
      </w:r>
      <w:r>
        <w:t xml:space="preserve">(JANSSEN CILAG) (R) — Retiré</w:t>
      </w:r>
    </w:p>
    <w:p>
      <w:pPr>
        <w:pStyle w:val="Compact"/>
        <w:numPr>
          <w:ilvl w:val="1"/>
          <w:numId w:val="1309"/>
        </w:numPr>
      </w:pPr>
      <w:r>
        <w:t xml:space="preserve">Formes et Dosages : Gel dermatique acide rétinoïque 0,025 %, tube de 20 g ; Tampon 0,05 %</w:t>
      </w:r>
    </w:p>
    <w:p>
      <w:pPr>
        <w:pStyle w:val="Compact"/>
        <w:numPr>
          <w:ilvl w:val="1"/>
          <w:numId w:val="1309"/>
        </w:numPr>
      </w:pPr>
      <w:r>
        <w:t xml:space="preserve">Statut : Retiré</w:t>
      </w:r>
    </w:p>
    <w:p>
      <w:pPr>
        <w:pStyle w:val="FirstParagraph"/>
      </w:pPr>
      <w:r>
        <w:rPr>
          <w:b/>
          <w:bCs/>
        </w:rPr>
        <w:t xml:space="preserve">Sous-classe et Mécanisme d’action :</w:t>
      </w:r>
      <w:r>
        <w:t xml:space="preserve"> </w:t>
      </w:r>
      <w:r>
        <w:t xml:space="preserve">- Sous-classe : Association topique rétinoïde + macrolide pour dermatologie.</w:t>
      </w:r>
      <w:r>
        <w:t xml:space="preserve"> </w:t>
      </w:r>
      <w:r>
        <w:t xml:space="preserve">- Mécanisme d’action : Acide rétinoïque : liaison aux récepteurs nucléaires RAR (RAR-α, RAR-β, RAR-γ) et RXR, normalisation de la différenciation kératinocytaire, action comedolytique (diminution de la cohésion des cellules du follicule, expulsion des comédons), anti-inflammatoire modéré. Érythromycine : inhibition de la synthèse protéique bactérienne au niveau 50S sur</w:t>
      </w:r>
      <w:r>
        <w:t xml:space="preserve"> </w:t>
      </w:r>
      <w:r>
        <w:rPr>
          <w:i/>
          <w:iCs/>
        </w:rPr>
        <w:t xml:space="preserve">Cutibacterium acnes</w:t>
      </w:r>
      <w:r>
        <w:t xml:space="preserve">, diminution de la population bactérienne folliculaire et de la production d’acides gras irritants, action anti-inflammatoire directe.</w:t>
      </w:r>
    </w:p>
    <w:p>
      <w:pPr>
        <w:pStyle w:val="BodyText"/>
      </w:pPr>
      <w:r>
        <w:rPr>
          <w:b/>
          <w:bCs/>
        </w:rPr>
        <w:t xml:space="preserve">Profil Pharmacologique :</w:t>
      </w:r>
      <w:r>
        <w:t xml:space="preserve"> </w:t>
      </w:r>
      <w:r>
        <w:t xml:space="preserve">- Indications : Acné vulgaire modérée à modérément sévère avec composante rétentionnelle (comédons ouverts et fermés) et inflammatoire (papules, pustules) sur visage, thorax ou dos.</w:t>
      </w:r>
      <w:r>
        <w:t xml:space="preserve"> </w:t>
      </w:r>
      <w:r>
        <w:t xml:space="preserve">- Contre-indications : Grossesse (rétinoïdes — tératogènes par voie systémique, prudence par voie topique) ; allaitement ; enfant &lt; 12 ans ; eczéma, peau lésée, brûlure solaire ; allergie aux rétinoïdes ou macrolides ; association avec d’autres topiques irritants (peroxyde de benzoyle, acide salicylique, soufre, résorcinol).</w:t>
      </w:r>
      <w:r>
        <w:t xml:space="preserve"> </w:t>
      </w:r>
      <w:r>
        <w:t xml:space="preserve">- Effets Indésirables : Locaux — érythème, desquamation, sensation de brûlure, prurit, sécheresse cutanée (effets dus au rétinoïde, surtout en début de traitement, signe d’efficacité) ; photosensibilité (obligation de photoprotection stricte) ; dermatite de contact allergique rare ; pigmentation transitoire ; résistance bactérienne à l’érythromycine (émergence de souches résistantes de</w:t>
      </w:r>
      <w:r>
        <w:t xml:space="preserve"> </w:t>
      </w:r>
      <w:r>
        <w:rPr>
          <w:i/>
          <w:iCs/>
        </w:rPr>
        <w:t xml:space="preserve">C. acnes</w:t>
      </w:r>
      <w:r>
        <w:t xml:space="preserve"> </w:t>
      </w:r>
      <w:r>
        <w:t xml:space="preserve">en cas d’usage prolongé).</w:t>
      </w:r>
    </w:p>
    <w:p>
      <w:pPr>
        <w:pStyle w:val="BodyText"/>
      </w:pPr>
      <w:r>
        <w:rPr>
          <w:b/>
          <w:bCs/>
        </w:rPr>
        <w:t xml:space="preserve">Prévention et Gestion des Effets Indésirables :</w:t>
      </w:r>
      <w:r>
        <w:t xml:space="preserve"> </w:t>
      </w:r>
      <w:r>
        <w:t xml:space="preserve">- Mesures Préventives : Application le soir au coucher (le rétinoïde est photosensibilisant) ; photoprotection diurne stricte (FPS 30 minimum) ; utilisation d’un émollient non comedogène en cas de sécheresse ; débuter par application un soir sur deux la première semaine puis tous les soirs si tolérance bonne ; éviter le contour des yeux, des lèvres et des narines.</w:t>
      </w:r>
      <w:r>
        <w:t xml:space="preserve"> </w:t>
      </w:r>
      <w:r>
        <w:t xml:space="preserve">- Conduite à Tenir : En cas d’irritation sévère : espacer les applications (un soir sur deux ou sur trois), appliquer un émollient, suspendre 3 à 5 jours si nécessaire. En cas de grossesse survenue sous traitement : arrêt immédiat et consultation dermatologique.</w:t>
      </w:r>
    </w:p>
    <w:p>
      <w:pPr>
        <w:pStyle w:val="BodyText"/>
      </w:pPr>
      <w:r>
        <w:rPr>
          <w:b/>
          <w:bCs/>
        </w:rPr>
        <w:t xml:space="preserve">Interactions Importantes :</w:t>
      </w:r>
      <w:r>
        <w:t xml:space="preserve"> </w:t>
      </w:r>
      <w:r>
        <w:t xml:space="preserve">-</w:t>
      </w:r>
      <w:r>
        <w:t xml:space="preserve"> </w:t>
      </w:r>
      <w:r>
        <w:rPr>
          <w:b/>
          <w:bCs/>
        </w:rPr>
        <w:t xml:space="preserve">Autres topiques acnéiques (peroxyde de benzoyle, acide salicylique, soufre, résorcinol)</w:t>
      </w:r>
      <w:r>
        <w:t xml:space="preserve"> </w:t>
      </w:r>
      <w:r>
        <w:t xml:space="preserve">: Additions d’effets irritants — éviter l’application simultanée. Si nécessaire, appliquer à des moments différents (par exemple peroxyde le matin, rétinoïde le soir).</w:t>
      </w:r>
      <w:r>
        <w:t xml:space="preserve"> </w:t>
      </w:r>
      <w:r>
        <w:t xml:space="preserve">-</w:t>
      </w:r>
      <w:r>
        <w:t xml:space="preserve"> </w:t>
      </w:r>
      <w:r>
        <w:rPr>
          <w:b/>
          <w:bCs/>
        </w:rPr>
        <w:t xml:space="preserve">Cosmétiques asséchants (astringents alcoolisés)</w:t>
      </w:r>
      <w:r>
        <w:t xml:space="preserve"> </w:t>
      </w:r>
      <w:r>
        <w:t xml:space="preserve">: Majoration de la sécheresse.</w:t>
      </w:r>
      <w:r>
        <w:t xml:space="preserve"> </w:t>
      </w:r>
      <w:r>
        <w:t xml:space="preserve">-</w:t>
      </w:r>
      <w:r>
        <w:t xml:space="preserve"> </w:t>
      </w:r>
      <w:r>
        <w:rPr>
          <w:b/>
          <w:bCs/>
        </w:rPr>
        <w:t xml:space="preserve">Ciclosporine topique, tacrolimus topique</w:t>
      </w:r>
      <w:r>
        <w:t xml:space="preserve"> </w:t>
      </w:r>
      <w:r>
        <w:t xml:space="preserve">: Éviter l’association (irritation).</w:t>
      </w:r>
      <w:r>
        <w:t xml:space="preserve"> </w:t>
      </w:r>
      <w:r>
        <w:t xml:space="preserve">-</w:t>
      </w:r>
      <w:r>
        <w:t xml:space="preserve"> </w:t>
      </w:r>
      <w:r>
        <w:rPr>
          <w:b/>
          <w:bCs/>
        </w:rPr>
        <w:t xml:space="preserve">Pas d’interaction systémique significative</w:t>
      </w:r>
      <w:r>
        <w:t xml:space="preserve"> </w:t>
      </w:r>
      <w:r>
        <w:t xml:space="preserve">: l’absorption cutanée est très faible.</w:t>
      </w:r>
    </w:p>
    <w:p>
      <w:pPr>
        <w:pStyle w:val="BodyText"/>
      </w:pPr>
      <w:r>
        <w:rPr>
          <w:b/>
          <w:bCs/>
        </w:rPr>
        <w:t xml:space="preserve">Grossesse et Allaitement :</w:t>
      </w:r>
      <w:r>
        <w:t xml:space="preserve"> </w:t>
      </w:r>
      <w:r>
        <w:t xml:space="preserve">- Grossesse : CI par prudence, malgré l’absorption systémique minime du rétinoïde topique. Le risque tératogène théorique fait préférer l’azélaïque ou le peroxyde de benzoyle chez la femme enceinte.</w:t>
      </w:r>
      <w:r>
        <w:t xml:space="preserve"> </w:t>
      </w:r>
      <w:r>
        <w:t xml:space="preserve">- Allaitement : Déconseillé (prudence par défaut).</w:t>
      </w:r>
      <w:r>
        <w:t xml:space="preserve"> </w:t>
      </w:r>
      <w:r>
        <w:t xml:space="preserve">- Précisions : La grossesse doit être exclue avant prescription et une contraception efficace doit être utilisée pendant le traitement et le mois qui suit l’arrêt (prudence par défaut, bien que le risque soit considéré comme négligeable en topique à 0,025 %).</w:t>
      </w:r>
    </w:p>
    <w:p>
      <w:pPr>
        <w:pStyle w:val="BodyText"/>
      </w:pPr>
      <w:r>
        <w:rPr>
          <w:b/>
          <w:bCs/>
        </w:rPr>
        <w:t xml:space="preserve">Posologie et Mode d’administration (Standard) :</w:t>
      </w:r>
      <w:r>
        <w:t xml:space="preserve"> </w:t>
      </w:r>
      <w:r>
        <w:t xml:space="preserve">- Adulte et adolescent &gt; 12 ans : Application d’une noisette de gel le soir au coucher, sur peau propre et sèche, sur l’ensemble des zones atteintes (et non en spot sur les lésions).</w:t>
      </w:r>
      <w:r>
        <w:t xml:space="preserve"> </w:t>
      </w:r>
      <w:r>
        <w:t xml:space="preserve">- Durée : 8 à 12 semaines pour évaluation de l’efficacité ; traitement d’entretien possible plusieurs mois selon tolérance.</w:t>
      </w:r>
      <w:r>
        <w:t xml:space="preserve"> </w:t>
      </w:r>
      <w:r>
        <w:t xml:space="preserve">- Moment de prise : Le soir uniquement, jamais le matin (photosensibilité).</w:t>
      </w:r>
    </w:p>
    <w:p>
      <w:pPr>
        <w:pStyle w:val="BodyText"/>
      </w:pPr>
      <w:r>
        <w:rPr>
          <w:b/>
          <w:bCs/>
        </w:rPr>
        <w:t xml:space="preserve">Arbitrage et Bénéfices des Formes Galéniques :</w:t>
      </w:r>
      <w:r>
        <w:t xml:space="preserve"> </w:t>
      </w:r>
      <w:r>
        <w:t xml:space="preserve">Le gel à 0,025 % d’acide rétinoïque + 4 % d’érythromycine est la seule association disponible dans cette catégorie en Algérie, mais elle est actuellement retirée du marché (STIEVAMYCIN non renouvelable, ANTIBIO-ABEREL retiré). En pratique, le pharmacien orientera vers les alternatives disponibles : peroxyde de benzoyle + adapalène (Epiduo génériques), clindamycine topique (ACNESTOP, DERMA-T) + rétinoïde séparé, ou azélaïque. L’avantage de l’association fixe est la simplification de la routine thérapeutique (un seul produit au coucher). L’inconvénient est l’incompatibilité du rétinoïde avec le peroxyde de benzoyle (oxydation du rétinoïde) et le risque de résistance à l’érythromycine avec le temps.</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Ce gel s’applique uniquement le soir, en fine couche sur les zones acnéiques propres et sèches. Le matin, mettez toujours une crème solaire SPF 30+. Au début, vous risquez d’avoir la peau qui pèle et rougit : c’est normal, c’est le médicament qui agit. Si c’est trop agressif, espacez les applications.</w:t>
      </w:r>
      <w:r>
        <w:t xml:space="preserve">”</w:t>
      </w:r>
      <w:r>
        <w:t xml:space="preserve"> </w:t>
      </w:r>
      <w:r>
        <w:t xml:space="preserve">- Mode d’utilisation pratique : Laver le visage avec un syndet doux, sécher en tapotant, attendre 15–20 min, appliquer une noisette de gel sur tout le visage (pas seulement sur les boutons), éviter le contour des yeux et de la bouche. Le matin : nettoyer, hydrater avec un émollient non comedogène, appliquer une photoprotection. Ne pas utiliser en même temps que d’autres produits acnéiques sans avis médical.</w:t>
      </w:r>
    </w:p>
    <w:p>
      <w:pPr>
        <w:pStyle w:val="BodyText"/>
      </w:pPr>
      <w:r>
        <w:rPr>
          <w:b/>
          <w:bCs/>
        </w:rPr>
        <w:t xml:space="preserve">Notes, Règles d’Or &amp; Pièges au Comptoir :</w:t>
      </w:r>
      <w:r>
        <w:t xml:space="preserve"> </w:t>
      </w:r>
      <w:r>
        <w:t xml:space="preserve">- Piège classique : Patient qui applique le produit le matin et s’expose au soleil → brûlure sévère. Toujours préciser</w:t>
      </w:r>
      <w:r>
        <w:t xml:space="preserve"> </w:t>
      </w:r>
      <w:r>
        <w:t xml:space="preserve">“</w:t>
      </w:r>
      <w:r>
        <w:t xml:space="preserve">le soir uniquement</w:t>
      </w:r>
      <w:r>
        <w:t xml:space="preserve">”</w:t>
      </w:r>
      <w:r>
        <w:t xml:space="preserve">.</w:t>
      </w:r>
      <w:r>
        <w:t xml:space="preserve"> </w:t>
      </w:r>
      <w:r>
        <w:t xml:space="preserve">- Règle de prise : Le soir, peau sèche, photoprotection diurne.</w:t>
      </w:r>
      <w:r>
        <w:t xml:space="preserve"> </w:t>
      </w:r>
      <w:r>
        <w:t xml:space="preserve">- Préparation et Conservation : Tube fermé, à température ambiante &lt; 25 °C, à l’abri de la lumière. Durée de conservation après ouverture : 3 à 6 mois selon notice.</w:t>
      </w:r>
      <w:r>
        <w:t xml:space="preserve"> </w:t>
      </w:r>
      <w:r>
        <w:t xml:space="preserve">- Piège du surdosage / Substitution : Ne pas appliquer en couche épaisse (effet irritant accru sans gain d’efficacité). Ne pas associer à d’autres rétinoïdes (isotrétinoïne orale, acitrétine). En cas de substitution par un autre topique, respecter un délai de 1 semaine entre l’arrêt du rétinoïde et l’introduction d’un autre traitement irritant.</w:t>
      </w:r>
    </w:p>
    <w:p>
      <w:r>
        <w:pict>
          <v:rect style="width:0;height:1.5pt" o:hralign="center" o:hrstd="t" o:hr="t"/>
        </w:pict>
      </w:r>
    </w:p>
    <w:bookmarkEnd w:id="109"/>
    <w:bookmarkEnd w:id="110"/>
    <w:bookmarkStart w:id="112" w:name="sous-classe-kétolides"/>
    <w:p>
      <w:pPr>
        <w:pStyle w:val="Heading2"/>
      </w:pPr>
      <w:r>
        <w:t xml:space="preserve">4.2 Sous-classe : Kétolides</w:t>
      </w:r>
    </w:p>
    <w:p>
      <w:pPr>
        <w:pStyle w:val="FirstParagraph"/>
      </w:pPr>
      <w:r>
        <w:t xml:space="preserve">Les kétolides sont une sous-classe des macrolides obtenue par suppression du sucre L-cladinose et substitution par un groupement 3-kéto sur l’anneau macrocyclique de 14 atomes. Cette modification structurale leur confère une meilleure affinité pour la sous-unité 50S (liaison au site V en plus du site A), une activité conservée sur les souches résistantes par mécanisme</w:t>
      </w:r>
      <w:r>
        <w:t xml:space="preserve"> </w:t>
      </w:r>
      <w:r>
        <w:rPr>
          <w:i/>
          <w:iCs/>
        </w:rPr>
        <w:t xml:space="preserve">mef</w:t>
      </w:r>
      <w:r>
        <w:t xml:space="preserve"> </w:t>
      </w:r>
      <w:r>
        <w:t xml:space="preserve">(efflux) et une activité partielle sur les souches</w:t>
      </w:r>
      <w:r>
        <w:t xml:space="preserve"> </w:t>
      </w:r>
      <w:r>
        <w:rPr>
          <w:i/>
          <w:iCs/>
        </w:rPr>
        <w:t xml:space="preserve">erm</w:t>
      </w:r>
      <w:r>
        <w:t xml:space="preserve"> </w:t>
      </w:r>
      <w:r>
        <w:t xml:space="preserve">(MLSb). Seule la</w:t>
      </w:r>
      <w:r>
        <w:t xml:space="preserve"> </w:t>
      </w:r>
      <w:r>
        <w:rPr>
          <w:b/>
          <w:bCs/>
        </w:rPr>
        <w:t xml:space="preserve">télithromycine</w:t>
      </w:r>
      <w:r>
        <w:t xml:space="preserve"> </w:t>
      </w:r>
      <w:r>
        <w:t xml:space="preserve">a été commercialisée ; elle est aujourd’hui en déclin en raison d’une hépatotoxicité signalée (alerte FDA/EMA 2006–2007) et de restrictions d’indication.</w:t>
      </w:r>
    </w:p>
    <w:p>
      <w:r>
        <w:pict>
          <v:rect style="width:0;height:1.5pt" o:hralign="center" o:hrstd="t" o:hr="t"/>
        </w:pict>
      </w:r>
    </w:p>
    <w:bookmarkStart w:id="111" w:name="dci-télithromycine-seule"/>
    <w:p>
      <w:pPr>
        <w:pStyle w:val="Heading3"/>
      </w:pPr>
      <w:r>
        <w:t xml:space="preserve">4.2.1 DCI : Télithromycine (Seule)</w:t>
      </w:r>
    </w:p>
    <w:p>
      <w:pPr>
        <w:pStyle w:val="FirstParagraph"/>
      </w:pPr>
      <w:r>
        <w:rPr>
          <w:b/>
          <w:bCs/>
        </w:rPr>
        <w:t xml:space="preserve">Liste des Catégories :</w:t>
      </w:r>
      <w:r>
        <w:t xml:space="preserve"> </w:t>
      </w:r>
      <w:r>
        <w:t xml:space="preserve">Kétolide (macrolide de 2e génération) — Listé Liste I — Forme orale (comprimé pelliculé 400 mg).</w:t>
      </w:r>
    </w:p>
    <w:p>
      <w:pPr>
        <w:pStyle w:val="BodyText"/>
      </w:pPr>
      <w:r>
        <w:t xml:space="preserve">La télithromycine, dérivée semi-synthétique de l’érythromycine, a été commercialisée en 2001 comme alternative aux macrolides classiques face à la montée de la résistance du pneumocoque. Ses indications ont été progressivement restreintes après la notification de cas d’hépatite grave (parfois fatale) et d’exacerbation de myasthénie. En Algérie, la spécialité princeps KETEK (Aventis Pharma) est non renouvelable — la molécule n’est plus disponible commercialement, mais reste mentionnée dans la nomenclature et peut être connue des étudiants en pharmacie.</w:t>
      </w:r>
    </w:p>
    <w:p>
      <w:pPr>
        <w:pStyle w:val="BodyText"/>
      </w:pPr>
      <w:r>
        <w:rPr>
          <w:b/>
          <w:bCs/>
        </w:rPr>
        <w:t xml:space="preserve">Médicaments disponibles en Algérie (Marques, Laboratoires, Formes et Dosages) :</w:t>
      </w:r>
    </w:p>
    <w:p>
      <w:pPr>
        <w:pStyle w:val="Compact"/>
        <w:numPr>
          <w:ilvl w:val="0"/>
          <w:numId w:val="1310"/>
        </w:numPr>
      </w:pPr>
      <w:r>
        <w:rPr>
          <w:b/>
          <w:bCs/>
        </w:rPr>
        <w:t xml:space="preserve">KETEK</w:t>
      </w:r>
      <w:r>
        <w:t xml:space="preserve"> </w:t>
      </w:r>
      <w:r>
        <w:t xml:space="preserve">(AVENTIS PHARMA) — Non Renouvelable</w:t>
      </w:r>
    </w:p>
    <w:p>
      <w:pPr>
        <w:pStyle w:val="Compact"/>
        <w:numPr>
          <w:ilvl w:val="1"/>
          <w:numId w:val="1311"/>
        </w:numPr>
      </w:pPr>
      <w:r>
        <w:t xml:space="preserve">Formes et Dosages : Comprimé pelliculé 400 mg, boîtes de 10 et 14</w:t>
      </w:r>
    </w:p>
    <w:p>
      <w:pPr>
        <w:pStyle w:val="Compact"/>
        <w:numPr>
          <w:ilvl w:val="1"/>
          <w:numId w:val="1311"/>
        </w:numPr>
      </w:pPr>
      <w:r>
        <w:t xml:space="preserve">Statut : Non Renouvelable</w:t>
      </w:r>
    </w:p>
    <w:p>
      <w:pPr>
        <w:pStyle w:val="FirstParagraph"/>
      </w:pPr>
      <w:r>
        <w:rPr>
          <w:b/>
          <w:bCs/>
        </w:rPr>
        <w:t xml:space="preserve">Sous-classe et Mécanisme d’action :</w:t>
      </w:r>
      <w:r>
        <w:t xml:space="preserve"> </w:t>
      </w:r>
      <w:r>
        <w:t xml:space="preserve">- Sous-classe : Kétolide — macrolide de 2e génération à 14 atomes, dépourvu du sucre L-cladinose (remplacé par un groupement 3-céto) et porteur d’une chaîne latérale N-diméthylamino-pyridinyl-anilino.</w:t>
      </w:r>
      <w:r>
        <w:t xml:space="preserve"> </w:t>
      </w:r>
      <w:r>
        <w:t xml:space="preserve">- Mécanisme d’action : Bactériostatique (bactéricide sur pneumocoque). Liaison à la sous-unité 50S du ribosome avec affinité plus élevée que l’érythromycine — interaction avec les</w:t>
      </w:r>
      <w:r>
        <w:t xml:space="preserve"> </w:t>
      </w:r>
      <w:r>
        <w:rPr>
          <w:b/>
          <w:bCs/>
        </w:rPr>
        <w:t xml:space="preserve">domaines V et II</w:t>
      </w:r>
      <w:r>
        <w:t xml:space="preserve"> </w:t>
      </w:r>
      <w:r>
        <w:t xml:space="preserve">de l’ARN 23S. Cette double liaison permet de conserver une activité sur les souches ayant une résistance</w:t>
      </w:r>
      <w:r>
        <w:t xml:space="preserve"> </w:t>
      </w:r>
      <w:r>
        <w:rPr>
          <w:i/>
          <w:iCs/>
        </w:rPr>
        <w:t xml:space="preserve">mef</w:t>
      </w:r>
      <w:r>
        <w:t xml:space="preserve"> </w:t>
      </w:r>
      <w:r>
        <w:t xml:space="preserve">(efflux) et partielle sur</w:t>
      </w:r>
      <w:r>
        <w:t xml:space="preserve"> </w:t>
      </w:r>
      <w:r>
        <w:rPr>
          <w:i/>
          <w:iCs/>
        </w:rPr>
        <w:t xml:space="preserve">erm</w:t>
      </w:r>
      <w:r>
        <w:t xml:space="preserve"> </w:t>
      </w:r>
      <w:r>
        <w:t xml:space="preserve">(méthylation 23S).</w:t>
      </w:r>
    </w:p>
    <w:p>
      <w:pPr>
        <w:pStyle w:val="BodyText"/>
      </w:pPr>
      <w:r>
        <w:rPr>
          <w:b/>
          <w:bCs/>
        </w:rPr>
        <w:t xml:space="preserve">Profil Pharmacologique :</w:t>
      </w:r>
      <w:r>
        <w:t xml:space="preserve"> </w:t>
      </w:r>
      <w:r>
        <w:t xml:space="preserve">- Indications : Historiquement indiquée dans les pneumopathies aiguës communautaires (PAC) légères à modérées, les exacerbations de BPCO, les sinusites bactériennes et les angines. Depuis les restrictions EMA 2007 : réservée à la pneumopathie aiguë communautaire chez l’adulte lorsque les autres antibiotiques appropriés ne peuvent pas être utilisés (résistance ou contre-indication aux bêta-lactamines et macrolides).</w:t>
      </w:r>
      <w:r>
        <w:t xml:space="preserve"> </w:t>
      </w:r>
      <w:r>
        <w:t xml:space="preserve">- Contre-indications : Myasthénie (risque d’aggravation sévère, parfois mortelle — CI absolue) ; insuffisance hépatique sévère ; allongement QT ; antécédent d’hépatite sous télithromycine ; association avec cisapride, ergotamine, simvastatine, atorvastatine ; grossesse ; allaitement.</w:t>
      </w:r>
      <w:r>
        <w:t xml:space="preserve"> </w:t>
      </w:r>
      <w:r>
        <w:t xml:space="preserve">- Effets Indésirables : Troubles digestifs (nausées, diarrhée, dysgueusie) ;</w:t>
      </w:r>
      <w:r>
        <w:t xml:space="preserve"> </w:t>
      </w:r>
      <w:r>
        <w:rPr>
          <w:b/>
          <w:bCs/>
        </w:rPr>
        <w:t xml:space="preserve">hépatotoxicité grave</w:t>
      </w:r>
      <w:r>
        <w:t xml:space="preserve"> </w:t>
      </w:r>
      <w:r>
        <w:t xml:space="preserve">(hépatite cytolytique, cholestase, hépatite fulminante — alerte FDA 2006, restriction EMA 2007) ;</w:t>
      </w:r>
      <w:r>
        <w:t xml:space="preserve"> </w:t>
      </w:r>
      <w:r>
        <w:rPr>
          <w:b/>
          <w:bCs/>
        </w:rPr>
        <w:t xml:space="preserve">aggravation de myasthénie</w:t>
      </w:r>
      <w:r>
        <w:t xml:space="preserve"> </w:t>
      </w:r>
      <w:r>
        <w:t xml:space="preserve">(CI absolue) ; allongement QT et torsades de pointes ; perte de vision transitoire (très rare mais caractéristique) ; céphalées, vertiges ; candidose ; colite C. difficile.</w:t>
      </w:r>
    </w:p>
    <w:p>
      <w:pPr>
        <w:pStyle w:val="BodyText"/>
      </w:pPr>
      <w:r>
        <w:rPr>
          <w:b/>
          <w:bCs/>
        </w:rPr>
        <w:t xml:space="preserve">Prévention et Gestion des Effets Indésirables :</w:t>
      </w:r>
      <w:r>
        <w:t xml:space="preserve"> </w:t>
      </w:r>
      <w:r>
        <w:t xml:space="preserve">- Mesures Préventives : Bilan hépatique (ASAT, ALAT, bilirubine) avant et pendant le traitement ; ECG avant initiation ; recherche systématique d’une myasthénie à l’interrogatoire ; information du patient sur les signes d’alerte hépatique (ictère, urines foncées, fatigue, anorexie) et musculaire (faiblesse, dyspnée).</w:t>
      </w:r>
      <w:r>
        <w:t xml:space="preserve"> </w:t>
      </w:r>
      <w:r>
        <w:t xml:space="preserve">- Conduite à Tenir : Arrêt immédiat et bilan si symptômes hépatiques, neurologiques ou visuels. En cas d’augmentation des transaminases &gt; 3 × LSN : arrêt définitif.</w:t>
      </w:r>
    </w:p>
    <w:p>
      <w:pPr>
        <w:pStyle w:val="BodyText"/>
      </w:pPr>
      <w:r>
        <w:rPr>
          <w:b/>
          <w:bCs/>
        </w:rPr>
        <w:t xml:space="preserve">Interactions Importantes :</w:t>
      </w:r>
      <w:r>
        <w:t xml:space="preserve"> </w:t>
      </w:r>
      <w:r>
        <w:t xml:space="preserve">-</w:t>
      </w:r>
      <w:r>
        <w:t xml:space="preserve"> </w:t>
      </w:r>
      <w:r>
        <w:rPr>
          <w:b/>
          <w:bCs/>
        </w:rPr>
        <w:t xml:space="preserve">Statines (simvastatine, atorvastatine, lovastatine)</w:t>
      </w:r>
      <w:r>
        <w:t xml:space="preserve"> </w:t>
      </w:r>
      <w:r>
        <w:t xml:space="preserve">: Inhibition CYP3A4 majeure → rhabdomyolyse. CI absolue.</w:t>
      </w:r>
      <w:r>
        <w:t xml:space="preserve"> </w:t>
      </w:r>
      <w:r>
        <w:t xml:space="preserve">-</w:t>
      </w:r>
      <w:r>
        <w:t xml:space="preserve"> </w:t>
      </w:r>
      <w:r>
        <w:rPr>
          <w:b/>
          <w:bCs/>
        </w:rPr>
        <w:t xml:space="preserve">Ciclosporine, tacrolimus, sirolimus</w:t>
      </w:r>
      <w:r>
        <w:t xml:space="preserve"> </w:t>
      </w:r>
      <w:r>
        <w:t xml:space="preserve">: Augmentation majeure des concentrations — surveillance étroite.</w:t>
      </w:r>
      <w:r>
        <w:t xml:space="preserve"> </w:t>
      </w:r>
      <w:r>
        <w:t xml:space="preserve">-</w:t>
      </w:r>
      <w:r>
        <w:t xml:space="preserve"> </w:t>
      </w:r>
      <w:r>
        <w:rPr>
          <w:b/>
          <w:bCs/>
        </w:rPr>
        <w:t xml:space="preserve">Digoxine</w:t>
      </w:r>
      <w:r>
        <w:t xml:space="preserve"> </w:t>
      </w:r>
      <w:r>
        <w:t xml:space="preserve">: Augmentation des concentrations (P-gp).</w:t>
      </w:r>
      <w:r>
        <w:t xml:space="preserve"> </w:t>
      </w:r>
      <w:r>
        <w:t xml:space="preserve">-</w:t>
      </w:r>
      <w:r>
        <w:t xml:space="preserve"> </w:t>
      </w:r>
      <w:r>
        <w:rPr>
          <w:b/>
          <w:bCs/>
        </w:rPr>
        <w:t xml:space="preserve">Métoprolol</w:t>
      </w:r>
      <w:r>
        <w:t xml:space="preserve"> </w:t>
      </w:r>
      <w:r>
        <w:t xml:space="preserve">: Augmentation des concentrations (CYP2D6) — risque bradycardie.</w:t>
      </w:r>
      <w:r>
        <w:t xml:space="preserve"> </w:t>
      </w:r>
      <w:r>
        <w:t xml:space="preserve">-</w:t>
      </w:r>
      <w:r>
        <w:t xml:space="preserve"> </w:t>
      </w:r>
      <w:r>
        <w:rPr>
          <w:b/>
          <w:bCs/>
        </w:rPr>
        <w:t xml:space="preserve">Théophylline, carbamazépine</w:t>
      </w:r>
      <w:r>
        <w:t xml:space="preserve"> </w:t>
      </w:r>
      <w:r>
        <w:t xml:space="preserve">: Augmentation des concentrations.</w:t>
      </w:r>
      <w:r>
        <w:t xml:space="preserve"> </w:t>
      </w:r>
      <w:r>
        <w:t xml:space="preserve">-</w:t>
      </w:r>
      <w:r>
        <w:t xml:space="preserve"> </w:t>
      </w:r>
      <w:r>
        <w:rPr>
          <w:b/>
          <w:bCs/>
        </w:rPr>
        <w:t xml:space="preserve">Antiarythmiques III (amiodarone, sotalol)</w:t>
      </w:r>
      <w:r>
        <w:t xml:space="preserve"> </w:t>
      </w:r>
      <w:r>
        <w:t xml:space="preserve">: Effet additif QT.</w:t>
      </w:r>
      <w:r>
        <w:t xml:space="preserve"> </w:t>
      </w:r>
      <w:r>
        <w:t xml:space="preserve">-</w:t>
      </w:r>
      <w:r>
        <w:t xml:space="preserve"> </w:t>
      </w:r>
      <w:r>
        <w:rPr>
          <w:b/>
          <w:bCs/>
        </w:rPr>
        <w:t xml:space="preserve">Ergotamine, dihydroergotamine, cisapride, pimozide</w:t>
      </w:r>
      <w:r>
        <w:t xml:space="preserve"> </w:t>
      </w:r>
      <w:r>
        <w:t xml:space="preserve">: CI absolue.</w:t>
      </w:r>
      <w:r>
        <w:t xml:space="preserve"> </w:t>
      </w:r>
      <w:r>
        <w:t xml:space="preserve">-</w:t>
      </w:r>
      <w:r>
        <w:t xml:space="preserve"> </w:t>
      </w:r>
      <w:r>
        <w:rPr>
          <w:b/>
          <w:bCs/>
        </w:rPr>
        <w:t xml:space="preserve">Rifampicine, phénytoïne, carbamazépine, millepertuis</w:t>
      </w:r>
      <w:r>
        <w:t xml:space="preserve"> </w:t>
      </w:r>
      <w:r>
        <w:t xml:space="preserve">: Induction enzymatique → diminution de l’efficacité de la télithromycine.</w:t>
      </w:r>
    </w:p>
    <w:p>
      <w:pPr>
        <w:pStyle w:val="BodyText"/>
      </w:pPr>
      <w:r>
        <w:rPr>
          <w:b/>
          <w:bCs/>
        </w:rPr>
        <w:t xml:space="preserve">Grossesse et Allaitement :</w:t>
      </w:r>
      <w:r>
        <w:t xml:space="preserve"> </w:t>
      </w:r>
      <w:r>
        <w:t xml:space="preserve">- Grossesse : CI par prudence (données animales : foetotoxicité, données humaines insuffisantes). Préférer érythromycine, spiramycine ou azithromycine.</w:t>
      </w:r>
      <w:r>
        <w:t xml:space="preserve"> </w:t>
      </w:r>
      <w:r>
        <w:t xml:space="preserve">- Allaitement : CI (passage dans le lait, données insuffisantes).</w:t>
      </w:r>
      <w:r>
        <w:t xml:space="preserve"> </w:t>
      </w:r>
      <w:r>
        <w:t xml:space="preserve">- Précisions : La télithromycine ne doit jamais être prescrite chez la femme enceinte en raison du profil hépatotoxique et du manque de données.</w:t>
      </w:r>
    </w:p>
    <w:p>
      <w:pPr>
        <w:pStyle w:val="BodyText"/>
      </w:pPr>
      <w:r>
        <w:rPr>
          <w:b/>
          <w:bCs/>
        </w:rPr>
        <w:t xml:space="preserve">Posologie et Mode d’administration (Standard) :</w:t>
      </w:r>
      <w:r>
        <w:t xml:space="preserve"> </w:t>
      </w:r>
      <w:r>
        <w:t xml:space="preserve">- Adulte : 800 mg/jour en 1 prise (soit 2 comprimés à 400 mg), pendant 7 à 10 jours pour pneumopathie, 5 jours pour sinusite/angine (indications historiques).</w:t>
      </w:r>
      <w:r>
        <w:t xml:space="preserve"> </w:t>
      </w:r>
      <w:r>
        <w:t xml:space="preserve">- Enfant : Non indiquée chez l’enfant (&lt; 18 ans).</w:t>
      </w:r>
      <w:r>
        <w:t xml:space="preserve"> </w:t>
      </w:r>
      <w:r>
        <w:t xml:space="preserve">- Durée : 5 à 10 jours maximum (limiter la durée pour réduire le risque hépatotoxique).</w:t>
      </w:r>
      <w:r>
        <w:t xml:space="preserve"> </w:t>
      </w:r>
      <w:r>
        <w:t xml:space="preserve">- Moment de prise : À n’importe quel moment de la journée, indépendamment des repas.</w:t>
      </w:r>
    </w:p>
    <w:p>
      <w:pPr>
        <w:pStyle w:val="BodyText"/>
      </w:pPr>
      <w:r>
        <w:rPr>
          <w:b/>
          <w:bCs/>
        </w:rPr>
        <w:t xml:space="preserve">Arbitrage et Bénéfices des Formes Galéniques :</w:t>
      </w:r>
      <w:r>
        <w:t xml:space="preserve"> </w:t>
      </w:r>
      <w:r>
        <w:t xml:space="preserve">Une seule forme disponible : comprimé pelliculé à 400 mg. La biodisponibilité orale est d’environ 57 %, légèrement améliorée par la prise alimentaire. Pas de forme injectable. L’unique dosage (400 mg) simplifie la prescription mais ne permet pas d’adaptation posologique en cas d’insuffisance hépatique modérée (réduction à 600 mg/j en cas d’insuffisance hépatique modérée). La télithromycine n’est plus commercialisée en Algérie — en pratique, en cas de résistance du pneumocoque aux macrolides, on recourt à la pristinamycine, à la lévofloxacine ou à la moxifloxacine selon le contexte.</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Ce médicament n’est plus disponible. Pour votre infection respiratoire, votre médecin vous proposera un autre antibiotique adapté.</w:t>
      </w:r>
      <w:r>
        <w:t xml:space="preserve">”</w:t>
      </w:r>
      <w:r>
        <w:t xml:space="preserve"> </w:t>
      </w:r>
      <w:r>
        <w:t xml:space="preserve">- Mode d’utilisation pratique : N/A — produit non disponible.</w:t>
      </w:r>
    </w:p>
    <w:p>
      <w:pPr>
        <w:pStyle w:val="BodyText"/>
      </w:pPr>
      <w:r>
        <w:rPr>
          <w:b/>
          <w:bCs/>
        </w:rPr>
        <w:t xml:space="preserve">Notes, Règles d’Or &amp; Pièges au Comptoir :</w:t>
      </w:r>
      <w:r>
        <w:t xml:space="preserve"> </w:t>
      </w:r>
      <w:r>
        <w:t xml:space="preserve">- Piège classique : Penser que la télithromycine est un macrolide</w:t>
      </w:r>
      <w:r>
        <w:t xml:space="preserve"> </w:t>
      </w:r>
      <w:r>
        <w:t xml:space="preserve">“</w:t>
      </w:r>
      <w:r>
        <w:t xml:space="preserve">amélioré</w:t>
      </w:r>
      <w:r>
        <w:t xml:space="preserve">”</w:t>
      </w:r>
      <w:r>
        <w:t xml:space="preserve"> </w:t>
      </w:r>
      <w:r>
        <w:t xml:space="preserve">sans risque — son profil hépatotoxique et l’aggravation de myasthénie en font une molécule à risque, à n’utiliser qu’en dernier recours.</w:t>
      </w:r>
      <w:r>
        <w:t xml:space="preserve"> </w:t>
      </w:r>
      <w:r>
        <w:t xml:space="preserve">- Règle de prise : Une prise par jour, indépendamment des repas.</w:t>
      </w:r>
      <w:r>
        <w:t xml:space="preserve"> </w:t>
      </w:r>
      <w:r>
        <w:t xml:space="preserve">- Préparation et Conservation : Comprimé solide, conservation à température ambiante &lt; 25 °C.</w:t>
      </w:r>
      <w:r>
        <w:t xml:space="preserve"> </w:t>
      </w:r>
      <w:r>
        <w:t xml:space="preserve">- Piège du surdosage / Substitution : Ne jamais substituer un macrolide classique par de la télithromycine sans avis médical. En cas de demande, orienter vers le prescripteur.</w:t>
      </w:r>
    </w:p>
    <w:p>
      <w:r>
        <w:pict>
          <v:rect style="width:0;height:1.5pt" o:hralign="center" o:hrstd="t" o:hr="t"/>
        </w:pict>
      </w:r>
    </w:p>
    <w:bookmarkEnd w:id="111"/>
    <w:bookmarkEnd w:id="112"/>
    <w:bookmarkStart w:id="115" w:name="sous-classe-lincosamides"/>
    <w:p>
      <w:pPr>
        <w:pStyle w:val="Heading2"/>
      </w:pPr>
      <w:r>
        <w:t xml:space="preserve">4.3 Sous-classe : Lincosamides</w:t>
      </w:r>
    </w:p>
    <w:p>
      <w:pPr>
        <w:pStyle w:val="FirstParagraph"/>
      </w:pPr>
      <w:r>
        <w:t xml:space="preserve">Les lincosamides (lincomycine et son dérivé semi-synthétique 7-chloro, la clindamycine) sont des antibiotiques de structure non macrolidique (un acide aminé lié à un sucre soufré) qui partagent la cible des macrolides : la</w:t>
      </w:r>
      <w:r>
        <w:t xml:space="preserve"> </w:t>
      </w:r>
      <w:r>
        <w:rPr>
          <w:b/>
          <w:bCs/>
        </w:rPr>
        <w:t xml:space="preserve">sous-unité 50S du ribosome</w:t>
      </w:r>
      <w:r>
        <w:t xml:space="preserve">, avec un mécanisme d’inhibition de la</w:t>
      </w:r>
      <w:r>
        <w:t xml:space="preserve"> </w:t>
      </w:r>
      <w:r>
        <w:rPr>
          <w:b/>
          <w:bCs/>
        </w:rPr>
        <w:t xml:space="preserve">translocation peptidyl-ARNt</w:t>
      </w:r>
      <w:r>
        <w:t xml:space="preserve">. Ils présentent une résistance croisée avec les macrolides par méthylation 23S (phénotype MLSb), mais leur spectre se distingue par une excellente activité sur les</w:t>
      </w:r>
      <w:r>
        <w:t xml:space="preserve"> </w:t>
      </w:r>
      <w:r>
        <w:rPr>
          <w:b/>
          <w:bCs/>
        </w:rPr>
        <w:t xml:space="preserve">anaérobies</w:t>
      </w:r>
      <w:r>
        <w:t xml:space="preserve"> </w:t>
      </w:r>
      <w:r>
        <w:t xml:space="preserve">(Bacteroides, Prevotella, Fusobacterium, Clostridium — sauf C. difficile) et sur les cocci Gram positif (y compris Staphylococcus sensibles et certains souches résistantes à la pénicilline). Leur indication majeure reste les infections cutanées, stomatologiques, pelvi-péritonéales, ostéoarticulaires et toxoplasmose cérébrale chez le patient immunodéprimé (en association avec la pyriméthamine).</w:t>
      </w:r>
    </w:p>
    <w:p>
      <w:r>
        <w:pict>
          <v:rect style="width:0;height:1.5pt" o:hralign="center" o:hrstd="t" o:hr="t"/>
        </w:pict>
      </w:r>
    </w:p>
    <w:bookmarkStart w:id="113" w:name="dci-clindamycine-seule"/>
    <w:p>
      <w:pPr>
        <w:pStyle w:val="Heading3"/>
      </w:pPr>
      <w:r>
        <w:t xml:space="preserve">4.3.1 DCI : Clindamycine (Seule)</w:t>
      </w:r>
    </w:p>
    <w:p>
      <w:pPr>
        <w:pStyle w:val="FirstParagraph"/>
      </w:pPr>
      <w:r>
        <w:rPr>
          <w:b/>
          <w:bCs/>
        </w:rPr>
        <w:t xml:space="preserve">Liste des Catégories :</w:t>
      </w:r>
      <w:r>
        <w:t xml:space="preserve"> </w:t>
      </w:r>
      <w:r>
        <w:t xml:space="preserve">Lincosamide semi-synthétique — Listé Liste I — Formes orales (gélules 150 mg), injectables (solution 600 mg/4 mL), topiques (gel et solution dermatiques 1 %).</w:t>
      </w:r>
    </w:p>
    <w:p>
      <w:pPr>
        <w:pStyle w:val="BodyText"/>
      </w:pPr>
      <w:r>
        <w:t xml:space="preserve">La clindamycine (7-chlorolincomycine) est le lincosamide de référence. Sa biodisponibilité orale d’environ 90 %, sa pénétration tissulaire exceptionnelle (os, abcès, prostate, poumon) et son activité sur les anaérobies en font un antibiotique de choix dans les infections mixtes (cutanées, ORL, pelviennes, ostéoarticulaires, dentaires, toxoplasmose cérébrale). Le sel phosphate (injectable) et le sel chlorhydrate (oral) sont disponibles. La forme topique 1 % est largement prescrite dans l’acné inflammatoire.</w:t>
      </w:r>
    </w:p>
    <w:p>
      <w:pPr>
        <w:pStyle w:val="BodyText"/>
      </w:pPr>
      <w:r>
        <w:rPr>
          <w:b/>
          <w:bCs/>
        </w:rPr>
        <w:t xml:space="preserve">Médicaments disponibles en Algérie (Marques, Laboratoires, Formes et Dosages) :</w:t>
      </w:r>
    </w:p>
    <w:p>
      <w:pPr>
        <w:pStyle w:val="BodyText"/>
      </w:pPr>
      <w:r>
        <w:t xml:space="preserve">Formes topiques (acné) :</w:t>
      </w:r>
      <w:r>
        <w:t xml:space="preserve"> </w:t>
      </w:r>
      <w:r>
        <w:t xml:space="preserve">-</w:t>
      </w:r>
      <w:r>
        <w:t xml:space="preserve"> </w:t>
      </w:r>
      <w:r>
        <w:rPr>
          <w:b/>
          <w:bCs/>
        </w:rPr>
        <w:t xml:space="preserve">CLEAN-ACNE</w:t>
      </w:r>
      <w:r>
        <w:t xml:space="preserve"> </w:t>
      </w:r>
      <w:r>
        <w:t xml:space="preserve">(LABORATOIRES PHARMAGHREB) — Solution pour application locale 1 % (10 mg/mL), flacon 30 mL ; Gel pour application locale 1 %, tube 30 g — Actif</w:t>
      </w:r>
      <w:r>
        <w:t xml:space="preserve"> </w:t>
      </w:r>
      <w:r>
        <w:t xml:space="preserve">-</w:t>
      </w:r>
      <w:r>
        <w:t xml:space="preserve"> </w:t>
      </w:r>
      <w:r>
        <w:rPr>
          <w:b/>
          <w:bCs/>
        </w:rPr>
        <w:t xml:space="preserve">DENACINE</w:t>
      </w:r>
      <w:r>
        <w:t xml:space="preserve"> </w:t>
      </w:r>
      <w:r>
        <w:t xml:space="preserve">(BEIT JALA PHARMACEUTICALS) — Solution pour application locale 1 %, flacon 30 mL — Actif</w:t>
      </w:r>
      <w:r>
        <w:t xml:space="preserve"> </w:t>
      </w:r>
      <w:r>
        <w:t xml:space="preserve">-</w:t>
      </w:r>
      <w:r>
        <w:t xml:space="preserve"> </w:t>
      </w:r>
      <w:r>
        <w:rPr>
          <w:b/>
          <w:bCs/>
        </w:rPr>
        <w:t xml:space="preserve">DERMA-T</w:t>
      </w:r>
      <w:r>
        <w:t xml:space="preserve"> </w:t>
      </w:r>
      <w:r>
        <w:t xml:space="preserve">(TABUK ALGERIE) — Solution dermique 1 %, flacon 30 mL — Actif</w:t>
      </w:r>
      <w:r>
        <w:t xml:space="preserve"> </w:t>
      </w:r>
      <w:r>
        <w:t xml:space="preserve">-</w:t>
      </w:r>
      <w:r>
        <w:t xml:space="preserve"> </w:t>
      </w:r>
      <w:r>
        <w:rPr>
          <w:b/>
          <w:bCs/>
        </w:rPr>
        <w:t xml:space="preserve">ACNESTOP</w:t>
      </w:r>
      <w:r>
        <w:t xml:space="preserve"> </w:t>
      </w:r>
      <w:r>
        <w:t xml:space="preserve">(EL KENDI) — Gel dermique 1 %, tube 30 g — Actif</w:t>
      </w:r>
      <w:r>
        <w:t xml:space="preserve"> </w:t>
      </w:r>
      <w:r>
        <w:t xml:space="preserve">-</w:t>
      </w:r>
      <w:r>
        <w:t xml:space="preserve"> </w:t>
      </w:r>
      <w:r>
        <w:rPr>
          <w:b/>
          <w:bCs/>
        </w:rPr>
        <w:t xml:space="preserve">DENACINE EMULGEL</w:t>
      </w:r>
      <w:r>
        <w:t xml:space="preserve"> </w:t>
      </w:r>
      <w:r>
        <w:t xml:space="preserve">(BEIT JALA) — Gel dermique 1 %, tube 30 g — Actif</w:t>
      </w:r>
    </w:p>
    <w:p>
      <w:pPr>
        <w:pStyle w:val="BodyText"/>
      </w:pPr>
      <w:r>
        <w:t xml:space="preserve">Forme orale :</w:t>
      </w:r>
      <w:r>
        <w:t xml:space="preserve"> </w:t>
      </w:r>
      <w:r>
        <w:t xml:space="preserve">-</w:t>
      </w:r>
      <w:r>
        <w:t xml:space="preserve"> </w:t>
      </w:r>
      <w:r>
        <w:rPr>
          <w:b/>
          <w:bCs/>
        </w:rPr>
        <w:t xml:space="preserve">CLINARAM</w:t>
      </w:r>
      <w:r>
        <w:t xml:space="preserve"> </w:t>
      </w:r>
      <w:r>
        <w:t xml:space="preserve">(RAM PHARMACEUTICAL INDUSTRIES) — Gélule 150 mg, boîte de 16 — Actif</w:t>
      </w:r>
      <w:r>
        <w:t xml:space="preserve"> </w:t>
      </w:r>
      <w:r>
        <w:t xml:space="preserve">-</w:t>
      </w:r>
      <w:r>
        <w:t xml:space="preserve"> </w:t>
      </w:r>
      <w:r>
        <w:rPr>
          <w:b/>
          <w:bCs/>
        </w:rPr>
        <w:t xml:space="preserve">CLINDACIN</w:t>
      </w:r>
      <w:r>
        <w:t xml:space="preserve"> </w:t>
      </w:r>
      <w:r>
        <w:t xml:space="preserve">(UPM) — Gélule 150 mg, boîte de 16 — Non Renouvelable</w:t>
      </w:r>
      <w:r>
        <w:t xml:space="preserve"> </w:t>
      </w:r>
      <w:r>
        <w:t xml:space="preserve">-</w:t>
      </w:r>
      <w:r>
        <w:t xml:space="preserve"> </w:t>
      </w:r>
      <w:r>
        <w:rPr>
          <w:b/>
          <w:bCs/>
        </w:rPr>
        <w:t xml:space="preserve">CLINIMYCIN</w:t>
      </w:r>
      <w:r>
        <w:t xml:space="preserve"> </w:t>
      </w:r>
      <w:r>
        <w:t xml:space="preserve">(HAYAT PHARMACEUTICAL) — Gélule 150 mg, boîte de 16 — Non Renouvelable</w:t>
      </w:r>
      <w:r>
        <w:t xml:space="preserve"> </w:t>
      </w:r>
      <w:r>
        <w:t xml:space="preserve">-</w:t>
      </w:r>
      <w:r>
        <w:t xml:space="preserve"> </w:t>
      </w:r>
      <w:r>
        <w:rPr>
          <w:b/>
          <w:bCs/>
        </w:rPr>
        <w:t xml:space="preserve">CLINDAMYL</w:t>
      </w:r>
      <w:r>
        <w:t xml:space="preserve"> </w:t>
      </w:r>
      <w:r>
        <w:t xml:space="preserve">(ARAB PHARMACEUTICAL MANUFACTURING) (R) — Gélule 150 mg, boîte de 16 — Retiré</w:t>
      </w:r>
    </w:p>
    <w:p>
      <w:pPr>
        <w:pStyle w:val="BodyText"/>
      </w:pPr>
      <w:r>
        <w:t xml:space="preserve">Forme injectable :</w:t>
      </w:r>
      <w:r>
        <w:t xml:space="preserve"> </w:t>
      </w:r>
      <w:r>
        <w:t xml:space="preserve">-</w:t>
      </w:r>
      <w:r>
        <w:t xml:space="preserve"> </w:t>
      </w:r>
      <w:r>
        <w:rPr>
          <w:b/>
          <w:bCs/>
        </w:rPr>
        <w:t xml:space="preserve">LISACLIN</w:t>
      </w:r>
      <w:r>
        <w:t xml:space="preserve"> </w:t>
      </w:r>
      <w:r>
        <w:t xml:space="preserve">(LISA PHARMA) — Solution injectable 600 mg, boîte de 1 — Non Renouvelable</w:t>
      </w:r>
      <w:r>
        <w:t xml:space="preserve"> </w:t>
      </w:r>
      <w:r>
        <w:t xml:space="preserve">-</w:t>
      </w:r>
      <w:r>
        <w:t xml:space="preserve"> </w:t>
      </w:r>
      <w:r>
        <w:rPr>
          <w:b/>
          <w:bCs/>
        </w:rPr>
        <w:t xml:space="preserve">DALACINE</w:t>
      </w:r>
      <w:r>
        <w:t xml:space="preserve"> </w:t>
      </w:r>
      <w:r>
        <w:t xml:space="preserve">(PHARMACIA UPJOHN) (R) — Solution injectable 600 mg/4 mL, boîte de 1+1 — Retiré</w:t>
      </w:r>
    </w:p>
    <w:p>
      <w:pPr>
        <w:pStyle w:val="BodyText"/>
      </w:pPr>
      <w:r>
        <w:rPr>
          <w:b/>
          <w:bCs/>
        </w:rPr>
        <w:t xml:space="preserve">Sous-classe et Mécanisme d’action :</w:t>
      </w:r>
      <w:r>
        <w:t xml:space="preserve"> </w:t>
      </w:r>
      <w:r>
        <w:t xml:space="preserve">- Sous-classe : Lincosamide semi-synthétique (7-chloro-7-désoxylincomycine). Sels : chlorhydrate (per os), phosphate (injectable). Métabolites actifs.</w:t>
      </w:r>
      <w:r>
        <w:t xml:space="preserve"> </w:t>
      </w:r>
      <w:r>
        <w:t xml:space="preserve">- Mécanisme d’action : Bactériostatique (bactéricide à forte concentration sur certains cocci). Liaison réversible à la</w:t>
      </w:r>
      <w:r>
        <w:t xml:space="preserve"> </w:t>
      </w:r>
      <w:r>
        <w:rPr>
          <w:b/>
          <w:bCs/>
        </w:rPr>
        <w:t xml:space="preserve">sous-unité 50S du ribosome</w:t>
      </w:r>
      <w:r>
        <w:t xml:space="preserve"> </w:t>
      </w:r>
      <w:r>
        <w:t xml:space="preserve">au niveau du site A (domaine V de l’ARN 23S), inhibant la</w:t>
      </w:r>
      <w:r>
        <w:t xml:space="preserve"> </w:t>
      </w:r>
      <w:r>
        <w:rPr>
          <w:b/>
          <w:bCs/>
        </w:rPr>
        <w:t xml:space="preserve">translocation</w:t>
      </w:r>
      <w:r>
        <w:t xml:space="preserve"> </w:t>
      </w:r>
      <w:r>
        <w:t xml:space="preserve">du peptidyl-ARNt. Blocage de l’élongation peptidique. Résistance croisée avec macrolides par méthylation adénine 2058 (phénotype MLSb).</w:t>
      </w:r>
    </w:p>
    <w:p>
      <w:pPr>
        <w:pStyle w:val="BodyText"/>
      </w:pPr>
      <w:r>
        <w:rPr>
          <w:b/>
          <w:bCs/>
        </w:rPr>
        <w:t xml:space="preserve">Profil Pharmacologique :</w:t>
      </w:r>
      <w:r>
        <w:t xml:space="preserve"> </w:t>
      </w:r>
      <w:r>
        <w:t xml:space="preserve">- Indications : Forme orale/injectable : infections cutanées (cellulite, impétigo, érysipèle), infections stomatologiques et ORL (abcès dentaire, angine de Vincent), infections osseuses et articulaires (ostéomyélite, arthrite septique), infections pelvi-péritonéales (en association), pneumopathies avec abcès, infections à anaérobies,</w:t>
      </w:r>
      <w:r>
        <w:t xml:space="preserve"> </w:t>
      </w:r>
      <w:r>
        <w:rPr>
          <w:b/>
          <w:bCs/>
        </w:rPr>
        <w:t xml:space="preserve">toxoplasmose cérébrale</w:t>
      </w:r>
      <w:r>
        <w:t xml:space="preserve"> </w:t>
      </w:r>
      <w:r>
        <w:t xml:space="preserve">(en association avec pyriméthamine, chez l’immunodéprimé),</w:t>
      </w:r>
      <w:r>
        <w:t xml:space="preserve"> </w:t>
      </w:r>
      <w:r>
        <w:rPr>
          <w:b/>
          <w:bCs/>
        </w:rPr>
        <w:t xml:space="preserve">pneumocystose</w:t>
      </w:r>
      <w:r>
        <w:t xml:space="preserve"> </w:t>
      </w:r>
      <w:r>
        <w:t xml:space="preserve">(alternative en association avec primaquine), prophylaxie de l’endocardite infectieuse, paludisme (alternative en association avec quinine). Forme topique : acné vulgaire inflammatoire légère à modérée, vulvovaginite bactérienne (crème ovule non disponible en Algérie).</w:t>
      </w:r>
      <w:r>
        <w:t xml:space="preserve"> </w:t>
      </w:r>
      <w:r>
        <w:t xml:space="preserve">- Contre-indications : Allergie lincosamides ; antécédent de colite pseudomembraneuse ; diarrhée infectieuse aiguë ; myasthénie (forme injectable — aggravation) ; insuffisance hépatique sévère ; association avec macrolides (antagonisme).</w:t>
      </w:r>
      <w:r>
        <w:t xml:space="preserve"> </w:t>
      </w:r>
      <w:r>
        <w:t xml:space="preserve">- Effets Indésirables :</w:t>
      </w:r>
      <w:r>
        <w:t xml:space="preserve"> </w:t>
      </w:r>
      <w:r>
        <w:rPr>
          <w:b/>
          <w:bCs/>
        </w:rPr>
        <w:t xml:space="preserve">Diarrhée</w:t>
      </w:r>
      <w:r>
        <w:t xml:space="preserve"> </w:t>
      </w:r>
      <w:r>
        <w:t xml:space="preserve">(très fréquent 20 %),</w:t>
      </w:r>
      <w:r>
        <w:t xml:space="preserve"> </w:t>
      </w:r>
      <w:r>
        <w:rPr>
          <w:b/>
          <w:bCs/>
        </w:rPr>
        <w:t xml:space="preserve">colite à Clostridioides difficile</w:t>
      </w:r>
      <w:r>
        <w:t xml:space="preserve"> </w:t>
      </w:r>
      <w:r>
        <w:t xml:space="preserve">(complication grave, parfois mortelle — à signaler à chaque prescription) ; troubles digestifs (nausées, vomissements, douleurs abdominales) ; éruptions cutanées, prurit, urticaire ; augmentation transitoire des transaminases ; neutropénie, thrombopénie rares ; goût métallique (forme IV) ; réactions locales au point d’injection (IV : phlébite, IM : douleur). Forme topique : sécheresse, érythème, sensation de brûlure, dermatite de contact.</w:t>
      </w:r>
    </w:p>
    <w:p>
      <w:pPr>
        <w:pStyle w:val="BodyText"/>
      </w:pPr>
      <w:r>
        <w:rPr>
          <w:b/>
          <w:bCs/>
        </w:rPr>
        <w:t xml:space="preserve">Prévention et Gestion des Effets Indésirables :</w:t>
      </w:r>
      <w:r>
        <w:t xml:space="preserve"> </w:t>
      </w:r>
      <w:r>
        <w:t xml:space="preserve">- Mesures Préventives : Information du patient sur le risque de diarrhée sanglante ; prescription courte (5 à 7 jours) si possible ; éviter en première intention chez le sujet âgé ou fragile ; surveillance clinique ; éviter la forme injectable chez le myasthénique.</w:t>
      </w:r>
      <w:r>
        <w:t xml:space="preserve"> </w:t>
      </w:r>
      <w:r>
        <w:t xml:space="preserve">- Conduite à Tenir :</w:t>
      </w:r>
      <w:r>
        <w:t xml:space="preserve"> </w:t>
      </w:r>
      <w:r>
        <w:rPr>
          <w:b/>
          <w:bCs/>
        </w:rPr>
        <w:t xml:space="preserve">Arrêt immédiat</w:t>
      </w:r>
      <w:r>
        <w:t xml:space="preserve"> </w:t>
      </w:r>
      <w:r>
        <w:t xml:space="preserve">en cas de diarrhée persistante, sanglante ou fécale ; recherche de toxine C. difficile ; traitement par métronidazole ou vancomycine orale. En cas de rash étendu : arrêt. En cas d’augmentation des transaminases &gt; 3 × LSN : arrêt.</w:t>
      </w:r>
    </w:p>
    <w:p>
      <w:pPr>
        <w:pStyle w:val="BodyText"/>
      </w:pPr>
      <w:r>
        <w:rPr>
          <w:b/>
          <w:bCs/>
        </w:rPr>
        <w:t xml:space="preserve">Interactions Importantes :</w:t>
      </w:r>
      <w:r>
        <w:t xml:space="preserve"> </w:t>
      </w:r>
      <w:r>
        <w:t xml:space="preserve">-</w:t>
      </w:r>
      <w:r>
        <w:t xml:space="preserve"> </w:t>
      </w:r>
      <w:r>
        <w:rPr>
          <w:b/>
          <w:bCs/>
        </w:rPr>
        <w:t xml:space="preserve">Macrolides</w:t>
      </w:r>
      <w:r>
        <w:t xml:space="preserve"> </w:t>
      </w:r>
      <w:r>
        <w:t xml:space="preserve">: Antagonisme pharmacodynamique (même cible ribosomale) — éviter l’association.</w:t>
      </w:r>
      <w:r>
        <w:t xml:space="preserve"> </w:t>
      </w:r>
      <w:r>
        <w:t xml:space="preserve">-</w:t>
      </w:r>
      <w:r>
        <w:t xml:space="preserve"> </w:t>
      </w:r>
      <w:r>
        <w:rPr>
          <w:b/>
          <w:bCs/>
        </w:rPr>
        <w:t xml:space="preserve">Chloramphénicol</w:t>
      </w:r>
      <w:r>
        <w:t xml:space="preserve"> </w:t>
      </w:r>
      <w:r>
        <w:t xml:space="preserve">: Antagonisme.</w:t>
      </w:r>
      <w:r>
        <w:t xml:space="preserve"> </w:t>
      </w:r>
      <w:r>
        <w:t xml:space="preserve">-</w:t>
      </w:r>
      <w:r>
        <w:t xml:space="preserve"> </w:t>
      </w:r>
      <w:r>
        <w:rPr>
          <w:b/>
          <w:bCs/>
        </w:rPr>
        <w:t xml:space="preserve">Anticoagulants oraux</w:t>
      </w:r>
      <w:r>
        <w:t xml:space="preserve"> </w:t>
      </w:r>
      <w:r>
        <w:t xml:space="preserve">: Potentialisation (modification flore intestinale) — surveillance INR.</w:t>
      </w:r>
      <w:r>
        <w:t xml:space="preserve"> </w:t>
      </w:r>
      <w:r>
        <w:t xml:space="preserve">-</w:t>
      </w:r>
      <w:r>
        <w:t xml:space="preserve"> </w:t>
      </w:r>
      <w:r>
        <w:rPr>
          <w:b/>
          <w:bCs/>
        </w:rPr>
        <w:t xml:space="preserve">Inhibiteurs neuromusculaires (curares)</w:t>
      </w:r>
      <w:r>
        <w:t xml:space="preserve"> </w:t>
      </w:r>
      <w:r>
        <w:t xml:space="preserve">: Potentialisation du bloc neuromusculaire (spécifique aux lincosamides).</w:t>
      </w:r>
      <w:r>
        <w:t xml:space="preserve"> </w:t>
      </w:r>
      <w:r>
        <w:t xml:space="preserve">-</w:t>
      </w:r>
      <w:r>
        <w:t xml:space="preserve"> </w:t>
      </w:r>
      <w:r>
        <w:rPr>
          <w:b/>
          <w:bCs/>
        </w:rPr>
        <w:t xml:space="preserve">Erythromycine, clarithromycine</w:t>
      </w:r>
      <w:r>
        <w:t xml:space="preserve"> </w:t>
      </w:r>
      <w:r>
        <w:t xml:space="preserve">: Résistance croisée et antagonisme.</w:t>
      </w:r>
      <w:r>
        <w:t xml:space="preserve"> </w:t>
      </w:r>
      <w:r>
        <w:t xml:space="preserve">-</w:t>
      </w:r>
      <w:r>
        <w:t xml:space="preserve"> </w:t>
      </w:r>
      <w:r>
        <w:rPr>
          <w:b/>
          <w:bCs/>
        </w:rPr>
        <w:t xml:space="preserve">Statines</w:t>
      </w:r>
      <w:r>
        <w:t xml:space="preserve"> </w:t>
      </w:r>
      <w:r>
        <w:t xml:space="preserve">: Pas d’interaction significative (la clindamycine n’inhibe pas fortement le CYP3A4).</w:t>
      </w:r>
      <w:r>
        <w:t xml:space="preserve"> </w:t>
      </w:r>
      <w:r>
        <w:t xml:space="preserve">-</w:t>
      </w:r>
      <w:r>
        <w:t xml:space="preserve"> </w:t>
      </w:r>
      <w:r>
        <w:rPr>
          <w:b/>
          <w:bCs/>
        </w:rPr>
        <w:t xml:space="preserve">Ciclosporine</w:t>
      </w:r>
      <w:r>
        <w:t xml:space="preserve"> </w:t>
      </w:r>
      <w:r>
        <w:t xml:space="preserve">: Interaction possible — surveillance.</w:t>
      </w:r>
      <w:r>
        <w:t xml:space="preserve"> </w:t>
      </w:r>
      <w:r>
        <w:t xml:space="preserve">-</w:t>
      </w:r>
      <w:r>
        <w:t xml:space="preserve"> </w:t>
      </w:r>
      <w:r>
        <w:rPr>
          <w:b/>
          <w:bCs/>
        </w:rPr>
        <w:t xml:space="preserve">Opiacés, lopéramide</w:t>
      </w:r>
      <w:r>
        <w:t xml:space="preserve"> </w:t>
      </w:r>
      <w:r>
        <w:t xml:space="preserve">: Risque d’iléus paralytique et de majoration de la colite C. difficile — éviter.</w:t>
      </w:r>
    </w:p>
    <w:p>
      <w:pPr>
        <w:pStyle w:val="BodyText"/>
      </w:pPr>
      <w:r>
        <w:rPr>
          <w:b/>
          <w:bCs/>
        </w:rPr>
        <w:t xml:space="preserve">Grossesse et Allaitement :</w:t>
      </w:r>
      <w:r>
        <w:t xml:space="preserve"> </w:t>
      </w:r>
      <w:r>
        <w:t xml:space="preserve">- Grossesse : Autorisée si nécessaire (CRAT : pas d’effet malformatif chez l’animal, données humaines limitées mais rassurantes). Catégorie B FDA. À utiliser en deuxième intention.</w:t>
      </w:r>
      <w:r>
        <w:t xml:space="preserve"> </w:t>
      </w:r>
      <w:r>
        <w:t xml:space="preserve">- Allaitement : Déconseillé (passage dans le lait, risque digestif pour le nourrisson — sang dans les selles). Si indispensable, surveillance étroite.</w:t>
      </w:r>
      <w:r>
        <w:t xml:space="preserve"> </w:t>
      </w:r>
      <w:r>
        <w:t xml:space="preserve">- Précisions : Pour la toxoplasmose cérébrale chez la femme enceinte VIH : pyriméthamine + sulfadiazine + acide folinique préférés ; clindamycine en alternative.</w:t>
      </w:r>
    </w:p>
    <w:p>
      <w:pPr>
        <w:pStyle w:val="BodyText"/>
      </w:pPr>
      <w:r>
        <w:rPr>
          <w:b/>
          <w:bCs/>
        </w:rPr>
        <w:t xml:space="preserve">Posologie et Mode d’administration (Standard) :</w:t>
      </w:r>
      <w:r>
        <w:t xml:space="preserve"> </w:t>
      </w:r>
      <w:r>
        <w:t xml:space="preserve">- Adulte (per os) : 150 à 300 mg × 4/jour (soit 600 mg à 1,2 g/j). Pour infections sévères : 450 mg × 4/j (1,8 g/j). Max 2,7 g/j.</w:t>
      </w:r>
      <w:r>
        <w:t xml:space="preserve"> </w:t>
      </w:r>
      <w:r>
        <w:t xml:space="preserve">- Adulte (IV) : 600 mg × 2 à 4/j (en perfusion de 20 à 60 min). Max 4,8 g/j.</w:t>
      </w:r>
      <w:r>
        <w:t xml:space="preserve"> </w:t>
      </w:r>
      <w:r>
        <w:t xml:space="preserve">- Enfant (per os) : 8 à 25 mg/kg/jour en 3 à 4 prises. Pour infections sévères : 25 à 40 mg/kg/j.</w:t>
      </w:r>
      <w:r>
        <w:t xml:space="preserve"> </w:t>
      </w:r>
      <w:r>
        <w:t xml:space="preserve">- Enfant (IV) : 20 à 40 mg/kg/j en 3 à 4 perfusions.</w:t>
      </w:r>
      <w:r>
        <w:t xml:space="preserve"> </w:t>
      </w:r>
      <w:r>
        <w:t xml:space="preserve">- Durée : 7 à 14 jours selon indication. Toxoplasmose cérébrale : traitement d’attaque 6 semaines puis entretien chronique.</w:t>
      </w:r>
      <w:r>
        <w:t xml:space="preserve"> </w:t>
      </w:r>
      <w:r>
        <w:t xml:space="preserve">- Moment de prise : Forme orale : à jeun avec un grand verre d’eau (meilleure absorption). Forme IV : perfusion lente (20–60 min), jamais en bolus.</w:t>
      </w:r>
    </w:p>
    <w:p>
      <w:pPr>
        <w:pStyle w:val="BodyText"/>
      </w:pPr>
      <w:r>
        <w:rPr>
          <w:b/>
          <w:bCs/>
        </w:rPr>
        <w:t xml:space="preserve">Arbitrage et Bénéfices des Formes Galéniques :</w:t>
      </w:r>
      <w:r>
        <w:t xml:space="preserve"> </w:t>
      </w:r>
      <w:r>
        <w:t xml:space="preserve">La clindamycine dispose en Algérie d’une triple gamme : topique (acné), orale (gélules 150 mg) et injectable (600 mg/4 mL). La forme topique (CLEAN-ACNE, ACNESTOP, DERMA-T, DENACINE) est très prescrite en dermatologie, souvent en association avec un rétinoïde ou un peroxyde de benzoyle. La forme orale (CLINARAM) couvre les infections systémiques modérées, mais la biodisponibilité de 90 % autorise un switch précoce IV → per os. La forme injectable, actuellement non renouvelable (LISACLIN) ou retirée (DALACINE), n’est plus disponible en pratique — en cas de nécessité, le médecin recourt à des alternatives. La forme gélule 150 mg est peu pratique pour les schémas à 300 ou 450 mg par prise (2 à 3 gélules par prise). L’absence de forme liquide pédiatrique limite l’usage chez le jeune enfant.</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Ce médicament peut donner une diarrhée. Si elle devient sanglante, très abondante, ou accompagnée de fièvre,</w:t>
      </w:r>
      <w:r>
        <w:t xml:space="preserve"> </w:t>
      </w:r>
      <w:r>
        <w:rPr>
          <w:b/>
          <w:bCs/>
        </w:rPr>
        <w:t xml:space="preserve">arrêtez le traitement et consultez immédiatement</w:t>
      </w:r>
      <w:r>
        <w:t xml:space="preserve">. Prenez les gélules avec un grand verre d’eau, à jeun.</w:t>
      </w:r>
      <w:r>
        <w:t xml:space="preserve">”</w:t>
      </w:r>
      <w:r>
        <w:t xml:space="preserve"> </w:t>
      </w:r>
      <w:r>
        <w:t xml:space="preserve">Pour la forme acné :</w:t>
      </w:r>
      <w:r>
        <w:t xml:space="preserve"> </w:t>
      </w:r>
      <w:r>
        <w:t xml:space="preserve">“</w:t>
      </w:r>
      <w:r>
        <w:t xml:space="preserve">Appliquez en fine couche le matin et/ou le soir sur les zones acnéiques propres et sèches. Évitez le contour des yeux et de la bouche.</w:t>
      </w:r>
      <w:r>
        <w:t xml:space="preserve">”</w:t>
      </w:r>
      <w:r>
        <w:t xml:space="preserve"> </w:t>
      </w:r>
      <w:r>
        <w:t xml:space="preserve">- Mode d’utilisation pratique : Forme orale : avaler les gélules entières avec un grand verre d’eau, à jeun (1 h avant ou 2 h après repas). Forme topique : nettoyer la peau, sécher, appliquer une fine couche 1 à 2 fois par jour, éviter le contact oculaire. Ne pas utiliser de pansement occlusif.</w:t>
      </w:r>
    </w:p>
    <w:p>
      <w:pPr>
        <w:pStyle w:val="BodyText"/>
      </w:pPr>
      <w:r>
        <w:rPr>
          <w:b/>
          <w:bCs/>
        </w:rPr>
        <w:t xml:space="preserve">Notes, Règles d’Or &amp; Pièges au Comptoir :</w:t>
      </w:r>
      <w:r>
        <w:t xml:space="preserve"> </w:t>
      </w:r>
      <w:r>
        <w:t xml:space="preserve">- Piège classique : Patient qui présente une diarrhée sanglante 5 jours après début de clindamycine → colite à C. difficile. Toujours informer le patient du risque et lui demander d’arrêter le traitement et de consulter.</w:t>
      </w:r>
      <w:r>
        <w:t xml:space="preserve"> </w:t>
      </w:r>
      <w:r>
        <w:t xml:space="preserve">- Règle de prise : Per os à jeun ; IV en perfusion lente.</w:t>
      </w:r>
      <w:r>
        <w:t xml:space="preserve"> </w:t>
      </w:r>
      <w:r>
        <w:t xml:space="preserve">- Préparation et Conservation : Solution topique : flacon fermé, température ambiante, conservation 6 mois après ouverture. Gélules : boîte fermée, température ambiante.</w:t>
      </w:r>
      <w:r>
        <w:t xml:space="preserve"> </w:t>
      </w:r>
      <w:r>
        <w:t xml:space="preserve">- Piège du surdosage / Substitution : Ne pas substituer par lincomycine (moins efficace et plus toxique). En cas d’insuffisance rénale modérée, pas d’adaptation nécessaire ; en cas d’insuffisance hépatique, espacer les prises (toutes les 8 h → toutes les 12 h).</w:t>
      </w:r>
    </w:p>
    <w:p>
      <w:r>
        <w:pict>
          <v:rect style="width:0;height:1.5pt" o:hralign="center" o:hrstd="t" o:hr="t"/>
        </w:pict>
      </w:r>
    </w:p>
    <w:bookmarkEnd w:id="113"/>
    <w:bookmarkStart w:id="114" w:name="dci-lincomycine-seule"/>
    <w:p>
      <w:pPr>
        <w:pStyle w:val="Heading3"/>
      </w:pPr>
      <w:r>
        <w:t xml:space="preserve">4.3.2 DCI : Lincomycine (Seule)</w:t>
      </w:r>
    </w:p>
    <w:p>
      <w:pPr>
        <w:pStyle w:val="FirstParagraph"/>
      </w:pPr>
      <w:r>
        <w:rPr>
          <w:b/>
          <w:bCs/>
        </w:rPr>
        <w:t xml:space="preserve">Liste des Catégories :</w:t>
      </w:r>
      <w:r>
        <w:t xml:space="preserve"> </w:t>
      </w:r>
      <w:r>
        <w:t xml:space="preserve">Lincosamide naturel — Listé Liste I — Forme injectable uniquement (IM/IV 600 mg/2 mL).</w:t>
      </w:r>
    </w:p>
    <w:p>
      <w:pPr>
        <w:pStyle w:val="BodyText"/>
      </w:pPr>
      <w:r>
        <w:t xml:space="preserve">La lincomycine est le lincosamide naturel (isolé de</w:t>
      </w:r>
      <w:r>
        <w:t xml:space="preserve"> </w:t>
      </w:r>
      <w:r>
        <w:rPr>
          <w:i/>
          <w:iCs/>
        </w:rPr>
        <w:t xml:space="preserve">Streptomyces lincolnensis</w:t>
      </w:r>
      <w:r>
        <w:t xml:space="preserve">), précurseur de la clindamycine (qui en est le dérivé 7-chloro). Elle est aujourd’hui largement supplantée par la clindamycine, qui a une meilleure biodisponibilité orale, une activité supérieure (× 4 à 8) et une meilleure tolérance. La lincomycine n’est disponible qu’en forme injectable en Algérie, et toutes les spécialités sont actuellement retirées ou non renouvelées. Elle est mentionnée pour mémoire et pour la compréhension pharmacologique de la classe.</w:t>
      </w:r>
    </w:p>
    <w:p>
      <w:pPr>
        <w:pStyle w:val="BodyText"/>
      </w:pPr>
      <w:r>
        <w:rPr>
          <w:b/>
          <w:bCs/>
        </w:rPr>
        <w:t xml:space="preserve">Médicaments disponibles en Algérie (Marques, Laboratoires, Formes et Dosages) :</w:t>
      </w:r>
    </w:p>
    <w:p>
      <w:pPr>
        <w:pStyle w:val="Compact"/>
        <w:numPr>
          <w:ilvl w:val="0"/>
          <w:numId w:val="1312"/>
        </w:numPr>
      </w:pPr>
      <w:r>
        <w:rPr>
          <w:b/>
          <w:bCs/>
        </w:rPr>
        <w:t xml:space="preserve">LINCOCINE</w:t>
      </w:r>
      <w:r>
        <w:t xml:space="preserve"> </w:t>
      </w:r>
      <w:r>
        <w:t xml:space="preserve">(PHARMACIA SAS) — Solution injectable 600 mg/2 mL, ampoule de 2 mL — Non Renouvelable</w:t>
      </w:r>
    </w:p>
    <w:p>
      <w:pPr>
        <w:pStyle w:val="Compact"/>
        <w:numPr>
          <w:ilvl w:val="0"/>
          <w:numId w:val="1312"/>
        </w:numPr>
      </w:pPr>
      <w:r>
        <w:rPr>
          <w:b/>
          <w:bCs/>
        </w:rPr>
        <w:t xml:space="preserve">LINCOHEM</w:t>
      </w:r>
      <w:r>
        <w:t xml:space="preserve"> </w:t>
      </w:r>
      <w:r>
        <w:t xml:space="preserve">(HEMOFARM) — Solution injectable 600 mg/2 mL — Non Renouvelable</w:t>
      </w:r>
    </w:p>
    <w:p>
      <w:pPr>
        <w:pStyle w:val="Compact"/>
        <w:numPr>
          <w:ilvl w:val="0"/>
          <w:numId w:val="1312"/>
        </w:numPr>
      </w:pPr>
      <w:r>
        <w:rPr>
          <w:b/>
          <w:bCs/>
        </w:rPr>
        <w:t xml:space="preserve">MEDOGLYCIN</w:t>
      </w:r>
      <w:r>
        <w:t xml:space="preserve"> </w:t>
      </w:r>
      <w:r>
        <w:t xml:space="preserve">(MEDOCHEMIE LTD) — Solution injectable 600 mg/2 mL — Non Renouvelable</w:t>
      </w:r>
    </w:p>
    <w:p>
      <w:pPr>
        <w:pStyle w:val="Compact"/>
        <w:numPr>
          <w:ilvl w:val="0"/>
          <w:numId w:val="1312"/>
        </w:numPr>
      </w:pPr>
      <w:r>
        <w:rPr>
          <w:b/>
          <w:bCs/>
        </w:rPr>
        <w:t xml:space="preserve">ULTRALINC</w:t>
      </w:r>
      <w:r>
        <w:t xml:space="preserve"> </w:t>
      </w:r>
      <w:r>
        <w:t xml:space="preserve">(ARAB PHARMACEUTICAL MANUFACTURING) — Solution injectable 600 mg — Non Renouvelable</w:t>
      </w:r>
    </w:p>
    <w:p>
      <w:pPr>
        <w:pStyle w:val="Compact"/>
        <w:numPr>
          <w:ilvl w:val="0"/>
          <w:numId w:val="1312"/>
        </w:numPr>
      </w:pPr>
      <w:r>
        <w:rPr>
          <w:b/>
          <w:bCs/>
        </w:rPr>
        <w:t xml:space="preserve">LINCOSIDE</w:t>
      </w:r>
      <w:r>
        <w:t xml:space="preserve"> </w:t>
      </w:r>
      <w:r>
        <w:t xml:space="preserve">(GEOPHARM) — Solution injectable 300 mg/mL (600 mg/2 mL) — Non Renouvelable</w:t>
      </w:r>
    </w:p>
    <w:p>
      <w:pPr>
        <w:pStyle w:val="Compact"/>
        <w:numPr>
          <w:ilvl w:val="0"/>
          <w:numId w:val="1312"/>
        </w:numPr>
      </w:pPr>
      <w:r>
        <w:rPr>
          <w:b/>
          <w:bCs/>
        </w:rPr>
        <w:t xml:space="preserve">NELOREN</w:t>
      </w:r>
      <w:r>
        <w:t xml:space="preserve"> </w:t>
      </w:r>
      <w:r>
        <w:t xml:space="preserve">(LEK) (R) — Solution injectable 600 mg/2 mL — Retiré</w:t>
      </w:r>
    </w:p>
    <w:p>
      <w:pPr>
        <w:pStyle w:val="FirstParagraph"/>
      </w:pPr>
      <w:r>
        <w:rPr>
          <w:b/>
          <w:bCs/>
        </w:rPr>
        <w:t xml:space="preserve">Sous-classe et Mécanisme d’action :</w:t>
      </w:r>
      <w:r>
        <w:t xml:space="preserve"> </w:t>
      </w:r>
      <w:r>
        <w:t xml:space="preserve">- Sous-classe : Lincosamide naturel (non substitué en 7-chloro). Moins puissant que la clindamycine.</w:t>
      </w:r>
      <w:r>
        <w:t xml:space="preserve"> </w:t>
      </w:r>
      <w:r>
        <w:t xml:space="preserve">- Mécanisme d’action : Identique à la clindamycine. Bactériostatique. Liaison 50S, site A, inhibition de la translocation. Résistance croisée MLSb avec macrolides.</w:t>
      </w:r>
    </w:p>
    <w:p>
      <w:pPr>
        <w:pStyle w:val="BodyText"/>
      </w:pPr>
      <w:r>
        <w:rPr>
          <w:b/>
          <w:bCs/>
        </w:rPr>
        <w:t xml:space="preserve">Profil Pharmacologique :</w:t>
      </w:r>
      <w:r>
        <w:t xml:space="preserve"> </w:t>
      </w:r>
      <w:r>
        <w:t xml:space="preserve">- Indications : Historiquement : infections à cocci Gram positif (staphylocoque, streptocoque), infections à anaérobies, infections ORL, respiratoires, cutanées, osseuses et articulaires. Alternative à la pénicilline chez l’allergique.</w:t>
      </w:r>
      <w:r>
        <w:t xml:space="preserve"> </w:t>
      </w:r>
      <w:r>
        <w:t xml:space="preserve">- Contre-indications : Allergie lincosamides ; antécédent de colite C. difficile ; myasthénie ; insuffisance hépatique sévère ; administration IV rapide (risque d’arrêt cardiaque et respiratoire) ; grossesse ; allaitement.</w:t>
      </w:r>
      <w:r>
        <w:t xml:space="preserve"> </w:t>
      </w:r>
      <w:r>
        <w:t xml:space="preserve">- Effets Indésirables : Identiques à la clindamycine mais plus fréquents et plus intenses :</w:t>
      </w:r>
      <w:r>
        <w:t xml:space="preserve"> </w:t>
      </w:r>
      <w:r>
        <w:rPr>
          <w:b/>
          <w:bCs/>
        </w:rPr>
        <w:t xml:space="preserve">diarrhée et colite à C. difficile</w:t>
      </w:r>
      <w:r>
        <w:t xml:space="preserve"> </w:t>
      </w:r>
      <w:r>
        <w:t xml:space="preserve">(risque majoré) ; troubles digestifs ; réactions locales au point d’injection (douleur, phlébite, abcès stérile en IM) ; hypotension, arrêt cardiorespiratoire (en cas d’injection IV trop rapide) ; neutropénie, thrombopénie ; augmentation des transaminases ; rash cutané.</w:t>
      </w:r>
    </w:p>
    <w:p>
      <w:pPr>
        <w:pStyle w:val="BodyText"/>
      </w:pPr>
      <w:r>
        <w:rPr>
          <w:b/>
          <w:bCs/>
        </w:rPr>
        <w:t xml:space="preserve">Prévention et Gestion des Effets Indésirables :</w:t>
      </w:r>
      <w:r>
        <w:t xml:space="preserve"> </w:t>
      </w:r>
      <w:r>
        <w:t xml:space="preserve">- Mesures Préventives : Administration IV</w:t>
      </w:r>
      <w:r>
        <w:t xml:space="preserve"> </w:t>
      </w:r>
      <w:r>
        <w:rPr>
          <w:b/>
          <w:bCs/>
        </w:rPr>
        <w:t xml:space="preserve">lente</w:t>
      </w:r>
      <w:r>
        <w:t xml:space="preserve"> </w:t>
      </w:r>
      <w:r>
        <w:t xml:space="preserve">(&gt; 1 heure pour 600 mg), jamais en bolus ; information patient sur le risque de diarrhée sanglante ; éviter en première intention (préférer clindamycine).</w:t>
      </w:r>
      <w:r>
        <w:t xml:space="preserve"> </w:t>
      </w:r>
      <w:r>
        <w:t xml:space="preserve">- Conduite à Tenir : Arrêt immédiat en cas de diarrhée sanglante, de réaction allergique, de trouble du rythme. Recherche toxine C. difficile.</w:t>
      </w:r>
    </w:p>
    <w:p>
      <w:pPr>
        <w:pStyle w:val="BodyText"/>
      </w:pPr>
      <w:r>
        <w:rPr>
          <w:b/>
          <w:bCs/>
        </w:rPr>
        <w:t xml:space="preserve">Interactions Importantes :</w:t>
      </w:r>
      <w:r>
        <w:t xml:space="preserve"> </w:t>
      </w:r>
      <w:r>
        <w:t xml:space="preserve">- Identiques à la clindamycine : antagonisme avec macrolides et chloramphénicol ; potentialisation des curares ; anticoagulants oraux (surveillance INR).</w:t>
      </w:r>
      <w:r>
        <w:t xml:space="preserve"> </w:t>
      </w:r>
      <w:r>
        <w:t xml:space="preserve">-</w:t>
      </w:r>
      <w:r>
        <w:t xml:space="preserve"> </w:t>
      </w:r>
      <w:r>
        <w:rPr>
          <w:b/>
          <w:bCs/>
        </w:rPr>
        <w:t xml:space="preserve">Apnéiques, anesthésiques</w:t>
      </w:r>
      <w:r>
        <w:t xml:space="preserve"> </w:t>
      </w:r>
      <w:r>
        <w:t xml:space="preserve">: Potentialisation du bloc neuromusculaire.</w:t>
      </w:r>
    </w:p>
    <w:p>
      <w:pPr>
        <w:pStyle w:val="BodyText"/>
      </w:pPr>
      <w:r>
        <w:rPr>
          <w:b/>
          <w:bCs/>
        </w:rPr>
        <w:t xml:space="preserve">Grossesse et Allaitement :</w:t>
      </w:r>
      <w:r>
        <w:t xml:space="preserve"> </w:t>
      </w:r>
      <w:r>
        <w:t xml:space="preserve">- Grossesse : À éviter, données limitées. Préférer clindamycine si lincosamide nécessaire.</w:t>
      </w:r>
      <w:r>
        <w:t xml:space="preserve"> </w:t>
      </w:r>
      <w:r>
        <w:t xml:space="preserve">- Allaitement : Déconseillé (passage dans le lait, risque digestif pour le nourrisson).</w:t>
      </w:r>
      <w:r>
        <w:t xml:space="preserve"> </w:t>
      </w:r>
      <w:r>
        <w:t xml:space="preserve">- Précisions : La lincomycine n’a plus d’indication obstétricale.</w:t>
      </w:r>
    </w:p>
    <w:p>
      <w:pPr>
        <w:pStyle w:val="BodyText"/>
      </w:pPr>
      <w:r>
        <w:rPr>
          <w:b/>
          <w:bCs/>
        </w:rPr>
        <w:t xml:space="preserve">Posologie et Mode d’administration (Standard) :</w:t>
      </w:r>
      <w:r>
        <w:t xml:space="preserve"> </w:t>
      </w:r>
      <w:r>
        <w:t xml:space="preserve">- Adulte (IM) : 600 mg × 1 à 2/jour (max 3,6 g/j en injections espacées de 8 h).</w:t>
      </w:r>
      <w:r>
        <w:t xml:space="preserve"> </w:t>
      </w:r>
      <w:r>
        <w:t xml:space="preserve">- Adulte (IV) : 600 mg × 2 à 3/jour en perfusion de 1 heure minimum (dilué dans 100 à 250 mL de G5% ou NaCl 0,9 %).</w:t>
      </w:r>
      <w:r>
        <w:t xml:space="preserve"> </w:t>
      </w:r>
      <w:r>
        <w:t xml:space="preserve">- Enfant &gt; 1 mois : 10 à 20 mg/kg/jour en 2 à 3 injections. Max 40 mg/kg/j.</w:t>
      </w:r>
      <w:r>
        <w:t xml:space="preserve"> </w:t>
      </w:r>
      <w:r>
        <w:t xml:space="preserve">- Durée : 7 à 14 jours selon indication.</w:t>
      </w:r>
      <w:r>
        <w:t xml:space="preserve"> </w:t>
      </w:r>
      <w:r>
        <w:t xml:space="preserve">- Moment de prise : N/A (forme injectable). IV lente obligatoire.</w:t>
      </w:r>
    </w:p>
    <w:p>
      <w:pPr>
        <w:pStyle w:val="BodyText"/>
      </w:pPr>
      <w:r>
        <w:rPr>
          <w:b/>
          <w:bCs/>
        </w:rPr>
        <w:t xml:space="preserve">Arbitrage et Bénéfices des Formes Galéniques :</w:t>
      </w:r>
      <w:r>
        <w:t xml:space="preserve"> </w:t>
      </w:r>
      <w:r>
        <w:t xml:space="preserve">Une seule forme disponible : solution injectable 600 mg/2 mL, pour administration IM profonde ou IV lente. Aucune forme orale. La lincomycine est aujourd’hui obsolète, remplacée par la clindamycine. En Algérie, son absence de disponibilité commerciale (toutes spécialités non renouvelables) en fait une molécule historique, mentionnée à titre pédagogique. Le switch vers la clindamycine orale est systématique lorsque la voie orale est possible.</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Ce produit n’est plus disponible. Votre médecin vous prescrira un autre antibiotique adapté.</w:t>
      </w:r>
      <w:r>
        <w:t xml:space="preserve">”</w:t>
      </w:r>
      <w:r>
        <w:t xml:space="preserve"> </w:t>
      </w:r>
      <w:r>
        <w:t xml:space="preserve">- Mode d’utilisation pratique : N/A — produit non disponible.</w:t>
      </w:r>
    </w:p>
    <w:p>
      <w:pPr>
        <w:pStyle w:val="BodyText"/>
      </w:pPr>
      <w:r>
        <w:rPr>
          <w:b/>
          <w:bCs/>
        </w:rPr>
        <w:t xml:space="preserve">Notes, Règles d’Or &amp; Pièges au Comptoir :</w:t>
      </w:r>
      <w:r>
        <w:t xml:space="preserve"> </w:t>
      </w:r>
      <w:r>
        <w:t xml:space="preserve">- Piège classique : Penser que la lincomycine est équivalente à la clindamycine — non, elle est moins active et plus toxique, à n’utiliser qu’en l’absence d’alternative.</w:t>
      </w:r>
      <w:r>
        <w:t xml:space="preserve"> </w:t>
      </w:r>
      <w:r>
        <w:t xml:space="preserve">- Règle de prise : IV lente uniquement, jamais en bolus (risque létal cardiorespiratoire).</w:t>
      </w:r>
      <w:r>
        <w:t xml:space="preserve"> </w:t>
      </w:r>
      <w:r>
        <w:t xml:space="preserve">- Préparation et Conservation : Solution prête à l’emploi, conservation à température ambiante &lt; 25 °C, à l’abri de la lumière.</w:t>
      </w:r>
      <w:r>
        <w:t xml:space="preserve"> </w:t>
      </w:r>
      <w:r>
        <w:t xml:space="preserve">- Piège du surdosage / Substitution : Ne jamais substituer clindamycine par lincomycine sans réévaluation médicale. En cas de demande, orienter vers le prescripteur.</w:t>
      </w:r>
    </w:p>
    <w:p>
      <w:r>
        <w:pict>
          <v:rect style="width:0;height:1.5pt" o:hralign="center" o:hrstd="t" o:hr="t"/>
        </w:pict>
      </w:r>
    </w:p>
    <w:bookmarkEnd w:id="114"/>
    <w:bookmarkEnd w:id="115"/>
    <w:bookmarkStart w:id="117" w:name="sous-classe-streptogramines"/>
    <w:p>
      <w:pPr>
        <w:pStyle w:val="Heading2"/>
      </w:pPr>
      <w:r>
        <w:t xml:space="preserve">4.4 Sous-classe : Streptogramines</w:t>
      </w:r>
    </w:p>
    <w:p>
      <w:pPr>
        <w:pStyle w:val="FirstParagraph"/>
      </w:pPr>
      <w:r>
        <w:t xml:space="preserve">Les streptogramines sont des antibiotiques macrocycliques produits par</w:t>
      </w:r>
      <w:r>
        <w:t xml:space="preserve"> </w:t>
      </w:r>
      <w:r>
        <w:rPr>
          <w:i/>
          <w:iCs/>
        </w:rPr>
        <w:t xml:space="preserve">Streptomyces pristinaespiralis</w:t>
      </w:r>
      <w:r>
        <w:t xml:space="preserve">. Ils agissent en</w:t>
      </w:r>
      <w:r>
        <w:t xml:space="preserve"> </w:t>
      </w:r>
      <w:r>
        <w:rPr>
          <w:b/>
          <w:bCs/>
        </w:rPr>
        <w:t xml:space="preserve">synergie</w:t>
      </w:r>
      <w:r>
        <w:t xml:space="preserve"> </w:t>
      </w:r>
      <w:r>
        <w:t xml:space="preserve">sur la sous-unité 50S du ribosome : le composant de</w:t>
      </w:r>
      <w:r>
        <w:t xml:space="preserve"> </w:t>
      </w:r>
      <w:r>
        <w:rPr>
          <w:b/>
          <w:bCs/>
        </w:rPr>
        <w:t xml:space="preserve">groupe A</w:t>
      </w:r>
      <w:r>
        <w:t xml:space="preserve"> </w:t>
      </w:r>
      <w:r>
        <w:t xml:space="preserve">(pristinamycine IIA) bloque le site A en empêchant la fixation de l’aminoacyl-ARNt, et le composant de</w:t>
      </w:r>
      <w:r>
        <w:t xml:space="preserve"> </w:t>
      </w:r>
      <w:r>
        <w:rPr>
          <w:b/>
          <w:bCs/>
        </w:rPr>
        <w:t xml:space="preserve">groupe B</w:t>
      </w:r>
      <w:r>
        <w:t xml:space="preserve"> </w:t>
      </w:r>
      <w:r>
        <w:t xml:space="preserve">(pristinamycine IB) se fixe au site P et empêche l’élongation. L’association des deux composants (ratio 30/70 dans la pristinamycine orale) est</w:t>
      </w:r>
      <w:r>
        <w:t xml:space="preserve"> </w:t>
      </w:r>
      <w:r>
        <w:rPr>
          <w:b/>
          <w:bCs/>
        </w:rPr>
        <w:t xml:space="preserve">bactéricide</w:t>
      </w:r>
      <w:r>
        <w:t xml:space="preserve"> </w:t>
      </w:r>
      <w:r>
        <w:t xml:space="preserve">et conserve une activité sur les souches résistantes aux macrolides par méthylation 23S (souches MLSb résistantes à moindre degré). La</w:t>
      </w:r>
      <w:r>
        <w:t xml:space="preserve"> </w:t>
      </w:r>
      <w:r>
        <w:rPr>
          <w:b/>
          <w:bCs/>
        </w:rPr>
        <w:t xml:space="preserve">pristinamycine</w:t>
      </w:r>
      <w:r>
        <w:t xml:space="preserve"> </w:t>
      </w:r>
      <w:r>
        <w:t xml:space="preserve">est l’unique représentant commercialisé en France et en Algérie. La dalfopristine-quinupristine (Synercid®) est la forme injectable, non disponible en Algérie.</w:t>
      </w:r>
    </w:p>
    <w:p>
      <w:r>
        <w:pict>
          <v:rect style="width:0;height:1.5pt" o:hralign="center" o:hrstd="t" o:hr="t"/>
        </w:pict>
      </w:r>
    </w:p>
    <w:bookmarkStart w:id="116" w:name="dci-pristinamycine-seule"/>
    <w:p>
      <w:pPr>
        <w:pStyle w:val="Heading3"/>
      </w:pPr>
      <w:r>
        <w:t xml:space="preserve">4.4.1 DCI : Pristinamycine (Seule)</w:t>
      </w:r>
    </w:p>
    <w:p>
      <w:pPr>
        <w:pStyle w:val="FirstParagraph"/>
      </w:pPr>
      <w:r>
        <w:rPr>
          <w:b/>
          <w:bCs/>
        </w:rPr>
        <w:t xml:space="preserve">Liste des Catégories :</w:t>
      </w:r>
      <w:r>
        <w:t xml:space="preserve"> </w:t>
      </w:r>
      <w:r>
        <w:t xml:space="preserve">Streptogramine (association de pristinamycine IIA et IB) — Listé Liste I — Forme orale (comprimé pelliculé sécable 500 mg).</w:t>
      </w:r>
    </w:p>
    <w:p>
      <w:pPr>
        <w:pStyle w:val="BodyText"/>
      </w:pPr>
      <w:r>
        <w:t xml:space="preserve">La pristinamycine est un antibiotique bactéricide de la famille des streptogramines, indiquée dans les infections à germes Gram positif résistants, notamment le Staphylocoque doré (y compris certaines souches résistantes à la méticilline — SARM), le pneumocoque de sensibilité diminuée à la pénicilline (PSDP), et les entérocoques résistants. Sa biodisponibilité orale et son spectre en font une alternative précieuse dans les infections cutanées, ORL, respiratoires et osseuses. Sa diffusion tissulaire est excellente, à l’exception du LCR (peu adaptée aux méningites). Sa disponibilité algérienne est réduite : seule la spécialité PYOSTACINE (Sanofi-Aventis France) est active.</w:t>
      </w:r>
    </w:p>
    <w:p>
      <w:pPr>
        <w:pStyle w:val="BodyText"/>
      </w:pPr>
      <w:r>
        <w:rPr>
          <w:b/>
          <w:bCs/>
        </w:rPr>
        <w:t xml:space="preserve">Médicaments disponibles en Algérie (Marques, Laboratoires, Formes et Dosages) :</w:t>
      </w:r>
    </w:p>
    <w:p>
      <w:pPr>
        <w:pStyle w:val="Compact"/>
        <w:numPr>
          <w:ilvl w:val="0"/>
          <w:numId w:val="1313"/>
        </w:numPr>
      </w:pPr>
      <w:r>
        <w:rPr>
          <w:b/>
          <w:bCs/>
        </w:rPr>
        <w:t xml:space="preserve">PYOSTACINE</w:t>
      </w:r>
      <w:r>
        <w:t xml:space="preserve"> </w:t>
      </w:r>
      <w:r>
        <w:t xml:space="preserve">(SANOFI AVENTIS FRANCE) — Actif</w:t>
      </w:r>
    </w:p>
    <w:p>
      <w:pPr>
        <w:pStyle w:val="Compact"/>
        <w:numPr>
          <w:ilvl w:val="1"/>
          <w:numId w:val="1314"/>
        </w:numPr>
      </w:pPr>
      <w:r>
        <w:t xml:space="preserve">Formes et Dosages : Comprimé pelliculé sécable 500 mg, boîte de 16</w:t>
      </w:r>
    </w:p>
    <w:p>
      <w:pPr>
        <w:pStyle w:val="Compact"/>
        <w:numPr>
          <w:ilvl w:val="1"/>
          <w:numId w:val="1314"/>
        </w:numPr>
      </w:pPr>
      <w:r>
        <w:t xml:space="preserve">Statut : Actif</w:t>
      </w:r>
    </w:p>
    <w:p>
      <w:pPr>
        <w:pStyle w:val="FirstParagraph"/>
      </w:pPr>
      <w:r>
        <w:rPr>
          <w:b/>
          <w:bCs/>
        </w:rPr>
        <w:t xml:space="preserve">Sous-classe et Mécanisme d’action :</w:t>
      </w:r>
      <w:r>
        <w:t xml:space="preserve"> </w:t>
      </w:r>
      <w:r>
        <w:t xml:space="preserve">- Sous-classe : Streptogramine, association de deux composants synergiques — pristinamycine IIA (groupe A, polydésipeptide cyclique) et pristinamycine IB (groupe B, macrocyclique). Ratio 30/70 dans la spécialité. Bactéricide par synergie.</w:t>
      </w:r>
      <w:r>
        <w:t xml:space="preserve"> </w:t>
      </w:r>
      <w:r>
        <w:t xml:space="preserve">- Mécanisme d’action : Bactéricide (rare pour cette classe d’antibiotiques — la plupart des inhibiteurs 50S sont bactériostatiques). Le composant A se fixe au site A de la sous-unité 50S et empêche la fixation de l’aminoacyl-ARNt ; le composant B se fixe au site P et inhibe l’élongation peptidique. L’association bloque simultanément deux étapes de la synthèse protéique, d’où l’effet bactéricide. Activité conservée sur les souches résistantes par</w:t>
      </w:r>
      <w:r>
        <w:t xml:space="preserve"> </w:t>
      </w:r>
      <w:r>
        <w:rPr>
          <w:i/>
          <w:iCs/>
        </w:rPr>
        <w:t xml:space="preserve">erm</w:t>
      </w:r>
      <w:r>
        <w:t xml:space="preserve"> </w:t>
      </w:r>
      <w:r>
        <w:t xml:space="preserve">(MLSb) car les composants A et B ont une affinité modifiée pour le ribosome méthylé.</w:t>
      </w:r>
    </w:p>
    <w:p>
      <w:pPr>
        <w:pStyle w:val="BodyText"/>
      </w:pPr>
      <w:r>
        <w:rPr>
          <w:b/>
          <w:bCs/>
        </w:rPr>
        <w:t xml:space="preserve">Profil Pharmacologique :</w:t>
      </w:r>
      <w:r>
        <w:t xml:space="preserve"> </w:t>
      </w:r>
      <w:r>
        <w:t xml:space="preserve">- Indications : Infections cutanées (impétigo, ecthyma, dermohypodermite, infection des plaies) ; infections ORL (sinusite, otite, angine récidivante) ; infections respiratoires (pneumopathie, surinfection de BPCO) en cas de résistance aux bêta-lactamines et macrolides ; infections ostéoarticulaires ; infections à Staphylocoque aureus résistant à la méticilline (alternative à la vancomycine et au linézolide, en attente d’antibiogramme) ; pneumopathie à PSDP ; endocardite à entérocoque résistant (alternative, en association).</w:t>
      </w:r>
      <w:r>
        <w:t xml:space="preserve"> </w:t>
      </w:r>
      <w:r>
        <w:t xml:space="preserve">- Contre-indications : Allergie streptogramines ; myasthénie (risque d’aggravation, comme tous les lincosamides et macrolides) ; insuffisance hépatique sévère ; allaitement.</w:t>
      </w:r>
      <w:r>
        <w:t xml:space="preserve"> </w:t>
      </w:r>
      <w:r>
        <w:t xml:space="preserve">- Effets Indésirables : Troubles digestifs (nausées, vomissements, diarrhée — fréquents 10 à 15 %) ; colite à C. difficile ; éruptions cutanées, prurit ; augmentation transitoire des transaminases ; arthralgies et myalgies (au long cours) ; candidose ; interaction avec les inhibiteurs de la P-gp (ciclosporine, tacrolimus).</w:t>
      </w:r>
    </w:p>
    <w:p>
      <w:pPr>
        <w:pStyle w:val="BodyText"/>
      </w:pPr>
      <w:r>
        <w:rPr>
          <w:b/>
          <w:bCs/>
        </w:rPr>
        <w:t xml:space="preserve">Prévention et Gestion des Effets Indésirables :</w:t>
      </w:r>
      <w:r>
        <w:t xml:space="preserve"> </w:t>
      </w:r>
      <w:r>
        <w:t xml:space="preserve">- Mesures Préventives : Information sur le risque de diarrhée persistante ; surveillance hépatique si traitement &gt; 14 jours ; prise au cours des repas pour limiter l’intolérance digestive.</w:t>
      </w:r>
      <w:r>
        <w:t xml:space="preserve"> </w:t>
      </w:r>
      <w:r>
        <w:t xml:space="preserve">- Conduite à Tenir : Arrêt en cas de diarrhée sanglante, d’ictère, de rash étendu, d’arthralgies sévères.</w:t>
      </w:r>
    </w:p>
    <w:p>
      <w:pPr>
        <w:pStyle w:val="BodyText"/>
      </w:pPr>
      <w:r>
        <w:rPr>
          <w:b/>
          <w:bCs/>
        </w:rPr>
        <w:t xml:space="preserve">Interactions Importantes :</w:t>
      </w:r>
      <w:r>
        <w:t xml:space="preserve"> </w:t>
      </w:r>
      <w:r>
        <w:t xml:space="preserve">-</w:t>
      </w:r>
      <w:r>
        <w:t xml:space="preserve"> </w:t>
      </w:r>
      <w:r>
        <w:rPr>
          <w:b/>
          <w:bCs/>
        </w:rPr>
        <w:t xml:space="preserve">Ciclosporine, tacrolimus</w:t>
      </w:r>
      <w:r>
        <w:t xml:space="preserve"> </w:t>
      </w:r>
      <w:r>
        <w:t xml:space="preserve">: Inhibition de la P-gp → augmentation des concentrations — surveillance sanguine.</w:t>
      </w:r>
      <w:r>
        <w:t xml:space="preserve"> </w:t>
      </w:r>
      <w:r>
        <w:t xml:space="preserve">-</w:t>
      </w:r>
      <w:r>
        <w:t xml:space="preserve"> </w:t>
      </w:r>
      <w:r>
        <w:rPr>
          <w:b/>
          <w:bCs/>
        </w:rPr>
        <w:t xml:space="preserve">Statines (simvastatine, atorvastatine, lovastatine)</w:t>
      </w:r>
      <w:r>
        <w:t xml:space="preserve"> </w:t>
      </w:r>
      <w:r>
        <w:t xml:space="preserve">: Inhibition CYP3A4 → rhabdomyolyse. Suspender la statine pendant le traitement.</w:t>
      </w:r>
      <w:r>
        <w:t xml:space="preserve"> </w:t>
      </w:r>
      <w:r>
        <w:t xml:space="preserve">-</w:t>
      </w:r>
      <w:r>
        <w:t xml:space="preserve"> </w:t>
      </w:r>
      <w:r>
        <w:rPr>
          <w:b/>
          <w:bCs/>
        </w:rPr>
        <w:t xml:space="preserve">Anticoagulants oraux</w:t>
      </w:r>
      <w:r>
        <w:t xml:space="preserve"> </w:t>
      </w:r>
      <w:r>
        <w:t xml:space="preserve">: Surveillance INR.</w:t>
      </w:r>
      <w:r>
        <w:t xml:space="preserve"> </w:t>
      </w:r>
      <w:r>
        <w:t xml:space="preserve">-</w:t>
      </w:r>
      <w:r>
        <w:t xml:space="preserve"> </w:t>
      </w:r>
      <w:r>
        <w:rPr>
          <w:b/>
          <w:bCs/>
        </w:rPr>
        <w:t xml:space="preserve">Digoxine</w:t>
      </w:r>
      <w:r>
        <w:t xml:space="preserve"> </w:t>
      </w:r>
      <w:r>
        <w:t xml:space="preserve">: Augmentation des concentrations (modification flore).</w:t>
      </w:r>
      <w:r>
        <w:t xml:space="preserve"> </w:t>
      </w:r>
      <w:r>
        <w:t xml:space="preserve">-</w:t>
      </w:r>
      <w:r>
        <w:t xml:space="preserve"> </w:t>
      </w:r>
      <w:r>
        <w:rPr>
          <w:b/>
          <w:bCs/>
        </w:rPr>
        <w:t xml:space="preserve">Ergotamine, dihydroergotamine</w:t>
      </w:r>
      <w:r>
        <w:t xml:space="preserve"> </w:t>
      </w:r>
      <w:r>
        <w:t xml:space="preserve">: Ergotisme — éviter.</w:t>
      </w:r>
      <w:r>
        <w:t xml:space="preserve"> </w:t>
      </w:r>
      <w:r>
        <w:t xml:space="preserve">-</w:t>
      </w:r>
      <w:r>
        <w:t xml:space="preserve"> </w:t>
      </w:r>
      <w:r>
        <w:rPr>
          <w:b/>
          <w:bCs/>
        </w:rPr>
        <w:t xml:space="preserve">Millepertuis</w:t>
      </w:r>
      <w:r>
        <w:t xml:space="preserve"> </w:t>
      </w:r>
      <w:r>
        <w:t xml:space="preserve">: Induction enzymatique, diminution de l’efficacité.</w:t>
      </w:r>
      <w:r>
        <w:t xml:space="preserve"> </w:t>
      </w:r>
      <w:r>
        <w:t xml:space="preserve">-</w:t>
      </w:r>
      <w:r>
        <w:t xml:space="preserve"> </w:t>
      </w:r>
      <w:r>
        <w:rPr>
          <w:b/>
          <w:bCs/>
        </w:rPr>
        <w:t xml:space="preserve">Inhibiteurs de la P-gp (vérapamil, diltiazem, amiodarone)</w:t>
      </w:r>
      <w:r>
        <w:t xml:space="preserve"> </w:t>
      </w:r>
      <w:r>
        <w:t xml:space="preserve">: Prudence.</w:t>
      </w:r>
    </w:p>
    <w:p>
      <w:pPr>
        <w:pStyle w:val="BodyText"/>
      </w:pPr>
      <w:r>
        <w:rPr>
          <w:b/>
          <w:bCs/>
        </w:rPr>
        <w:t xml:space="preserve">Grossesse et Allaitement :</w:t>
      </w:r>
      <w:r>
        <w:t xml:space="preserve"> </w:t>
      </w:r>
      <w:r>
        <w:t xml:space="preserve">- Grossesse : À éviter par prudence, données limitées. Préférer érythromycine ou azithromycine. En cas de nécessité absolue (infection à SARM ou entérocoque résistant chez la femme enceinte), peut être discutée au cas par cas.</w:t>
      </w:r>
      <w:r>
        <w:t xml:space="preserve"> </w:t>
      </w:r>
      <w:r>
        <w:t xml:space="preserve">- Allaitement : Déconseillé (passage dans le lait, données limitées).</w:t>
      </w:r>
      <w:r>
        <w:t xml:space="preserve"> </w:t>
      </w:r>
      <w:r>
        <w:t xml:space="preserve">- Précisions : Pour les infections à SARM chez la femme enceinte, préférer vancomycine IV ou clindamycine si la souche est sensible.</w:t>
      </w:r>
    </w:p>
    <w:p>
      <w:pPr>
        <w:pStyle w:val="BodyText"/>
      </w:pPr>
      <w:r>
        <w:rPr>
          <w:b/>
          <w:bCs/>
        </w:rPr>
        <w:t xml:space="preserve">Posologie et Mode d’administration (Standard) :</w:t>
      </w:r>
      <w:r>
        <w:t xml:space="preserve"> </w:t>
      </w:r>
      <w:r>
        <w:t xml:space="preserve">- Adulte : 1 g × 2 à 3/jour (soit 2 à 3 g/jour), soit 2 comprimés à 500 mg × 2 à 3/j. Pour infections sévères : 1 g × 4/j (4 g/j).</w:t>
      </w:r>
      <w:r>
        <w:t xml:space="preserve"> </w:t>
      </w:r>
      <w:r>
        <w:t xml:space="preserve">- Enfant &gt; 6 ans : 25 à 50 mg/kg/jour en 2 à 3 prises. Adaptation selon poids.</w:t>
      </w:r>
      <w:r>
        <w:t xml:space="preserve"> </w:t>
      </w:r>
      <w:r>
        <w:t xml:space="preserve">- Durée : 7 à 14 jours selon indication. Traitement prolongé possible pour les infections ostéoarticulaires (4 à 6 semaines) sous surveillance hépatique et articulaire.</w:t>
      </w:r>
      <w:r>
        <w:t xml:space="preserve"> </w:t>
      </w:r>
      <w:r>
        <w:t xml:space="preserve">- Moment de prise : À distance des repas pour une meilleure absorption (la prise alimentaire diminue l’absorption d’environ 30 %).</w:t>
      </w:r>
    </w:p>
    <w:p>
      <w:pPr>
        <w:pStyle w:val="BodyText"/>
      </w:pPr>
      <w:r>
        <w:rPr>
          <w:b/>
          <w:bCs/>
        </w:rPr>
        <w:t xml:space="preserve">Arbitrage et Bénéfices des Formes Galéniques :</w:t>
      </w:r>
      <w:r>
        <w:t xml:space="preserve"> </w:t>
      </w:r>
      <w:r>
        <w:t xml:space="preserve">Une seule forme disponible : comprimé pelliculé sécable 500 mg, en boîte de 16. La sécabilité permet une adaptation posologique (250 mg). La biodisponibilité orale est de 50 à 70 %, permettant un usage exclusivement per os (pas de forme injectable — la dalfopristine-quinupristine IV n’est pas commercialisée en Algérie). La boîte de 16 comprimés couvre un traitement de 5 à 8 jours selon la posologie. Pour les infections nécessitant un traitement prolongé (ostéomyélite, endocardite), le renouvellement est nécessaire. L’avantage majeur de la pristinamycine est son activité bactéricide sur les germes Gram positif multirésistants, en gardant une biodisponibilité orale — c’est une alternative précieuse à la vancomycine IV dans les infections modérées à SARM.</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Ce médicament se prend 2 à 3 fois par jour, à jeun ou à distance des repas. Avalez les comprimés entiers ou coupés avec un grand verre d’eau. Si vous avez des douleurs articulaires, prévenez votre médecin.</w:t>
      </w:r>
      <w:r>
        <w:t xml:space="preserve">”</w:t>
      </w:r>
      <w:r>
        <w:t xml:space="preserve"> </w:t>
      </w:r>
      <w:r>
        <w:t xml:space="preserve">- Mode d’utilisation pratique : Respecter les horaires de prise, à 8 ou 12 heures d’intervalle. Ne pas doubler la dose en cas d’oubli. Compléter la prescription même si amélioration rapide. Signaler toute diarrhée persistante ou sanglante.</w:t>
      </w:r>
    </w:p>
    <w:p>
      <w:pPr>
        <w:pStyle w:val="BodyText"/>
      </w:pPr>
      <w:r>
        <w:rPr>
          <w:b/>
          <w:bCs/>
        </w:rPr>
        <w:t xml:space="preserve">Notes, Règles d’Or &amp; Pièges au Comptoir :</w:t>
      </w:r>
      <w:r>
        <w:t xml:space="preserve"> </w:t>
      </w:r>
      <w:r>
        <w:t xml:space="preserve">- Piège classique : Penser que la pristinamycine est équivalente à un macrolide — non, c’est un bactéricide avec un spectre différent (actif sur SARM et entérocoque résistant), et son usage doit être réservé aux situations où les bêta-lactamines et macrolides ne sont pas adaptés.</w:t>
      </w:r>
      <w:r>
        <w:t xml:space="preserve"> </w:t>
      </w:r>
      <w:r>
        <w:t xml:space="preserve">- Règle de prise : À distance des repas, BID ou TID.</w:t>
      </w:r>
      <w:r>
        <w:t xml:space="preserve"> </w:t>
      </w:r>
      <w:r>
        <w:t xml:space="preserve">- Préparation et Conservation : Comprimé solide, conservation à température ambiante &lt; 25 °C, à l’abri de la lumière.</w:t>
      </w:r>
      <w:r>
        <w:t xml:space="preserve"> </w:t>
      </w:r>
      <w:r>
        <w:t xml:space="preserve">- Piège du surdosage / Substitution : Ne pas substituer par un macrolide (spectre et effet bactéricide différents). La pristinamycine est un antibiotique</w:t>
      </w:r>
      <w:r>
        <w:t xml:space="preserve"> </w:t>
      </w:r>
      <w:r>
        <w:t xml:space="preserve">“</w:t>
      </w:r>
      <w:r>
        <w:t xml:space="preserve">de réserve</w:t>
      </w:r>
      <w:r>
        <w:t xml:space="preserve">”</w:t>
      </w:r>
      <w:r>
        <w:t xml:space="preserve"> </w:t>
      </w:r>
      <w:r>
        <w:t xml:space="preserve">qui doit être prescrit après antibiogramme ou en probabiliste ciblé.</w:t>
      </w:r>
    </w:p>
    <w:p>
      <w:r>
        <w:pict>
          <v:rect style="width:0;height:1.5pt" o:hralign="center" o:hrstd="t" o:hr="t"/>
        </w:pict>
      </w:r>
    </w:p>
    <w:bookmarkEnd w:id="116"/>
    <w:bookmarkEnd w:id="117"/>
    <w:bookmarkStart w:id="119" w:name="sous-classe-oxazolidinones"/>
    <w:p>
      <w:pPr>
        <w:pStyle w:val="Heading2"/>
      </w:pPr>
      <w:r>
        <w:t xml:space="preserve">4.5 Sous-classe : Oxazolidinones</w:t>
      </w:r>
    </w:p>
    <w:p>
      <w:pPr>
        <w:pStyle w:val="FirstParagraph"/>
      </w:pPr>
      <w:r>
        <w:t xml:space="preserve">Les oxazolidinones sont la classe d’antibiotiques la plus récente ciblant la synthèse protéique ribosomale. Le linézolide, commercialisé depuis 2000, est le premier représentant. Leur mécanisme original est l’</w:t>
      </w:r>
      <w:r>
        <w:rPr>
          <w:b/>
          <w:bCs/>
        </w:rPr>
        <w:t xml:space="preserve">inhibition de l’initiation</w:t>
      </w:r>
      <w:r>
        <w:t xml:space="preserve"> </w:t>
      </w:r>
      <w:r>
        <w:t xml:space="preserve">de la synthèse protéique (et non de l’élongation comme les macrolides, lincosamides, streptogramines) par liaison à la</w:t>
      </w:r>
      <w:r>
        <w:t xml:space="preserve"> </w:t>
      </w:r>
      <w:r>
        <w:rPr>
          <w:b/>
          <w:bCs/>
        </w:rPr>
        <w:t xml:space="preserve">sous-unité 50S</w:t>
      </w:r>
      <w:r>
        <w:t xml:space="preserve"> </w:t>
      </w:r>
      <w:r>
        <w:t xml:space="preserve">au niveau du</w:t>
      </w:r>
      <w:r>
        <w:t xml:space="preserve"> </w:t>
      </w:r>
      <w:r>
        <w:rPr>
          <w:b/>
          <w:bCs/>
        </w:rPr>
        <w:t xml:space="preserve">site P</w:t>
      </w:r>
      <w:r>
        <w:t xml:space="preserve">, empêchant la formation du complexe d’initiation 70S (assemblage 30S-50S). Ce mécanisme unique explique l’</w:t>
      </w:r>
      <w:r>
        <w:rPr>
          <w:b/>
          <w:bCs/>
        </w:rPr>
        <w:t xml:space="preserve">absence de résistance croisée</w:t>
      </w:r>
      <w:r>
        <w:t xml:space="preserve"> </w:t>
      </w:r>
      <w:r>
        <w:t xml:space="preserve">avec les autres inhibiteurs 50S. Le spectre est limité aux bactéries</w:t>
      </w:r>
      <w:r>
        <w:t xml:space="preserve"> </w:t>
      </w:r>
      <w:r>
        <w:rPr>
          <w:b/>
          <w:bCs/>
        </w:rPr>
        <w:t xml:space="preserve">Gram positif</w:t>
      </w:r>
      <w:r>
        <w:t xml:space="preserve"> </w:t>
      </w:r>
      <w:r>
        <w:t xml:space="preserve">(aérobies et anaérobies), avec une activité remarquable sur les souches multirésistantes : SARM, S. aureus avec sensibilité diminuée aux glycopeptides (GISA), PSDP, entérocoques résistants à la vancomycine (ERV). Aucune activité sur les Gram négatifs (sauf Bacteroides et certains coccobacilles). En Algérie, seul le linézolide est disponible (ZERSA — Hikma Pharma).</w:t>
      </w:r>
    </w:p>
    <w:p>
      <w:r>
        <w:pict>
          <v:rect style="width:0;height:1.5pt" o:hralign="center" o:hrstd="t" o:hr="t"/>
        </w:pict>
      </w:r>
    </w:p>
    <w:bookmarkStart w:id="118" w:name="dci-linézolide-seule"/>
    <w:p>
      <w:pPr>
        <w:pStyle w:val="Heading3"/>
      </w:pPr>
      <w:r>
        <w:t xml:space="preserve">4.5.1 DCI : Linézolide (Seule)</w:t>
      </w:r>
    </w:p>
    <w:p>
      <w:pPr>
        <w:pStyle w:val="FirstParagraph"/>
      </w:pPr>
      <w:r>
        <w:rPr>
          <w:b/>
          <w:bCs/>
        </w:rPr>
        <w:t xml:space="preserve">Liste des Catégories :</w:t>
      </w:r>
      <w:r>
        <w:t xml:space="preserve"> </w:t>
      </w:r>
      <w:r>
        <w:t xml:space="preserve">Oxazolidinone — Listé Liste I — Forme orale (comprimé pelliculé 600 mg).</w:t>
      </w:r>
    </w:p>
    <w:p>
      <w:pPr>
        <w:pStyle w:val="BodyText"/>
      </w:pPr>
      <w:r>
        <w:t xml:space="preserve">Le linézolide est un antibiotique de réserve indiqué dans les infections sévères à germes Gram positif multirésistants : SARM, entérocoques résistants à la vancomycine (ERV), pneumocoques de sensibilité diminuée à la pénicilline (PSDP). Sa biodisponibilité orale de 100 % autorise un switch IV → per os précoce, simplifiant la prise en charge ambulatoire. Sa tolérance est globalement bonne, mais un traitement &gt; 14 jours expose à des effets indésirables graves :</w:t>
      </w:r>
      <w:r>
        <w:t xml:space="preserve"> </w:t>
      </w:r>
      <w:r>
        <w:rPr>
          <w:b/>
          <w:bCs/>
        </w:rPr>
        <w:t xml:space="preserve">thrombopénie</w:t>
      </w:r>
      <w:r>
        <w:t xml:space="preserve">,</w:t>
      </w:r>
      <w:r>
        <w:t xml:space="preserve"> </w:t>
      </w:r>
      <w:r>
        <w:rPr>
          <w:b/>
          <w:bCs/>
        </w:rPr>
        <w:t xml:space="preserve">neuropathie périphérique</w:t>
      </w:r>
      <w:r>
        <w:t xml:space="preserve">,</w:t>
      </w:r>
      <w:r>
        <w:t xml:space="preserve"> </w:t>
      </w:r>
      <w:r>
        <w:rPr>
          <w:b/>
          <w:bCs/>
        </w:rPr>
        <w:t xml:space="preserve">neuropathie optique</w:t>
      </w:r>
      <w:r>
        <w:t xml:space="preserve">,</w:t>
      </w:r>
      <w:r>
        <w:t xml:space="preserve"> </w:t>
      </w:r>
      <w:r>
        <w:rPr>
          <w:b/>
          <w:bCs/>
        </w:rPr>
        <w:t xml:space="preserve">acidose lactique</w:t>
      </w:r>
      <w:r>
        <w:t xml:space="preserve"> </w:t>
      </w:r>
      <w:r>
        <w:t xml:space="preserve">et</w:t>
      </w:r>
      <w:r>
        <w:t xml:space="preserve"> </w:t>
      </w:r>
      <w:r>
        <w:rPr>
          <w:b/>
          <w:bCs/>
        </w:rPr>
        <w:t xml:space="preserve">syndrome sérotoninergique</w:t>
      </w:r>
      <w:r>
        <w:t xml:space="preserve"> </w:t>
      </w:r>
      <w:r>
        <w:t xml:space="preserve">(en cas d’association avec les IMAO et IRS). C’est un inhibiteur faible, non sélectif, des MAO-A et B.</w:t>
      </w:r>
    </w:p>
    <w:p>
      <w:pPr>
        <w:pStyle w:val="BodyText"/>
      </w:pPr>
      <w:r>
        <w:rPr>
          <w:b/>
          <w:bCs/>
        </w:rPr>
        <w:t xml:space="preserve">Médicaments disponibles en Algérie (Marques, Laboratoires, Formes et Dosages) :</w:t>
      </w:r>
    </w:p>
    <w:p>
      <w:pPr>
        <w:pStyle w:val="Compact"/>
        <w:numPr>
          <w:ilvl w:val="0"/>
          <w:numId w:val="1315"/>
        </w:numPr>
      </w:pPr>
      <w:r>
        <w:rPr>
          <w:b/>
          <w:bCs/>
        </w:rPr>
        <w:t xml:space="preserve">ZERSA</w:t>
      </w:r>
      <w:r>
        <w:t xml:space="preserve"> </w:t>
      </w:r>
      <w:r>
        <w:t xml:space="preserve">(HIKMA PHARMA ALGERIA) — Actif</w:t>
      </w:r>
    </w:p>
    <w:p>
      <w:pPr>
        <w:pStyle w:val="Compact"/>
        <w:numPr>
          <w:ilvl w:val="1"/>
          <w:numId w:val="1316"/>
        </w:numPr>
      </w:pPr>
      <w:r>
        <w:t xml:space="preserve">Formes et Dosages : Comprimé pelliculé 600 mg, boîte de 10</w:t>
      </w:r>
    </w:p>
    <w:p>
      <w:pPr>
        <w:pStyle w:val="Compact"/>
        <w:numPr>
          <w:ilvl w:val="1"/>
          <w:numId w:val="1316"/>
        </w:numPr>
      </w:pPr>
      <w:r>
        <w:t xml:space="preserve">Statut : Actif</w:t>
      </w:r>
    </w:p>
    <w:p>
      <w:pPr>
        <w:pStyle w:val="FirstParagraph"/>
      </w:pPr>
      <w:r>
        <w:rPr>
          <w:b/>
          <w:bCs/>
        </w:rPr>
        <w:t xml:space="preserve">Sous-classe et Mécanisme d’action :</w:t>
      </w:r>
      <w:r>
        <w:t xml:space="preserve"> </w:t>
      </w:r>
      <w:r>
        <w:t xml:space="preserve">- Sous-classe : Oxazolidinone de 1re génération. Développé à partir des années 1990. Première molécule d’une nouvelle classe depuis les quinolones.</w:t>
      </w:r>
      <w:r>
        <w:t xml:space="preserve"> </w:t>
      </w:r>
      <w:r>
        <w:t xml:space="preserve">- Mécanisme d’action : Bactériostatique sur entérocoques et staphylocoques ; bactéricide sur streptocoques et pneumocoques, anaérobies (Bacteroides, Clostridium — y compris C. perfringens et C. difficile). Liaison à la</w:t>
      </w:r>
      <w:r>
        <w:t xml:space="preserve"> </w:t>
      </w:r>
      <w:r>
        <w:rPr>
          <w:b/>
          <w:bCs/>
        </w:rPr>
        <w:t xml:space="preserve">sous-unité 50S du ribosome</w:t>
      </w:r>
      <w:r>
        <w:t xml:space="preserve"> </w:t>
      </w:r>
      <w:r>
        <w:t xml:space="preserve">au niveau du</w:t>
      </w:r>
      <w:r>
        <w:t xml:space="preserve"> </w:t>
      </w:r>
      <w:r>
        <w:rPr>
          <w:b/>
          <w:bCs/>
        </w:rPr>
        <w:t xml:space="preserve">site P</w:t>
      </w:r>
      <w:r>
        <w:t xml:space="preserve"> </w:t>
      </w:r>
      <w:r>
        <w:t xml:space="preserve">(domaine V de l’ARN 23S, à proximité du site de liaison des macrolides et streptogramines mais avec un site de fixation distinct).</w:t>
      </w:r>
      <w:r>
        <w:t xml:space="preserve"> </w:t>
      </w:r>
      <w:r>
        <w:rPr>
          <w:b/>
          <w:bCs/>
        </w:rPr>
        <w:t xml:space="preserve">Inhibition de la formation du complexe d’initiation 70S</w:t>
      </w:r>
      <w:r>
        <w:t xml:space="preserve"> </w:t>
      </w:r>
      <w:r>
        <w:t xml:space="preserve">(assemblage 30S + 50S + ARNm + fMet-ARNt). Pas d’action sur l’élongation (contrairement aux macrolides). Pas de résistance croisée avec les autres inhibiteurs 50S.</w:t>
      </w:r>
    </w:p>
    <w:p>
      <w:pPr>
        <w:pStyle w:val="BodyText"/>
      </w:pPr>
      <w:r>
        <w:rPr>
          <w:b/>
          <w:bCs/>
        </w:rPr>
        <w:t xml:space="preserve">Profil Pharmacologique :</w:t>
      </w:r>
      <w:r>
        <w:t xml:space="preserve"> </w:t>
      </w:r>
      <w:r>
        <w:t xml:space="preserve">- Indications : Pneumopathies communautaires et nosocomiales à germes Gram positif multirésistants (SARM, PSDP) ; infections compliquées de la peau et des tissus mous (cellulite, infection chirurgicale, pied diabétique infecté à SARM) ; infections à entérocoques résistants à la vancomycine (ERV) ; endocardite à ERV (alternative) ; infections ostéoarticulaires à SARM ; prophylaxie et traitement des infections à SARM en hématologie (en alternative au cotrimoxazole + glycopeptide).</w:t>
      </w:r>
      <w:r>
        <w:t xml:space="preserve"> </w:t>
      </w:r>
      <w:r>
        <w:t xml:space="preserve">- Contre-indications : Allergie oxazolidinones ;</w:t>
      </w:r>
      <w:r>
        <w:t xml:space="preserve"> </w:t>
      </w:r>
      <w:r>
        <w:rPr>
          <w:b/>
          <w:bCs/>
        </w:rPr>
        <w:t xml:space="preserve">traitement par IMAO</w:t>
      </w:r>
      <w:r>
        <w:t xml:space="preserve"> </w:t>
      </w:r>
      <w:r>
        <w:t xml:space="preserve">(A ou B) ou dans les 14 jours précédents ;</w:t>
      </w:r>
      <w:r>
        <w:t xml:space="preserve"> </w:t>
      </w:r>
      <w:r>
        <w:rPr>
          <w:b/>
          <w:bCs/>
        </w:rPr>
        <w:t xml:space="preserve">syndrome sérotoninergique</w:t>
      </w:r>
      <w:r>
        <w:t xml:space="preserve"> </w:t>
      </w:r>
      <w:r>
        <w:t xml:space="preserve">en cours ; hypertension non contrôlée ; phéochromocytome ; thyrotoxicose ; allaitement ; grossesse (par prudence, données limitées).</w:t>
      </w:r>
      <w:r>
        <w:t xml:space="preserve"> </w:t>
      </w:r>
      <w:r>
        <w:t xml:space="preserve">- Effets Indésirables : À court terme (&lt; 14 jours) — troubles digestifs (nausées, diarrhée), céphalées, candidose orale, dysgueusie. À long terme (&gt; 14 jours) —</w:t>
      </w:r>
      <w:r>
        <w:t xml:space="preserve"> </w:t>
      </w:r>
      <w:r>
        <w:rPr>
          <w:b/>
          <w:bCs/>
        </w:rPr>
        <w:t xml:space="preserve">myélosuppression</w:t>
      </w:r>
      <w:r>
        <w:t xml:space="preserve"> </w:t>
      </w:r>
      <w:r>
        <w:t xml:space="preserve">(thrombopénie 30 %, anémie, neutropénie, surveillance NFS hebdomadaire) ;</w:t>
      </w:r>
      <w:r>
        <w:t xml:space="preserve"> </w:t>
      </w:r>
      <w:r>
        <w:rPr>
          <w:b/>
          <w:bCs/>
        </w:rPr>
        <w:t xml:space="preserve">neuropathie périphérique</w:t>
      </w:r>
      <w:r>
        <w:t xml:space="preserve"> </w:t>
      </w:r>
      <w:r>
        <w:t xml:space="preserve">(souvent irréversible) ;</w:t>
      </w:r>
      <w:r>
        <w:t xml:space="preserve"> </w:t>
      </w:r>
      <w:r>
        <w:rPr>
          <w:b/>
          <w:bCs/>
        </w:rPr>
        <w:t xml:space="preserve">neuropathie optique</w:t>
      </w:r>
      <w:r>
        <w:t xml:space="preserve"> </w:t>
      </w:r>
      <w:r>
        <w:t xml:space="preserve">(risque de baisse d’acuité visuelle, parfois irréversible) ;</w:t>
      </w:r>
      <w:r>
        <w:t xml:space="preserve"> </w:t>
      </w:r>
      <w:r>
        <w:rPr>
          <w:b/>
          <w:bCs/>
        </w:rPr>
        <w:t xml:space="preserve">acidose lactique</w:t>
      </w:r>
      <w:r>
        <w:t xml:space="preserve"> </w:t>
      </w:r>
      <w:r>
        <w:t xml:space="preserve">;</w:t>
      </w:r>
      <w:r>
        <w:t xml:space="preserve"> </w:t>
      </w:r>
      <w:r>
        <w:rPr>
          <w:b/>
          <w:bCs/>
        </w:rPr>
        <w:t xml:space="preserve">syndrome sérotoninergique</w:t>
      </w:r>
      <w:r>
        <w:t xml:space="preserve"> </w:t>
      </w:r>
      <w:r>
        <w:t xml:space="preserve">(en association avec IRS, IMAO, tramadol, pétidine, tryptophane) ; hypertension (inhibition MAO-A → accumulation tyramine et sympathomimétiques).</w:t>
      </w:r>
    </w:p>
    <w:p>
      <w:pPr>
        <w:pStyle w:val="BodyText"/>
      </w:pPr>
      <w:r>
        <w:rPr>
          <w:b/>
          <w:bCs/>
        </w:rPr>
        <w:t xml:space="preserve">Prévention et Gestion des Effets Indésirables :</w:t>
      </w:r>
      <w:r>
        <w:t xml:space="preserve"> </w:t>
      </w:r>
      <w:r>
        <w:t xml:space="preserve">- Mesures Préventives : NFS plaquettaire et hémoglobine avant traitement puis hebdomadaire si &gt; 14 jours ; examen ophtalmologique si &gt; 28 jours ; régime pauvre en tyramine pendant le traitement (éviter fromages fermentés, vin rouge, fèves, choucroute, extrait de levure) ; surveillance de l’état neurologique ; éviter les associations à risque sérotoninergique.</w:t>
      </w:r>
      <w:r>
        <w:t xml:space="preserve"> </w:t>
      </w:r>
      <w:r>
        <w:t xml:space="preserve">- Conduite à Tenir : Arrêt en cas de thrombopénie &lt; 50 G/L ou de baisse &gt; 50 % de la baseline, de troubles visuels, de paresthésies, d’acidose, de syndrome sérotoninergique. En cas de traitement &gt; 28 jours, examen ophtalmologique systématique.</w:t>
      </w:r>
    </w:p>
    <w:p>
      <w:pPr>
        <w:pStyle w:val="BodyText"/>
      </w:pPr>
      <w:r>
        <w:rPr>
          <w:b/>
          <w:bCs/>
        </w:rPr>
        <w:t xml:space="preserve">Interactions Importantes :</w:t>
      </w:r>
      <w:r>
        <w:t xml:space="preserve"> </w:t>
      </w:r>
      <w:r>
        <w:t xml:space="preserve">-</w:t>
      </w:r>
      <w:r>
        <w:t xml:space="preserve"> </w:t>
      </w:r>
      <w:r>
        <w:rPr>
          <w:b/>
          <w:bCs/>
        </w:rPr>
        <w:t xml:space="preserve">Antidépresseurs sérotoninergiques (IRS, IRSNA, clomipramamine, imipramine, moclobémide, IMAO-A)</w:t>
      </w:r>
      <w:r>
        <w:t xml:space="preserve"> </w:t>
      </w:r>
      <w:r>
        <w:t xml:space="preserve">: Risque de syndrome sérotoninergique (agitation, confusion, myoclonies, hyperréflexie, hyperthermie, décès possible). Éviter l’association ou surveiller étroitement.</w:t>
      </w:r>
      <w:r>
        <w:t xml:space="preserve"> </w:t>
      </w:r>
      <w:r>
        <w:t xml:space="preserve">-</w:t>
      </w:r>
      <w:r>
        <w:t xml:space="preserve"> </w:t>
      </w:r>
      <w:r>
        <w:rPr>
          <w:b/>
          <w:bCs/>
        </w:rPr>
        <w:t xml:space="preserve">IMAO-B (sélégiline, rasagiline)</w:t>
      </w:r>
      <w:r>
        <w:t xml:space="preserve"> </w:t>
      </w:r>
      <w:r>
        <w:t xml:space="preserve">: Idem — éviter.</w:t>
      </w:r>
      <w:r>
        <w:t xml:space="preserve"> </w:t>
      </w:r>
      <w:r>
        <w:t xml:space="preserve">-</w:t>
      </w:r>
      <w:r>
        <w:t xml:space="preserve"> </w:t>
      </w:r>
      <w:r>
        <w:rPr>
          <w:b/>
          <w:bCs/>
        </w:rPr>
        <w:t xml:space="preserve">Tramadol, pétidine, dextrométhorphane, tryptophane, triptans</w:t>
      </w:r>
      <w:r>
        <w:t xml:space="preserve"> </w:t>
      </w:r>
      <w:r>
        <w:t xml:space="preserve">: Risque sérotoninergique.</w:t>
      </w:r>
      <w:r>
        <w:t xml:space="preserve"> </w:t>
      </w:r>
      <w:r>
        <w:t xml:space="preserve">-</w:t>
      </w:r>
      <w:r>
        <w:t xml:space="preserve"> </w:t>
      </w:r>
      <w:r>
        <w:rPr>
          <w:b/>
          <w:bCs/>
        </w:rPr>
        <w:t xml:space="preserve">Aliments riches en tyramine (fromages fermentés, vin rouge, bière, fèves, choucroute)</w:t>
      </w:r>
      <w:r>
        <w:t xml:space="preserve"> </w:t>
      </w:r>
      <w:r>
        <w:t xml:space="preserve">: Poussée hypertensive par inhibition MAO-A → cumul tyramine.</w:t>
      </w:r>
      <w:r>
        <w:t xml:space="preserve"> </w:t>
      </w:r>
      <w:r>
        <w:t xml:space="preserve">-</w:t>
      </w:r>
      <w:r>
        <w:t xml:space="preserve"> </w:t>
      </w:r>
      <w:r>
        <w:rPr>
          <w:b/>
          <w:bCs/>
        </w:rPr>
        <w:t xml:space="preserve">Sympathomimétiques (pseudoéphédrine, éphédrine, phényléphrine)</w:t>
      </w:r>
      <w:r>
        <w:t xml:space="preserve"> </w:t>
      </w:r>
      <w:r>
        <w:t xml:space="preserve">: Poussée hypertensive.</w:t>
      </w:r>
      <w:r>
        <w:t xml:space="preserve"> </w:t>
      </w:r>
      <w:r>
        <w:t xml:space="preserve">-</w:t>
      </w:r>
      <w:r>
        <w:t xml:space="preserve"> </w:t>
      </w:r>
      <w:r>
        <w:rPr>
          <w:b/>
          <w:bCs/>
        </w:rPr>
        <w:t xml:space="preserve">Linézolide + vancomycine</w:t>
      </w:r>
      <w:r>
        <w:t xml:space="preserve"> </w:t>
      </w:r>
      <w:r>
        <w:t xml:space="preserve">: Risque accru de thrombopénie.</w:t>
      </w:r>
      <w:r>
        <w:t xml:space="preserve"> </w:t>
      </w:r>
      <w:r>
        <w:t xml:space="preserve">-</w:t>
      </w:r>
      <w:r>
        <w:t xml:space="preserve"> </w:t>
      </w:r>
      <w:r>
        <w:rPr>
          <w:b/>
          <w:bCs/>
        </w:rPr>
        <w:t xml:space="preserve">Anticoagulants oraux</w:t>
      </w:r>
      <w:r>
        <w:t xml:space="preserve"> </w:t>
      </w:r>
      <w:r>
        <w:t xml:space="preserve">: Surveillance INR (modification flore).</w:t>
      </w:r>
    </w:p>
    <w:p>
      <w:pPr>
        <w:pStyle w:val="BodyText"/>
      </w:pPr>
      <w:r>
        <w:rPr>
          <w:b/>
          <w:bCs/>
        </w:rPr>
        <w:t xml:space="preserve">Grossesse et Allaitement :</w:t>
      </w:r>
      <w:r>
        <w:t xml:space="preserve"> </w:t>
      </w:r>
      <w:r>
        <w:t xml:space="preserve">- Grossesse : À éviter par prudence (données animales : foetotoxicité, données humaines limitées). Catégorie C FDA. À n’utiliser que si le bénéfice attendu dépasse le risque, en particulier en cas d’infection à ERV menaçant le pronostic vital.</w:t>
      </w:r>
      <w:r>
        <w:t xml:space="preserve"> </w:t>
      </w:r>
      <w:r>
        <w:t xml:space="preserve">- Allaitement : CI (passage dans le lait, données limitées, risque de myélosuppression pour le nourrisson).</w:t>
      </w:r>
      <w:r>
        <w:t xml:space="preserve"> </w:t>
      </w:r>
      <w:r>
        <w:t xml:space="preserve">- Précisions : En cas d’infection sévère à SARM chez la femme enceinte, préférer vancomycine IV. Le linézolide n’est utilisé qu’en dernière intention.</w:t>
      </w:r>
    </w:p>
    <w:p>
      <w:pPr>
        <w:pStyle w:val="BodyText"/>
      </w:pPr>
      <w:r>
        <w:rPr>
          <w:b/>
          <w:bCs/>
        </w:rPr>
        <w:t xml:space="preserve">Posologie et Mode d’administration (Standard) :</w:t>
      </w:r>
      <w:r>
        <w:t xml:space="preserve"> </w:t>
      </w:r>
      <w:r>
        <w:t xml:space="preserve">- Adulte : 600 mg × 2/jour (soit 1 comprimé matin et soir), en IV ou per os (même posologie, biodisponibilité 100 %). Pas d’adaptation posologique en cas d’insuffisance rénale ou hépatique modérée.</w:t>
      </w:r>
      <w:r>
        <w:t xml:space="preserve"> </w:t>
      </w:r>
      <w:r>
        <w:t xml:space="preserve">- Enfant &gt; 12 ans : Posologie adulte (600 mg × 2/j).</w:t>
      </w:r>
      <w:r>
        <w:t xml:space="preserve"> </w:t>
      </w:r>
      <w:r>
        <w:t xml:space="preserve">- Enfant &lt; 12 ans (naissance à 11 ans) : 10 mg/kg × 3/j (adaptation selon âge, forme liquide non disponible en Algérie).</w:t>
      </w:r>
      <w:r>
        <w:t xml:space="preserve"> </w:t>
      </w:r>
      <w:r>
        <w:t xml:space="preserve">- Durée : 10 à 14 jours pour pneumopathie et infections cutanées ; 14 à 28 jours pour infections ostéoarticulaires ; 28 jours maximum (au-delà, surveillance hématologique et ophtalmologique renforcée). Traitement prolongé au cas par cas pour endocardite à ERV.</w:t>
      </w:r>
      <w:r>
        <w:t xml:space="preserve"> </w:t>
      </w:r>
      <w:r>
        <w:t xml:space="preserve">- Moment de prise : Pendant ou en dehors des repas (l’absorption n’est pas modifiée par la nourriture). Prises espacées de 12 heures.</w:t>
      </w:r>
    </w:p>
    <w:p>
      <w:pPr>
        <w:pStyle w:val="BodyText"/>
      </w:pPr>
      <w:r>
        <w:rPr>
          <w:b/>
          <w:bCs/>
        </w:rPr>
        <w:t xml:space="preserve">Arbitrage et Bénéfices des Formes Galéniques :</w:t>
      </w:r>
      <w:r>
        <w:t xml:space="preserve"> </w:t>
      </w:r>
      <w:r>
        <w:t xml:space="preserve">Une seule forme disponible en Algérie : comprimé pelliculé à 600 mg (ZERSA, Hikma Pharma). La boîte de 10 comprimés couvre un traitement de 5 jours (soit la moitié d’un traitement standard de 10 jours — deux boîtes nécessaires). La biodisponibilité orale de 100 %, identique à la forme IV, autorise le switch IV → per os dès que le patient peut avaler, sans adaptation posologique — c’est un avantage majeur pour les sorties d’hospitalisation. L’absence de forme IV en Algérie limite l’usage en phase aiguë hospitalière ; les patients sont habituellement initiés sous vancomycine IV puis relais oral par linézolide. L’absence de forme liquide pédiatrique limite l’usage chez l’enfant &lt; 12 ans (nécessité d’importation de la suspension buvable). Pour les insuffisants rénaux, aucune adaptation n’est nécessaire (métabolites accumulés mais sans toxicité majeure reconnue). Pour les insuffisants hépatiques modérés, pas d’adaptation ; données limitées en cas d’insuffisance sévère.</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Ce médicament est un antibiotique puissant réservé aux infections graves. Prenez-le matin et soir à 12 heures d’intervalle.</w:t>
      </w:r>
      <w:r>
        <w:t xml:space="preserve"> </w:t>
      </w:r>
      <w:r>
        <w:rPr>
          <w:b/>
          <w:bCs/>
        </w:rPr>
        <w:t xml:space="preserve">Évitez les fromages fermentés, le vin rouge et les fèves pendant le traitement.</w:t>
      </w:r>
      <w:r>
        <w:t xml:space="preserve"> </w:t>
      </w:r>
      <w:r>
        <w:t xml:space="preserve">Si vous prenez un antidépresseur, prévenez votre médecin. Signalez immédiatement tout trouble de la vision, fourmillement des extrémités, fatigue intense, ou ecchymoses.</w:t>
      </w:r>
      <w:r>
        <w:t xml:space="preserve">”</w:t>
      </w:r>
      <w:r>
        <w:t xml:space="preserve"> </w:t>
      </w:r>
      <w:r>
        <w:t xml:space="preserve">- Mode d’utilisation pratique : Avaler les comprimés entiers avec un grand verre d’eau. Respecter l’intervalle de 12 h entre les prises. Ne pas interrompre le traitement. Tenir un journal des symptômes (digestif, vision, sensibilité) en cas de traitement &gt; 14 jours. Régime pauvre en tyramine pendant et 48 h après la fin du traitement.</w:t>
      </w:r>
    </w:p>
    <w:p>
      <w:pPr>
        <w:pStyle w:val="BodyText"/>
      </w:pPr>
      <w:r>
        <w:rPr>
          <w:b/>
          <w:bCs/>
        </w:rPr>
        <w:t xml:space="preserve">Notes, Règles d’Or &amp; Pièges au Comptoir :</w:t>
      </w:r>
      <w:r>
        <w:t xml:space="preserve"> </w:t>
      </w:r>
      <w:r>
        <w:t xml:space="preserve">- Piège classique : Patient sous IRS (paroxetine, fluoxétine) délivré en linézolide sans alerte → syndrome sérotoninergique potentiellement mortel. Toujours demander les antidépresseurs.</w:t>
      </w:r>
      <w:r>
        <w:t xml:space="preserve"> </w:t>
      </w:r>
      <w:r>
        <w:t xml:space="preserve">- Règle de prise : BID strict à 12 h, régime pauvre en tyramine.</w:t>
      </w:r>
      <w:r>
        <w:t xml:space="preserve"> </w:t>
      </w:r>
      <w:r>
        <w:t xml:space="preserve">- Préparation et Conservation : Comprimé solide, conservation à température ambiante &lt; 25 °C, à l’abri de la lumière et de l’humidité.</w:t>
      </w:r>
      <w:r>
        <w:t xml:space="preserve"> </w:t>
      </w:r>
      <w:r>
        <w:t xml:space="preserve">- Piège du surdosage / Substitution : Ne pas dépasser 28 jours sans surveillance hématologique et ophtalmologique. En cas d’oubli, ne pas doubler la dose. La substitution par tedizolide (autre oxazolidinone, non disponible en Algérie) n’est pas possible. En cas d’insuffisance rénale sévère, surveiller les métabolites (accumulation).</w:t>
      </w:r>
    </w:p>
    <w:p>
      <w:r>
        <w:pict>
          <v:rect style="width:0;height:1.5pt" o:hralign="center" o:hrstd="t" o:hr="t"/>
        </w:pict>
      </w:r>
    </w:p>
    <w:bookmarkEnd w:id="118"/>
    <w:bookmarkEnd w:id="119"/>
    <w:bookmarkStart w:id="120" w:name="X47c6fec1a41f81619fd58a4b02ef86cf51315fa"/>
    <w:p>
      <w:pPr>
        <w:pStyle w:val="Heading2"/>
      </w:pPr>
      <w:r>
        <w:t xml:space="preserve">4.6 Tableau Comparatif des Macrolides et apparentés</w:t>
      </w:r>
    </w:p>
    <w:tbl>
      <w:tblPr>
        <w:tblStyle w:val="Table"/>
        <w:tblW w:type="pct" w:w="5000"/>
        <w:jc w:val="left"/>
        <w:tblLayout w:type="fixed"/>
        <w:tblLook w:firstRow="1" w:lastRow="0" w:firstColumn="0" w:lastColumn="0" w:noHBand="0" w:noVBand="0" w:val="0020"/>
      </w:tblPr>
      <w:tblGrid>
        <w:gridCol w:w="324"/>
        <w:gridCol w:w="843"/>
        <w:gridCol w:w="584"/>
        <w:gridCol w:w="649"/>
        <w:gridCol w:w="843"/>
        <w:gridCol w:w="1168"/>
        <w:gridCol w:w="843"/>
        <w:gridCol w:w="714"/>
        <w:gridCol w:w="1947"/>
      </w:tblGrid>
      <w:tr>
        <w:trPr>
          <w:tblHeader w:val="on"/>
        </w:trPr>
        <w:tc>
          <w:tcPr/>
          <w:p>
            <w:pPr>
              <w:pStyle w:val="Compact"/>
              <w:jc w:val="left"/>
            </w:pPr>
            <w:r>
              <w:t xml:space="preserve">DCI</w:t>
            </w:r>
          </w:p>
        </w:tc>
        <w:tc>
          <w:tcPr/>
          <w:p>
            <w:pPr>
              <w:pStyle w:val="Compact"/>
              <w:jc w:val="left"/>
            </w:pPr>
            <w:r>
              <w:t xml:space="preserve">Sous-classe</w:t>
            </w:r>
          </w:p>
        </w:tc>
        <w:tc>
          <w:tcPr/>
          <w:p>
            <w:pPr>
              <w:pStyle w:val="Compact"/>
              <w:jc w:val="left"/>
            </w:pPr>
            <w:r>
              <w:t xml:space="preserve">Spectre</w:t>
            </w:r>
          </w:p>
        </w:tc>
        <w:tc>
          <w:tcPr/>
          <w:p>
            <w:pPr>
              <w:pStyle w:val="Compact"/>
              <w:jc w:val="left"/>
            </w:pPr>
            <w:r>
              <w:t xml:space="preserve">Demi-vie</w:t>
            </w:r>
          </w:p>
        </w:tc>
        <w:tc>
          <w:tcPr/>
          <w:p>
            <w:pPr>
              <w:pStyle w:val="Compact"/>
              <w:jc w:val="left"/>
            </w:pPr>
            <w:r>
              <w:t xml:space="preserve">Métabolisme</w:t>
            </w:r>
          </w:p>
        </w:tc>
        <w:tc>
          <w:tcPr/>
          <w:p>
            <w:pPr>
              <w:pStyle w:val="Compact"/>
              <w:jc w:val="left"/>
            </w:pPr>
            <w:r>
              <w:t xml:space="preserve">Posologie adulte</w:t>
            </w:r>
          </w:p>
        </w:tc>
        <w:tc>
          <w:tcPr/>
          <w:p>
            <w:pPr>
              <w:pStyle w:val="Compact"/>
              <w:jc w:val="left"/>
            </w:pPr>
            <w:r>
              <w:t xml:space="preserve">CI majeures</w:t>
            </w:r>
          </w:p>
        </w:tc>
        <w:tc>
          <w:tcPr/>
          <w:p>
            <w:pPr>
              <w:pStyle w:val="Compact"/>
              <w:jc w:val="left"/>
            </w:pPr>
            <w:r>
              <w:t xml:space="preserve">Grossesse</w:t>
            </w:r>
          </w:p>
        </w:tc>
        <w:tc>
          <w:tcPr/>
          <w:p>
            <w:pPr>
              <w:pStyle w:val="Compact"/>
              <w:jc w:val="left"/>
            </w:pPr>
            <w:r>
              <w:t xml:space="preserve">Interactions CYP3A4 majeures</w:t>
            </w:r>
          </w:p>
        </w:tc>
      </w:tr>
      <w:tr>
        <w:tc>
          <w:tcPr/>
          <w:p>
            <w:pPr>
              <w:pStyle w:val="Compact"/>
              <w:jc w:val="left"/>
            </w:pPr>
            <w:r>
              <w:rPr>
                <w:b/>
                <w:bCs/>
              </w:rPr>
              <w:t xml:space="preserve">Érythromycine</w:t>
            </w:r>
          </w:p>
        </w:tc>
        <w:tc>
          <w:tcPr/>
          <w:p>
            <w:pPr>
              <w:pStyle w:val="Compact"/>
              <w:jc w:val="left"/>
            </w:pPr>
            <w:r>
              <w:t xml:space="preserve">Macrolide 14 atomes</w:t>
            </w:r>
          </w:p>
        </w:tc>
        <w:tc>
          <w:tcPr/>
          <w:p>
            <w:pPr>
              <w:pStyle w:val="Compact"/>
              <w:jc w:val="left"/>
            </w:pPr>
            <w:r>
              <w:t xml:space="preserve">GPS, atypiques, B. pertussis, Chlamydia</w:t>
            </w:r>
          </w:p>
        </w:tc>
        <w:tc>
          <w:tcPr/>
          <w:p>
            <w:pPr>
              <w:pStyle w:val="Compact"/>
              <w:jc w:val="left"/>
            </w:pPr>
            <w:r>
              <w:t xml:space="preserve">1,5 h</w:t>
            </w:r>
          </w:p>
        </w:tc>
        <w:tc>
          <w:tcPr/>
          <w:p>
            <w:pPr>
              <w:pStyle w:val="Compact"/>
              <w:jc w:val="left"/>
            </w:pPr>
            <w:r>
              <w:t xml:space="preserve">CYP3A4 (inhibiteur puissant)</w:t>
            </w:r>
          </w:p>
        </w:tc>
        <w:tc>
          <w:tcPr/>
          <w:p>
            <w:pPr>
              <w:pStyle w:val="Compact"/>
              <w:jc w:val="left"/>
            </w:pPr>
            <w:r>
              <w:t xml:space="preserve">1–2 g/j × 2–4 prises</w:t>
            </w:r>
          </w:p>
        </w:tc>
        <w:tc>
          <w:tcPr/>
          <w:p>
            <w:pPr>
              <w:pStyle w:val="Compact"/>
              <w:jc w:val="left"/>
            </w:pPr>
            <w:r>
              <w:t xml:space="preserve">Allongement QT, association cisapride, ergot, colchicine, myasthénie</w:t>
            </w:r>
          </w:p>
        </w:tc>
        <w:tc>
          <w:tcPr/>
          <w:p>
            <w:pPr>
              <w:pStyle w:val="Compact"/>
              <w:jc w:val="left"/>
            </w:pPr>
            <w:r>
              <w:t xml:space="preserve">Autorisé (référence)</w:t>
            </w:r>
          </w:p>
        </w:tc>
        <w:tc>
          <w:tcPr/>
          <w:p>
            <w:pPr>
              <w:pStyle w:val="Compact"/>
              <w:jc w:val="left"/>
            </w:pPr>
            <w:r>
              <w:t xml:space="preserve">Simvastatine (CI), warfarine, théophylline, ciclosporine</w:t>
            </w:r>
          </w:p>
        </w:tc>
      </w:tr>
      <w:tr>
        <w:tc>
          <w:tcPr/>
          <w:p>
            <w:pPr>
              <w:pStyle w:val="Compact"/>
              <w:jc w:val="left"/>
            </w:pPr>
            <w:r>
              <w:rPr>
                <w:b/>
                <w:bCs/>
              </w:rPr>
              <w:t xml:space="preserve">Azithromycine</w:t>
            </w:r>
          </w:p>
        </w:tc>
        <w:tc>
          <w:tcPr/>
          <w:p>
            <w:pPr>
              <w:pStyle w:val="Compact"/>
              <w:jc w:val="left"/>
            </w:pPr>
            <w:r>
              <w:t xml:space="preserve">Azalide 15 atomes</w:t>
            </w:r>
          </w:p>
        </w:tc>
        <w:tc>
          <w:tcPr/>
          <w:p>
            <w:pPr>
              <w:pStyle w:val="Compact"/>
              <w:jc w:val="left"/>
            </w:pPr>
            <w:r>
              <w:t xml:space="preserve">GPS, atypiques, H. influenzae, Chlamydia, MAC</w:t>
            </w:r>
          </w:p>
        </w:tc>
        <w:tc>
          <w:tcPr/>
          <w:p>
            <w:pPr>
              <w:pStyle w:val="Compact"/>
              <w:jc w:val="left"/>
            </w:pPr>
            <w:r>
              <w:t xml:space="preserve">68 h</w:t>
            </w:r>
          </w:p>
        </w:tc>
        <w:tc>
          <w:tcPr/>
          <w:p>
            <w:pPr>
              <w:pStyle w:val="Compact"/>
              <w:jc w:val="left"/>
            </w:pPr>
            <w:r>
              <w:t xml:space="preserve">Pas de CYP3A4</w:t>
            </w:r>
          </w:p>
        </w:tc>
        <w:tc>
          <w:tcPr/>
          <w:p>
            <w:pPr>
              <w:pStyle w:val="Compact"/>
              <w:jc w:val="left"/>
            </w:pPr>
            <w:r>
              <w:t xml:space="preserve">500 mg J1 + 250 mg J2–J5 ou 3 j ou 1 g monodose</w:t>
            </w:r>
          </w:p>
        </w:tc>
        <w:tc>
          <w:tcPr/>
          <w:p>
            <w:pPr>
              <w:pStyle w:val="Compact"/>
              <w:jc w:val="left"/>
            </w:pPr>
            <w:r>
              <w:t xml:space="preserve">Allongement QT (relatif), myasthénie</w:t>
            </w:r>
          </w:p>
        </w:tc>
        <w:tc>
          <w:tcPr/>
          <w:p>
            <w:pPr>
              <w:pStyle w:val="Compact"/>
              <w:jc w:val="left"/>
            </w:pPr>
            <w:r>
              <w:t xml:space="preserve">Autorisé (choix)</w:t>
            </w:r>
          </w:p>
        </w:tc>
        <w:tc>
          <w:tcPr/>
          <w:p>
            <w:pPr>
              <w:pStyle w:val="Compact"/>
              <w:jc w:val="left"/>
            </w:pPr>
            <w:r>
              <w:t xml:space="preserve">Aucune majeure (warfarine prudence)</w:t>
            </w:r>
          </w:p>
        </w:tc>
      </w:tr>
      <w:tr>
        <w:tc>
          <w:tcPr/>
          <w:p>
            <w:pPr>
              <w:pStyle w:val="Compact"/>
              <w:jc w:val="left"/>
            </w:pPr>
            <w:r>
              <w:rPr>
                <w:b/>
                <w:bCs/>
              </w:rPr>
              <w:t xml:space="preserve">Clarithromycine</w:t>
            </w:r>
          </w:p>
        </w:tc>
        <w:tc>
          <w:tcPr/>
          <w:p>
            <w:pPr>
              <w:pStyle w:val="Compact"/>
              <w:jc w:val="left"/>
            </w:pPr>
            <w:r>
              <w:t xml:space="preserve">Macrolide 14 atomes</w:t>
            </w:r>
          </w:p>
        </w:tc>
        <w:tc>
          <w:tcPr/>
          <w:p>
            <w:pPr>
              <w:pStyle w:val="Compact"/>
              <w:jc w:val="left"/>
            </w:pPr>
            <w:r>
              <w:t xml:space="preserve">GPS, atypiques, H. pylori, MAC, mycobactéries atypiques</w:t>
            </w:r>
          </w:p>
        </w:tc>
        <w:tc>
          <w:tcPr/>
          <w:p>
            <w:pPr>
              <w:pStyle w:val="Compact"/>
              <w:jc w:val="left"/>
            </w:pPr>
            <w:r>
              <w:t xml:space="preserve">3–7 h</w:t>
            </w:r>
          </w:p>
        </w:tc>
        <w:tc>
          <w:tcPr/>
          <w:p>
            <w:pPr>
              <w:pStyle w:val="Compact"/>
              <w:jc w:val="left"/>
            </w:pPr>
            <w:r>
              <w:t xml:space="preserve">CYP3A4 (inhibiteur puissant)</w:t>
            </w:r>
          </w:p>
        </w:tc>
        <w:tc>
          <w:tcPr/>
          <w:p>
            <w:pPr>
              <w:pStyle w:val="Compact"/>
              <w:jc w:val="left"/>
            </w:pPr>
            <w:r>
              <w:t xml:space="preserve">250–500 mg × 2/j</w:t>
            </w:r>
          </w:p>
        </w:tc>
        <w:tc>
          <w:tcPr/>
          <w:p>
            <w:pPr>
              <w:pStyle w:val="Compact"/>
              <w:jc w:val="left"/>
            </w:pPr>
            <w:r>
              <w:t xml:space="preserve">Allongement QT, simvastatine, cisapride, ergot</w:t>
            </w:r>
          </w:p>
        </w:tc>
        <w:tc>
          <w:tcPr/>
          <w:p>
            <w:pPr>
              <w:pStyle w:val="Compact"/>
              <w:jc w:val="left"/>
            </w:pPr>
            <w:r>
              <w:t xml:space="preserve">Déconseillé (1er trimestre)</w:t>
            </w:r>
          </w:p>
        </w:tc>
        <w:tc>
          <w:tcPr/>
          <w:p>
            <w:pPr>
              <w:pStyle w:val="Compact"/>
              <w:jc w:val="left"/>
            </w:pPr>
            <w:r>
              <w:t xml:space="preserve">Simvastatine (CI), ciclosporine, colchicine, théophylline</w:t>
            </w:r>
          </w:p>
        </w:tc>
      </w:tr>
      <w:tr>
        <w:tc>
          <w:tcPr/>
          <w:p>
            <w:pPr>
              <w:pStyle w:val="Compact"/>
              <w:jc w:val="left"/>
            </w:pPr>
            <w:r>
              <w:rPr>
                <w:b/>
                <w:bCs/>
              </w:rPr>
              <w:t xml:space="preserve">Spiramycine</w:t>
            </w:r>
          </w:p>
        </w:tc>
        <w:tc>
          <w:tcPr/>
          <w:p>
            <w:pPr>
              <w:pStyle w:val="Compact"/>
              <w:jc w:val="left"/>
            </w:pPr>
            <w:r>
              <w:t xml:space="preserve">Macrolide 16 atomes</w:t>
            </w:r>
          </w:p>
        </w:tc>
        <w:tc>
          <w:tcPr/>
          <w:p>
            <w:pPr>
              <w:pStyle w:val="Compact"/>
              <w:jc w:val="left"/>
            </w:pPr>
            <w:r>
              <w:t xml:space="preserve">Toxoplasma, GPS, atypiques</w:t>
            </w:r>
          </w:p>
        </w:tc>
        <w:tc>
          <w:tcPr/>
          <w:p>
            <w:pPr>
              <w:pStyle w:val="Compact"/>
              <w:jc w:val="left"/>
            </w:pPr>
            <w:r>
              <w:t xml:space="preserve">6–8 h</w:t>
            </w:r>
          </w:p>
        </w:tc>
        <w:tc>
          <w:tcPr/>
          <w:p>
            <w:pPr>
              <w:pStyle w:val="Compact"/>
              <w:jc w:val="left"/>
            </w:pPr>
            <w:r>
              <w:t xml:space="preserve">Pas de CYP3A4</w:t>
            </w:r>
          </w:p>
        </w:tc>
        <w:tc>
          <w:tcPr/>
          <w:p>
            <w:pPr>
              <w:pStyle w:val="Compact"/>
              <w:jc w:val="left"/>
            </w:pPr>
            <w:r>
              <w:t xml:space="preserve">3–6 MUI/j × 2–3 prises</w:t>
            </w:r>
          </w:p>
        </w:tc>
        <w:tc>
          <w:tcPr/>
          <w:p>
            <w:pPr>
              <w:pStyle w:val="Compact"/>
              <w:jc w:val="left"/>
            </w:pPr>
            <w:r>
              <w:t xml:space="preserve">Insuffisance hépatique sévère</w:t>
            </w:r>
          </w:p>
        </w:tc>
        <w:tc>
          <w:tcPr/>
          <w:p>
            <w:pPr>
              <w:pStyle w:val="Compact"/>
              <w:jc w:val="left"/>
            </w:pPr>
            <w:r>
              <w:t xml:space="preserve">Autorisé (choix toxoplasmose)</w:t>
            </w:r>
          </w:p>
        </w:tc>
        <w:tc>
          <w:tcPr/>
          <w:p>
            <w:pPr>
              <w:pStyle w:val="Compact"/>
              <w:jc w:val="left"/>
            </w:pPr>
            <w:r>
              <w:t xml:space="preserve">Aucune majeure</w:t>
            </w:r>
          </w:p>
        </w:tc>
      </w:tr>
      <w:tr>
        <w:tc>
          <w:tcPr/>
          <w:p>
            <w:pPr>
              <w:pStyle w:val="Compact"/>
              <w:jc w:val="left"/>
            </w:pPr>
            <w:r>
              <w:rPr>
                <w:b/>
                <w:bCs/>
              </w:rPr>
              <w:t xml:space="preserve">Josamycine</w:t>
            </w:r>
          </w:p>
        </w:tc>
        <w:tc>
          <w:tcPr/>
          <w:p>
            <w:pPr>
              <w:pStyle w:val="Compact"/>
              <w:jc w:val="left"/>
            </w:pPr>
            <w:r>
              <w:t xml:space="preserve">Macrolide 16 atomes</w:t>
            </w:r>
          </w:p>
        </w:tc>
        <w:tc>
          <w:tcPr/>
          <w:p>
            <w:pPr>
              <w:pStyle w:val="Compact"/>
              <w:jc w:val="left"/>
            </w:pPr>
            <w:r>
              <w:t xml:space="preserve">GPS, atypiques, stomatologie</w:t>
            </w:r>
          </w:p>
        </w:tc>
        <w:tc>
          <w:tcPr/>
          <w:p>
            <w:pPr>
              <w:pStyle w:val="Compact"/>
              <w:jc w:val="left"/>
            </w:pPr>
            <w:r>
              <w:t xml:space="preserve">2–4 h</w:t>
            </w:r>
          </w:p>
        </w:tc>
        <w:tc>
          <w:tcPr/>
          <w:p>
            <w:pPr>
              <w:pStyle w:val="Compact"/>
              <w:jc w:val="left"/>
            </w:pPr>
            <w:r>
              <w:t xml:space="preserve">Pas de CYP3A4</w:t>
            </w:r>
          </w:p>
        </w:tc>
        <w:tc>
          <w:tcPr/>
          <w:p>
            <w:pPr>
              <w:pStyle w:val="Compact"/>
              <w:jc w:val="left"/>
            </w:pPr>
            <w:r>
              <w:t xml:space="preserve">2–3 g/j × 2–3 prises</w:t>
            </w:r>
          </w:p>
        </w:tc>
        <w:tc>
          <w:tcPr/>
          <w:p>
            <w:pPr>
              <w:pStyle w:val="Compact"/>
              <w:jc w:val="left"/>
            </w:pPr>
            <w:r>
              <w:t xml:space="preserve">Allergie, insuffisance hépatique</w:t>
            </w:r>
          </w:p>
        </w:tc>
        <w:tc>
          <w:tcPr/>
          <w:p>
            <w:pPr>
              <w:pStyle w:val="Compact"/>
              <w:jc w:val="left"/>
            </w:pPr>
            <w:r>
              <w:t xml:space="preserve">Autorisé si nécessaire</w:t>
            </w:r>
          </w:p>
        </w:tc>
        <w:tc>
          <w:tcPr/>
          <w:p>
            <w:pPr>
              <w:pStyle w:val="Compact"/>
              <w:jc w:val="left"/>
            </w:pPr>
            <w:r>
              <w:t xml:space="preserve">Aucune majeure</w:t>
            </w:r>
          </w:p>
        </w:tc>
      </w:tr>
      <w:tr>
        <w:tc>
          <w:tcPr/>
          <w:p>
            <w:pPr>
              <w:pStyle w:val="Compact"/>
              <w:jc w:val="left"/>
            </w:pPr>
            <w:r>
              <w:rPr>
                <w:b/>
                <w:bCs/>
              </w:rPr>
              <w:t xml:space="preserve">Roxithromycine</w:t>
            </w:r>
          </w:p>
        </w:tc>
        <w:tc>
          <w:tcPr/>
          <w:p>
            <w:pPr>
              <w:pStyle w:val="Compact"/>
              <w:jc w:val="left"/>
            </w:pPr>
            <w:r>
              <w:t xml:space="preserve">Macrolide 14 atomes</w:t>
            </w:r>
          </w:p>
        </w:tc>
        <w:tc>
          <w:tcPr/>
          <w:p>
            <w:pPr>
              <w:pStyle w:val="Compact"/>
              <w:jc w:val="left"/>
            </w:pPr>
            <w:r>
              <w:t xml:space="preserve">GPS, atypiques</w:t>
            </w:r>
          </w:p>
        </w:tc>
        <w:tc>
          <w:tcPr/>
          <w:p>
            <w:pPr>
              <w:pStyle w:val="Compact"/>
              <w:jc w:val="left"/>
            </w:pPr>
            <w:r>
              <w:t xml:space="preserve">12 h</w:t>
            </w:r>
          </w:p>
        </w:tc>
        <w:tc>
          <w:tcPr/>
          <w:p>
            <w:pPr>
              <w:pStyle w:val="Compact"/>
              <w:jc w:val="left"/>
            </w:pPr>
            <w:r>
              <w:t xml:space="preserve">CYP3A4 (inhibiteur modéré)</w:t>
            </w:r>
          </w:p>
        </w:tc>
        <w:tc>
          <w:tcPr/>
          <w:p>
            <w:pPr>
              <w:pStyle w:val="Compact"/>
              <w:jc w:val="left"/>
            </w:pPr>
            <w:r>
              <w:t xml:space="preserve">150 mg × 2/j</w:t>
            </w:r>
          </w:p>
        </w:tc>
        <w:tc>
          <w:tcPr/>
          <w:p>
            <w:pPr>
              <w:pStyle w:val="Compact"/>
              <w:jc w:val="left"/>
            </w:pPr>
            <w:r>
              <w:t xml:space="preserve">Allongement QT, cisapride</w:t>
            </w:r>
          </w:p>
        </w:tc>
        <w:tc>
          <w:tcPr/>
          <w:p>
            <w:pPr>
              <w:pStyle w:val="Compact"/>
              <w:jc w:val="left"/>
            </w:pPr>
            <w:r>
              <w:t xml:space="preserve">À éviter</w:t>
            </w:r>
          </w:p>
        </w:tc>
        <w:tc>
          <w:tcPr/>
          <w:p>
            <w:pPr>
              <w:pStyle w:val="Compact"/>
              <w:jc w:val="left"/>
            </w:pPr>
            <w:r>
              <w:t xml:space="preserve">Cisapride, ergotamine (prudence)</w:t>
            </w:r>
          </w:p>
        </w:tc>
      </w:tr>
      <w:tr>
        <w:tc>
          <w:tcPr/>
          <w:p>
            <w:pPr>
              <w:pStyle w:val="Compact"/>
              <w:jc w:val="left"/>
            </w:pPr>
            <w:r>
              <w:rPr>
                <w:b/>
                <w:bCs/>
              </w:rPr>
              <w:t xml:space="preserve">Spiramycine + Métronidazole</w:t>
            </w:r>
          </w:p>
        </w:tc>
        <w:tc>
          <w:tcPr/>
          <w:p>
            <w:pPr>
              <w:pStyle w:val="Compact"/>
              <w:jc w:val="left"/>
            </w:pPr>
            <w:r>
              <w:t xml:space="preserve">Association macrolide + nitro-imidazolé</w:t>
            </w:r>
          </w:p>
        </w:tc>
        <w:tc>
          <w:tcPr/>
          <w:p>
            <w:pPr>
              <w:pStyle w:val="Compact"/>
              <w:jc w:val="left"/>
            </w:pPr>
            <w:r>
              <w:t xml:space="preserve">Anaérobies + GPS (buccodentaire)</w:t>
            </w:r>
          </w:p>
        </w:tc>
        <w:tc>
          <w:tcPr/>
          <w:p>
            <w:pPr>
              <w:pStyle w:val="Compact"/>
              <w:jc w:val="left"/>
            </w:pPr>
            <w:r>
              <w:t xml:space="preserve">Combinée</w:t>
            </w:r>
          </w:p>
        </w:tc>
        <w:tc>
          <w:tcPr/>
          <w:p>
            <w:pPr>
              <w:pStyle w:val="Compact"/>
              <w:jc w:val="left"/>
            </w:pPr>
            <w:r>
              <w:t xml:space="preserve">Pas de CYP3A4 spiramycine ; CYP2C9 métronidazole</w:t>
            </w:r>
          </w:p>
        </w:tc>
        <w:tc>
          <w:tcPr/>
          <w:p>
            <w:pPr>
              <w:pStyle w:val="Compact"/>
              <w:jc w:val="left"/>
            </w:pPr>
            <w:r>
              <w:t xml:space="preserve">2 cp × 2–3/j (dosage simple) ou 1 cp × 2–3/j (BI)</w:t>
            </w:r>
          </w:p>
        </w:tc>
        <w:tc>
          <w:tcPr/>
          <w:p>
            <w:pPr>
              <w:pStyle w:val="Compact"/>
              <w:jc w:val="left"/>
            </w:pPr>
            <w:r>
              <w:t xml:space="preserve">Allaitement, 1er trimestre grossesse, alcool</w:t>
            </w:r>
          </w:p>
        </w:tc>
        <w:tc>
          <w:tcPr/>
          <w:p>
            <w:pPr>
              <w:pStyle w:val="Compact"/>
              <w:jc w:val="left"/>
            </w:pPr>
            <w:r>
              <w:t xml:space="preserve">CI 1er trimestre</w:t>
            </w:r>
          </w:p>
        </w:tc>
        <w:tc>
          <w:tcPr/>
          <w:p>
            <w:pPr>
              <w:pStyle w:val="Compact"/>
              <w:jc w:val="left"/>
            </w:pPr>
            <w:r>
              <w:t xml:space="preserve">Alcool (antabuse), warfarine</w:t>
            </w:r>
          </w:p>
        </w:tc>
      </w:tr>
      <w:tr>
        <w:tc>
          <w:tcPr/>
          <w:p>
            <w:pPr>
              <w:pStyle w:val="Compact"/>
              <w:jc w:val="left"/>
            </w:pPr>
            <w:r>
              <w:rPr>
                <w:b/>
                <w:bCs/>
              </w:rPr>
              <w:t xml:space="preserve">Acide rétinoïque + Érythromycine (topique)</w:t>
            </w:r>
          </w:p>
        </w:tc>
        <w:tc>
          <w:tcPr/>
          <w:p>
            <w:pPr>
              <w:pStyle w:val="Compact"/>
              <w:jc w:val="left"/>
            </w:pPr>
            <w:r>
              <w:t xml:space="preserve">Macrolide + rétinoïde topique</w:t>
            </w:r>
          </w:p>
        </w:tc>
        <w:tc>
          <w:tcPr/>
          <w:p>
            <w:pPr>
              <w:pStyle w:val="Compact"/>
              <w:jc w:val="left"/>
            </w:pPr>
            <w:r>
              <w:t xml:space="preserve">Acné (C. acnes)</w:t>
            </w:r>
          </w:p>
        </w:tc>
        <w:tc>
          <w:tcPr/>
          <w:p>
            <w:pPr>
              <w:pStyle w:val="Compact"/>
              <w:jc w:val="left"/>
            </w:pPr>
            <w:r>
              <w:t xml:space="preserve">Locale</w:t>
            </w:r>
          </w:p>
        </w:tc>
        <w:tc>
          <w:tcPr/>
          <w:p>
            <w:pPr>
              <w:pStyle w:val="Compact"/>
              <w:jc w:val="left"/>
            </w:pPr>
            <w:r>
              <w:t xml:space="preserve">N/A</w:t>
            </w:r>
          </w:p>
        </w:tc>
        <w:tc>
          <w:tcPr/>
          <w:p>
            <w:pPr>
              <w:pStyle w:val="Compact"/>
              <w:jc w:val="left"/>
            </w:pPr>
            <w:r>
              <w:t xml:space="preserve">1 application soir</w:t>
            </w:r>
          </w:p>
        </w:tc>
        <w:tc>
          <w:tcPr/>
          <w:p>
            <w:pPr>
              <w:pStyle w:val="Compact"/>
              <w:jc w:val="left"/>
            </w:pPr>
            <w:r>
              <w:t xml:space="preserve">Grossesse, allaitement, eczéma</w:t>
            </w:r>
          </w:p>
        </w:tc>
        <w:tc>
          <w:tcPr/>
          <w:p>
            <w:pPr>
              <w:pStyle w:val="Compact"/>
              <w:jc w:val="left"/>
            </w:pPr>
            <w:r>
              <w:t xml:space="preserve">CI</w:t>
            </w:r>
          </w:p>
        </w:tc>
        <w:tc>
          <w:tcPr/>
          <w:p>
            <w:pPr>
              <w:pStyle w:val="Compact"/>
              <w:jc w:val="left"/>
            </w:pPr>
            <w:r>
              <w:t xml:space="preserve">Autres topiques irritants</w:t>
            </w:r>
          </w:p>
        </w:tc>
      </w:tr>
      <w:tr>
        <w:tc>
          <w:tcPr/>
          <w:p>
            <w:pPr>
              <w:pStyle w:val="Compact"/>
              <w:jc w:val="left"/>
            </w:pPr>
            <w:r>
              <w:rPr>
                <w:b/>
                <w:bCs/>
              </w:rPr>
              <w:t xml:space="preserve">Télithromycine</w:t>
            </w:r>
          </w:p>
        </w:tc>
        <w:tc>
          <w:tcPr/>
          <w:p>
            <w:pPr>
              <w:pStyle w:val="Compact"/>
              <w:jc w:val="left"/>
            </w:pPr>
            <w:r>
              <w:t xml:space="preserve">Kétolide</w:t>
            </w:r>
          </w:p>
        </w:tc>
        <w:tc>
          <w:tcPr/>
          <w:p>
            <w:pPr>
              <w:pStyle w:val="Compact"/>
              <w:jc w:val="left"/>
            </w:pPr>
            <w:r>
              <w:t xml:space="preserve">GPS résistants (pneumocoque MLSb)</w:t>
            </w:r>
          </w:p>
        </w:tc>
        <w:tc>
          <w:tcPr/>
          <w:p>
            <w:pPr>
              <w:pStyle w:val="Compact"/>
              <w:jc w:val="left"/>
            </w:pPr>
            <w:r>
              <w:t xml:space="preserve">10 h</w:t>
            </w:r>
          </w:p>
        </w:tc>
        <w:tc>
          <w:tcPr/>
          <w:p>
            <w:pPr>
              <w:pStyle w:val="Compact"/>
              <w:jc w:val="left"/>
            </w:pPr>
            <w:r>
              <w:t xml:space="preserve">CYP3A4 (inhibiteur puissant)</w:t>
            </w:r>
          </w:p>
        </w:tc>
        <w:tc>
          <w:tcPr/>
          <w:p>
            <w:pPr>
              <w:pStyle w:val="Compact"/>
              <w:jc w:val="left"/>
            </w:pPr>
            <w:r>
              <w:t xml:space="preserve">800 mg/j × 1 prise</w:t>
            </w:r>
          </w:p>
        </w:tc>
        <w:tc>
          <w:tcPr/>
          <w:p>
            <w:pPr>
              <w:pStyle w:val="Compact"/>
              <w:jc w:val="left"/>
            </w:pPr>
            <w:r>
              <w:t xml:space="preserve">Myasthénie, hépatotoxicité, allongement QT, grossesse</w:t>
            </w:r>
          </w:p>
        </w:tc>
        <w:tc>
          <w:tcPr/>
          <w:p>
            <w:pPr>
              <w:pStyle w:val="Compact"/>
              <w:jc w:val="left"/>
            </w:pPr>
            <w:r>
              <w:t xml:space="preserve">CI</w:t>
            </w:r>
          </w:p>
        </w:tc>
        <w:tc>
          <w:tcPr/>
          <w:p>
            <w:pPr>
              <w:pStyle w:val="Compact"/>
              <w:jc w:val="left"/>
            </w:pPr>
            <w:r>
              <w:t xml:space="preserve">Simvastatine (CI), ciclosporine, ergotamine</w:t>
            </w:r>
          </w:p>
        </w:tc>
      </w:tr>
      <w:tr>
        <w:tc>
          <w:tcPr/>
          <w:p>
            <w:pPr>
              <w:pStyle w:val="Compact"/>
              <w:jc w:val="left"/>
            </w:pPr>
            <w:r>
              <w:rPr>
                <w:b/>
                <w:bCs/>
              </w:rPr>
              <w:t xml:space="preserve">Clindamycine</w:t>
            </w:r>
          </w:p>
        </w:tc>
        <w:tc>
          <w:tcPr/>
          <w:p>
            <w:pPr>
              <w:pStyle w:val="Compact"/>
              <w:jc w:val="left"/>
            </w:pPr>
            <w:r>
              <w:t xml:space="preserve">Lincosamide</w:t>
            </w:r>
          </w:p>
        </w:tc>
        <w:tc>
          <w:tcPr/>
          <w:p>
            <w:pPr>
              <w:pStyle w:val="Compact"/>
              <w:jc w:val="left"/>
            </w:pPr>
            <w:r>
              <w:t xml:space="preserve">GPS, anaérobies, Toxoplasma</w:t>
            </w:r>
          </w:p>
        </w:tc>
        <w:tc>
          <w:tcPr/>
          <w:p>
            <w:pPr>
              <w:pStyle w:val="Compact"/>
              <w:jc w:val="left"/>
            </w:pPr>
            <w:r>
              <w:t xml:space="preserve">2,5 h</w:t>
            </w:r>
          </w:p>
        </w:tc>
        <w:tc>
          <w:tcPr/>
          <w:p>
            <w:pPr>
              <w:pStyle w:val="Compact"/>
              <w:jc w:val="left"/>
            </w:pPr>
            <w:r>
              <w:t xml:space="preserve">CYP3A4 (peu d’inhibition)</w:t>
            </w:r>
          </w:p>
        </w:tc>
        <w:tc>
          <w:tcPr/>
          <w:p>
            <w:pPr>
              <w:pStyle w:val="Compact"/>
              <w:jc w:val="left"/>
            </w:pPr>
            <w:r>
              <w:t xml:space="preserve">150–450 mg × 4/j per os ; 600 mg × 2–4/j IV</w:t>
            </w:r>
          </w:p>
        </w:tc>
        <w:tc>
          <w:tcPr/>
          <w:p>
            <w:pPr>
              <w:pStyle w:val="Compact"/>
              <w:jc w:val="left"/>
            </w:pPr>
            <w:r>
              <w:t xml:space="preserve">Colite C. difficile, myasthénie</w:t>
            </w:r>
          </w:p>
        </w:tc>
        <w:tc>
          <w:tcPr/>
          <w:p>
            <w:pPr>
              <w:pStyle w:val="Compact"/>
              <w:jc w:val="left"/>
            </w:pPr>
            <w:r>
              <w:t xml:space="preserve">Autorisé si nécessaire</w:t>
            </w:r>
          </w:p>
        </w:tc>
        <w:tc>
          <w:tcPr/>
          <w:p>
            <w:pPr>
              <w:pStyle w:val="Compact"/>
              <w:jc w:val="left"/>
            </w:pPr>
            <w:r>
              <w:t xml:space="preserve">Macrolides (antagonisme), curares</w:t>
            </w:r>
          </w:p>
        </w:tc>
      </w:tr>
      <w:tr>
        <w:tc>
          <w:tcPr/>
          <w:p>
            <w:pPr>
              <w:pStyle w:val="Compact"/>
              <w:jc w:val="left"/>
            </w:pPr>
            <w:r>
              <w:rPr>
                <w:b/>
                <w:bCs/>
              </w:rPr>
              <w:t xml:space="preserve">Lincomycine</w:t>
            </w:r>
          </w:p>
        </w:tc>
        <w:tc>
          <w:tcPr/>
          <w:p>
            <w:pPr>
              <w:pStyle w:val="Compact"/>
              <w:jc w:val="left"/>
            </w:pPr>
            <w:r>
              <w:t xml:space="preserve">Lincosamide</w:t>
            </w:r>
          </w:p>
        </w:tc>
        <w:tc>
          <w:tcPr/>
          <w:p>
            <w:pPr>
              <w:pStyle w:val="Compact"/>
              <w:jc w:val="left"/>
            </w:pPr>
            <w:r>
              <w:t xml:space="preserve">GPS, anaérobies</w:t>
            </w:r>
          </w:p>
        </w:tc>
        <w:tc>
          <w:tcPr/>
          <w:p>
            <w:pPr>
              <w:pStyle w:val="Compact"/>
              <w:jc w:val="left"/>
            </w:pPr>
            <w:r>
              <w:t xml:space="preserve">5 h</w:t>
            </w:r>
          </w:p>
        </w:tc>
        <w:tc>
          <w:tcPr/>
          <w:p>
            <w:pPr>
              <w:pStyle w:val="Compact"/>
              <w:jc w:val="left"/>
            </w:pPr>
            <w:r>
              <w:t xml:space="preserve">CYP3A4</w:t>
            </w:r>
          </w:p>
        </w:tc>
        <w:tc>
          <w:tcPr/>
          <w:p>
            <w:pPr>
              <w:pStyle w:val="Compact"/>
              <w:jc w:val="left"/>
            </w:pPr>
            <w:r>
              <w:t xml:space="preserve">600 mg × 2–3/j IM/IV</w:t>
            </w:r>
          </w:p>
        </w:tc>
        <w:tc>
          <w:tcPr/>
          <w:p>
            <w:pPr>
              <w:pStyle w:val="Compact"/>
              <w:jc w:val="left"/>
            </w:pPr>
            <w:r>
              <w:t xml:space="preserve">Colite C. difficile, myasthénie, IV rapide</w:t>
            </w:r>
          </w:p>
        </w:tc>
        <w:tc>
          <w:tcPr/>
          <w:p>
            <w:pPr>
              <w:pStyle w:val="Compact"/>
              <w:jc w:val="left"/>
            </w:pPr>
            <w:r>
              <w:t xml:space="preserve">À éviter</w:t>
            </w:r>
          </w:p>
        </w:tc>
        <w:tc>
          <w:tcPr/>
          <w:p>
            <w:pPr>
              <w:pStyle w:val="Compact"/>
              <w:jc w:val="left"/>
            </w:pPr>
            <w:r>
              <w:t xml:space="preserve">Macrolides (antagonisme), curares</w:t>
            </w:r>
          </w:p>
        </w:tc>
      </w:tr>
      <w:tr>
        <w:tc>
          <w:tcPr/>
          <w:p>
            <w:pPr>
              <w:pStyle w:val="Compact"/>
              <w:jc w:val="left"/>
            </w:pPr>
            <w:r>
              <w:rPr>
                <w:b/>
                <w:bCs/>
              </w:rPr>
              <w:t xml:space="preserve">Pristinamycine</w:t>
            </w:r>
          </w:p>
        </w:tc>
        <w:tc>
          <w:tcPr/>
          <w:p>
            <w:pPr>
              <w:pStyle w:val="Compact"/>
              <w:jc w:val="left"/>
            </w:pPr>
            <w:r>
              <w:t xml:space="preserve">Streptogramine</w:t>
            </w:r>
          </w:p>
        </w:tc>
        <w:tc>
          <w:tcPr/>
          <w:p>
            <w:pPr>
              <w:pStyle w:val="Compact"/>
              <w:jc w:val="left"/>
            </w:pPr>
            <w:r>
              <w:t xml:space="preserve">SARM, PSDP, entérocoques résistants</w:t>
            </w:r>
          </w:p>
        </w:tc>
        <w:tc>
          <w:tcPr/>
          <w:p>
            <w:pPr>
              <w:pStyle w:val="Compact"/>
              <w:jc w:val="left"/>
            </w:pPr>
            <w:r>
              <w:t xml:space="preserve">4–5 h</w:t>
            </w:r>
          </w:p>
        </w:tc>
        <w:tc>
          <w:tcPr/>
          <w:p>
            <w:pPr>
              <w:pStyle w:val="Compact"/>
              <w:jc w:val="left"/>
            </w:pPr>
            <w:r>
              <w:t xml:space="preserve">CYP3A4 (inhibiteur modéré)</w:t>
            </w:r>
          </w:p>
        </w:tc>
        <w:tc>
          <w:tcPr/>
          <w:p>
            <w:pPr>
              <w:pStyle w:val="Compact"/>
              <w:jc w:val="left"/>
            </w:pPr>
            <w:r>
              <w:t xml:space="preserve">1 g × 2–3/j per os</w:t>
            </w:r>
          </w:p>
        </w:tc>
        <w:tc>
          <w:tcPr/>
          <w:p>
            <w:pPr>
              <w:pStyle w:val="Compact"/>
              <w:jc w:val="left"/>
            </w:pPr>
            <w:r>
              <w:t xml:space="preserve">Myasthénie, insuffisance hépatique sévère</w:t>
            </w:r>
          </w:p>
        </w:tc>
        <w:tc>
          <w:tcPr/>
          <w:p>
            <w:pPr>
              <w:pStyle w:val="Compact"/>
              <w:jc w:val="left"/>
            </w:pPr>
            <w:r>
              <w:t xml:space="preserve">À éviter par prudence</w:t>
            </w:r>
          </w:p>
        </w:tc>
        <w:tc>
          <w:tcPr/>
          <w:p>
            <w:pPr>
              <w:pStyle w:val="Compact"/>
              <w:jc w:val="left"/>
            </w:pPr>
            <w:r>
              <w:t xml:space="preserve">Statines, ciclosporine, ergotamine</w:t>
            </w:r>
          </w:p>
        </w:tc>
      </w:tr>
      <w:tr>
        <w:tc>
          <w:tcPr/>
          <w:p>
            <w:pPr>
              <w:pStyle w:val="Compact"/>
              <w:jc w:val="left"/>
            </w:pPr>
            <w:r>
              <w:rPr>
                <w:b/>
                <w:bCs/>
              </w:rPr>
              <w:t xml:space="preserve">Linézolide</w:t>
            </w:r>
          </w:p>
        </w:tc>
        <w:tc>
          <w:tcPr/>
          <w:p>
            <w:pPr>
              <w:pStyle w:val="Compact"/>
              <w:jc w:val="left"/>
            </w:pPr>
            <w:r>
              <w:t xml:space="preserve">Oxazolidinone</w:t>
            </w:r>
          </w:p>
        </w:tc>
        <w:tc>
          <w:tcPr/>
          <w:p>
            <w:pPr>
              <w:pStyle w:val="Compact"/>
              <w:jc w:val="left"/>
            </w:pPr>
            <w:r>
              <w:t xml:space="preserve">SARM, ERV, PSDP</w:t>
            </w:r>
          </w:p>
        </w:tc>
        <w:tc>
          <w:tcPr/>
          <w:p>
            <w:pPr>
              <w:pStyle w:val="Compact"/>
              <w:jc w:val="left"/>
            </w:pPr>
            <w:r>
              <w:t xml:space="preserve">5 h</w:t>
            </w:r>
          </w:p>
        </w:tc>
        <w:tc>
          <w:tcPr/>
          <w:p>
            <w:pPr>
              <w:pStyle w:val="Compact"/>
              <w:jc w:val="left"/>
            </w:pPr>
            <w:r>
              <w:t xml:space="preserve">Non CYP (métabolisation oxydative)</w:t>
            </w:r>
          </w:p>
        </w:tc>
        <w:tc>
          <w:tcPr/>
          <w:p>
            <w:pPr>
              <w:pStyle w:val="Compact"/>
              <w:jc w:val="left"/>
            </w:pPr>
            <w:r>
              <w:t xml:space="preserve">600 mg × 2/j per os ou IV</w:t>
            </w:r>
          </w:p>
        </w:tc>
        <w:tc>
          <w:tcPr/>
          <w:p>
            <w:pPr>
              <w:pStyle w:val="Compact"/>
              <w:jc w:val="left"/>
            </w:pPr>
            <w:r>
              <w:t xml:space="preserve">IMAO, IRS, hypertension non contrôlée</w:t>
            </w:r>
          </w:p>
        </w:tc>
        <w:tc>
          <w:tcPr/>
          <w:p>
            <w:pPr>
              <w:pStyle w:val="Compact"/>
              <w:jc w:val="left"/>
            </w:pPr>
            <w:r>
              <w:t xml:space="preserve">À éviter par prudence</w:t>
            </w:r>
          </w:p>
        </w:tc>
        <w:tc>
          <w:tcPr/>
          <w:p>
            <w:pPr>
              <w:pStyle w:val="Compact"/>
              <w:jc w:val="left"/>
            </w:pPr>
            <w:r>
              <w:t xml:space="preserve">IRS/IMAO (syndrome sérotoninergique), tyramine, sympathomimétiques</w:t>
            </w:r>
          </w:p>
        </w:tc>
      </w:tr>
    </w:tbl>
    <w:bookmarkEnd w:id="120"/>
    <w:bookmarkStart w:id="121" w:name="synthèse-pédagogique-et-messages-clés"/>
    <w:p>
      <w:pPr>
        <w:pStyle w:val="Heading2"/>
      </w:pPr>
      <w:r>
        <w:t xml:space="preserve">4.7 Synthèse pédagogique et messages clés</w:t>
      </w:r>
    </w:p>
    <w:p>
      <w:pPr>
        <w:numPr>
          <w:ilvl w:val="0"/>
          <w:numId w:val="1317"/>
        </w:numPr>
      </w:pPr>
      <w:r>
        <w:rPr>
          <w:b/>
          <w:bCs/>
        </w:rPr>
        <w:t xml:space="preserve">Macrolide de référence chez la femme enceinte</w:t>
      </w:r>
      <w:r>
        <w:t xml:space="preserve"> </w:t>
      </w:r>
      <w:r>
        <w:t xml:space="preserve">: spiramycine (toxoplasmose, infections ORL) ou érythromycine (angine). La clarithromycine est déconseillée au 1er trimestre. La télithromycine est CI.</w:t>
      </w:r>
    </w:p>
    <w:p>
      <w:pPr>
        <w:numPr>
          <w:ilvl w:val="0"/>
          <w:numId w:val="1317"/>
        </w:numPr>
      </w:pPr>
      <w:r>
        <w:rPr>
          <w:b/>
          <w:bCs/>
        </w:rPr>
        <w:t xml:space="preserve">Macrolide de référence chez l’adulte polymédiqué</w:t>
      </w:r>
      <w:r>
        <w:t xml:space="preserve"> </w:t>
      </w:r>
      <w:r>
        <w:t xml:space="preserve">: azithromycine ou spiramycine — absence d’inhibition significative du CYP3A4. Éviter érythromycine et clarithromycine chez les patients sous statine (simvastatine CI), anticoagulants oraux, théophylline, ciclosporine.</w:t>
      </w:r>
    </w:p>
    <w:p>
      <w:pPr>
        <w:numPr>
          <w:ilvl w:val="0"/>
          <w:numId w:val="1317"/>
        </w:numPr>
      </w:pPr>
      <w:r>
        <w:rPr>
          <w:b/>
          <w:bCs/>
        </w:rPr>
        <w:t xml:space="preserve">Macrolide de référence en pneumologie</w:t>
      </w:r>
      <w:r>
        <w:t xml:space="preserve"> </w:t>
      </w:r>
      <w:r>
        <w:t xml:space="preserve">: clarithromycine (pneumopathie atypique, H. pylori) ou azithromycine (schéma court 3 jours). Prudence en cas de résistance du pneumocoque (préférer amoxicilline ou pristinamycine).</w:t>
      </w:r>
    </w:p>
    <w:p>
      <w:pPr>
        <w:numPr>
          <w:ilvl w:val="0"/>
          <w:numId w:val="1317"/>
        </w:numPr>
      </w:pPr>
      <w:r>
        <w:rPr>
          <w:b/>
          <w:bCs/>
        </w:rPr>
        <w:t xml:space="preserve">Bactéricide de réserve sur SARM et ERV</w:t>
      </w:r>
      <w:r>
        <w:t xml:space="preserve"> </w:t>
      </w:r>
      <w:r>
        <w:t xml:space="preserve">: pristinamycine orale (alternative à la vancomycine IV) ou linézolide (surtout ERV). Le linézolide est l’unique molécule active par voie orale sur les entérocoques résistants à la vancomycine.</w:t>
      </w:r>
    </w:p>
    <w:p>
      <w:pPr>
        <w:numPr>
          <w:ilvl w:val="0"/>
          <w:numId w:val="1317"/>
        </w:numPr>
      </w:pPr>
      <w:r>
        <w:rPr>
          <w:b/>
          <w:bCs/>
        </w:rPr>
        <w:t xml:space="preserve">Effet antabuse</w:t>
      </w:r>
      <w:r>
        <w:t xml:space="preserve"> </w:t>
      </w:r>
      <w:r>
        <w:t xml:space="preserve">: à rappeler systématiquement pour la spiramycine + métronidazole (interdiction de l’alcool pendant et 48 h après traitement).</w:t>
      </w:r>
    </w:p>
    <w:p>
      <w:pPr>
        <w:numPr>
          <w:ilvl w:val="0"/>
          <w:numId w:val="1317"/>
        </w:numPr>
      </w:pPr>
      <w:r>
        <w:rPr>
          <w:b/>
          <w:bCs/>
        </w:rPr>
        <w:t xml:space="preserve">Colite à C. difficile</w:t>
      </w:r>
      <w:r>
        <w:t xml:space="preserve"> </w:t>
      </w:r>
      <w:r>
        <w:t xml:space="preserve">: risque majoré avec la clindamycine, mais concerne toute cette classe. Information patient obligatoire : diarrhée sanglante = arrêt + consultation.</w:t>
      </w:r>
    </w:p>
    <w:p>
      <w:pPr>
        <w:numPr>
          <w:ilvl w:val="0"/>
          <w:numId w:val="1317"/>
        </w:numPr>
      </w:pPr>
      <w:r>
        <w:rPr>
          <w:b/>
          <w:bCs/>
        </w:rPr>
        <w:t xml:space="preserve">Allongement QT</w:t>
      </w:r>
      <w:r>
        <w:t xml:space="preserve"> </w:t>
      </w:r>
      <w:r>
        <w:t xml:space="preserve">: effet classe pour tous les macrolides (surtout érythromycine, clarithromycine, télithromycine). Vérifier le traitement associé et l’ECG si terrain à risque.</w:t>
      </w:r>
    </w:p>
    <w:p>
      <w:pPr>
        <w:numPr>
          <w:ilvl w:val="0"/>
          <w:numId w:val="1317"/>
        </w:numPr>
      </w:pPr>
      <w:r>
        <w:rPr>
          <w:b/>
          <w:bCs/>
        </w:rPr>
        <w:t xml:space="preserve">Linézolide et antidépresseurs</w:t>
      </w:r>
      <w:r>
        <w:t xml:space="preserve"> </w:t>
      </w:r>
      <w:r>
        <w:t xml:space="preserve">: syndrome sérotoninergique potentiellement mortel. Toujours demander les traitements associés, notamment psychotropes.</w:t>
      </w:r>
    </w:p>
    <w:p>
      <w:pPr>
        <w:numPr>
          <w:ilvl w:val="0"/>
          <w:numId w:val="1317"/>
        </w:numPr>
      </w:pPr>
      <w:r>
        <w:rPr>
          <w:b/>
          <w:bCs/>
        </w:rPr>
        <w:t xml:space="preserve">Antagonisme macrolide + lincosamide</w:t>
      </w:r>
      <w:r>
        <w:t xml:space="preserve"> </w:t>
      </w:r>
      <w:r>
        <w:t xml:space="preserve">: jamais d’association (même cible ribosomale, antagonisme pharmacodynamique). Le phénotype MLSb entraîne une résistance croisée.</w:t>
      </w:r>
    </w:p>
    <w:p>
      <w:pPr>
        <w:numPr>
          <w:ilvl w:val="0"/>
          <w:numId w:val="1317"/>
        </w:numPr>
      </w:pPr>
      <w:r>
        <w:rPr>
          <w:b/>
          <w:bCs/>
        </w:rPr>
        <w:t xml:space="preserve">Disponibilité algérienne</w:t>
      </w:r>
      <w:r>
        <w:t xml:space="preserve"> </w:t>
      </w:r>
      <w:r>
        <w:t xml:space="preserve">: à noter que plusieurs molécules historiques ne sont plus disponibles (télithromycine, josamycine, lincomycine, certaines formes d’érythromycine et de clarithromycine). Le pharmacien doit connaître les alternatives à proposer.</w:t>
      </w:r>
    </w:p>
    <w:p>
      <w:r>
        <w:pict>
          <v:rect style="width:0;height:1.5pt" o:hralign="center" o:hrstd="t" o:hr="t"/>
        </w:pict>
      </w:r>
    </w:p>
    <w:p>
      <w:pPr>
        <w:pStyle w:val="FirstParagraph"/>
      </w:pPr>
      <w:r>
        <w:rPr>
          <w:i/>
          <w:iCs/>
        </w:rPr>
        <w:t xml:space="preserve">Fin de la Section 4 — Macrolides, Kétolides, Lincosamides, Streptogramines et Oxazolidinones.</w:t>
      </w:r>
    </w:p>
    <w:p>
      <w:r>
        <w:pict>
          <v:rect style="width:0;height:1.5pt" o:hralign="center" o:hrstd="t" o:hr="t"/>
        </w:pict>
      </w:r>
    </w:p>
    <w:bookmarkEnd w:id="121"/>
    <w:bookmarkEnd w:id="122"/>
    <w:bookmarkStart w:id="152" w:name="Xe1c1aed87b7108057e725d549a2d1e0a290ea8e"/>
    <w:p>
      <w:pPr>
        <w:pStyle w:val="Heading1"/>
      </w:pPr>
      <w:r>
        <w:t xml:space="preserve">Chapitre 5 — Aminoglycosides, Tétracyclines et Glycylcyclines</w:t>
      </w:r>
    </w:p>
    <w:bookmarkStart w:id="123" w:name="introduction-générale"/>
    <w:p>
      <w:pPr>
        <w:pStyle w:val="Heading2"/>
      </w:pPr>
      <w:r>
        <w:t xml:space="preserve">5.1 Introduction générale</w:t>
      </w:r>
    </w:p>
    <w:p>
      <w:pPr>
        <w:pStyle w:val="FirstParagraph"/>
      </w:pPr>
      <w:r>
        <w:t xml:space="preserve">Les antibiotiques de la grande famille des inhibiteurs de la synthèse protéique ribosomale constituent un pilier de l’antibiothérapie moderne. Ce chapitre regroupe trois sous-classes partageant une cible moléculaire commune — la sous-unité</w:t>
      </w:r>
      <w:r>
        <w:t xml:space="preserve"> </w:t>
      </w:r>
      <w:r>
        <w:rPr>
          <w:b/>
          <w:bCs/>
        </w:rPr>
        <w:t xml:space="preserve">30S</w:t>
      </w:r>
      <w:r>
        <w:t xml:space="preserve"> </w:t>
      </w:r>
      <w:r>
        <w:t xml:space="preserve">du ribosome bactérien — mais différemment structurées, avec des spectres, des pharmacocinétiques et des profils de toxicité profondément distincts.</w:t>
      </w:r>
    </w:p>
    <w:p>
      <w:pPr>
        <w:pStyle w:val="BodyText"/>
      </w:pPr>
      <w:r>
        <w:t xml:space="preserve">Les</w:t>
      </w:r>
      <w:r>
        <w:t xml:space="preserve"> </w:t>
      </w:r>
      <w:r>
        <w:rPr>
          <w:b/>
          <w:bCs/>
        </w:rPr>
        <w:t xml:space="preserve">aminoglycosides</w:t>
      </w:r>
      <w:r>
        <w:t xml:space="preserve"> </w:t>
      </w:r>
      <w:r>
        <w:t xml:space="preserve">(gentamicine, amikacine, tobramycine, nétilmicine, streptomycine, spectinomycine, kanamycine, néomycine, framycétine) sont des molécules d’origine naturelle (Streptomyces, Micromonospora) composées d’un noyau aminocyclitol lié à des sucres aminés. Bactéricides concentration-dépendants, ils exercent une activité majeure sur les bacilles à Gram négatif aérobies et certaines mycobactéries, au prix d’une néphrotoxicité et d’une ototoxicité qui en font des médicaments à maniement hospitalier. Leur liaison à la sous-unité 30S induit une erreur de traduction (mésappariement codon-anticodon) aboutissant à la incorporation d’aminoacides erronés et à la synthèse de protéines non fonctionnelles ; la fuite membranaire qui s’ensuit explique la bactéricidie rapide.</w:t>
      </w:r>
    </w:p>
    <w:p>
      <w:pPr>
        <w:pStyle w:val="BodyText"/>
      </w:pPr>
      <w:r>
        <w:t xml:space="preserve">Les</w:t>
      </w:r>
      <w:r>
        <w:t xml:space="preserve"> </w:t>
      </w:r>
      <w:r>
        <w:rPr>
          <w:b/>
          <w:bCs/>
        </w:rPr>
        <w:t xml:space="preserve">tétracyclines</w:t>
      </w:r>
      <w:r>
        <w:t xml:space="preserve"> </w:t>
      </w:r>
      <w:r>
        <w:t xml:space="preserve">(tétracycline, oxytétracycline, chlorotétracycline, doxycycline, minocycline, lymécycline) sont dérivées du noyau naphtacène-carboxamide des Streptomyces. Bactériostatiques, elles inhibent la liaison de l’ARNt aminoacétylé au site A du ribosome 30S. Les dérivés semi-synthétiques (doxycycline, minocycline) présentent une meilleure biodisponibilité et une demi-vie prolongée, justifiant leur position de référence actuelle. Leur utilisation est limitée par les colorations dentaires et les troubles osseux chez l’enfant et la femme enceinte.</w:t>
      </w:r>
    </w:p>
    <w:p>
      <w:pPr>
        <w:pStyle w:val="BodyText"/>
      </w:pPr>
      <w:r>
        <w:t xml:space="preserve">Les</w:t>
      </w:r>
      <w:r>
        <w:t xml:space="preserve"> </w:t>
      </w:r>
      <w:r>
        <w:rPr>
          <w:b/>
          <w:bCs/>
        </w:rPr>
        <w:t xml:space="preserve">glycylcyclines</w:t>
      </w:r>
      <w:r>
        <w:t xml:space="preserve"> </w:t>
      </w:r>
      <w:r>
        <w:t xml:space="preserve">(tigécycline), dérivés de la minocycline substitués en position 9 par un radical glycylamido, échappent aux principaux mécanismes de résistance aux tétracyclines (pompes efflux TetA-K et protection ribosomale TetM/O) et conservent une activité large incluant les bactéries multirésistantes (SARM, EBLSE, Acinetobacter, anaérobies), au prix d’une demi-vie longue et d’une distribution tissulaire profonde.</w:t>
      </w:r>
    </w:p>
    <w:p>
      <w:pPr>
        <w:pStyle w:val="BodyText"/>
      </w:pPr>
      <w:r>
        <w:t xml:space="preserve">Ce chapitre détaille 18 DCIs commercialisées ou ayant été commercialisées en Algérie, avec leurs spécialités, leurs statuts administratifs (ACTIF, NON_RENOUVELABLE, RETRAIT), et toutes les caractéristiques pharmacologiques nécessaires à la pratique officinale et hospitalière.</w:t>
      </w:r>
    </w:p>
    <w:p>
      <w:r>
        <w:pict>
          <v:rect style="width:0;height:1.5pt" o:hralign="center" o:hrstd="t" o:hr="t"/>
        </w:pict>
      </w:r>
    </w:p>
    <w:bookmarkEnd w:id="123"/>
    <w:bookmarkStart w:id="134" w:name="sous-classe-aminoglycosides"/>
    <w:p>
      <w:pPr>
        <w:pStyle w:val="Heading2"/>
      </w:pPr>
      <w:r>
        <w:t xml:space="preserve">5.2 Sous-classe : Aminoglycosides</w:t>
      </w:r>
    </w:p>
    <w:bookmarkStart w:id="124" w:name="généralités-de-la-sous-classe"/>
    <w:p>
      <w:pPr>
        <w:pStyle w:val="Heading3"/>
      </w:pPr>
      <w:r>
        <w:t xml:space="preserve">5.2.1 Généralités de la sous-classe</w:t>
      </w:r>
    </w:p>
    <w:p>
      <w:pPr>
        <w:pStyle w:val="FirstParagraph"/>
      </w:pPr>
      <w:r>
        <w:t xml:space="preserve">Les aminoglycosides partagent un certain nombre de propriétés pharmacologiques communes qu’il convient de maîtriser avant d’aborder les fiches individuelles.</w:t>
      </w:r>
    </w:p>
    <w:p>
      <w:pPr>
        <w:pStyle w:val="BodyText"/>
      </w:pPr>
      <w:r>
        <w:rPr>
          <w:b/>
          <w:bCs/>
        </w:rPr>
        <w:t xml:space="preserve">Structure chimique :</w:t>
      </w:r>
      <w:r>
        <w:t xml:space="preserve"> </w:t>
      </w:r>
      <w:r>
        <w:t xml:space="preserve">Tous les aminoglycosides comportent un noyau aminocyclitol (streptidine pour streptomycine, 2-désoxystreptamine pour les autres) lié par liaison glycosidique à des sucres aminés (aminohexoses). On distingue :</w:t>
      </w:r>
      <w:r>
        <w:t xml:space="preserve"> </w:t>
      </w:r>
      <w:r>
        <w:t xml:space="preserve">- Les dérivés de la</w:t>
      </w:r>
      <w:r>
        <w:t xml:space="preserve"> </w:t>
      </w:r>
      <w:r>
        <w:rPr>
          <w:b/>
          <w:bCs/>
        </w:rPr>
        <w:t xml:space="preserve">streptidine</w:t>
      </w:r>
      <w:r>
        <w:t xml:space="preserve"> </w:t>
      </w:r>
      <w:r>
        <w:t xml:space="preserve">: streptomycine.</w:t>
      </w:r>
      <w:r>
        <w:t xml:space="preserve"> </w:t>
      </w:r>
      <w:r>
        <w:t xml:space="preserve">- Les dérivés de la</w:t>
      </w:r>
      <w:r>
        <w:t xml:space="preserve"> </w:t>
      </w:r>
      <w:r>
        <w:rPr>
          <w:b/>
          <w:bCs/>
        </w:rPr>
        <w:t xml:space="preserve">2-désoxystreptamine</w:t>
      </w:r>
      <w:r>
        <w:t xml:space="preserve"> </w:t>
      </w:r>
      <w:r>
        <w:t xml:space="preserve">(4,5-disubstitués) : néomycine, framycétine, paromomycine, ribostamycine.</w:t>
      </w:r>
      <w:r>
        <w:t xml:space="preserve"> </w:t>
      </w:r>
      <w:r>
        <w:t xml:space="preserve">- Les dérivés de la</w:t>
      </w:r>
      <w:r>
        <w:t xml:space="preserve"> </w:t>
      </w:r>
      <w:r>
        <w:rPr>
          <w:b/>
          <w:bCs/>
        </w:rPr>
        <w:t xml:space="preserve">2-désoxystreptamine</w:t>
      </w:r>
      <w:r>
        <w:t xml:space="preserve"> </w:t>
      </w:r>
      <w:r>
        <w:t xml:space="preserve">(4,6-disubstitués) : gentamicine, tobramycine, nétilmicine, amikacine, kanamycine, isépamycine.</w:t>
      </w:r>
      <w:r>
        <w:t xml:space="preserve"> </w:t>
      </w:r>
      <w:r>
        <w:t xml:space="preserve">- Le</w:t>
      </w:r>
      <w:r>
        <w:t xml:space="preserve"> </w:t>
      </w:r>
      <w:r>
        <w:rPr>
          <w:b/>
          <w:bCs/>
        </w:rPr>
        <w:t xml:space="preserve">cyclitol monocyclique</w:t>
      </w:r>
      <w:r>
        <w:t xml:space="preserve"> </w:t>
      </w:r>
      <w:r>
        <w:t xml:space="preserve">particulier : spectinomycine (activité bactériostatique, sans erreur de traduction).</w:t>
      </w:r>
    </w:p>
    <w:p>
      <w:pPr>
        <w:pStyle w:val="BodyText"/>
      </w:pPr>
      <w:r>
        <w:rPr>
          <w:b/>
          <w:bCs/>
        </w:rPr>
        <w:t xml:space="preserve">Pharmacocinétique commune :</w:t>
      </w:r>
      <w:r>
        <w:t xml:space="preserve"> </w:t>
      </w:r>
      <w:r>
        <w:t xml:space="preserve">- Absorption digestive quasi nulle (≤ 1 %) → voie parentérale (IM, IV) pour les infections systémiques ; voies locales (collyre, otique, nasale, dermique, intrathécale) pour les indications topiques.</w:t>
      </w:r>
      <w:r>
        <w:t xml:space="preserve"> </w:t>
      </w:r>
      <w:r>
        <w:t xml:space="preserve">- Distribution limitée au compartiment extracellulaire (volume de distribution ≈ 0,25 L/kg) ; faible pénétration intracellulaire, méningée, biliaire et prostatique.</w:t>
      </w:r>
      <w:r>
        <w:t xml:space="preserve"> </w:t>
      </w:r>
      <w:r>
        <w:t xml:space="preserve">- Liaison aux protéines faible (&lt; 30 %).</w:t>
      </w:r>
      <w:r>
        <w:t xml:space="preserve"> </w:t>
      </w:r>
      <w:r>
        <w:t xml:space="preserve">- Métabolisme hépatique nul ; élimination à 90–95 % sous forme inchangée par filtration glomérulaire, ce qui crée une concentration urinaire élevée (intérêt dans les infections urinaires) mais aussi la néphrotoxicité.</w:t>
      </w:r>
      <w:r>
        <w:t xml:space="preserve"> </w:t>
      </w:r>
      <w:r>
        <w:t xml:space="preserve">- Demi-vie d’élimination de 2 à 3 heures chez l’adulte à fonction rénale normale, prolongée à 30–60 heures chez l’insuffisant rénal sévère (nécessité d’espacement des doses).</w:t>
      </w:r>
    </w:p>
    <w:p>
      <w:pPr>
        <w:pStyle w:val="BodyText"/>
      </w:pPr>
      <w:r>
        <w:rPr>
          <w:b/>
          <w:bCs/>
        </w:rPr>
        <w:t xml:space="preserve">Mécanisme d’action :</w:t>
      </w:r>
      <w:r>
        <w:t xml:space="preserve"> </w:t>
      </w:r>
      <w:r>
        <w:t xml:space="preserve">Bactéricide concentration-dépendant. Trois effets combinés : (1) liaison irréversible à la protéine S12 de la sous-unité 30S, (2) décodage erroné de l’ARNm avec incorporation d’aminoacides erronés, (3) altération de la perméabilité membranaire et fuite ionique. La bactéricidie est rapide, importante et prolongée au-delà de la disparition de l’antibiotique du site (effet post-antibiotique EPA de 4 à 8 heures).</w:t>
      </w:r>
    </w:p>
    <w:p>
      <w:pPr>
        <w:pStyle w:val="BodyText"/>
      </w:pPr>
      <w:r>
        <w:rPr>
          <w:b/>
          <w:bCs/>
        </w:rPr>
        <w:t xml:space="preserve">Effets indésirables de classe :</w:t>
      </w:r>
      <w:r>
        <w:t xml:space="preserve"> </w:t>
      </w:r>
      <w:r>
        <w:t xml:space="preserve">1.</w:t>
      </w:r>
      <w:r>
        <w:t xml:space="preserve"> </w:t>
      </w:r>
      <w:r>
        <w:rPr>
          <w:b/>
          <w:bCs/>
        </w:rPr>
        <w:t xml:space="preserve">Néphrotoxicité</w:t>
      </w:r>
      <w:r>
        <w:t xml:space="preserve"> </w:t>
      </w:r>
      <w:r>
        <w:t xml:space="preserve">(5–25 % des traitements) : nécrose tubulaire proximale réversible à l’arrêt, accrue chez le sujet âgé, l’insuffisant rénal préexistant, en cas de déshydratation, d’hypovolémie, d’hypokaliémie, d’hypomagnésémie, d’association aux diurétiques de l’anse, AINS, ciclosporine, tacrolimus, vancomycine, amphotéricine B, produits de contraste iodés.</w:t>
      </w:r>
      <w:r>
        <w:t xml:space="preserve"> </w:t>
      </w:r>
      <w:r>
        <w:t xml:space="preserve">2.</w:t>
      </w:r>
      <w:r>
        <w:t xml:space="preserve"> </w:t>
      </w:r>
      <w:r>
        <w:rPr>
          <w:b/>
          <w:bCs/>
        </w:rPr>
        <w:t xml:space="preserve">Ototoxicité</w:t>
      </w:r>
      <w:r>
        <w:t xml:space="preserve"> </w:t>
      </w:r>
      <w:r>
        <w:t xml:space="preserve">(2–5 %) : atteinte cochléaire (gentamicine, néomycine, kanamycine, amikacine) ou vestibulaire (streptomycine, tobramycine, nétilmicine) souvent irréversible, dose-cumulative-dépendante, majorée en cas d’association aux diurétiques de l’anse, de mutation mitochondriale A1555G.</w:t>
      </w:r>
      <w:r>
        <w:t xml:space="preserve"> </w:t>
      </w:r>
      <w:r>
        <w:t xml:space="preserve">3.</w:t>
      </w:r>
      <w:r>
        <w:t xml:space="preserve"> </w:t>
      </w:r>
      <w:r>
        <w:rPr>
          <w:b/>
          <w:bCs/>
        </w:rPr>
        <w:t xml:space="preserve">Bloc neuromusculaire</w:t>
      </w:r>
      <w:r>
        <w:t xml:space="preserve"> </w:t>
      </w:r>
      <w:r>
        <w:t xml:space="preserve">: potentialisation de la myasthénie, du bloc curare, de la hypomagnésémie ; contre-indication absolue en cas de myasthénie.</w:t>
      </w:r>
      <w:r>
        <w:t xml:space="preserve"> </w:t>
      </w:r>
      <w:r>
        <w:t xml:space="preserve">4.</w:t>
      </w:r>
      <w:r>
        <w:t xml:space="preserve"> </w:t>
      </w:r>
      <w:r>
        <w:rPr>
          <w:b/>
          <w:bCs/>
        </w:rPr>
        <w:t xml:space="preserve">Allergie de contact</w:t>
      </w:r>
      <w:r>
        <w:t xml:space="preserve"> </w:t>
      </w:r>
      <w:r>
        <w:t xml:space="preserve">: néomycine (sensibilisation cutanée fréquente).</w:t>
      </w:r>
    </w:p>
    <w:p>
      <w:pPr>
        <w:pStyle w:val="BodyText"/>
      </w:pPr>
      <w:r>
        <w:rPr>
          <w:b/>
          <w:bCs/>
        </w:rPr>
        <w:t xml:space="preserve">Surveillance obligatoire :</w:t>
      </w:r>
      <w:r>
        <w:t xml:space="preserve"> </w:t>
      </w:r>
      <w:r>
        <w:t xml:space="preserve">- Créatininémie et clairance estimée (Cockcroft ou MDRD) avant l’instauration, tous les 2–3 jours en cours de traitement.</w:t>
      </w:r>
      <w:r>
        <w:t xml:space="preserve"> </w:t>
      </w:r>
      <w:r>
        <w:t xml:space="preserve">- Dosage des concentrations résiduelles (Cmin &lt; 1 mg/L pour gentamicine/tobramycine, &lt; 5 mg/L pour amikacine) et de pics (Cmax 1 h après IM ou fin de perfusion IV, cible 5–10 mg/L pour gentamicine, 20–35 mg/L pour amikacine) en dose unique journalière.</w:t>
      </w:r>
      <w:r>
        <w:t xml:space="preserve"> </w:t>
      </w:r>
      <w:r>
        <w:t xml:space="preserve">- Audiogramme et examen vestibulaire au moindre signe d’appel.</w:t>
      </w:r>
    </w:p>
    <w:p>
      <w:pPr>
        <w:pStyle w:val="BodyText"/>
      </w:pPr>
      <w:r>
        <w:rPr>
          <w:b/>
          <w:bCs/>
        </w:rPr>
        <w:t xml:space="preserve">Schéma d’administration moderne : dose unique journalière (DUJ).</w:t>
      </w:r>
      <w:r>
        <w:t xml:space="preserve"> </w:t>
      </w:r>
      <w:r>
        <w:t xml:space="preserve">L’administration en une perfusion IV de 30 minutes ou IM unique par jour de la totalité de la dose journalière maximise le rapport Cmax/CMI (index d’efficacité concentration-dépendant), exploite l’EPA et réduit la néphrotoxicité (moins de pics tubulaires prolongés). Non applicable en endocardite (schéma biquotidien recommandé), chez la femme enceinte, le nouveau-né et l’insuffisant rénal sévère.</w:t>
      </w:r>
    </w:p>
    <w:p>
      <w:r>
        <w:pict>
          <v:rect style="width:0;height:1.5pt" o:hralign="center" o:hrstd="t" o:hr="t"/>
        </w:pict>
      </w:r>
    </w:p>
    <w:bookmarkEnd w:id="124"/>
    <w:bookmarkStart w:id="125" w:name="dci-gentamicine-seule"/>
    <w:p>
      <w:pPr>
        <w:pStyle w:val="Heading3"/>
      </w:pPr>
      <w:r>
        <w:t xml:space="preserve">5.2.2 DCI : Gentamicine (Seule)</w:t>
      </w:r>
    </w:p>
    <w:p>
      <w:pPr>
        <w:pStyle w:val="FirstParagraph"/>
      </w:pPr>
      <w:r>
        <w:rPr>
          <w:b/>
          <w:bCs/>
        </w:rPr>
        <w:t xml:space="preserve">Liste des Catégories :</w:t>
      </w:r>
      <w:r>
        <w:t xml:space="preserve"> </w:t>
      </w:r>
      <w:r>
        <w:t xml:space="preserve">Liste I.</w:t>
      </w:r>
    </w:p>
    <w:p>
      <w:pPr>
        <w:pStyle w:val="BodyText"/>
      </w:pPr>
      <w:r>
        <w:t xml:space="preserve">La gentamicine, découverte en 1963 chez</w:t>
      </w:r>
      <w:r>
        <w:t xml:space="preserve"> </w:t>
      </w:r>
      <w:r>
        <w:rPr>
          <w:i/>
          <w:iCs/>
        </w:rPr>
        <w:t xml:space="preserve">Micromonospora purpurea</w:t>
      </w:r>
      <w:r>
        <w:t xml:space="preserve">, est l’aminoglycoside de référence, le moins onéreux et le plus prescrit dans le monde. Sa structure est un mélange de trois composants (C1, C1a, C2). Elle conserve une place centrale dans le traitement empirique des sepsis sévères, des endocardites à entérocoques (en association avec la pénicilline G ou l’amoxicilline), des infections urinaires hautes et de la prophylaxie chirurgicale de la chirurgie digestive élective (en association avec le métronidazole). C’est aussi l’aminoglycoside le plus ototoxique cochléaire de sa classe, ce qui impose une vigilance accrue.</w:t>
      </w:r>
    </w:p>
    <w:p>
      <w:pPr>
        <w:pStyle w:val="BodyText"/>
      </w:pPr>
      <w:r>
        <w:rPr>
          <w:b/>
          <w:bCs/>
        </w:rPr>
        <w:t xml:space="preserve">Médicaments disponibles en Algérie (Marques, Laboratoires, Formes et Dosages) :</w:t>
      </w:r>
    </w:p>
    <w:p>
      <w:pPr>
        <w:pStyle w:val="BodyText"/>
      </w:pPr>
      <w:r>
        <w:t xml:space="preserve">Formes injectables IM/IV actives :</w:t>
      </w:r>
      <w:r>
        <w:t xml:space="preserve"> </w:t>
      </w:r>
      <w:r>
        <w:t xml:space="preserve">-</w:t>
      </w:r>
      <w:r>
        <w:t xml:space="preserve"> </w:t>
      </w:r>
      <w:r>
        <w:rPr>
          <w:b/>
          <w:bCs/>
        </w:rPr>
        <w:t xml:space="preserve">GENTA 10</w:t>
      </w:r>
      <w:r>
        <w:t xml:space="preserve"> </w:t>
      </w:r>
      <w:r>
        <w:t xml:space="preserve">(INPHA-MEDIS) — Solution injectable IM/IV 10 mg/mL — B/05 amp 1 mL — Actif.</w:t>
      </w:r>
      <w:r>
        <w:t xml:space="preserve"> </w:t>
      </w:r>
      <w:r>
        <w:t xml:space="preserve">-</w:t>
      </w:r>
      <w:r>
        <w:t xml:space="preserve"> </w:t>
      </w:r>
      <w:r>
        <w:rPr>
          <w:b/>
          <w:bCs/>
        </w:rPr>
        <w:t xml:space="preserve">S-GENTA</w:t>
      </w:r>
      <w:r>
        <w:t xml:space="preserve"> </w:t>
      </w:r>
      <w:r>
        <w:t xml:space="preserve">(SWISS PARENTERALS PVT.LTD.) — Solution injectable IM/IV 10 mg/mL — B/10 amp 1 mL — Actif.</w:t>
      </w:r>
      <w:r>
        <w:t xml:space="preserve"> </w:t>
      </w:r>
      <w:r>
        <w:t xml:space="preserve">-</w:t>
      </w:r>
      <w:r>
        <w:t xml:space="preserve"> </w:t>
      </w:r>
      <w:r>
        <w:rPr>
          <w:b/>
          <w:bCs/>
        </w:rPr>
        <w:t xml:space="preserve">GENTA 40</w:t>
      </w:r>
      <w:r>
        <w:t xml:space="preserve"> </w:t>
      </w:r>
      <w:r>
        <w:t xml:space="preserve">(INPHA-MEDIS) — Solution injectable IM/IV 20 mg/mL (40 mg/2 mL) — B/05 amp 2 mL — Actif.</w:t>
      </w:r>
      <w:r>
        <w:t xml:space="preserve"> </w:t>
      </w:r>
      <w:r>
        <w:t xml:space="preserve">-</w:t>
      </w:r>
      <w:r>
        <w:t xml:space="preserve"> </w:t>
      </w:r>
      <w:r>
        <w:rPr>
          <w:b/>
          <w:bCs/>
        </w:rPr>
        <w:t xml:space="preserve">GENTAXYN</w:t>
      </w:r>
      <w:r>
        <w:t xml:space="preserve"> </w:t>
      </w:r>
      <w:r>
        <w:t xml:space="preserve">(LES LABORATOIRES FRATER RAZES) — Solution injectable IM/IV 20 mg/mL (40 mg/2 mL) — B/05 amp 2 mL et B/50 amp 2 mL — Actif.</w:t>
      </w:r>
      <w:r>
        <w:t xml:space="preserve"> </w:t>
      </w:r>
      <w:r>
        <w:t xml:space="preserve">-</w:t>
      </w:r>
      <w:r>
        <w:t xml:space="preserve"> </w:t>
      </w:r>
      <w:r>
        <w:rPr>
          <w:b/>
          <w:bCs/>
        </w:rPr>
        <w:t xml:space="preserve">GENTHERAXINE</w:t>
      </w:r>
      <w:r>
        <w:t xml:space="preserve"> </w:t>
      </w:r>
      <w:r>
        <w:t xml:space="preserve">(BIOTHERA) — Solution injectable IM/IV 20 mg/mL (40 mg/2 mL) — B/05 amp 2 mL et B/50 amp 2 mL — Actif.</w:t>
      </w:r>
      <w:r>
        <w:t xml:space="preserve"> </w:t>
      </w:r>
      <w:r>
        <w:t xml:space="preserve">-</w:t>
      </w:r>
      <w:r>
        <w:t xml:space="preserve"> </w:t>
      </w:r>
      <w:r>
        <w:rPr>
          <w:b/>
          <w:bCs/>
        </w:rPr>
        <w:t xml:space="preserve">S-GENTA</w:t>
      </w:r>
      <w:r>
        <w:t xml:space="preserve"> </w:t>
      </w:r>
      <w:r>
        <w:t xml:space="preserve">(SWISS PARENTERALS PVT.LTD.) — Solution injectable IM/IV 20 mg/mL (40 mg/2 mL) — B/10 amp — Actif.</w:t>
      </w:r>
      <w:r>
        <w:t xml:space="preserve"> </w:t>
      </w:r>
      <w:r>
        <w:t xml:space="preserve">-</w:t>
      </w:r>
      <w:r>
        <w:t xml:space="preserve"> </w:t>
      </w:r>
      <w:r>
        <w:rPr>
          <w:b/>
          <w:bCs/>
        </w:rPr>
        <w:t xml:space="preserve">EPIGENT</w:t>
      </w:r>
      <w:r>
        <w:t xml:space="preserve"> </w:t>
      </w:r>
      <w:r>
        <w:t xml:space="preserve">(EIPICO) — Solution injectable IM/IV 40 mg/mL (80 mg/2 mL) — B/01 amp — Actif.</w:t>
      </w:r>
      <w:r>
        <w:t xml:space="preserve"> </w:t>
      </w:r>
      <w:r>
        <w:t xml:space="preserve">-</w:t>
      </w:r>
      <w:r>
        <w:t xml:space="preserve"> </w:t>
      </w:r>
      <w:r>
        <w:rPr>
          <w:b/>
          <w:bCs/>
        </w:rPr>
        <w:t xml:space="preserve">GENTA 80</w:t>
      </w:r>
      <w:r>
        <w:t xml:space="preserve"> </w:t>
      </w:r>
      <w:r>
        <w:t xml:space="preserve">(INPHA-MEDIS) — Solution injectable IM/IV 40 mg/mL (80 mg/2 mL) — B/05 amp 2 mL — Actif.</w:t>
      </w:r>
      <w:r>
        <w:t xml:space="preserve"> </w:t>
      </w:r>
      <w:r>
        <w:t xml:space="preserve">-</w:t>
      </w:r>
      <w:r>
        <w:t xml:space="preserve"> </w:t>
      </w:r>
      <w:r>
        <w:rPr>
          <w:b/>
          <w:bCs/>
        </w:rPr>
        <w:t xml:space="preserve">GENTACINE</w:t>
      </w:r>
      <w:r>
        <w:t xml:space="preserve"> </w:t>
      </w:r>
      <w:r>
        <w:t xml:space="preserve">(HUPP PHARMA) — Solution injectable IM/IV 40 mg/mL (80 mg/2 mL) — B/01 amp 2 mL et B/50 amp 2 mL — Actif.</w:t>
      </w:r>
      <w:r>
        <w:t xml:space="preserve"> </w:t>
      </w:r>
      <w:r>
        <w:t xml:space="preserve">-</w:t>
      </w:r>
      <w:r>
        <w:t xml:space="preserve"> </w:t>
      </w:r>
      <w:r>
        <w:rPr>
          <w:b/>
          <w:bCs/>
        </w:rPr>
        <w:t xml:space="preserve">GENTAMYCINE GEO</w:t>
      </w:r>
      <w:r>
        <w:t xml:space="preserve"> </w:t>
      </w:r>
      <w:r>
        <w:t xml:space="preserve">(GEOPHARM) — Solution injectable IM/IV 40 mg/mL (80 mg/2 mL) — B/03 amp 2 mL et B/50 amp 2 mL — Actif.</w:t>
      </w:r>
      <w:r>
        <w:t xml:space="preserve"> </w:t>
      </w:r>
      <w:r>
        <w:t xml:space="preserve">-</w:t>
      </w:r>
      <w:r>
        <w:t xml:space="preserve"> </w:t>
      </w:r>
      <w:r>
        <w:rPr>
          <w:b/>
          <w:bCs/>
        </w:rPr>
        <w:t xml:space="preserve">GENTAXYN</w:t>
      </w:r>
      <w:r>
        <w:t xml:space="preserve"> </w:t>
      </w:r>
      <w:r>
        <w:t xml:space="preserve">(LES LABORATOIRES FRATER RAZES) — Solution injectable IM/IV 40 mg/mL (80 mg/2 mL) — B/03 amp 2 mL et B/50 amp 2 mL — Actif.</w:t>
      </w:r>
      <w:r>
        <w:t xml:space="preserve"> </w:t>
      </w:r>
      <w:r>
        <w:t xml:space="preserve">-</w:t>
      </w:r>
      <w:r>
        <w:t xml:space="preserve"> </w:t>
      </w:r>
      <w:r>
        <w:rPr>
          <w:b/>
          <w:bCs/>
        </w:rPr>
        <w:t xml:space="preserve">GENTHERAXINE</w:t>
      </w:r>
      <w:r>
        <w:t xml:space="preserve"> </w:t>
      </w:r>
      <w:r>
        <w:t xml:space="preserve">(BIOTHERA) — Solution injectable IM/IV 40 mg/mL (80 mg/2 mL) — B/03 amp 2 mL et B/50 amp 2 mL — Actif.</w:t>
      </w:r>
      <w:r>
        <w:t xml:space="preserve"> </w:t>
      </w:r>
      <w:r>
        <w:t xml:space="preserve">-</w:t>
      </w:r>
      <w:r>
        <w:t xml:space="preserve"> </w:t>
      </w:r>
      <w:r>
        <w:rPr>
          <w:b/>
          <w:bCs/>
        </w:rPr>
        <w:t xml:space="preserve">GENTA 160</w:t>
      </w:r>
      <w:r>
        <w:t xml:space="preserve"> </w:t>
      </w:r>
      <w:r>
        <w:t xml:space="preserve">(INPHA-MEDIS) — Solution injectable IM/IV 160 mg/2 mL — B/01 amp 2 mL — Actif.</w:t>
      </w:r>
    </w:p>
    <w:p>
      <w:pPr>
        <w:pStyle w:val="BodyText"/>
      </w:pPr>
      <w:r>
        <w:t xml:space="preserve">Formes pour perfusion IV actives (association à la ciprofloxacine — à vérifier, libellé « CIFLOXACINE », « CIPROFLOXACINE RAZES », « CIPROFLOXAL », « INDPRO » correspondant en réalité à des spécialités contenant de la ciprofloxacine et apparaissant dans le registre de la gentamicine, possiblement par erreur de saisie de la nomenclature) :</w:t>
      </w:r>
      <w:r>
        <w:t xml:space="preserve"> </w:t>
      </w:r>
      <w:r>
        <w:t xml:space="preserve">-</w:t>
      </w:r>
      <w:r>
        <w:t xml:space="preserve"> </w:t>
      </w:r>
      <w:r>
        <w:rPr>
          <w:b/>
          <w:bCs/>
        </w:rPr>
        <w:t xml:space="preserve">CIFLOXACINE</w:t>
      </w:r>
      <w:r>
        <w:t xml:space="preserve"> </w:t>
      </w:r>
      <w:r>
        <w:t xml:space="preserve">(HUPP PHARMA) — Solution injectable pour perfusion IV 2 mg/mL — B/1 flacon 100 mL — Actif.</w:t>
      </w:r>
      <w:r>
        <w:t xml:space="preserve"> </w:t>
      </w:r>
      <w:r>
        <w:t xml:space="preserve">-</w:t>
      </w:r>
      <w:r>
        <w:t xml:space="preserve"> </w:t>
      </w:r>
      <w:r>
        <w:rPr>
          <w:b/>
          <w:bCs/>
        </w:rPr>
        <w:t xml:space="preserve">CIPROFLOXACINE RAZES</w:t>
      </w:r>
      <w:r>
        <w:t xml:space="preserve"> </w:t>
      </w:r>
      <w:r>
        <w:t xml:space="preserve">(LES LABORATOIRES FRATER RAZES) — Solution injectable pour perfusion IV 2 mg/mL — B/01 flacon 100 mL et 200 mL — Actif.</w:t>
      </w:r>
      <w:r>
        <w:t xml:space="preserve"> </w:t>
      </w:r>
      <w:r>
        <w:t xml:space="preserve">-</w:t>
      </w:r>
      <w:r>
        <w:t xml:space="preserve"> </w:t>
      </w:r>
      <w:r>
        <w:rPr>
          <w:b/>
          <w:bCs/>
        </w:rPr>
        <w:t xml:space="preserve">CIPROFLOXAL</w:t>
      </w:r>
      <w:r>
        <w:t xml:space="preserve"> </w:t>
      </w:r>
      <w:r>
        <w:t xml:space="preserve">(SOPHAL) — Solution injectable pour perfusion IV 2 mg/mL — B/1 flacon 100 mL — Actif.</w:t>
      </w:r>
      <w:r>
        <w:t xml:space="preserve"> </w:t>
      </w:r>
      <w:r>
        <w:t xml:space="preserve">-</w:t>
      </w:r>
      <w:r>
        <w:t xml:space="preserve"> </w:t>
      </w:r>
      <w:r>
        <w:rPr>
          <w:b/>
          <w:bCs/>
        </w:rPr>
        <w:t xml:space="preserve">INDPRO</w:t>
      </w:r>
      <w:r>
        <w:t xml:space="preserve"> </w:t>
      </w:r>
      <w:r>
        <w:t xml:space="preserve">(CPCM) — Solution injectable pour perfusion IV 2 mg/mL — B/1 flacon 100 mL — Actif.</w:t>
      </w:r>
    </w:p>
    <w:p>
      <w:pPr>
        <w:pStyle w:val="BodyText"/>
      </w:pPr>
      <w:r>
        <w:t xml:space="preserve">Formes ophtalmologiques actives :</w:t>
      </w:r>
      <w:r>
        <w:t xml:space="preserve"> </w:t>
      </w:r>
      <w:r>
        <w:t xml:space="preserve">-</w:t>
      </w:r>
      <w:r>
        <w:t xml:space="preserve"> </w:t>
      </w:r>
      <w:r>
        <w:rPr>
          <w:b/>
          <w:bCs/>
        </w:rPr>
        <w:t xml:space="preserve">APIGEN</w:t>
      </w:r>
      <w:r>
        <w:t xml:space="preserve"> </w:t>
      </w:r>
      <w:r>
        <w:t xml:space="preserve">(AMMAN PHARMACEUTICAL INDUSTRIE) — Collyre 3 mg/mL — Fl/10 mL — Actif.</w:t>
      </w:r>
      <w:r>
        <w:t xml:space="preserve"> </w:t>
      </w:r>
      <w:r>
        <w:t xml:space="preserve">-</w:t>
      </w:r>
      <w:r>
        <w:t xml:space="preserve"> </w:t>
      </w:r>
      <w:r>
        <w:rPr>
          <w:b/>
          <w:bCs/>
        </w:rPr>
        <w:t xml:space="preserve">GENTADAR</w:t>
      </w:r>
      <w:r>
        <w:t xml:space="preserve"> </w:t>
      </w:r>
      <w:r>
        <w:t xml:space="preserve">(JORAS PHARMACEUTICAL S.P.A.) — Collyre 3 mg/mL — Fl/10 mL — Actif.</w:t>
      </w:r>
      <w:r>
        <w:t xml:space="preserve"> </w:t>
      </w:r>
      <w:r>
        <w:t xml:space="preserve">-</w:t>
      </w:r>
      <w:r>
        <w:t xml:space="preserve"> </w:t>
      </w:r>
      <w:r>
        <w:rPr>
          <w:b/>
          <w:bCs/>
        </w:rPr>
        <w:t xml:space="preserve">GENTALEX</w:t>
      </w:r>
      <w:r>
        <w:t xml:space="preserve"> </w:t>
      </w:r>
      <w:r>
        <w:t xml:space="preserve">(LEK) — Collyre 3 mg/mL — Fl/5 mL — Actif.</w:t>
      </w:r>
      <w:r>
        <w:t xml:space="preserve"> </w:t>
      </w:r>
      <w:r>
        <w:t xml:space="preserve">-</w:t>
      </w:r>
      <w:r>
        <w:t xml:space="preserve"> </w:t>
      </w:r>
      <w:r>
        <w:rPr>
          <w:b/>
          <w:bCs/>
        </w:rPr>
        <w:t xml:space="preserve">GENTAMYCINE</w:t>
      </w:r>
      <w:r>
        <w:t xml:space="preserve"> </w:t>
      </w:r>
      <w:r>
        <w:t xml:space="preserve">(MEDICUBA) — Collyre 3 mg/mL — Fl/5 mL — Actif.</w:t>
      </w:r>
      <w:r>
        <w:t xml:space="preserve"> </w:t>
      </w:r>
      <w:r>
        <w:t xml:space="preserve">-</w:t>
      </w:r>
      <w:r>
        <w:t xml:space="preserve"> </w:t>
      </w:r>
      <w:r>
        <w:rPr>
          <w:b/>
          <w:bCs/>
        </w:rPr>
        <w:t xml:space="preserve">GENTHERAXINE</w:t>
      </w:r>
      <w:r>
        <w:t xml:space="preserve"> </w:t>
      </w:r>
      <w:r>
        <w:t xml:space="preserve">(BIOTHERA) — Collyre 3 mg/mL — Fl/5 mL — Actif.</w:t>
      </w:r>
      <w:r>
        <w:t xml:space="preserve"> </w:t>
      </w:r>
      <w:r>
        <w:t xml:space="preserve">-</w:t>
      </w:r>
      <w:r>
        <w:t xml:space="preserve"> </w:t>
      </w:r>
      <w:r>
        <w:rPr>
          <w:b/>
          <w:bCs/>
        </w:rPr>
        <w:t xml:space="preserve">GENTOCIL</w:t>
      </w:r>
      <w:r>
        <w:t xml:space="preserve"> </w:t>
      </w:r>
      <w:r>
        <w:t xml:space="preserve">(GPA) — Collyre 3 mg/mL (0,3 %) — Fl/5 mL — Actif.</w:t>
      </w:r>
      <w:r>
        <w:t xml:space="preserve"> </w:t>
      </w:r>
      <w:r>
        <w:t xml:space="preserve">-</w:t>
      </w:r>
      <w:r>
        <w:t xml:space="preserve"> </w:t>
      </w:r>
      <w:r>
        <w:rPr>
          <w:b/>
          <w:bCs/>
        </w:rPr>
        <w:t xml:space="preserve">GENTAMICINE CHAUVIN 0,3 %</w:t>
      </w:r>
      <w:r>
        <w:t xml:space="preserve"> </w:t>
      </w:r>
      <w:r>
        <w:t xml:space="preserve">(CHAUVIN S.A.) — Pommade ophtalmique 3 mg/g — T/5 g — Actif.</w:t>
      </w:r>
    </w:p>
    <w:p>
      <w:pPr>
        <w:pStyle w:val="BodyText"/>
      </w:pPr>
      <w:r>
        <w:t xml:space="preserve">Formes non renouvelables :</w:t>
      </w:r>
      <w:r>
        <w:t xml:space="preserve"> </w:t>
      </w:r>
      <w:r>
        <w:t xml:space="preserve">-</w:t>
      </w:r>
      <w:r>
        <w:t xml:space="preserve"> </w:t>
      </w:r>
      <w:r>
        <w:rPr>
          <w:b/>
          <w:bCs/>
        </w:rPr>
        <w:t xml:space="preserve">EPIGENT 40</w:t>
      </w:r>
      <w:r>
        <w:t xml:space="preserve"> </w:t>
      </w:r>
      <w:r>
        <w:t xml:space="preserve">(EIPICO) — Sol inj 40 mg — B/5 — Non Renouvelable.</w:t>
      </w:r>
      <w:r>
        <w:t xml:space="preserve"> </w:t>
      </w:r>
      <w:r>
        <w:t xml:space="preserve">-</w:t>
      </w:r>
      <w:r>
        <w:t xml:space="preserve"> </w:t>
      </w:r>
      <w:r>
        <w:rPr>
          <w:b/>
          <w:bCs/>
        </w:rPr>
        <w:t xml:space="preserve">GENTALLINE</w:t>
      </w:r>
      <w:r>
        <w:t xml:space="preserve"> </w:t>
      </w:r>
      <w:r>
        <w:t xml:space="preserve">(SCHERING-PLOUGH) — Sol inj 40 mg/mL — B/1 — Non Renouvelable.</w:t>
      </w:r>
      <w:r>
        <w:t xml:space="preserve"> </w:t>
      </w:r>
      <w:r>
        <w:t xml:space="preserve">-</w:t>
      </w:r>
      <w:r>
        <w:t xml:space="preserve"> </w:t>
      </w:r>
      <w:r>
        <w:rPr>
          <w:b/>
          <w:bCs/>
        </w:rPr>
        <w:t xml:space="preserve">GENTOMIL</w:t>
      </w:r>
      <w:r>
        <w:t xml:space="preserve"> </w:t>
      </w:r>
      <w:r>
        <w:t xml:space="preserve">(BIOLOGICI ITALIA) — Sol inj IM-IV 40 mg/mL — B/5 amp 2 mL — Non Renouvelable.</w:t>
      </w:r>
      <w:r>
        <w:t xml:space="preserve"> </w:t>
      </w:r>
      <w:r>
        <w:t xml:space="preserve">-</w:t>
      </w:r>
      <w:r>
        <w:t xml:space="preserve"> </w:t>
      </w:r>
      <w:r>
        <w:rPr>
          <w:b/>
          <w:bCs/>
        </w:rPr>
        <w:t xml:space="preserve">GENTATIC</w:t>
      </w:r>
      <w:r>
        <w:t xml:space="preserve"> </w:t>
      </w:r>
      <w:r>
        <w:t xml:space="preserve">(EL KENDI) — Sol inj IM/IV 20 mg/mL — B/10 fl 2 mL et B/20 fl 2 mL — Non Renouvelable.</w:t>
      </w:r>
      <w:r>
        <w:t xml:space="preserve"> </w:t>
      </w:r>
      <w:r>
        <w:t xml:space="preserve">-</w:t>
      </w:r>
      <w:r>
        <w:t xml:space="preserve"> </w:t>
      </w:r>
      <w:r>
        <w:rPr>
          <w:b/>
          <w:bCs/>
        </w:rPr>
        <w:t xml:space="preserve">GENTALEK</w:t>
      </w:r>
      <w:r>
        <w:t xml:space="preserve"> </w:t>
      </w:r>
      <w:r>
        <w:t xml:space="preserve">(LEK) — Sol inj 80 mg/2 mL — B/1 amp — Non Renouvelable.</w:t>
      </w:r>
      <w:r>
        <w:t xml:space="preserve"> </w:t>
      </w:r>
      <w:r>
        <w:t xml:space="preserve">-</w:t>
      </w:r>
      <w:r>
        <w:t xml:space="preserve"> </w:t>
      </w:r>
      <w:r>
        <w:rPr>
          <w:b/>
          <w:bCs/>
        </w:rPr>
        <w:t xml:space="preserve">GENTALLINE</w:t>
      </w:r>
      <w:r>
        <w:t xml:space="preserve"> </w:t>
      </w:r>
      <w:r>
        <w:t xml:space="preserve">(SCHERING-PLOUGH) — Sol inj 80 mg/2 mL — B/1 — Non Renouvelable.</w:t>
      </w:r>
      <w:r>
        <w:t xml:space="preserve"> </w:t>
      </w:r>
      <w:r>
        <w:t xml:space="preserve">-</w:t>
      </w:r>
      <w:r>
        <w:t xml:space="preserve"> </w:t>
      </w:r>
      <w:r>
        <w:rPr>
          <w:b/>
          <w:bCs/>
        </w:rPr>
        <w:t xml:space="preserve">GENTAMICINE BIOCHEMIE</w:t>
      </w:r>
      <w:r>
        <w:t xml:space="preserve"> </w:t>
      </w:r>
      <w:r>
        <w:t xml:space="preserve">(BIOCHEMIE GmbH) — Sol inj 80 mg/2 mL — B/5 — Non Renouvelable.</w:t>
      </w:r>
      <w:r>
        <w:t xml:space="preserve"> </w:t>
      </w:r>
      <w:r>
        <w:t xml:space="preserve">-</w:t>
      </w:r>
      <w:r>
        <w:t xml:space="preserve"> </w:t>
      </w:r>
      <w:r>
        <w:rPr>
          <w:b/>
          <w:bCs/>
        </w:rPr>
        <w:t xml:space="preserve">GENTOMIL</w:t>
      </w:r>
      <w:r>
        <w:t xml:space="preserve"> </w:t>
      </w:r>
      <w:r>
        <w:t xml:space="preserve">(BIOLOGICI ITALIA) — Sol inj 80 mg/2 mL — B/5 amp 2 mL — Non Renouvelable.</w:t>
      </w:r>
      <w:r>
        <w:t xml:space="preserve"> </w:t>
      </w:r>
      <w:r>
        <w:t xml:space="preserve">-</w:t>
      </w:r>
      <w:r>
        <w:t xml:space="preserve"> </w:t>
      </w:r>
      <w:r>
        <w:rPr>
          <w:b/>
          <w:bCs/>
        </w:rPr>
        <w:t xml:space="preserve">ULTRAGENT</w:t>
      </w:r>
      <w:r>
        <w:t xml:space="preserve"> </w:t>
      </w:r>
      <w:r>
        <w:t xml:space="preserve">(ARAB PHARMACEUTICAL MANUFACTURING) — Sol inj 80 mg/2 mL — B/1 — Non Renouvelable.</w:t>
      </w:r>
      <w:r>
        <w:t xml:space="preserve"> </w:t>
      </w:r>
      <w:r>
        <w:t xml:space="preserve">-</w:t>
      </w:r>
      <w:r>
        <w:t xml:space="preserve"> </w:t>
      </w:r>
      <w:r>
        <w:rPr>
          <w:b/>
          <w:bCs/>
        </w:rPr>
        <w:t xml:space="preserve">GENTAMICINE</w:t>
      </w:r>
      <w:r>
        <w:t xml:space="preserve"> </w:t>
      </w:r>
      <w:r>
        <w:t xml:space="preserve">(HEMOFARM) — Sol inj 80 mg/2 mL — B/5 — Non Renouvelable.</w:t>
      </w:r>
      <w:r>
        <w:t xml:space="preserve"> </w:t>
      </w:r>
      <w:r>
        <w:t xml:space="preserve">-</w:t>
      </w:r>
      <w:r>
        <w:t xml:space="preserve"> </w:t>
      </w:r>
      <w:r>
        <w:rPr>
          <w:b/>
          <w:bCs/>
        </w:rPr>
        <w:t xml:space="preserve">GENTAMINE</w:t>
      </w:r>
      <w:r>
        <w:t xml:space="preserve"> </w:t>
      </w:r>
      <w:r>
        <w:t xml:space="preserve">(UNILAB) — Sol inj IM/IV 40 mg/mL (80 mg/2 mL) — B/01 — Non Renouvelable.</w:t>
      </w:r>
      <w:r>
        <w:t xml:space="preserve"> </w:t>
      </w:r>
      <w:r>
        <w:t xml:space="preserve">-</w:t>
      </w:r>
      <w:r>
        <w:t xml:space="preserve"> </w:t>
      </w:r>
      <w:r>
        <w:rPr>
          <w:b/>
          <w:bCs/>
        </w:rPr>
        <w:t xml:space="preserve">GENTICOL</w:t>
      </w:r>
      <w:r>
        <w:t xml:space="preserve"> </w:t>
      </w:r>
      <w:r>
        <w:t xml:space="preserve">(SIFI) — Collyre 3 mg/mL — Fl/10 mL — Non Renouvelable.</w:t>
      </w:r>
      <w:r>
        <w:t xml:space="preserve"> </w:t>
      </w:r>
      <w:r>
        <w:t xml:space="preserve">-</w:t>
      </w:r>
      <w:r>
        <w:t xml:space="preserve"> </w:t>
      </w:r>
      <w:r>
        <w:rPr>
          <w:b/>
          <w:bCs/>
        </w:rPr>
        <w:t xml:space="preserve">UNIGENTA</w:t>
      </w:r>
      <w:r>
        <w:t xml:space="preserve"> </w:t>
      </w:r>
      <w:r>
        <w:t xml:space="preserve">(UNIMED) — Collyre 3 mg/mL — Fl/5 mL — Non Renouvelable.</w:t>
      </w:r>
    </w:p>
    <w:p>
      <w:pPr>
        <w:pStyle w:val="BodyText"/>
      </w:pPr>
      <w:r>
        <w:t xml:space="preserve">Formes retirées (R) :</w:t>
      </w:r>
      <w:r>
        <w:t xml:space="preserve"> </w:t>
      </w:r>
      <w:r>
        <w:t xml:space="preserve">-</w:t>
      </w:r>
      <w:r>
        <w:t xml:space="preserve"> </w:t>
      </w:r>
      <w:r>
        <w:rPr>
          <w:b/>
          <w:bCs/>
        </w:rPr>
        <w:t xml:space="preserve">GENTALLINE</w:t>
      </w:r>
      <w:r>
        <w:t xml:space="preserve"> </w:t>
      </w:r>
      <w:r>
        <w:t xml:space="preserve">(SCHERING-PLOUGH) — Sol inj 10 mg/mL — B/1 — Retiré (R).</w:t>
      </w:r>
      <w:r>
        <w:t xml:space="preserve"> </w:t>
      </w:r>
      <w:r>
        <w:t xml:space="preserve">-</w:t>
      </w:r>
      <w:r>
        <w:t xml:space="preserve"> </w:t>
      </w:r>
      <w:r>
        <w:rPr>
          <w:b/>
          <w:bCs/>
        </w:rPr>
        <w:t xml:space="preserve">FERMENTMYCIN</w:t>
      </w:r>
      <w:r>
        <w:t xml:space="preserve"> </w:t>
      </w:r>
      <w:r>
        <w:t xml:space="preserve">(PHARMACARE LIMITED) — Sol inj 40 mg/mL — B/10 — Retiré (R).</w:t>
      </w:r>
      <w:r>
        <w:t xml:space="preserve"> </w:t>
      </w:r>
      <w:r>
        <w:t xml:space="preserve">-</w:t>
      </w:r>
      <w:r>
        <w:t xml:space="preserve"> </w:t>
      </w:r>
      <w:r>
        <w:rPr>
          <w:b/>
          <w:bCs/>
        </w:rPr>
        <w:t xml:space="preserve">GENTAMYCIN SULFATE</w:t>
      </w:r>
      <w:r>
        <w:t xml:space="preserve"> </w:t>
      </w:r>
      <w:r>
        <w:t xml:space="preserve">(CHINA MEHECO) — Sol inj 40 mg/2 mL — B/100 amp — Retiré (R).</w:t>
      </w:r>
      <w:r>
        <w:t xml:space="preserve"> </w:t>
      </w:r>
      <w:r>
        <w:t xml:space="preserve">-</w:t>
      </w:r>
      <w:r>
        <w:t xml:space="preserve"> </w:t>
      </w:r>
      <w:r>
        <w:rPr>
          <w:b/>
          <w:bCs/>
        </w:rPr>
        <w:t xml:space="preserve">GENTA-GOBENS</w:t>
      </w:r>
      <w:r>
        <w:t xml:space="preserve"> </w:t>
      </w:r>
      <w:r>
        <w:t xml:space="preserve">(NORMON S.A.) — Sol inj 40 mg/2 mL — B/1 amp 2 mL — Retiré (R).</w:t>
      </w:r>
      <w:r>
        <w:t xml:space="preserve"> </w:t>
      </w:r>
      <w:r>
        <w:t xml:space="preserve">-</w:t>
      </w:r>
      <w:r>
        <w:t xml:space="preserve"> </w:t>
      </w:r>
      <w:r>
        <w:rPr>
          <w:b/>
          <w:bCs/>
        </w:rPr>
        <w:t xml:space="preserve">GENTALEK</w:t>
      </w:r>
      <w:r>
        <w:t xml:space="preserve"> </w:t>
      </w:r>
      <w:r>
        <w:t xml:space="preserve">(LEK) — Sol inj 40 mg/2 mL — B/1 — Retiré (R).</w:t>
      </w:r>
      <w:r>
        <w:t xml:space="preserve"> </w:t>
      </w:r>
      <w:r>
        <w:t xml:space="preserve">-</w:t>
      </w:r>
      <w:r>
        <w:t xml:space="preserve"> </w:t>
      </w:r>
      <w:r>
        <w:rPr>
          <w:b/>
          <w:bCs/>
        </w:rPr>
        <w:t xml:space="preserve">GENTAMICINE</w:t>
      </w:r>
      <w:r>
        <w:t xml:space="preserve"> </w:t>
      </w:r>
      <w:r>
        <w:t xml:space="preserve">(KRKA) — Sol inj 40 mg/mL — B/10 amp 1 mL et B/1 amp 1 mL — Retiré (R).</w:t>
      </w:r>
      <w:r>
        <w:t xml:space="preserve"> </w:t>
      </w:r>
      <w:r>
        <w:t xml:space="preserve">-</w:t>
      </w:r>
      <w:r>
        <w:t xml:space="preserve"> </w:t>
      </w:r>
      <w:r>
        <w:rPr>
          <w:b/>
          <w:bCs/>
        </w:rPr>
        <w:t xml:space="preserve">GENTA-GOBENS</w:t>
      </w:r>
      <w:r>
        <w:t xml:space="preserve"> </w:t>
      </w:r>
      <w:r>
        <w:t xml:space="preserve">(NORMON S.A.) — Sol inj 80 mg/2 mL — B/1 — Retiré (R).</w:t>
      </w:r>
      <w:r>
        <w:t xml:space="preserve"> </w:t>
      </w:r>
      <w:r>
        <w:t xml:space="preserve">-</w:t>
      </w:r>
      <w:r>
        <w:t xml:space="preserve"> </w:t>
      </w:r>
      <w:r>
        <w:rPr>
          <w:b/>
          <w:bCs/>
        </w:rPr>
        <w:t xml:space="preserve">CORTOLEXAN</w:t>
      </w:r>
      <w:r>
        <w:t xml:space="preserve"> </w:t>
      </w:r>
      <w:r>
        <w:t xml:space="preserve">(ANFARM HELLAS SA) — Sol inj 80 mg/2 mL — B/1 — Retiré (R).</w:t>
      </w:r>
      <w:r>
        <w:t xml:space="preserve"> </w:t>
      </w:r>
      <w:r>
        <w:t xml:space="preserve">-</w:t>
      </w:r>
      <w:r>
        <w:t xml:space="preserve"> </w:t>
      </w:r>
      <w:r>
        <w:rPr>
          <w:b/>
          <w:bCs/>
        </w:rPr>
        <w:t xml:space="preserve">FERMENTMYCIN</w:t>
      </w:r>
      <w:r>
        <w:t xml:space="preserve"> </w:t>
      </w:r>
      <w:r>
        <w:t xml:space="preserve">(PHARMACARE LIMITED) — Sol inj 80 mg/2 mL — B/10 amp 2 mL — Retiré (R).</w:t>
      </w:r>
      <w:r>
        <w:t xml:space="preserve"> </w:t>
      </w:r>
      <w:r>
        <w:t xml:space="preserve">-</w:t>
      </w:r>
      <w:r>
        <w:t xml:space="preserve"> </w:t>
      </w:r>
      <w:r>
        <w:rPr>
          <w:b/>
          <w:bCs/>
        </w:rPr>
        <w:t xml:space="preserve">GENTAMICINE LEURQUIN</w:t>
      </w:r>
      <w:r>
        <w:t xml:space="preserve"> </w:t>
      </w:r>
      <w:r>
        <w:t xml:space="preserve">(LEURQUIN MEDIOLANUM) — Sol inj 80 mg/2 mL — B/1 amp — Retiré (R).</w:t>
      </w:r>
      <w:r>
        <w:t xml:space="preserve"> </w:t>
      </w:r>
      <w:r>
        <w:t xml:space="preserve">-</w:t>
      </w:r>
      <w:r>
        <w:t xml:space="preserve"> </w:t>
      </w:r>
      <w:r>
        <w:rPr>
          <w:b/>
          <w:bCs/>
        </w:rPr>
        <w:t xml:space="preserve">GENTOCIL 80</w:t>
      </w:r>
      <w:r>
        <w:t xml:space="preserve"> </w:t>
      </w:r>
      <w:r>
        <w:t xml:space="preserve">(ALEPPO PHARMACEUTICAL INDUSTRIE — ALPHA) — Sol inj 80 mg/2 mL — B/3 — Retiré (R).</w:t>
      </w:r>
      <w:r>
        <w:t xml:space="preserve"> </w:t>
      </w:r>
      <w:r>
        <w:t xml:space="preserve">-</w:t>
      </w:r>
      <w:r>
        <w:t xml:space="preserve"> </w:t>
      </w:r>
      <w:r>
        <w:rPr>
          <w:b/>
          <w:bCs/>
        </w:rPr>
        <w:t xml:space="preserve">GENTAMED</w:t>
      </w:r>
      <w:r>
        <w:t xml:space="preserve"> </w:t>
      </w:r>
      <w:r>
        <w:t xml:space="preserve">(MEDOCHEMIE LTD) — Sol inj 80 mg/2 mL — B/10 — Retiré (R).</w:t>
      </w:r>
      <w:r>
        <w:t xml:space="preserve"> </w:t>
      </w:r>
      <w:r>
        <w:t xml:space="preserve">-</w:t>
      </w:r>
      <w:r>
        <w:t xml:space="preserve"> </w:t>
      </w:r>
      <w:r>
        <w:rPr>
          <w:b/>
          <w:bCs/>
        </w:rPr>
        <w:t xml:space="preserve">GENTAMICINE</w:t>
      </w:r>
      <w:r>
        <w:t xml:space="preserve"> </w:t>
      </w:r>
      <w:r>
        <w:t xml:space="preserve">(KRKA) — Sol inj 80 mg/2 mL — B/10 amp 2 mL et B/1 amp 2 mL — Retiré (R).</w:t>
      </w:r>
      <w:r>
        <w:t xml:space="preserve"> </w:t>
      </w:r>
      <w:r>
        <w:t xml:space="preserve">-</w:t>
      </w:r>
      <w:r>
        <w:t xml:space="preserve"> </w:t>
      </w:r>
      <w:r>
        <w:rPr>
          <w:b/>
          <w:bCs/>
        </w:rPr>
        <w:t xml:space="preserve">GENTAL</w:t>
      </w:r>
      <w:r>
        <w:t xml:space="preserve"> </w:t>
      </w:r>
      <w:r>
        <w:t xml:space="preserve">(SOPHAL) — Sol inj 40 mg/mL — B/1 fl/2 mL — Retiré (R).</w:t>
      </w:r>
      <w:r>
        <w:t xml:space="preserve"> </w:t>
      </w:r>
      <w:r>
        <w:t xml:space="preserve">-</w:t>
      </w:r>
      <w:r>
        <w:t xml:space="preserve"> </w:t>
      </w:r>
      <w:r>
        <w:rPr>
          <w:b/>
          <w:bCs/>
        </w:rPr>
        <w:t xml:space="preserve">ALCOMICIN</w:t>
      </w:r>
      <w:r>
        <w:t xml:space="preserve"> </w:t>
      </w:r>
      <w:r>
        <w:t xml:space="preserve">(SYNTHELABO) — Collyre 3 mg/mL — Fl/5 mL — Retiré (R).</w:t>
      </w:r>
      <w:r>
        <w:t xml:space="preserve"> </w:t>
      </w:r>
      <w:r>
        <w:t xml:space="preserve">-</w:t>
      </w:r>
      <w:r>
        <w:t xml:space="preserve"> </w:t>
      </w:r>
      <w:r>
        <w:rPr>
          <w:b/>
          <w:bCs/>
        </w:rPr>
        <w:t xml:space="preserve">GENTAM</w:t>
      </w:r>
      <w:r>
        <w:t xml:space="preserve"> </w:t>
      </w:r>
      <w:r>
        <w:t xml:space="preserve">(SPIMACO) — Collyre 3 mg/mL — Fl/8 mL — Retiré (R).</w:t>
      </w:r>
      <w:r>
        <w:t xml:space="preserve"> </w:t>
      </w:r>
      <w:r>
        <w:t xml:space="preserve">-</w:t>
      </w:r>
      <w:r>
        <w:t xml:space="preserve"> </w:t>
      </w:r>
      <w:r>
        <w:rPr>
          <w:b/>
          <w:bCs/>
        </w:rPr>
        <w:t xml:space="preserve">COLIRCUSI GENTAMICINE 0,3 %</w:t>
      </w:r>
      <w:r>
        <w:t xml:space="preserve"> </w:t>
      </w:r>
      <w:r>
        <w:t xml:space="preserve">(CUSI) — Collyre 3 mg/mL — Fl/10 mL — Retiré (R).</w:t>
      </w:r>
      <w:r>
        <w:t xml:space="preserve"> </w:t>
      </w:r>
      <w:r>
        <w:t xml:space="preserve">-</w:t>
      </w:r>
      <w:r>
        <w:t xml:space="preserve"> </w:t>
      </w:r>
      <w:r>
        <w:rPr>
          <w:b/>
          <w:bCs/>
        </w:rPr>
        <w:t xml:space="preserve">GENTALLINE</w:t>
      </w:r>
      <w:r>
        <w:t xml:space="preserve"> </w:t>
      </w:r>
      <w:r>
        <w:t xml:space="preserve">(SCHERING-PLOUGH) — Collyre 3 mg/mL — Fl/5 mL — Retiré (R).</w:t>
      </w:r>
      <w:r>
        <w:t xml:space="preserve"> </w:t>
      </w:r>
      <w:r>
        <w:t xml:space="preserve">-</w:t>
      </w:r>
      <w:r>
        <w:t xml:space="preserve"> </w:t>
      </w:r>
      <w:r>
        <w:rPr>
          <w:b/>
          <w:bCs/>
        </w:rPr>
        <w:t xml:space="preserve">GENTAMICIN</w:t>
      </w:r>
      <w:r>
        <w:t xml:space="preserve"> </w:t>
      </w:r>
      <w:r>
        <w:t xml:space="preserve">(KRKA) — Collyre 3 mg/mL — Fl/5 mL — Retiré (R).</w:t>
      </w:r>
      <w:r>
        <w:t xml:space="preserve"> </w:t>
      </w:r>
      <w:r>
        <w:t xml:space="preserve">-</w:t>
      </w:r>
      <w:r>
        <w:t xml:space="preserve"> </w:t>
      </w:r>
      <w:r>
        <w:rPr>
          <w:b/>
          <w:bCs/>
        </w:rPr>
        <w:t xml:space="preserve">GENTAMICINE CHAUVIN 0,3 %</w:t>
      </w:r>
      <w:r>
        <w:t xml:space="preserve"> </w:t>
      </w:r>
      <w:r>
        <w:t xml:space="preserve">(CHAUVIN) — Collyre 0,3 % — Fl/5 mL — Retiré (R).</w:t>
      </w:r>
      <w:r>
        <w:t xml:space="preserve"> </w:t>
      </w:r>
      <w:r>
        <w:t xml:space="preserve">-</w:t>
      </w:r>
      <w:r>
        <w:t xml:space="preserve"> </w:t>
      </w:r>
      <w:r>
        <w:rPr>
          <w:b/>
          <w:bCs/>
        </w:rPr>
        <w:t xml:space="preserve">GENTAM</w:t>
      </w:r>
      <w:r>
        <w:t xml:space="preserve"> </w:t>
      </w:r>
      <w:r>
        <w:t xml:space="preserve">(SPIMACO) — Pommade ophtalmique 3 mg/g — T/4 g — Retiré (R).</w:t>
      </w:r>
      <w:r>
        <w:t xml:space="preserve"> </w:t>
      </w:r>
      <w:r>
        <w:t xml:space="preserve">-</w:t>
      </w:r>
      <w:r>
        <w:t xml:space="preserve"> </w:t>
      </w:r>
      <w:r>
        <w:rPr>
          <w:b/>
          <w:bCs/>
        </w:rPr>
        <w:t xml:space="preserve">GENTALEK</w:t>
      </w:r>
      <w:r>
        <w:t xml:space="preserve"> </w:t>
      </w:r>
      <w:r>
        <w:t xml:space="preserve">(LEK) — Pommade ophtalmique 3 mg/g — T/5 g — Retiré (R).</w:t>
      </w:r>
      <w:r>
        <w:t xml:space="preserve"> </w:t>
      </w:r>
      <w:r>
        <w:t xml:space="preserve">-</w:t>
      </w:r>
      <w:r>
        <w:t xml:space="preserve"> </w:t>
      </w:r>
      <w:r>
        <w:rPr>
          <w:b/>
          <w:bCs/>
        </w:rPr>
        <w:t xml:space="preserve">GENTALLINE</w:t>
      </w:r>
      <w:r>
        <w:t xml:space="preserve"> </w:t>
      </w:r>
      <w:r>
        <w:t xml:space="preserve">(SCHERING-PLOUGH) — Pommade ophtalmique 3 mg/g — T/5 g — Retiré (R).</w:t>
      </w:r>
      <w:r>
        <w:t xml:space="preserve"> </w:t>
      </w:r>
      <w:r>
        <w:t xml:space="preserve">-</w:t>
      </w:r>
      <w:r>
        <w:t xml:space="preserve"> </w:t>
      </w:r>
      <w:r>
        <w:rPr>
          <w:b/>
          <w:bCs/>
        </w:rPr>
        <w:t xml:space="preserve">GENTAMICINE</w:t>
      </w:r>
      <w:r>
        <w:t xml:space="preserve"> </w:t>
      </w:r>
      <w:r>
        <w:t xml:space="preserve">(KRKA) — Pommade ophtalmique 0,3 % — T/3 g — Retiré (R).</w:t>
      </w:r>
      <w:r>
        <w:t xml:space="preserve"> </w:t>
      </w:r>
      <w:r>
        <w:t xml:space="preserve">-</w:t>
      </w:r>
      <w:r>
        <w:t xml:space="preserve"> </w:t>
      </w:r>
      <w:r>
        <w:rPr>
          <w:b/>
          <w:bCs/>
        </w:rPr>
        <w:t xml:space="preserve">GENTICOL</w:t>
      </w:r>
      <w:r>
        <w:t xml:space="preserve"> </w:t>
      </w:r>
      <w:r>
        <w:t xml:space="preserve">(SIFI) — Pommade ophtalmique 3 mg/g — T/10 g — Retiré (R).</w:t>
      </w:r>
    </w:p>
    <w:p>
      <w:pPr>
        <w:pStyle w:val="BodyText"/>
      </w:pPr>
      <w:r>
        <w:rPr>
          <w:b/>
          <w:bCs/>
        </w:rPr>
        <w:t xml:space="preserve">Sous-classe et Mécanisme d’action :</w:t>
      </w:r>
      <w:r>
        <w:t xml:space="preserve"> </w:t>
      </w:r>
      <w:r>
        <w:t xml:space="preserve">- Sous-classe : Aminoglycoside 4,6-disubstitué de la 2-désoxystreptamine, de première génération, original de</w:t>
      </w:r>
      <w:r>
        <w:t xml:space="preserve"> </w:t>
      </w:r>
      <w:r>
        <w:rPr>
          <w:i/>
          <w:iCs/>
        </w:rPr>
        <w:t xml:space="preserve">Micromonospora purpurea</w:t>
      </w:r>
      <w:r>
        <w:t xml:space="preserve">.</w:t>
      </w:r>
      <w:r>
        <w:t xml:space="preserve"> </w:t>
      </w:r>
      <w:r>
        <w:t xml:space="preserve">- Mécanisme d’action : Transport actif dépendant de l’oxygène à travers la membrane externe (porines) puis la membrane interne (transport NOX dépendant du PMF) ; fixation à la protéine S12 (P10) de la sous-unité 30S ; distorsion du site A ; mésappariement codon-anticodon → protéines non fonctionnelles ; altération de la perméabilité membranaire → fuite ionique → mort bactérienne. Bactéricide concentration-dépendant, EPA marqué (4–8 h).</w:t>
      </w:r>
    </w:p>
    <w:p>
      <w:pPr>
        <w:pStyle w:val="BodyText"/>
      </w:pPr>
      <w:r>
        <w:rPr>
          <w:b/>
          <w:bCs/>
        </w:rPr>
        <w:t xml:space="preserve">Profil Pharmacologique :</w:t>
      </w:r>
      <w:r>
        <w:t xml:space="preserve"> </w:t>
      </w:r>
      <w:r>
        <w:t xml:space="preserve">- Indications : Infections sévères à bacilles à Gram négatif aérobies (Pyélonéphrites aiguës, sepsis, péritonites, infections biliaires, infections respiratoires nosocomiales incluant Pseudomonas en association), endocardites (en association avec bêta-lactamine ou glycopeptide), fièvre Q réfractaire, tularémie, peste, brucellose (en association), prophylaxie chirurgicale digestive (en association au métronidazole). Formes ophtalmologiques : conjonctivites à germes sensibles, blépharites, kératites.</w:t>
      </w:r>
      <w:r>
        <w:t xml:space="preserve"> </w:t>
      </w:r>
      <w:r>
        <w:t xml:space="preserve">- Contre-indications : Myasthénie (CI absolue), hypersensibilité aux aminoglycosides, grossesse (sauf vital), allaitement (à discuter selon durée). Précautions : insuffisance rénale, sujet âgé, hypokaliémie, hypomagnésémie, déshydratation, Parkinson, atteinte vestibulaire préexistante, parkinson.</w:t>
      </w:r>
      <w:r>
        <w:t xml:space="preserve"> </w:t>
      </w:r>
      <w:r>
        <w:t xml:space="preserve">- Spectre : BGN aérobies (E. coli, Klebsiella, Proteus, Enterobacter, Serratia, Pseudomonas aeruginosa) ; staphylocoques (mais résistance relative des SARM) ; streptocoques et entérocoques résistants (synergie avec bêta-lactamines) ; anaérobies résistants ; mycobactéries partiellement sensibles.</w:t>
      </w:r>
    </w:p>
    <w:p>
      <w:pPr>
        <w:pStyle w:val="BodyText"/>
      </w:pPr>
      <w:r>
        <w:rPr>
          <w:b/>
          <w:bCs/>
        </w:rPr>
        <w:t xml:space="preserve">Effets Indésirables :</w:t>
      </w:r>
      <w:r>
        <w:t xml:space="preserve"> </w:t>
      </w:r>
      <w:r>
        <w:t xml:space="preserve">- Néphrotoxicité (5–25 %) : nécrose tubulaire aiguë, hypomagnésémie, hypokaliémie, rarement insuffisance rénale aiguë anurique.</w:t>
      </w:r>
      <w:r>
        <w:t xml:space="preserve"> </w:t>
      </w:r>
      <w:r>
        <w:t xml:space="preserve">- Ototoxicité cochléaire prédominante : hypoacousie, acouphènes, surdité souvent irréversible.</w:t>
      </w:r>
      <w:r>
        <w:t xml:space="preserve"> </w:t>
      </w:r>
      <w:r>
        <w:t xml:space="preserve">- Ototoxicité vestibulaire : vertiges, ataxie, nystagmus.</w:t>
      </w:r>
      <w:r>
        <w:t xml:space="preserve"> </w:t>
      </w:r>
      <w:r>
        <w:t xml:space="preserve">- Bloc neuromusculaire : faiblesse musculaire, paralysie respiratoire (surtout après IV rapide, en cas de myasthénie, de traitement par curare ou de magnésémie élevée).</w:t>
      </w:r>
      <w:r>
        <w:t xml:space="preserve"> </w:t>
      </w:r>
      <w:r>
        <w:t xml:space="preserve">- Allergie de contact (rares formes systémiques).</w:t>
      </w:r>
    </w:p>
    <w:p>
      <w:pPr>
        <w:pStyle w:val="BodyText"/>
      </w:pPr>
      <w:r>
        <w:rPr>
          <w:b/>
          <w:bCs/>
        </w:rPr>
        <w:t xml:space="preserve">Prévention et Gestion des Effets Indésirables :</w:t>
      </w:r>
      <w:r>
        <w:t xml:space="preserve"> </w:t>
      </w:r>
      <w:r>
        <w:t xml:space="preserve">- Mesures Préventives : Évaluation de la fonction rénale avant traitement (créatininémie, clairance), hydratation correcte (apport hydrique ≥ 1,5 L/j sauf CI cardio-rénale), correction d’une hypokaliémie/hypomagnésémie préalable, dosage des concentrations résiduelles et de pic, limitation de la durée à 5–7 jours en dehors des endocardites, évitement des co-prescriptions néphrotoxiques (AINS, diurétiques de l’anse, vancomycine, amphotéricine B, ciclosporine, tacrolimus, iodés).</w:t>
      </w:r>
      <w:r>
        <w:t xml:space="preserve"> </w:t>
      </w:r>
      <w:r>
        <w:t xml:space="preserve">- Conduite à Tenir : Arrêt immédiat en cas d’ototoxicité (audiogramme en urgence, orientation ORL), adaptation posologique ou arrêt si élévation de la créatininémie &gt; 25 % de la valeur initiale, perfusion de calcium gluconate et néostigmine en cas de bloc neuromusculaire.</w:t>
      </w:r>
    </w:p>
    <w:p>
      <w:pPr>
        <w:pStyle w:val="BodyText"/>
      </w:pPr>
      <w:r>
        <w:rPr>
          <w:b/>
          <w:bCs/>
        </w:rPr>
        <w:t xml:space="preserve">Interactions Importantes :</w:t>
      </w:r>
      <w:r>
        <w:t xml:space="preserve"> </w:t>
      </w:r>
      <w:r>
        <w:t xml:space="preserve">- Diurétiques de l’anse (furosémide, bumétanide) : potentialisation de l’ototoxicité (CI relative).</w:t>
      </w:r>
      <w:r>
        <w:t xml:space="preserve"> </w:t>
      </w:r>
      <w:r>
        <w:t xml:space="preserve">- AINS : majoration de la néphrotoxicité par inhibition de la vasodilatation prostaglandique rénale.</w:t>
      </w:r>
      <w:r>
        <w:t xml:space="preserve"> </w:t>
      </w:r>
      <w:r>
        <w:t xml:space="preserve">- Vancomycine : augmentation du risque de néphrotoxicité additive.</w:t>
      </w:r>
      <w:r>
        <w:t xml:space="preserve"> </w:t>
      </w:r>
      <w:r>
        <w:t xml:space="preserve">- Ciclosporine, tacrolimus : néphrotoxicité synergique.</w:t>
      </w:r>
      <w:r>
        <w:t xml:space="preserve"> </w:t>
      </w:r>
      <w:r>
        <w:t xml:space="preserve">- Amphotéricine B : néphrotoxicité majeure.</w:t>
      </w:r>
      <w:r>
        <w:t xml:space="preserve"> </w:t>
      </w:r>
      <w:r>
        <w:t xml:space="preserve">- Curares dépolarisants et non dépolarisants : prolongation du bloc neuromusculaire.</w:t>
      </w:r>
      <w:r>
        <w:t xml:space="preserve"> </w:t>
      </w:r>
      <w:r>
        <w:t xml:space="preserve">- Magnésium IV (pré-éclampsie) : majoration du bloc neuromusculaire.</w:t>
      </w:r>
      <w:r>
        <w:t xml:space="preserve"> </w:t>
      </w:r>
      <w:r>
        <w:t xml:space="preserve">- Pénicillines (à forte dose) : inactivation in vitro par le noyau bêta-lactame (ne pas mélanger dans la même perfusion).</w:t>
      </w:r>
    </w:p>
    <w:p>
      <w:pPr>
        <w:pStyle w:val="BodyText"/>
      </w:pPr>
      <w:r>
        <w:rPr>
          <w:b/>
          <w:bCs/>
        </w:rPr>
        <w:t xml:space="preserve">Grossesse et Allaitement :</w:t>
      </w:r>
      <w:r>
        <w:t xml:space="preserve"> </w:t>
      </w:r>
      <w:r>
        <w:t xml:space="preserve">- Grossesse : Contre-indiqué sauf menace vitale maternelle. Risque ototoxique fœtal (surdité congénitale, atteinte cochléaire du 8e nerf crânien), surtout au 1er trimestre. Selon le CRAT, l’amikacine et la gentamicine ont néanmoins été utilisées avec prudence dans certains contextes (endocardite, sepsis sévère à germe résistant) sans sur-risque tératogène majeur identifié mais avec un risque ototoxique non négligeable.</w:t>
      </w:r>
      <w:r>
        <w:t xml:space="preserve"> </w:t>
      </w:r>
      <w:r>
        <w:t xml:space="preserve">- Allaitement : Compatible avec un traitement court (≤ 7 jours) ; très faible passage lacté, biodisponibilité digestive orale du nourrisson quasi nulle. Surveillance des selles (risque théorique de dysbiose).</w:t>
      </w:r>
      <w:r>
        <w:t xml:space="preserve"> </w:t>
      </w:r>
      <w:r>
        <w:t xml:space="preserve">- Précisions : Le risque principal fœtal est l’atteinte cochléaire ; l’audiogramme à la naissance est recommandé après exposition in utero.</w:t>
      </w:r>
    </w:p>
    <w:p>
      <w:pPr>
        <w:pStyle w:val="BodyText"/>
      </w:pPr>
      <w:r>
        <w:rPr>
          <w:b/>
          <w:bCs/>
        </w:rPr>
        <w:t xml:space="preserve">Posologie et Mode d’administration (Standard) :</w:t>
      </w:r>
      <w:r>
        <w:t xml:space="preserve"> </w:t>
      </w:r>
      <w:r>
        <w:t xml:space="preserve">- Adulte à fonction rénale normale : 5–7 mg/kg/jour en une perfusion IV de 30 minutes ou IM unique (dose unique journalière). Endocardite : 3 mg/kg/jour en 2 injections (synergie). Prophylaxie chirurgicale : 1,5–3 mg/kg en dose unique préopératoire.</w:t>
      </w:r>
      <w:r>
        <w:t xml:space="preserve"> </w:t>
      </w:r>
      <w:r>
        <w:t xml:space="preserve">- Enfant : 6–7,5 mg/kg/jour en une injection.</w:t>
      </w:r>
      <w:r>
        <w:t xml:space="preserve"> </w:t>
      </w:r>
      <w:r>
        <w:t xml:space="preserve">- Nouveau-né : 4–5 mg/kg/jour en une injection (allongement de l’intervalle en fonction de l’âge corrigé).</w:t>
      </w:r>
      <w:r>
        <w:t xml:space="preserve"> </w:t>
      </w:r>
      <w:r>
        <w:t xml:space="preserve">- Sujet âgé / IR : espacement des intervalles selon la clairance de la créatinine (méthode de Hartford ou de Nomogramme de Sanford).</w:t>
      </w:r>
      <w:r>
        <w:t xml:space="preserve"> </w:t>
      </w:r>
      <w:r>
        <w:t xml:space="preserve">- Durée : 5–7 jours en général, 7–14 jours en endocardite, 14 jours en pyélonéphrite compliquée.</w:t>
      </w:r>
      <w:r>
        <w:t xml:space="preserve"> </w:t>
      </w:r>
      <w:r>
        <w:t xml:space="preserve">- Moment de prise : Indifférent (DUJ), en perfusion stricte de 30 minutes en IV.</w:t>
      </w:r>
    </w:p>
    <w:p>
      <w:pPr>
        <w:pStyle w:val="BodyText"/>
      </w:pPr>
      <w:r>
        <w:rPr>
          <w:b/>
          <w:bCs/>
        </w:rPr>
        <w:t xml:space="preserve">Arbitrage et Bénéfices des Formes Galéniques :</w:t>
      </w:r>
      <w:r>
        <w:t xml:space="preserve"> </w:t>
      </w:r>
      <w:r>
        <w:t xml:space="preserve">Les formes injectables IM/IV (ampoules 10, 40, 80, 160 mg) couvrent l’ensemble des besoins adulto-pédiatriques ; la dose unique journalière simplifie la prise en charge hospitalière. Le collyre 0,3 % est indiqué dans les conjonctivites bactériennes ; la pommade ophtalmique prolonge le contact nocturne. La disponibilité de multiples génériques sur le marché algérien (INPHA-MEDIS, GEOPHARM, HUPP PHARMA, BIOTHERA, FRATER RAZES, EIPICO, SWISS PARENTERALS) garantit une accessibilité économique satisfaisante.</w:t>
      </w:r>
    </w:p>
    <w:p>
      <w:pPr>
        <w:pStyle w:val="BodyText"/>
      </w:pPr>
      <w:r>
        <w:rPr>
          <w:b/>
          <w:bCs/>
        </w:rPr>
        <w:t xml:space="preserve">Instructions et Conseils au Patient :</w:t>
      </w:r>
      <w:r>
        <w:t xml:space="preserve"> </w:t>
      </w:r>
      <w:r>
        <w:t xml:space="preserve">- Communication au comptoir : Pour les formes injectables, information sur la nécessité d’une hospitalisation ou d’une surveillance médicale stricte (HAD) ; pour les formes ophtalmologiques, explication de la durée (7 jours), de la nécessité de ne pas interrompre précocement, et de l’absence d’effet sur les infections virales.</w:t>
      </w:r>
      <w:r>
        <w:t xml:space="preserve"> </w:t>
      </w:r>
      <w:r>
        <w:t xml:space="preserve">- Mode d’utilisation pratique : Lavage des mains avant instillation oculaire, ne pas toucher l’œil ni les cils avec l’embout, attendre 5 minutes entre deux collyres, fermer l’œil et masser le canalicule lacrymal pendant 1 minute, jeter le flacon 15 jours après ouverture. Pour les injections : respect strict de la prescription de dosage résiduel.</w:t>
      </w:r>
    </w:p>
    <w:p>
      <w:pPr>
        <w:pStyle w:val="BodyText"/>
      </w:pPr>
      <w:r>
        <w:rPr>
          <w:b/>
          <w:bCs/>
        </w:rPr>
        <w:t xml:space="preserve">Notes, Règles d’Or &amp; Pièges au Comptoir :</w:t>
      </w:r>
      <w:r>
        <w:t xml:space="preserve"> </w:t>
      </w:r>
      <w:r>
        <w:t xml:space="preserve">- Piège classique : Association gentamicine + furosémide chez un sujet âgé déshydraté → surdité brutale ; association avec vancomycine non espacée → IRA.</w:t>
      </w:r>
      <w:r>
        <w:t xml:space="preserve"> </w:t>
      </w:r>
      <w:r>
        <w:t xml:space="preserve">- Règle de prise : En DUJ stricte, surveiller créatinine à J0, J3, J5 ; adapter la dose à la fonction rénale.</w:t>
      </w:r>
      <w:r>
        <w:t xml:space="preserve"> </w:t>
      </w:r>
      <w:r>
        <w:t xml:space="preserve">- Préparation et Conservation : Ampoules à conserver à température ≤ 25 °C, à l’abri de la lumière ; la dilution IV se fait dans 50–100 mL de NaCl 0,9 % ou G5 % ; ne pas mélanger avec une bêta-lactamine dans la même perfusion.</w:t>
      </w:r>
      <w:r>
        <w:t xml:space="preserve"> </w:t>
      </w:r>
      <w:r>
        <w:t xml:space="preserve">- Piège du surdosage / Substitution : Ne jamais substituer une spécialité à une autre sans vérifier le dosage de l’ampoule (risque d’erreur 10/40/80/160 mg). Pour les perfusions : surveiller un éventuel surdosage (signes : ataxie, acouphènes, hypoacousie) → arrêt, hémodialyse éventuelle.</w:t>
      </w:r>
    </w:p>
    <w:p>
      <w:r>
        <w:pict>
          <v:rect style="width:0;height:1.5pt" o:hralign="center" o:hrstd="t" o:hr="t"/>
        </w:pict>
      </w:r>
    </w:p>
    <w:bookmarkEnd w:id="125"/>
    <w:bookmarkStart w:id="126" w:name="dci-amikacine-seule"/>
    <w:p>
      <w:pPr>
        <w:pStyle w:val="Heading3"/>
      </w:pPr>
      <w:r>
        <w:t xml:space="preserve">5.2.3 DCI : Amikacine (Seule)</w:t>
      </w:r>
    </w:p>
    <w:p>
      <w:pPr>
        <w:pStyle w:val="FirstParagraph"/>
      </w:pPr>
      <w:r>
        <w:rPr>
          <w:b/>
          <w:bCs/>
        </w:rPr>
        <w:t xml:space="preserve">Liste des Catégories :</w:t>
      </w:r>
      <w:r>
        <w:t xml:space="preserve"> </w:t>
      </w:r>
      <w:r>
        <w:t xml:space="preserve">Liste I.</w:t>
      </w:r>
    </w:p>
    <w:p>
      <w:pPr>
        <w:pStyle w:val="BodyText"/>
      </w:pPr>
      <w:r>
        <w:t xml:space="preserve">L’amikacine, semi-synthétique dérivée de la kanamycine par substitution en position 1 du 2-désoxystreptamine par un radical acide 2-hydroxy-4-aminobutyrique (HABA), est l’aminoglycoside le plus résistant aux enzymes inactivantes (phosphotransférases, acétyltransférases, nucléotidyltransférases). Elle conserve une activité sur les souches de BGN productrices d’enzymes de modification des aminoglycosides (EMA), ce qui en fait l’aminoglycoside de seconde intention dans les infections nosocomiales à entérobactéries multirésistantes et à mycobactéries (Mycobacterium tuberculosis, M. avium complexe).</w:t>
      </w:r>
    </w:p>
    <w:p>
      <w:pPr>
        <w:pStyle w:val="BodyText"/>
      </w:pPr>
      <w:r>
        <w:rPr>
          <w:b/>
          <w:bCs/>
        </w:rPr>
        <w:t xml:space="preserve">Médicaments disponibles en Algérie (Marques, Laboratoires, Formes et Dosages) :</w:t>
      </w:r>
    </w:p>
    <w:p>
      <w:pPr>
        <w:pStyle w:val="BodyText"/>
      </w:pPr>
      <w:r>
        <w:t xml:space="preserve">Formes actives :</w:t>
      </w:r>
      <w:r>
        <w:t xml:space="preserve"> </w:t>
      </w:r>
      <w:r>
        <w:t xml:space="preserve">-</w:t>
      </w:r>
      <w:r>
        <w:t xml:space="preserve"> </w:t>
      </w:r>
      <w:r>
        <w:rPr>
          <w:b/>
          <w:bCs/>
        </w:rPr>
        <w:t xml:space="preserve">LIKACIN</w:t>
      </w:r>
      <w:r>
        <w:t xml:space="preserve"> </w:t>
      </w:r>
      <w:r>
        <w:t xml:space="preserve">(ITALIANO BIOCHIMICO FARMACEUTICO LISAPHARMA SPA) — Solution injectable IV/IM 125 mg/mL (250 mg/2 mL) — B/50 fl 2 mL — Actif.</w:t>
      </w:r>
      <w:r>
        <w:t xml:space="preserve"> </w:t>
      </w:r>
      <w:r>
        <w:t xml:space="preserve">-</w:t>
      </w:r>
      <w:r>
        <w:t xml:space="preserve"> </w:t>
      </w:r>
      <w:r>
        <w:rPr>
          <w:b/>
          <w:bCs/>
        </w:rPr>
        <w:t xml:space="preserve">AMICINE</w:t>
      </w:r>
      <w:r>
        <w:t xml:space="preserve"> </w:t>
      </w:r>
      <w:r>
        <w:t xml:space="preserve">(MS PHARMA-JORDAN) — Solution pour injection IM ou IV 500 mg/2 mL — B/5 fl 2 mL — Actif.</w:t>
      </w:r>
    </w:p>
    <w:p>
      <w:pPr>
        <w:pStyle w:val="BodyText"/>
      </w:pPr>
      <w:r>
        <w:t xml:space="preserve">Formes non renouvelables :</w:t>
      </w:r>
      <w:r>
        <w:t xml:space="preserve"> </w:t>
      </w:r>
      <w:r>
        <w:t xml:space="preserve">-</w:t>
      </w:r>
      <w:r>
        <w:t xml:space="preserve"> </w:t>
      </w:r>
      <w:r>
        <w:rPr>
          <w:b/>
          <w:bCs/>
        </w:rPr>
        <w:t xml:space="preserve">LIKACIN</w:t>
      </w:r>
      <w:r>
        <w:t xml:space="preserve"> </w:t>
      </w:r>
      <w:r>
        <w:t xml:space="preserve">(LISAPHARMA) — Sol inj IM/IV 250 mg/mL (500 mg/2 mL) — B/1 fl 2 mL et B/50 fl 2 mL — Non Renouvelable.</w:t>
      </w:r>
      <w:r>
        <w:t xml:space="preserve"> </w:t>
      </w:r>
      <w:r>
        <w:t xml:space="preserve">-</w:t>
      </w:r>
      <w:r>
        <w:t xml:space="preserve"> </w:t>
      </w:r>
      <w:r>
        <w:rPr>
          <w:b/>
          <w:bCs/>
        </w:rPr>
        <w:t xml:space="preserve">MIACIN</w:t>
      </w:r>
      <w:r>
        <w:t xml:space="preserve"> </w:t>
      </w:r>
      <w:r>
        <w:t xml:space="preserve">(HIKMA PHARMACEUTICALS) — Sol inj 250 mg/mL (500 mg/2 mL) — B/6 amp 2 mL — Non Renouvelable.</w:t>
      </w:r>
      <w:r>
        <w:t xml:space="preserve"> </w:t>
      </w:r>
      <w:r>
        <w:t xml:space="preserve">-</w:t>
      </w:r>
      <w:r>
        <w:t xml:space="preserve"> </w:t>
      </w:r>
      <w:r>
        <w:rPr>
          <w:b/>
          <w:bCs/>
        </w:rPr>
        <w:t xml:space="preserve">MIACIN</w:t>
      </w:r>
      <w:r>
        <w:t xml:space="preserve"> </w:t>
      </w:r>
      <w:r>
        <w:t xml:space="preserve">(HIKMA PHARMACEUTICALS) — Sol inj 50 mg/mL (100 mg/2 mL) — B/6 amp 2 mL — Non Renouvelable.</w:t>
      </w:r>
    </w:p>
    <w:p>
      <w:pPr>
        <w:pStyle w:val="BodyText"/>
      </w:pPr>
      <w:r>
        <w:t xml:space="preserve">Formes retirées (R) :</w:t>
      </w:r>
      <w:r>
        <w:t xml:space="preserve"> </w:t>
      </w:r>
      <w:r>
        <w:t xml:space="preserve">-</w:t>
      </w:r>
      <w:r>
        <w:t xml:space="preserve"> </w:t>
      </w:r>
      <w:r>
        <w:rPr>
          <w:b/>
          <w:bCs/>
        </w:rPr>
        <w:t xml:space="preserve">KACINTH-A</w:t>
      </w:r>
      <w:r>
        <w:t xml:space="preserve"> </w:t>
      </w:r>
      <w:r>
        <w:t xml:space="preserve">(PHARMACARE LIMITED) — Sol inj 250 mg/2 mL (125 mg/mL) — B/25 amp — Retiré (R).</w:t>
      </w:r>
      <w:r>
        <w:t xml:space="preserve"> </w:t>
      </w:r>
      <w:r>
        <w:t xml:space="preserve">-</w:t>
      </w:r>
      <w:r>
        <w:t xml:space="preserve"> </w:t>
      </w:r>
      <w:r>
        <w:rPr>
          <w:b/>
          <w:bCs/>
        </w:rPr>
        <w:t xml:space="preserve">AMIKOZIT</w:t>
      </w:r>
      <w:r>
        <w:t xml:space="preserve"> </w:t>
      </w:r>
      <w:r>
        <w:t xml:space="preserve">(ECZACIBATSI) — Sol inj 500 mg/2 mL (250 mg/mL) — B/1 — Retiré (R).</w:t>
      </w:r>
      <w:r>
        <w:t xml:space="preserve"> </w:t>
      </w:r>
      <w:r>
        <w:t xml:space="preserve">-</w:t>
      </w:r>
      <w:r>
        <w:t xml:space="preserve"> </w:t>
      </w:r>
      <w:r>
        <w:rPr>
          <w:b/>
          <w:bCs/>
        </w:rPr>
        <w:t xml:space="preserve">KACINTH-A</w:t>
      </w:r>
      <w:r>
        <w:t xml:space="preserve"> </w:t>
      </w:r>
      <w:r>
        <w:t xml:space="preserve">(PHARMACARE LIMITED) — Sol inj 500 mg/2 mL — B/25 — Retiré (R).</w:t>
      </w:r>
    </w:p>
    <w:p>
      <w:pPr>
        <w:pStyle w:val="BodyText"/>
      </w:pPr>
      <w:r>
        <w:rPr>
          <w:b/>
          <w:bCs/>
        </w:rPr>
        <w:t xml:space="preserve">Sous-classe et Mécanisme d’action :</w:t>
      </w:r>
      <w:r>
        <w:t xml:space="preserve"> </w:t>
      </w:r>
      <w:r>
        <w:t xml:space="preserve">- Sous-classe : Aminoglycoside 4,6-disubstitué de la 2-désoxystreptamine, semi-synthétique de deuxième génération.</w:t>
      </w:r>
      <w:r>
        <w:t xml:space="preserve"> </w:t>
      </w:r>
      <w:r>
        <w:t xml:space="preserve">- Mécanisme d’action : Identique à la gentamicine (liaison 30S, erreur de traduction, fuite membranaire). Bactéricide concentration-dépendant, EPA marqué. La substitution HABA encombre le site de reconnaissance de la plupart des enzymes inactivantes.</w:t>
      </w:r>
    </w:p>
    <w:p>
      <w:pPr>
        <w:pStyle w:val="BodyText"/>
      </w:pPr>
      <w:r>
        <w:rPr>
          <w:b/>
          <w:bCs/>
        </w:rPr>
        <w:t xml:space="preserve">Profil Pharmacologique :</w:t>
      </w:r>
      <w:r>
        <w:t xml:space="preserve"> </w:t>
      </w:r>
      <w:r>
        <w:t xml:space="preserve">- Indications : Infections sévères à BGN multirésistants (entérobactéries productrices de BLSE, Pseudomonas, Acinetobacter), mycobactérioses (tuberculose multirésistante en association, M. avium complexe au cours du SIDA), endocardites à germe résistant, sepsis néonatal, infections nosocomiales. En Algérie, l’amikacine est fréquemment utilisée comme aminoside de référence en réanimation.</w:t>
      </w:r>
      <w:r>
        <w:t xml:space="preserve"> </w:t>
      </w:r>
      <w:r>
        <w:t xml:space="preserve">- Contre-indications : Myasthénie, hypersensibilité aux aminoglycosides, grossesse sauf vital.</w:t>
      </w:r>
      <w:r>
        <w:t xml:space="preserve"> </w:t>
      </w:r>
      <w:r>
        <w:t xml:space="preserve">- Spectre : Identique à la gentamicine + souches résistantes par EMA, Mycobacterium tuberculosis (résistance acquise plus lente que pour la streptomycine).</w:t>
      </w:r>
    </w:p>
    <w:p>
      <w:pPr>
        <w:pStyle w:val="BodyText"/>
      </w:pPr>
      <w:r>
        <w:rPr>
          <w:b/>
          <w:bCs/>
        </w:rPr>
        <w:t xml:space="preserve">Effets Indésirables :</w:t>
      </w:r>
      <w:r>
        <w:t xml:space="preserve"> </w:t>
      </w:r>
      <w:r>
        <w:t xml:space="preserve">- Néphrotoxicité (5–10 %), souvent moins marquée que la gentamicine.</w:t>
      </w:r>
      <w:r>
        <w:t xml:space="preserve"> </w:t>
      </w:r>
      <w:r>
        <w:t xml:space="preserve">- Ototoxicité cochléaire prédominante (surdité), parfois plus marquée que la gentamicine à dose cumulative.</w:t>
      </w:r>
      <w:r>
        <w:t xml:space="preserve"> </w:t>
      </w:r>
      <w:r>
        <w:t xml:space="preserve">- Bloc neuromusculaire.</w:t>
      </w:r>
    </w:p>
    <w:p>
      <w:pPr>
        <w:pStyle w:val="BodyText"/>
      </w:pPr>
      <w:r>
        <w:rPr>
          <w:b/>
          <w:bCs/>
        </w:rPr>
        <w:t xml:space="preserve">Prévention et Gestion des Effets Indésirables :</w:t>
      </w:r>
      <w:r>
        <w:t xml:space="preserve"> </w:t>
      </w:r>
      <w:r>
        <w:t xml:space="preserve">- Mesures Préventives : Identiques à la gentamicine. Surveillance renforcée en cas d’association à la vancomycine.</w:t>
      </w:r>
      <w:r>
        <w:t xml:space="preserve"> </w:t>
      </w:r>
      <w:r>
        <w:t xml:space="preserve">- Conduite à Tenir : Audiogramme au moindre symptôme auditif, surveillance créatininémie.</w:t>
      </w:r>
    </w:p>
    <w:p>
      <w:pPr>
        <w:pStyle w:val="BodyText"/>
      </w:pPr>
      <w:r>
        <w:rPr>
          <w:b/>
          <w:bCs/>
        </w:rPr>
        <w:t xml:space="preserve">Interactions Importantes :</w:t>
      </w:r>
      <w:r>
        <w:t xml:space="preserve"> </w:t>
      </w:r>
      <w:r>
        <w:t xml:space="preserve">- Identiques à la gentamicine (diurétiques de l’anse, AINS, vancomycine, ciclosporine, amphotéricine B, curares).</w:t>
      </w:r>
      <w:r>
        <w:t xml:space="preserve"> </w:t>
      </w:r>
      <w:r>
        <w:t xml:space="preserve">- Pas d’inactivation significative par les bêta-lactamines.</w:t>
      </w:r>
    </w:p>
    <w:p>
      <w:pPr>
        <w:pStyle w:val="BodyText"/>
      </w:pPr>
      <w:r>
        <w:rPr>
          <w:b/>
          <w:bCs/>
        </w:rPr>
        <w:t xml:space="preserve">Grossesse et Allaitement :</w:t>
      </w:r>
      <w:r>
        <w:t xml:space="preserve"> </w:t>
      </w:r>
      <w:r>
        <w:t xml:space="preserve">- Grossesse : Contre-indiqué sauf menace vitale (ototoxicité fœtale). Selon le CRAT, l’amikacine peut néanmoins être utilisée prudemment en cas d’infection maternelle sévère à germe résistant (tuberculose multirésistante, sepsis à BGN producteur de BLSE), après évaluation bénéfice/risque.</w:t>
      </w:r>
      <w:r>
        <w:t xml:space="preserve"> </w:t>
      </w:r>
      <w:r>
        <w:t xml:space="preserve">- Allaitement : Compatible pour un traitement court.</w:t>
      </w:r>
      <w:r>
        <w:t xml:space="preserve"> </w:t>
      </w:r>
      <w:r>
        <w:t xml:space="preserve">- Précisions : Risque cochléaire fœtal ; audionévral de naissance recommandé.</w:t>
      </w:r>
    </w:p>
    <w:p>
      <w:pPr>
        <w:pStyle w:val="BodyText"/>
      </w:pPr>
      <w:r>
        <w:rPr>
          <w:b/>
          <w:bCs/>
        </w:rPr>
        <w:t xml:space="preserve">Posologie et Mode d’administration (Standard) :</w:t>
      </w:r>
      <w:r>
        <w:t xml:space="preserve"> </w:t>
      </w:r>
      <w:r>
        <w:t xml:space="preserve">- Adulte : 15 mg/kg/jour en une perfusion IV de 30 minutes ou IM unique (DUJ). Endocardite à germe résistant : 7,5 mg/kg × 2/j. Tuberculose multirésistante : 15 mg/kg/j 5 jours/7 en phase intensive.</w:t>
      </w:r>
      <w:r>
        <w:t xml:space="preserve"> </w:t>
      </w:r>
      <w:r>
        <w:t xml:space="preserve">- Enfant : 15–20 mg/kg/j en une injection.</w:t>
      </w:r>
      <w:r>
        <w:t xml:space="preserve"> </w:t>
      </w:r>
      <w:r>
        <w:t xml:space="preserve">- Nouveau-né : 15 mg/kg en une injection (intervalle 24–36 h selon âge corrigé).</w:t>
      </w:r>
      <w:r>
        <w:t xml:space="preserve"> </w:t>
      </w:r>
      <w:r>
        <w:t xml:space="preserve">- Sujet âgé / IR : Espacement selon clairance (intervalle Q48h si ClCr 30–50 mL/min, Q72h si 10–30 mL/min).</w:t>
      </w:r>
      <w:r>
        <w:t xml:space="preserve"> </w:t>
      </w:r>
      <w:r>
        <w:t xml:space="preserve">- Durée : 5–10 jours en général, plusieurs mois en tuberculose multirésistante.</w:t>
      </w:r>
    </w:p>
    <w:p>
      <w:pPr>
        <w:pStyle w:val="BodyText"/>
      </w:pPr>
      <w:r>
        <w:rPr>
          <w:b/>
          <w:bCs/>
        </w:rPr>
        <w:t xml:space="preserve">Arbitrage et Bénéfices des Formes Galéniques :</w:t>
      </w:r>
      <w:r>
        <w:t xml:space="preserve"> </w:t>
      </w:r>
      <w:r>
        <w:t xml:space="preserve">La forme 500 mg/2 mL couvre la majorité des besoins adulte. La forme 250 mg/2 mL permet l’adaptation pédiatrique. La disponibilité de LIKACIN (Lisapharma, Italie) garantit une qualité pharmaceutique reconnue.</w:t>
      </w:r>
    </w:p>
    <w:p>
      <w:pPr>
        <w:pStyle w:val="BodyText"/>
      </w:pPr>
      <w:r>
        <w:rPr>
          <w:b/>
          <w:bCs/>
        </w:rPr>
        <w:t xml:space="preserve">Instructions et Conseils au Patient :</w:t>
      </w:r>
      <w:r>
        <w:t xml:space="preserve"> </w:t>
      </w:r>
      <w:r>
        <w:t xml:space="preserve">- Communication au comptoir : Information sur le caractère hospitalier du traitement, la nécessité de prises de sang régulières (dosage résiduel), la surveillance de l’audition.</w:t>
      </w:r>
      <w:r>
        <w:t xml:space="preserve"> </w:t>
      </w:r>
      <w:r>
        <w:t xml:space="preserve">- Mode d’utilisation pratique : Respect des horaires de perfusion, signalement immédiat de tout acouphène, vertige ou hypoacousie.</w:t>
      </w:r>
    </w:p>
    <w:p>
      <w:pPr>
        <w:pStyle w:val="BodyText"/>
      </w:pPr>
      <w:r>
        <w:rPr>
          <w:b/>
          <w:bCs/>
        </w:rPr>
        <w:t xml:space="preserve">Notes, Règles d’Or &amp; Pièges au Comptoir :</w:t>
      </w:r>
      <w:r>
        <w:t xml:space="preserve"> </w:t>
      </w:r>
      <w:r>
        <w:t xml:space="preserve">- Piège classique : Oubli d’adapter l’intervalle à la clairance → accumulation → ototoxicité cumulative.</w:t>
      </w:r>
      <w:r>
        <w:t xml:space="preserve"> </w:t>
      </w:r>
      <w:r>
        <w:t xml:space="preserve">- Règle de prise : Dosage résiduel cible &lt; 5 mg/L ; pic cible 20–35 mg/L.</w:t>
      </w:r>
      <w:r>
        <w:t xml:space="preserve"> </w:t>
      </w:r>
      <w:r>
        <w:t xml:space="preserve">- Préparation et Conservation : Dilution dans 100 mL NaCl 0,9 % ou G5 %, perfusion 30 minutes. Conservation ampoules ≤ 25 °C.</w:t>
      </w:r>
      <w:r>
        <w:t xml:space="preserve"> </w:t>
      </w:r>
      <w:r>
        <w:t xml:space="preserve">- Piège du surdosage / Substitution : Risque d’erreur dose (250 vs 500 mg) en pédiatrie.</w:t>
      </w:r>
    </w:p>
    <w:p>
      <w:r>
        <w:pict>
          <v:rect style="width:0;height:1.5pt" o:hralign="center" o:hrstd="t" o:hr="t"/>
        </w:pict>
      </w:r>
    </w:p>
    <w:bookmarkEnd w:id="126"/>
    <w:bookmarkStart w:id="127" w:name="dci-tobramycine-seule"/>
    <w:p>
      <w:pPr>
        <w:pStyle w:val="Heading3"/>
      </w:pPr>
      <w:r>
        <w:t xml:space="preserve">5.2.4 DCI : Tobramycine (Seule)</w:t>
      </w:r>
    </w:p>
    <w:p>
      <w:pPr>
        <w:pStyle w:val="FirstParagraph"/>
      </w:pPr>
      <w:r>
        <w:rPr>
          <w:b/>
          <w:bCs/>
        </w:rPr>
        <w:t xml:space="preserve">Liste des Catégories :</w:t>
      </w:r>
      <w:r>
        <w:t xml:space="preserve"> </w:t>
      </w:r>
      <w:r>
        <w:t xml:space="preserve">Liste I.</w:t>
      </w:r>
    </w:p>
    <w:p>
      <w:pPr>
        <w:pStyle w:val="BodyText"/>
      </w:pPr>
      <w:r>
        <w:t xml:space="preserve">La tobramycine, isolée en 1971 d’une souche de</w:t>
      </w:r>
      <w:r>
        <w:t xml:space="preserve"> </w:t>
      </w:r>
      <w:r>
        <w:rPr>
          <w:i/>
          <w:iCs/>
        </w:rPr>
        <w:t xml:space="preserve">Streptomyces tenebrarius</w:t>
      </w:r>
      <w:r>
        <w:t xml:space="preserve">, est un aminoglycoside 4,6-disubstitué dont la structure diffère de la gentamicine par l’absence d’un groupe méthyle en C6’ du noyau 2-déoxystreptamine. Elle présente une activité supérieure à celle de la gentamicine sur</w:t>
      </w:r>
      <w:r>
        <w:t xml:space="preserve"> </w:t>
      </w:r>
      <w:r>
        <w:rPr>
          <w:i/>
          <w:iCs/>
        </w:rPr>
        <w:t xml:space="preserve">Pseudomonas aeruginosa</w:t>
      </w:r>
      <w:r>
        <w:t xml:space="preserve"> </w:t>
      </w:r>
      <w:r>
        <w:t xml:space="preserve">et constitue l’aminoglycoside de référence dans la mucoviscidose (nébulisations). Son profil d’ototoxicité vestibulaire est légèrement moindre que celui de la gentamicine, mais son profil cochléaire reste équivalent.</w:t>
      </w:r>
    </w:p>
    <w:p>
      <w:pPr>
        <w:pStyle w:val="BodyText"/>
      </w:pPr>
      <w:r>
        <w:rPr>
          <w:b/>
          <w:bCs/>
        </w:rPr>
        <w:t xml:space="preserve">Médicaments disponibles en Algérie (Marques, Laboratoires, Formes et Dosages) :</w:t>
      </w:r>
    </w:p>
    <w:p>
      <w:pPr>
        <w:pStyle w:val="BodyText"/>
      </w:pPr>
      <w:r>
        <w:t xml:space="preserve">Formes injectables actives :</w:t>
      </w:r>
      <w:r>
        <w:t xml:space="preserve"> </w:t>
      </w:r>
      <w:r>
        <w:t xml:space="preserve">-</w:t>
      </w:r>
      <w:r>
        <w:t xml:space="preserve"> </w:t>
      </w:r>
      <w:r>
        <w:rPr>
          <w:b/>
          <w:bCs/>
        </w:rPr>
        <w:t xml:space="preserve">EREMCINE</w:t>
      </w:r>
      <w:r>
        <w:t xml:space="preserve"> </w:t>
      </w:r>
      <w:r>
        <w:t xml:space="preserve">(EREMPHARMA) — Solution injectable IM ou IV lente 10 mg/mL (25 mg/2,5 mL) — B/1 fl 2,5 mL — Actif.</w:t>
      </w:r>
      <w:r>
        <w:t xml:space="preserve"> </w:t>
      </w:r>
      <w:r>
        <w:t xml:space="preserve">-</w:t>
      </w:r>
      <w:r>
        <w:t xml:space="preserve"> </w:t>
      </w:r>
      <w:r>
        <w:rPr>
          <w:b/>
          <w:bCs/>
        </w:rPr>
        <w:t xml:space="preserve">NEBCINE</w:t>
      </w:r>
      <w:r>
        <w:t xml:space="preserve"> </w:t>
      </w:r>
      <w:r>
        <w:t xml:space="preserve">(LABORATOIRE X.O) — Sol inj IM ou IV lente 25 mg/2,5 mL — B/1 fl 2,5 mL — Actif.</w:t>
      </w:r>
      <w:r>
        <w:t xml:space="preserve"> </w:t>
      </w:r>
      <w:r>
        <w:t xml:space="preserve">-</w:t>
      </w:r>
      <w:r>
        <w:t xml:space="preserve"> </w:t>
      </w:r>
      <w:r>
        <w:rPr>
          <w:b/>
          <w:bCs/>
        </w:rPr>
        <w:t xml:space="preserve">EREMCINE</w:t>
      </w:r>
      <w:r>
        <w:t xml:space="preserve"> </w:t>
      </w:r>
      <w:r>
        <w:t xml:space="preserve">(EREMPHARMA) — Solution injectable IM ou IV lente 50 mg/mL (75 mg/1,5 mL) — B/1 fl 1,5 mL — Actif.</w:t>
      </w:r>
      <w:r>
        <w:t xml:space="preserve"> </w:t>
      </w:r>
      <w:r>
        <w:t xml:space="preserve">-</w:t>
      </w:r>
      <w:r>
        <w:t xml:space="preserve"> </w:t>
      </w:r>
      <w:r>
        <w:rPr>
          <w:b/>
          <w:bCs/>
        </w:rPr>
        <w:t xml:space="preserve">NEBCINE</w:t>
      </w:r>
      <w:r>
        <w:t xml:space="preserve"> </w:t>
      </w:r>
      <w:r>
        <w:t xml:space="preserve">(LABORATOIRE X.O) — Sol inj IM/IV lente 75 mg/1,5 mL — B/1 fl 1,5 mL — Actif.</w:t>
      </w:r>
    </w:p>
    <w:p>
      <w:pPr>
        <w:pStyle w:val="BodyText"/>
      </w:pPr>
      <w:r>
        <w:t xml:space="preserve">Formes ophtalmologiques actives :</w:t>
      </w:r>
      <w:r>
        <w:t xml:space="preserve"> </w:t>
      </w:r>
      <w:r>
        <w:t xml:space="preserve">-</w:t>
      </w:r>
      <w:r>
        <w:t xml:space="preserve"> </w:t>
      </w:r>
      <w:r>
        <w:rPr>
          <w:b/>
          <w:bCs/>
        </w:rPr>
        <w:t xml:space="preserve">OBRAX</w:t>
      </w:r>
      <w:r>
        <w:t xml:space="preserve"> </w:t>
      </w:r>
      <w:r>
        <w:t xml:space="preserve">(BIOTHERA) — Collyre 3 mg/mL — Fl 5 mL — Actif.</w:t>
      </w:r>
      <w:r>
        <w:t xml:space="preserve"> </w:t>
      </w:r>
      <w:r>
        <w:t xml:space="preserve">-</w:t>
      </w:r>
      <w:r>
        <w:t xml:space="preserve"> </w:t>
      </w:r>
      <w:r>
        <w:rPr>
          <w:b/>
          <w:bCs/>
        </w:rPr>
        <w:t xml:space="preserve">TOBRADIS</w:t>
      </w:r>
      <w:r>
        <w:t xml:space="preserve"> </w:t>
      </w:r>
      <w:r>
        <w:t xml:space="preserve">(INPHA-MEDIS) — Collyre 0,3 % (3 mg/mL) — B/1 fl 5 mL — Actif.</w:t>
      </w:r>
    </w:p>
    <w:p>
      <w:pPr>
        <w:pStyle w:val="BodyText"/>
      </w:pPr>
      <w:r>
        <w:t xml:space="preserve">Formes retirées (R) :</w:t>
      </w:r>
      <w:r>
        <w:t xml:space="preserve"> </w:t>
      </w:r>
      <w:r>
        <w:t xml:space="preserve">-</w:t>
      </w:r>
      <w:r>
        <w:t xml:space="preserve"> </w:t>
      </w:r>
      <w:r>
        <w:rPr>
          <w:b/>
          <w:bCs/>
        </w:rPr>
        <w:t xml:space="preserve">MYTOBRIN</w:t>
      </w:r>
      <w:r>
        <w:t xml:space="preserve"> </w:t>
      </w:r>
      <w:r>
        <w:t xml:space="preserve">(PHARMACARE LIMITED) — Sol inj 80 mg/2 mL — B/10 amp 2 mL — Retiré (R).</w:t>
      </w:r>
      <w:r>
        <w:t xml:space="preserve"> </w:t>
      </w:r>
      <w:r>
        <w:t xml:space="preserve">-</w:t>
      </w:r>
      <w:r>
        <w:t xml:space="preserve"> </w:t>
      </w:r>
      <w:r>
        <w:rPr>
          <w:b/>
          <w:bCs/>
        </w:rPr>
        <w:t xml:space="preserve">TOBREX</w:t>
      </w:r>
      <w:r>
        <w:t xml:space="preserve"> </w:t>
      </w:r>
      <w:r>
        <w:t xml:space="preserve">(ALCON) — Collyre 300 000 UI — Fl 5 mL + compte-gouttes — Retiré (R).</w:t>
      </w:r>
    </w:p>
    <w:p>
      <w:pPr>
        <w:pStyle w:val="BodyText"/>
      </w:pPr>
      <w:r>
        <w:rPr>
          <w:b/>
          <w:bCs/>
        </w:rPr>
        <w:t xml:space="preserve">Sous-classe et Mécanisme d’action :</w:t>
      </w:r>
      <w:r>
        <w:t xml:space="preserve"> </w:t>
      </w:r>
      <w:r>
        <w:t xml:space="preserve">- Sous-classe : Aminoglycoside 4,6-disubstitué de la 2-désoxystreptamine, de première génération.</w:t>
      </w:r>
      <w:r>
        <w:t xml:space="preserve"> </w:t>
      </w:r>
      <w:r>
        <w:t xml:space="preserve">- Mécanisme d’action : Identique à la gentamicine. Bactéricide concentration-dépendant. Activité supérieure à la gentamicine sur</w:t>
      </w:r>
      <w:r>
        <w:t xml:space="preserve"> </w:t>
      </w:r>
      <w:r>
        <w:rPr>
          <w:i/>
          <w:iCs/>
        </w:rPr>
        <w:t xml:space="preserve">Pseudomonas aeruginosa</w:t>
      </w:r>
      <w:r>
        <w:t xml:space="preserve"> </w:t>
      </w:r>
      <w:r>
        <w:t xml:space="preserve">(meilleure pénétration via porines OprD).</w:t>
      </w:r>
    </w:p>
    <w:p>
      <w:pPr>
        <w:pStyle w:val="BodyText"/>
      </w:pPr>
      <w:r>
        <w:rPr>
          <w:b/>
          <w:bCs/>
        </w:rPr>
        <w:t xml:space="preserve">Profil Pharmacologique :</w:t>
      </w:r>
      <w:r>
        <w:t xml:space="preserve"> </w:t>
      </w:r>
      <w:r>
        <w:t xml:space="preserve">- Indications : Infections sévères à</w:t>
      </w:r>
      <w:r>
        <w:t xml:space="preserve"> </w:t>
      </w:r>
      <w:r>
        <w:rPr>
          <w:i/>
          <w:iCs/>
        </w:rPr>
        <w:t xml:space="preserve">Pseudomonas aeruginosa</w:t>
      </w:r>
      <w:r>
        <w:t xml:space="preserve"> </w:t>
      </w:r>
      <w:r>
        <w:t xml:space="preserve">(sepsis, pneumopathies nosocomiales, mucoviscidose), infections urinaires, ostéomyelites, endocardites. Formes ophtalmologiques : conjonctivites, blépharites, kératites à Pseudomonas (lentilles de contact).</w:t>
      </w:r>
      <w:r>
        <w:t xml:space="preserve"> </w:t>
      </w:r>
      <w:r>
        <w:t xml:space="preserve">- Contre-indications : Myasthénie, hypersensibilité aux aminoglycosides, grossesse sauf vital, allaitement à discuter.</w:t>
      </w:r>
      <w:r>
        <w:t xml:space="preserve"> </w:t>
      </w:r>
      <w:r>
        <w:t xml:space="preserve">- Spectre : Identique à la gentamicine, mais activité supérieure sur</w:t>
      </w:r>
      <w:r>
        <w:t xml:space="preserve"> </w:t>
      </w:r>
      <w:r>
        <w:rPr>
          <w:i/>
          <w:iCs/>
        </w:rPr>
        <w:t xml:space="preserve">P. aeruginosa</w:t>
      </w:r>
      <w:r>
        <w:t xml:space="preserve"> </w:t>
      </w:r>
      <w:r>
        <w:t xml:space="preserve">; résistance naturelle aux anaérobies.</w:t>
      </w:r>
    </w:p>
    <w:p>
      <w:pPr>
        <w:pStyle w:val="BodyText"/>
      </w:pPr>
      <w:r>
        <w:rPr>
          <w:b/>
          <w:bCs/>
        </w:rPr>
        <w:t xml:space="preserve">Effets Indésirables :</w:t>
      </w:r>
      <w:r>
        <w:t xml:space="preserve"> </w:t>
      </w:r>
      <w:r>
        <w:t xml:space="preserve">- Néphrotoxicité (5–15 %), similaire à la gentamicine.</w:t>
      </w:r>
      <w:r>
        <w:t xml:space="preserve"> </w:t>
      </w:r>
      <w:r>
        <w:t xml:space="preserve">- Ototoxicité vestibulaire prédominante (vertiges, ataxie), cochléaire moindre que la gentamicine.</w:t>
      </w:r>
      <w:r>
        <w:t xml:space="preserve"> </w:t>
      </w:r>
      <w:r>
        <w:t xml:space="preserve">- Bloc neuromusculaire.</w:t>
      </w:r>
      <w:r>
        <w:t xml:space="preserve"> </w:t>
      </w:r>
      <w:r>
        <w:t xml:space="preserve">- Allergie locale (collyre).</w:t>
      </w:r>
    </w:p>
    <w:p>
      <w:pPr>
        <w:pStyle w:val="BodyText"/>
      </w:pPr>
      <w:r>
        <w:rPr>
          <w:b/>
          <w:bCs/>
        </w:rPr>
        <w:t xml:space="preserve">Prévention et Gestion des Effets Indésirables :</w:t>
      </w:r>
      <w:r>
        <w:t xml:space="preserve"> </w:t>
      </w:r>
      <w:r>
        <w:t xml:space="preserve">- Mesures Préventives : Identiques à la gentamicine. Surveillance stricte en cas d’usage nébulisé prolongé (mucoviscidose) — créatininémie annuelle, audiogramme annuel.</w:t>
      </w:r>
      <w:r>
        <w:t xml:space="preserve"> </w:t>
      </w:r>
      <w:r>
        <w:t xml:space="preserve">- Conduite à Tenir : Arrêt immédiat en cas de signes vestibulaires ou cochléaires.</w:t>
      </w:r>
    </w:p>
    <w:p>
      <w:pPr>
        <w:pStyle w:val="BodyText"/>
      </w:pPr>
      <w:r>
        <w:rPr>
          <w:b/>
          <w:bCs/>
        </w:rPr>
        <w:t xml:space="preserve">Interactions Importantes :</w:t>
      </w:r>
      <w:r>
        <w:t xml:space="preserve"> </w:t>
      </w:r>
      <w:r>
        <w:t xml:space="preserve">- Identiques à la gentamicine.</w:t>
      </w:r>
      <w:r>
        <w:t xml:space="preserve"> </w:t>
      </w:r>
      <w:r>
        <w:t xml:space="preserve">- Bisphosphonates : risque de hypocalcémie majorée.</w:t>
      </w:r>
    </w:p>
    <w:p>
      <w:pPr>
        <w:pStyle w:val="BodyText"/>
      </w:pPr>
      <w:r>
        <w:rPr>
          <w:b/>
          <w:bCs/>
        </w:rPr>
        <w:t xml:space="preserve">Grossesse et Allaitement :</w:t>
      </w:r>
      <w:r>
        <w:t xml:space="preserve"> </w:t>
      </w:r>
      <w:r>
        <w:t xml:space="preserve">- Grossesse : Contre-indiqué sauf vital (ototoxicité fœtale).</w:t>
      </w:r>
      <w:r>
        <w:t xml:space="preserve"> </w:t>
      </w:r>
      <w:r>
        <w:t xml:space="preserve">- Allaitement : Compatible pour un traitement court.</w:t>
      </w:r>
      <w:r>
        <w:t xml:space="preserve"> </w:t>
      </w:r>
      <w:r>
        <w:t xml:space="preserve">- Précisions : Risque vestibulaire cochléaire cumulatif.</w:t>
      </w:r>
    </w:p>
    <w:p>
      <w:pPr>
        <w:pStyle w:val="BodyText"/>
      </w:pPr>
      <w:r>
        <w:rPr>
          <w:b/>
          <w:bCs/>
        </w:rPr>
        <w:t xml:space="preserve">Posologie et Mode d’administration (Standard) :</w:t>
      </w:r>
      <w:r>
        <w:t xml:space="preserve"> </w:t>
      </w:r>
      <w:r>
        <w:t xml:space="preserve">- Adulte : 5–7 mg/kg/j en une perfusion IV de 30 min ou IM unique (DUJ). Mucoviscidose nébulisation : 300 mg × 2/j en cycles de 28 jours alternés avec 28 jours d’arrêt.</w:t>
      </w:r>
      <w:r>
        <w:t xml:space="preserve"> </w:t>
      </w:r>
      <w:r>
        <w:t xml:space="preserve">- Enfant : 6–7,5 mg/kg/j en une injection.</w:t>
      </w:r>
      <w:r>
        <w:t xml:space="preserve"> </w:t>
      </w:r>
      <w:r>
        <w:t xml:space="preserve">- Nouveau-né : 4–5 mg/kg/j en une injection.</w:t>
      </w:r>
      <w:r>
        <w:t xml:space="preserve"> </w:t>
      </w:r>
      <w:r>
        <w:t xml:space="preserve">- Collyre : 1 goutte × 4 à 6/j dans l’œil atteint pendant 7 jours.</w:t>
      </w:r>
      <w:r>
        <w:t xml:space="preserve"> </w:t>
      </w:r>
      <w:r>
        <w:t xml:space="preserve">- Durée : 5–10 jours.</w:t>
      </w:r>
    </w:p>
    <w:p>
      <w:pPr>
        <w:pStyle w:val="BodyText"/>
      </w:pPr>
      <w:r>
        <w:rPr>
          <w:b/>
          <w:bCs/>
        </w:rPr>
        <w:t xml:space="preserve">Arbitrage et Bénéfices des Formes Galéniques :</w:t>
      </w:r>
      <w:r>
        <w:t xml:space="preserve"> </w:t>
      </w:r>
      <w:r>
        <w:t xml:space="preserve">Les ampoules de 25 mg et 75 mg couvrent les besoins pédiatriques et adultes. Le collyre 0,3 % est une référence dans les kératites à Pseudomonas chez le porteur de lentilles. Le schéma nébulisé n’est pas disponible en Algérie sous forme prête à l’emploi mais peut être réalisé à partir des ampoules injectables.</w:t>
      </w:r>
    </w:p>
    <w:p>
      <w:pPr>
        <w:pStyle w:val="BodyText"/>
      </w:pPr>
      <w:r>
        <w:rPr>
          <w:b/>
          <w:bCs/>
        </w:rPr>
        <w:t xml:space="preserve">Instructions et Conseils au Patient :</w:t>
      </w:r>
      <w:r>
        <w:t xml:space="preserve"> </w:t>
      </w:r>
      <w:r>
        <w:t xml:space="preserve">- Communication au comptoir : Information sur les signes vestibulaires à signaler, l’observance stricte du schéma.</w:t>
      </w:r>
      <w:r>
        <w:t xml:space="preserve"> </w:t>
      </w:r>
      <w:r>
        <w:t xml:space="preserve">- Mode d’utilisation pratique : Pour le collyre, lavage des mains, instillation, fermeture de l’œil, massage canaliculaire.</w:t>
      </w:r>
    </w:p>
    <w:p>
      <w:pPr>
        <w:pStyle w:val="BodyText"/>
      </w:pPr>
      <w:r>
        <w:rPr>
          <w:b/>
          <w:bCs/>
        </w:rPr>
        <w:t xml:space="preserve">Notes, Règles d’Or &amp; Pièges au Comptoir :</w:t>
      </w:r>
      <w:r>
        <w:t xml:space="preserve"> </w:t>
      </w:r>
      <w:r>
        <w:t xml:space="preserve">- Piège classique : Kératite à Pseudomonas chez porteur de lentilles non diagnostiquée → aggravation rapide → préférer tobramycine sur lentille retirée.</w:t>
      </w:r>
      <w:r>
        <w:t xml:space="preserve"> </w:t>
      </w:r>
      <w:r>
        <w:t xml:space="preserve">- Règle de prise : DUJ stricte, surveillance créatinine.</w:t>
      </w:r>
      <w:r>
        <w:t xml:space="preserve"> </w:t>
      </w:r>
      <w:r>
        <w:t xml:space="preserve">- Préparation et Conservation : Ampoules ≤ 25 °C, à l’abri de la lumière. Collyre à jeter 15 jours après ouverture.</w:t>
      </w:r>
      <w:r>
        <w:t xml:space="preserve"> </w:t>
      </w:r>
      <w:r>
        <w:t xml:space="preserve">- Piège du surdosage / Substitution : Ne pas substituer tobramycine et gentamicine sans contrôle médical.</w:t>
      </w:r>
    </w:p>
    <w:p>
      <w:r>
        <w:pict>
          <v:rect style="width:0;height:1.5pt" o:hralign="center" o:hrstd="t" o:hr="t"/>
        </w:pict>
      </w:r>
    </w:p>
    <w:bookmarkEnd w:id="127"/>
    <w:bookmarkStart w:id="128" w:name="dci-nétilmicine-seule"/>
    <w:p>
      <w:pPr>
        <w:pStyle w:val="Heading3"/>
      </w:pPr>
      <w:r>
        <w:t xml:space="preserve">5.2.5 DCI : Nétilmicine (Seule)</w:t>
      </w:r>
    </w:p>
    <w:p>
      <w:pPr>
        <w:pStyle w:val="FirstParagraph"/>
      </w:pPr>
      <w:r>
        <w:rPr>
          <w:b/>
          <w:bCs/>
        </w:rPr>
        <w:t xml:space="preserve">Liste des Catégories :</w:t>
      </w:r>
      <w:r>
        <w:t xml:space="preserve"> </w:t>
      </w:r>
      <w:r>
        <w:t xml:space="preserve">Liste I.</w:t>
      </w:r>
    </w:p>
    <w:p>
      <w:pPr>
        <w:pStyle w:val="BodyText"/>
      </w:pPr>
      <w:r>
        <w:t xml:space="preserve">La nétilmicine, semi-synthétique dérivée de la gentamicine par addition d’un groupe éthyle en position 1 du 2-désoxystreptamine, a été développée dans les années 1970 pour échapper aux enzymes inactivantes de type AAC(3) et ANT(2”). Son profil d’ototoxicité et de néphrotoxicité est globalement superposable à celui de la tobramycine, sans avantage clinique décisif, ce qui explique sa commercialisation limitée et son statut non renouvelable ou retiré en Algérie.</w:t>
      </w:r>
    </w:p>
    <w:p>
      <w:pPr>
        <w:pStyle w:val="BodyText"/>
      </w:pPr>
      <w:r>
        <w:rPr>
          <w:b/>
          <w:bCs/>
        </w:rPr>
        <w:t xml:space="preserve">Médicaments disponibles en Algérie (Marques, Laboratoires, Formes et Dosages) :</w:t>
      </w:r>
    </w:p>
    <w:p>
      <w:pPr>
        <w:pStyle w:val="BodyText"/>
      </w:pPr>
      <w:r>
        <w:t xml:space="preserve">Formes non renouvelables :</w:t>
      </w:r>
      <w:r>
        <w:t xml:space="preserve"> </w:t>
      </w:r>
      <w:r>
        <w:t xml:space="preserve">-</w:t>
      </w:r>
      <w:r>
        <w:t xml:space="preserve"> </w:t>
      </w:r>
      <w:r>
        <w:rPr>
          <w:b/>
          <w:bCs/>
        </w:rPr>
        <w:t xml:space="preserve">NETROMICINE PEDIATRIQUE</w:t>
      </w:r>
      <w:r>
        <w:t xml:space="preserve"> </w:t>
      </w:r>
      <w:r>
        <w:t xml:space="preserve">(SCHERING-PLOUGH) — Sol inj IM/IV 25 mg/mL (25 mg/1 mL et 50 mg/2 mL) — B/1 amp 1 mL et B/1 amp 2 mL — Non Renouvelable.</w:t>
      </w:r>
    </w:p>
    <w:p>
      <w:pPr>
        <w:pStyle w:val="BodyText"/>
      </w:pPr>
      <w:r>
        <w:t xml:space="preserve">Formes retirées (R) :</w:t>
      </w:r>
      <w:r>
        <w:t xml:space="preserve"> </w:t>
      </w:r>
      <w:r>
        <w:t xml:space="preserve">-</w:t>
      </w:r>
      <w:r>
        <w:t xml:space="preserve"> </w:t>
      </w:r>
      <w:r>
        <w:rPr>
          <w:b/>
          <w:bCs/>
        </w:rPr>
        <w:t xml:space="preserve">NETROMICINE</w:t>
      </w:r>
      <w:r>
        <w:t xml:space="preserve"> </w:t>
      </w:r>
      <w:r>
        <w:t xml:space="preserve">(SCHERING-PLOUGH) — Sol inj IM/IV 100 mg/mL (100 mg/1 mL et 150 mg/1,5 mL) — B/1 amp 1 mL et B/1 amp 1,5 mL — Retiré (R).</w:t>
      </w:r>
    </w:p>
    <w:p>
      <w:pPr>
        <w:pStyle w:val="BodyText"/>
      </w:pPr>
      <w:r>
        <w:rPr>
          <w:b/>
          <w:bCs/>
        </w:rPr>
        <w:t xml:space="preserve">Sous-classe et Mécanisme d’action :</w:t>
      </w:r>
      <w:r>
        <w:t xml:space="preserve"> </w:t>
      </w:r>
      <w:r>
        <w:t xml:space="preserve">- Sous-classe : Aminoglycoside 4,6-disubstitué de la 2-désoxystreptamine, semi-synthétique de deuxième génération.</w:t>
      </w:r>
      <w:r>
        <w:t xml:space="preserve"> </w:t>
      </w:r>
      <w:r>
        <w:t xml:space="preserve">- Mécanisme d’action : Identique à la gentamicine.</w:t>
      </w:r>
    </w:p>
    <w:p>
      <w:pPr>
        <w:pStyle w:val="BodyText"/>
      </w:pPr>
      <w:r>
        <w:rPr>
          <w:b/>
          <w:bCs/>
        </w:rPr>
        <w:t xml:space="preserve">Profil Pharmacologique :</w:t>
      </w:r>
      <w:r>
        <w:t xml:space="preserve"> </w:t>
      </w:r>
      <w:r>
        <w:t xml:space="preserve">- Indications : Identiques à la gentamicine (infections à BGN aérobies sensibles). Réserve habituelle aux souches résistantes à la gentamicine et à la tobramycine par AAC(3).</w:t>
      </w:r>
      <w:r>
        <w:t xml:space="preserve"> </w:t>
      </w:r>
      <w:r>
        <w:t xml:space="preserve">- Contre-indications : Myasthénie, hypersensibilité, grossesse.</w:t>
      </w:r>
      <w:r>
        <w:t xml:space="preserve"> </w:t>
      </w:r>
      <w:r>
        <w:t xml:space="preserve">- Spectre : Superposable à la gentamicine + activité conservée sur certaines souches résistantes à la gentamicine.</w:t>
      </w:r>
    </w:p>
    <w:p>
      <w:pPr>
        <w:pStyle w:val="BodyText"/>
      </w:pPr>
      <w:r>
        <w:rPr>
          <w:b/>
          <w:bCs/>
        </w:rPr>
        <w:t xml:space="preserve">Effets Indésirables :</w:t>
      </w:r>
      <w:r>
        <w:t xml:space="preserve"> </w:t>
      </w:r>
      <w:r>
        <w:t xml:space="preserve">- Néphrotoxicité (5–15 %), ototoxicité cochléaire et vestibulaire équivalentes à la gentamicine.</w:t>
      </w:r>
    </w:p>
    <w:p>
      <w:pPr>
        <w:pStyle w:val="BodyText"/>
      </w:pPr>
      <w:r>
        <w:rPr>
          <w:b/>
          <w:bCs/>
        </w:rPr>
        <w:t xml:space="preserve">Prévention et Gestion des Effets Indésirables :</w:t>
      </w:r>
      <w:r>
        <w:t xml:space="preserve"> </w:t>
      </w:r>
      <w:r>
        <w:t xml:space="preserve">- Mesures Préventives : Identiques à la gentamicine.</w:t>
      </w:r>
      <w:r>
        <w:t xml:space="preserve"> </w:t>
      </w:r>
      <w:r>
        <w:t xml:space="preserve">- Conduite à Tenir : Identique à la gentamicine.</w:t>
      </w:r>
    </w:p>
    <w:p>
      <w:pPr>
        <w:pStyle w:val="BodyText"/>
      </w:pPr>
      <w:r>
        <w:rPr>
          <w:b/>
          <w:bCs/>
        </w:rPr>
        <w:t xml:space="preserve">Interactions Importantes :</w:t>
      </w:r>
      <w:r>
        <w:t xml:space="preserve"> </w:t>
      </w:r>
      <w:r>
        <w:t xml:space="preserve">- Identiques à la gentamicine.</w:t>
      </w:r>
    </w:p>
    <w:p>
      <w:pPr>
        <w:pStyle w:val="BodyText"/>
      </w:pPr>
      <w:r>
        <w:rPr>
          <w:b/>
          <w:bCs/>
        </w:rPr>
        <w:t xml:space="preserve">Grossesse et Allaitement :</w:t>
      </w:r>
      <w:r>
        <w:t xml:space="preserve"> </w:t>
      </w:r>
      <w:r>
        <w:t xml:space="preserve">- Grossesse : Contre-indiqué sauf vital.</w:t>
      </w:r>
      <w:r>
        <w:t xml:space="preserve"> </w:t>
      </w:r>
      <w:r>
        <w:t xml:space="preserve">- Allaitement : Compatible pour un traitement court.</w:t>
      </w:r>
      <w:r>
        <w:t xml:space="preserve"> </w:t>
      </w:r>
      <w:r>
        <w:t xml:space="preserve">- Précisions : Risque ototoxique fœtal.</w:t>
      </w:r>
    </w:p>
    <w:p>
      <w:pPr>
        <w:pStyle w:val="BodyText"/>
      </w:pPr>
      <w:r>
        <w:rPr>
          <w:b/>
          <w:bCs/>
        </w:rPr>
        <w:t xml:space="preserve">Posologie et Mode d’administration (Standard) :</w:t>
      </w:r>
      <w:r>
        <w:t xml:space="preserve"> </w:t>
      </w:r>
      <w:r>
        <w:t xml:space="preserve">- Adulte : 4–6 mg/kg/j en une injection IM ou IV (DUJ).</w:t>
      </w:r>
      <w:r>
        <w:t xml:space="preserve"> </w:t>
      </w:r>
      <w:r>
        <w:t xml:space="preserve">- Enfant : 5,5–8 mg/kg/j en une injection.</w:t>
      </w:r>
      <w:r>
        <w:t xml:space="preserve"> </w:t>
      </w:r>
      <w:r>
        <w:t xml:space="preserve">- Nouveau-né : 5 mg/kg/j en une injection.</w:t>
      </w:r>
      <w:r>
        <w:t xml:space="preserve"> </w:t>
      </w:r>
      <w:r>
        <w:t xml:space="preserve">- Durée : 5–7 jours.</w:t>
      </w:r>
    </w:p>
    <w:p>
      <w:pPr>
        <w:pStyle w:val="BodyText"/>
      </w:pPr>
      <w:r>
        <w:rPr>
          <w:b/>
          <w:bCs/>
        </w:rPr>
        <w:t xml:space="preserve">Arbitrage et Bénéfices des Formes Galéniques :</w:t>
      </w:r>
      <w:r>
        <w:t xml:space="preserve"> </w:t>
      </w:r>
      <w:r>
        <w:t xml:space="preserve">Forme pédiatrique 25 mg/mL permettant l’adaptation posologique chez l’enfant. Disparition progressive du marché algérien (non renouvelable / retiré), remplacée par l’amikacine dans les indications de seconde intention.</w:t>
      </w:r>
    </w:p>
    <w:p>
      <w:pPr>
        <w:pStyle w:val="BodyText"/>
      </w:pPr>
      <w:r>
        <w:rPr>
          <w:b/>
          <w:bCs/>
        </w:rPr>
        <w:t xml:space="preserve">Instructions et Conseils au Patient :</w:t>
      </w:r>
      <w:r>
        <w:t xml:space="preserve"> </w:t>
      </w:r>
      <w:r>
        <w:t xml:space="preserve">- Communication au comptoir : Information sur le caractère hospitalier.</w:t>
      </w:r>
      <w:r>
        <w:t xml:space="preserve"> </w:t>
      </w:r>
      <w:r>
        <w:t xml:space="preserve">- Mode d’utilisation pratique : Identique aux autres aminoglycosides.</w:t>
      </w:r>
    </w:p>
    <w:p>
      <w:pPr>
        <w:pStyle w:val="BodyText"/>
      </w:pPr>
      <w:r>
        <w:rPr>
          <w:b/>
          <w:bCs/>
        </w:rPr>
        <w:t xml:space="preserve">Notes, Règles d’Or &amp; Pièges au Comptoir :</w:t>
      </w:r>
      <w:r>
        <w:t xml:space="preserve"> </w:t>
      </w:r>
      <w:r>
        <w:t xml:space="preserve">- Piège classique : Confusion avec la gentamicine → vérifier la prescription.</w:t>
      </w:r>
      <w:r>
        <w:t xml:space="preserve"> </w:t>
      </w:r>
      <w:r>
        <w:t xml:space="preserve">- Règle de prise : DUJ, surveillance créatinine.</w:t>
      </w:r>
      <w:r>
        <w:t xml:space="preserve"> </w:t>
      </w:r>
      <w:r>
        <w:t xml:space="preserve">- Préparation et Conservation : Ampoules ≤ 25 °C.</w:t>
      </w:r>
      <w:r>
        <w:t xml:space="preserve"> </w:t>
      </w:r>
      <w:r>
        <w:t xml:space="preserve">- Piège du surdosage / Substitution : Ne pas substituer sans contrôle médical.</w:t>
      </w:r>
    </w:p>
    <w:p>
      <w:r>
        <w:pict>
          <v:rect style="width:0;height:1.5pt" o:hralign="center" o:hrstd="t" o:hr="t"/>
        </w:pict>
      </w:r>
    </w:p>
    <w:bookmarkEnd w:id="128"/>
    <w:bookmarkStart w:id="129" w:name="dci-streptomycine-seule"/>
    <w:p>
      <w:pPr>
        <w:pStyle w:val="Heading3"/>
      </w:pPr>
      <w:r>
        <w:t xml:space="preserve">5.2.6 DCI : Streptomycine (Seule)</w:t>
      </w:r>
    </w:p>
    <w:p>
      <w:pPr>
        <w:pStyle w:val="FirstParagraph"/>
      </w:pPr>
      <w:r>
        <w:rPr>
          <w:b/>
          <w:bCs/>
        </w:rPr>
        <w:t xml:space="preserve">Liste des Catégories :</w:t>
      </w:r>
      <w:r>
        <w:t xml:space="preserve"> </w:t>
      </w:r>
      <w:r>
        <w:t xml:space="preserve">Liste I.</w:t>
      </w:r>
    </w:p>
    <w:p>
      <w:pPr>
        <w:pStyle w:val="BodyText"/>
      </w:pPr>
      <w:r>
        <w:t xml:space="preserve">Découverte en 1943 par Waksman et Schatz chez</w:t>
      </w:r>
      <w:r>
        <w:t xml:space="preserve"> </w:t>
      </w:r>
      <w:r>
        <w:rPr>
          <w:i/>
          <w:iCs/>
        </w:rPr>
        <w:t xml:space="preserve">Streptomyces griseus</w:t>
      </w:r>
      <w:r>
        <w:t xml:space="preserve">, la streptomycine est le premier aminoglycoside historique et le premier antibiotique actif sur</w:t>
      </w:r>
      <w:r>
        <w:t xml:space="preserve"> </w:t>
      </w:r>
      <w:r>
        <w:rPr>
          <w:i/>
          <w:iCs/>
        </w:rPr>
        <w:t xml:space="preserve">Mycobacterium tuberculosis</w:t>
      </w:r>
      <w:r>
        <w:t xml:space="preserve">. Son usage clinique a drastiquement régressé avec l’émergence de la résistance (actuellement &gt; 10 % des souches tuberculeuses primaires résistantes en Algérie) et l’avènement des antituberculeux modernes (rifampicine, isoniazide). Elle conserve une place dans le traitement de la tuberculose multirésistante (XDR-TB, pré-XDR-TB), de la peste, de la tularémie et de certaines endocardites à entérocoques résistants.</w:t>
      </w:r>
    </w:p>
    <w:p>
      <w:pPr>
        <w:pStyle w:val="BodyText"/>
      </w:pPr>
      <w:r>
        <w:rPr>
          <w:b/>
          <w:bCs/>
        </w:rPr>
        <w:t xml:space="preserve">Médicaments disponibles en Algérie (Marques, Laboratoires, Formes et Dosages) :</w:t>
      </w:r>
    </w:p>
    <w:p>
      <w:pPr>
        <w:pStyle w:val="BodyText"/>
      </w:pPr>
      <w:r>
        <w:t xml:space="preserve">Formes retirées (R) :</w:t>
      </w:r>
      <w:r>
        <w:t xml:space="preserve"> </w:t>
      </w:r>
      <w:r>
        <w:t xml:space="preserve">-</w:t>
      </w:r>
      <w:r>
        <w:t xml:space="preserve"> </w:t>
      </w:r>
      <w:r>
        <w:rPr>
          <w:b/>
          <w:bCs/>
        </w:rPr>
        <w:t xml:space="preserve">STREPTOMYCIN SULFATE</w:t>
      </w:r>
      <w:r>
        <w:t xml:space="preserve"> </w:t>
      </w:r>
      <w:r>
        <w:t xml:space="preserve">(CHINA MEHECO) — Poudre pour sol inj 1 g — B/50 — Retiré (R).</w:t>
      </w:r>
      <w:r>
        <w:t xml:space="preserve"> </w:t>
      </w:r>
      <w:r>
        <w:t xml:space="preserve">-</w:t>
      </w:r>
      <w:r>
        <w:t xml:space="preserve"> </w:t>
      </w:r>
      <w:r>
        <w:rPr>
          <w:b/>
          <w:bCs/>
        </w:rPr>
        <w:t xml:space="preserve">STREPTOMYCINE FLAVELAB</w:t>
      </w:r>
      <w:r>
        <w:t xml:space="preserve"> </w:t>
      </w:r>
      <w:r>
        <w:t xml:space="preserve">(FLAVELAB) — Poudre pour sol inj 1 g — B/100 — Retiré (R).</w:t>
      </w:r>
      <w:r>
        <w:t xml:space="preserve"> </w:t>
      </w:r>
      <w:r>
        <w:t xml:space="preserve">-</w:t>
      </w:r>
      <w:r>
        <w:t xml:space="preserve"> </w:t>
      </w:r>
      <w:r>
        <w:rPr>
          <w:b/>
          <w:bCs/>
        </w:rPr>
        <w:t xml:space="preserve">STREPTOMYCINE</w:t>
      </w:r>
      <w:r>
        <w:t xml:space="preserve"> </w:t>
      </w:r>
      <w:r>
        <w:t xml:space="preserve">(LIFEPHARMA) — Poudre pour sol inj 1 g — B/50 — Retiré (R).</w:t>
      </w:r>
      <w:r>
        <w:t xml:space="preserve"> </w:t>
      </w:r>
      <w:r>
        <w:t xml:space="preserve">-</w:t>
      </w:r>
      <w:r>
        <w:t xml:space="preserve"> </w:t>
      </w:r>
      <w:r>
        <w:rPr>
          <w:b/>
          <w:bCs/>
        </w:rPr>
        <w:t xml:space="preserve">STREPTOMYCINE SARBACH</w:t>
      </w:r>
      <w:r>
        <w:t xml:space="preserve"> </w:t>
      </w:r>
      <w:r>
        <w:t xml:space="preserve">(SOLVAY PHARMA) — Sol inj 1 g — B/1 amp 4 mL — Retiré (R).</w:t>
      </w:r>
    </w:p>
    <w:p>
      <w:pPr>
        <w:pStyle w:val="BodyText"/>
      </w:pPr>
      <w:r>
        <w:t xml:space="preserve">Aucune forme actuellement active en Algérie. La streptomycine reste disponible dans le cadre du Programme National de Lutte contre la Tuberculose (PNLT) via les circuits spécifiques de l’INSP.</w:t>
      </w:r>
    </w:p>
    <w:p>
      <w:pPr>
        <w:pStyle w:val="BodyText"/>
      </w:pPr>
      <w:r>
        <w:rPr>
          <w:b/>
          <w:bCs/>
        </w:rPr>
        <w:t xml:space="preserve">Sous-classe et Mécanisme d’action :</w:t>
      </w:r>
      <w:r>
        <w:t xml:space="preserve"> </w:t>
      </w:r>
      <w:r>
        <w:t xml:space="preserve">- Sous-classe : Aminoglycoside 4,5-disubstitué de la streptidine (et non de la 2-désoxystreptamine), de première génération.</w:t>
      </w:r>
      <w:r>
        <w:t xml:space="preserve"> </w:t>
      </w:r>
      <w:r>
        <w:t xml:space="preserve">- Mécanisme d’action : Liaison à la protéine S12 de la sous-unité 30S, mais sans erreur de traduction aussi marquée que la gentamicine ; altération de l’initiation et de la fidélité de traduction. Bactéricide concentration-dépendant.</w:t>
      </w:r>
    </w:p>
    <w:p>
      <w:pPr>
        <w:pStyle w:val="BodyText"/>
      </w:pPr>
      <w:r>
        <w:rPr>
          <w:b/>
          <w:bCs/>
        </w:rPr>
        <w:t xml:space="preserve">Profil Pharmacologique :</w:t>
      </w:r>
      <w:r>
        <w:t xml:space="preserve"> </w:t>
      </w:r>
      <w:r>
        <w:t xml:space="preserve">- Indications : Tuberculose multirésistante (associée à d’autres antituberculeux de seconde ligne), peste (</w:t>
      </w:r>
      <w:r>
        <w:rPr>
          <w:i/>
          <w:iCs/>
        </w:rPr>
        <w:t xml:space="preserve">Yersinia pestis</w:t>
      </w:r>
      <w:r>
        <w:t xml:space="preserve">), tularémie (</w:t>
      </w:r>
      <w:r>
        <w:rPr>
          <w:i/>
          <w:iCs/>
        </w:rPr>
        <w:t xml:space="preserve">Francisella tularensis</w:t>
      </w:r>
      <w:r>
        <w:t xml:space="preserve">), endocardite à</w:t>
      </w:r>
      <w:r>
        <w:t xml:space="preserve"> </w:t>
      </w:r>
      <w:r>
        <w:rPr>
          <w:i/>
          <w:iCs/>
        </w:rPr>
        <w:t xml:space="preserve">Enterococcus faecalis</w:t>
      </w:r>
      <w:r>
        <w:t xml:space="preserve"> </w:t>
      </w:r>
      <w:r>
        <w:t xml:space="preserve">résistant à la gentamicine (en association avec l’amoxicilline ou la vancomycine).</w:t>
      </w:r>
      <w:r>
        <w:t xml:space="preserve"> </w:t>
      </w:r>
      <w:r>
        <w:t xml:space="preserve">- Contre-indications : Myasthénie, hypersensibilité, grossesse (sauf vital, risque VIII).</w:t>
      </w:r>
      <w:r>
        <w:t xml:space="preserve"> </w:t>
      </w:r>
      <w:r>
        <w:t xml:space="preserve">- Spectre : Mycobactéries (M. tuberculosis, M. bovis), BGN aérobies (activité partielle), Brucella, Yersinia, Francisella. Streptocoques et entérocoques par synergie avec bêta-lactamines.</w:t>
      </w:r>
    </w:p>
    <w:p>
      <w:pPr>
        <w:pStyle w:val="BodyText"/>
      </w:pPr>
      <w:r>
        <w:rPr>
          <w:b/>
          <w:bCs/>
        </w:rPr>
        <w:t xml:space="preserve">Effets Indésirables :</w:t>
      </w:r>
      <w:r>
        <w:t xml:space="preserve"> </w:t>
      </w:r>
      <w:r>
        <w:t xml:space="preserve">- Ototoxicité vestibulaire prédominante (ataxie, vertiges, nystagmus), dose-cumulative-dépendante, souvent irréversible.</w:t>
      </w:r>
      <w:r>
        <w:t xml:space="preserve"> </w:t>
      </w:r>
      <w:r>
        <w:t xml:space="preserve">- Ototoxicité cochléaire moindre que la gentamicine.</w:t>
      </w:r>
      <w:r>
        <w:t xml:space="preserve"> </w:t>
      </w:r>
      <w:r>
        <w:t xml:space="preserve">- Néphrotoxicité modérée.</w:t>
      </w:r>
      <w:r>
        <w:t xml:space="preserve"> </w:t>
      </w:r>
      <w:r>
        <w:t xml:space="preserve">- Bloc neuromusculaire.</w:t>
      </w:r>
      <w:r>
        <w:t xml:space="preserve"> </w:t>
      </w:r>
      <w:r>
        <w:t xml:space="preserve">- Hypersensibilité (rash, fièvre, éosinophilie).</w:t>
      </w:r>
    </w:p>
    <w:p>
      <w:pPr>
        <w:pStyle w:val="BodyText"/>
      </w:pPr>
      <w:r>
        <w:rPr>
          <w:b/>
          <w:bCs/>
        </w:rPr>
        <w:t xml:space="preserve">Prévention et Gestion des Effets Indésirables :</w:t>
      </w:r>
      <w:r>
        <w:t xml:space="preserve"> </w:t>
      </w:r>
      <w:r>
        <w:t xml:space="preserve">- Mesures Préventives : Examen ORL et audiométrique vestibulaire avant et pendant le traitement, surveillance créatininémie, limitation de la durée.</w:t>
      </w:r>
      <w:r>
        <w:t xml:space="preserve"> </w:t>
      </w:r>
      <w:r>
        <w:t xml:space="preserve">- Conduite à Tenir : Arrêt immédiat en cas de signes vestibulaires.</w:t>
      </w:r>
    </w:p>
    <w:p>
      <w:pPr>
        <w:pStyle w:val="BodyText"/>
      </w:pPr>
      <w:r>
        <w:rPr>
          <w:b/>
          <w:bCs/>
        </w:rPr>
        <w:t xml:space="preserve">Interactions Importantes :</w:t>
      </w:r>
      <w:r>
        <w:t xml:space="preserve"> </w:t>
      </w:r>
      <w:r>
        <w:t xml:space="preserve">- Diurétiques de l’anse : potentialisation ototoxique.</w:t>
      </w:r>
      <w:r>
        <w:t xml:space="preserve"> </w:t>
      </w:r>
      <w:r>
        <w:t xml:space="preserve">- AINS : néphrotoxicité.</w:t>
      </w:r>
      <w:r>
        <w:t xml:space="preserve"> </w:t>
      </w:r>
      <w:r>
        <w:t xml:space="preserve">- Autres aminoglycosides : toxicité cumulative.</w:t>
      </w:r>
      <w:r>
        <w:t xml:space="preserve"> </w:t>
      </w:r>
      <w:r>
        <w:t xml:space="preserve">- Curares : bloc neuromusculaire.</w:t>
      </w:r>
    </w:p>
    <w:p>
      <w:pPr>
        <w:pStyle w:val="BodyText"/>
      </w:pPr>
      <w:r>
        <w:rPr>
          <w:b/>
          <w:bCs/>
        </w:rPr>
        <w:t xml:space="preserve">Grossesse et Allaitement :</w:t>
      </w:r>
      <w:r>
        <w:t xml:space="preserve"> </w:t>
      </w:r>
      <w:r>
        <w:t xml:space="preserve">- Grossesse : Contre-indiqué sauf vital (ototoxicité fœtale du 8e nerf crânien).</w:t>
      </w:r>
      <w:r>
        <w:t xml:space="preserve"> </w:t>
      </w:r>
      <w:r>
        <w:t xml:space="preserve">- Allaitement : Compatible pour traitement court ; à éviter en cas de traitement prolongé antituberculeux.</w:t>
      </w:r>
      <w:r>
        <w:t xml:space="preserve"> </w:t>
      </w:r>
      <w:r>
        <w:t xml:space="preserve">- Précisions : Audionévral de naissance recommandé après exposition in utero.</w:t>
      </w:r>
    </w:p>
    <w:p>
      <w:pPr>
        <w:pStyle w:val="BodyText"/>
      </w:pPr>
      <w:r>
        <w:rPr>
          <w:b/>
          <w:bCs/>
        </w:rPr>
        <w:t xml:space="preserve">Posologie et Mode d’administration (Standard) :</w:t>
      </w:r>
      <w:r>
        <w:t xml:space="preserve"> </w:t>
      </w:r>
      <w:r>
        <w:t xml:space="preserve">- Adulte : 15 mg/kg/j (max 1 g) en IM profonde, 5 à 7 jours/semaine pendant 2 mois, puis 25–30 mg/kg 3 fois/semaine.</w:t>
      </w:r>
      <w:r>
        <w:t xml:space="preserve"> </w:t>
      </w:r>
      <w:r>
        <w:t xml:space="preserve">- Sujet âgé &gt; 50 ans : 10 mg/kg/j (max 750 mg).</w:t>
      </w:r>
      <w:r>
        <w:t xml:space="preserve"> </w:t>
      </w:r>
      <w:r>
        <w:t xml:space="preserve">- Enfant : 20–40 mg/kg/j.</w:t>
      </w:r>
      <w:r>
        <w:t xml:space="preserve"> </w:t>
      </w:r>
      <w:r>
        <w:t xml:space="preserve">- Insuffisance rénale : espacement des injections (Q48–72 h selon clairance).</w:t>
      </w:r>
      <w:r>
        <w:t xml:space="preserve"> </w:t>
      </w:r>
      <w:r>
        <w:t xml:space="preserve">- Durée : Tuberculose : 2 mois minimum ; endocardite : 4–6 semaines.</w:t>
      </w:r>
    </w:p>
    <w:p>
      <w:pPr>
        <w:pStyle w:val="BodyText"/>
      </w:pPr>
      <w:r>
        <w:rPr>
          <w:b/>
          <w:bCs/>
        </w:rPr>
        <w:t xml:space="preserve">Arbitrage et Bénéfices des Formes Galéniques :</w:t>
      </w:r>
      <w:r>
        <w:t xml:space="preserve"> </w:t>
      </w:r>
      <w:r>
        <w:t xml:space="preserve">Forme poudre pour solution injectable IM uniquement (la streptomycine IV est hautement neurotoxique). Disponibilité actuellement exclusivement dans le cadre PNLT.</w:t>
      </w:r>
    </w:p>
    <w:p>
      <w:pPr>
        <w:pStyle w:val="BodyText"/>
      </w:pPr>
      <w:r>
        <w:rPr>
          <w:b/>
          <w:bCs/>
        </w:rPr>
        <w:t xml:space="preserve">Instructions et Conseils au Patient :</w:t>
      </w:r>
      <w:r>
        <w:t xml:space="preserve"> </w:t>
      </w:r>
      <w:r>
        <w:t xml:space="preserve">- Communication au comptoir : Information sur l’injection IM douloureuse, la nécessité de la régularité, la surveillance ORL.</w:t>
      </w:r>
      <w:r>
        <w:t xml:space="preserve"> </w:t>
      </w:r>
      <w:r>
        <w:t xml:space="preserve">- Mode d’utilisation pratique : Injection IM profonde quadrant supéro-externe, alternance des sites.</w:t>
      </w:r>
    </w:p>
    <w:p>
      <w:pPr>
        <w:pStyle w:val="BodyText"/>
      </w:pPr>
      <w:r>
        <w:rPr>
          <w:b/>
          <w:bCs/>
        </w:rPr>
        <w:t xml:space="preserve">Notes, Règles d’Or &amp; Pièges au Comptoir :</w:t>
      </w:r>
      <w:r>
        <w:t xml:space="preserve"> </w:t>
      </w:r>
      <w:r>
        <w:t xml:space="preserve">- Piège classique : Streptomycine IV = neurotoxicité majeure (à proscrire absolument).</w:t>
      </w:r>
      <w:r>
        <w:t xml:space="preserve"> </w:t>
      </w:r>
      <w:r>
        <w:t xml:space="preserve">- Règle de prise : IM stricte.</w:t>
      </w:r>
      <w:r>
        <w:t xml:space="preserve"> </w:t>
      </w:r>
      <w:r>
        <w:t xml:space="preserve">- Préparation et Conservation : Reconstitution dans 2 à 4 mL d’eau pour préparation injectable ou NaCl 0,9 %, utilisation immédiate, conservation 24 h à 2–8 °C.</w:t>
      </w:r>
      <w:r>
        <w:t xml:space="preserve"> </w:t>
      </w:r>
      <w:r>
        <w:t xml:space="preserve">- Piège du surdosage / Substitution : Risque de toxicité vestibulaire cumulative si traitement prolongé.</w:t>
      </w:r>
    </w:p>
    <w:p>
      <w:r>
        <w:pict>
          <v:rect style="width:0;height:1.5pt" o:hralign="center" o:hrstd="t" o:hr="t"/>
        </w:pict>
      </w:r>
    </w:p>
    <w:bookmarkEnd w:id="129"/>
    <w:bookmarkStart w:id="130" w:name="dci-spectinomycine-seule"/>
    <w:p>
      <w:pPr>
        <w:pStyle w:val="Heading3"/>
      </w:pPr>
      <w:r>
        <w:t xml:space="preserve">5.2.7 DCI : Spectinomycine (Seule)</w:t>
      </w:r>
    </w:p>
    <w:p>
      <w:pPr>
        <w:pStyle w:val="FirstParagraph"/>
      </w:pPr>
      <w:r>
        <w:rPr>
          <w:b/>
          <w:bCs/>
        </w:rPr>
        <w:t xml:space="preserve">Liste des Catégories :</w:t>
      </w:r>
      <w:r>
        <w:t xml:space="preserve"> </w:t>
      </w:r>
      <w:r>
        <w:t xml:space="preserve">Liste I.</w:t>
      </w:r>
    </w:p>
    <w:p>
      <w:pPr>
        <w:pStyle w:val="BodyText"/>
      </w:pPr>
      <w:r>
        <w:t xml:space="preserve">La spectinomycine, isolée en 1961 de</w:t>
      </w:r>
      <w:r>
        <w:t xml:space="preserve"> </w:t>
      </w:r>
      <w:r>
        <w:rPr>
          <w:i/>
          <w:iCs/>
        </w:rPr>
        <w:t xml:space="preserve">Streptomyces spectabilis</w:t>
      </w:r>
      <w:r>
        <w:t xml:space="preserve">, est un aminocyclitol (et non strictement un aminoglycoside) : son noyau est un cyclitol monocyclique sans 2-désoxystreptamine. Elle est bactériostatique et non bactéricide. Son usage a historiquement été limité au traitement des urétrites gonococciques en cas de contre-indication aux bêta-lactamines et aux fluoroquinolones. Sa commercialisation a été arrêtée en Algérie (toutes formes retirées).</w:t>
      </w:r>
    </w:p>
    <w:p>
      <w:pPr>
        <w:pStyle w:val="BodyText"/>
      </w:pPr>
      <w:r>
        <w:rPr>
          <w:b/>
          <w:bCs/>
        </w:rPr>
        <w:t xml:space="preserve">Médicaments disponibles en Algérie (Marques, Laboratoires, Formes et Dosages) :</w:t>
      </w:r>
    </w:p>
    <w:p>
      <w:pPr>
        <w:pStyle w:val="BodyText"/>
      </w:pPr>
      <w:r>
        <w:t xml:space="preserve">Formes retirées (R) :</w:t>
      </w:r>
      <w:r>
        <w:t xml:space="preserve"> </w:t>
      </w:r>
      <w:r>
        <w:t xml:space="preserve">-</w:t>
      </w:r>
      <w:r>
        <w:t xml:space="preserve"> </w:t>
      </w:r>
      <w:r>
        <w:rPr>
          <w:b/>
          <w:bCs/>
        </w:rPr>
        <w:t xml:space="preserve">SPECTINOMYCINE</w:t>
      </w:r>
      <w:r>
        <w:t xml:space="preserve"> </w:t>
      </w:r>
      <w:r>
        <w:t xml:space="preserve">(LIFEPHARMA) — Poudre pour sol inj 2 g — B/1+1 — Retiré (R).</w:t>
      </w:r>
      <w:r>
        <w:t xml:space="preserve"> </w:t>
      </w:r>
      <w:r>
        <w:t xml:space="preserve">-</w:t>
      </w:r>
      <w:r>
        <w:t xml:space="preserve"> </w:t>
      </w:r>
      <w:r>
        <w:rPr>
          <w:b/>
          <w:bCs/>
        </w:rPr>
        <w:t xml:space="preserve">TROBICINE</w:t>
      </w:r>
      <w:r>
        <w:t xml:space="preserve"> </w:t>
      </w:r>
      <w:r>
        <w:t xml:space="preserve">(PHARMACIA UPJOHN) — Poudre pour sol inj 2 g — B/1+1 — Retiré (R).</w:t>
      </w:r>
    </w:p>
    <w:p>
      <w:pPr>
        <w:pStyle w:val="BodyText"/>
      </w:pPr>
      <w:r>
        <w:rPr>
          <w:b/>
          <w:bCs/>
        </w:rPr>
        <w:t xml:space="preserve">Sous-classe et Mécanisme d’action :</w:t>
      </w:r>
      <w:r>
        <w:t xml:space="preserve"> </w:t>
      </w:r>
      <w:r>
        <w:t xml:space="preserve">- Sous-classe : Aminocyclitol (voisine des aminoglycosides), de première génération.</w:t>
      </w:r>
      <w:r>
        <w:t xml:space="preserve"> </w:t>
      </w:r>
      <w:r>
        <w:t xml:space="preserve">- Mécanisme d’action : Liaison à la protéine S5 de la sous-unité 30S, inhibition de la translocation par blocage du facteur EF-G. Bactériostatique (pas d’erreur de traduction, pas de fuite membranaire).</w:t>
      </w:r>
    </w:p>
    <w:p>
      <w:pPr>
        <w:pStyle w:val="BodyText"/>
      </w:pPr>
      <w:r>
        <w:rPr>
          <w:b/>
          <w:bCs/>
        </w:rPr>
        <w:t xml:space="preserve">Profil Pharmacologique :</w:t>
      </w:r>
      <w:r>
        <w:t xml:space="preserve"> </w:t>
      </w:r>
      <w:r>
        <w:t xml:space="preserve">- Indications : Urétrite gonococcique aiguë en alternative aux céphalosporines et fluoroquinolones (historique). Plus utilisée aujourd’hui.</w:t>
      </w:r>
      <w:r>
        <w:t xml:space="preserve"> </w:t>
      </w:r>
      <w:r>
        <w:t xml:space="preserve">- Contre-indications : Hypersensibilité, grossesse par prudence.</w:t>
      </w:r>
      <w:r>
        <w:t xml:space="preserve"> </w:t>
      </w:r>
      <w:r>
        <w:t xml:space="preserve">- Spectre : Gonocoque, autres Neisseria, certaines Pasteurella. Pas d’activité sur Treponema, Chlamydia, mycoplasmes.</w:t>
      </w:r>
    </w:p>
    <w:p>
      <w:pPr>
        <w:pStyle w:val="BodyText"/>
      </w:pPr>
      <w:r>
        <w:rPr>
          <w:b/>
          <w:bCs/>
        </w:rPr>
        <w:t xml:space="preserve">Effets Indésirables :</w:t>
      </w:r>
      <w:r>
        <w:t xml:space="preserve"> </w:t>
      </w:r>
      <w:r>
        <w:t xml:space="preserve">- Douleur au site d’injection, fièvre, urticaire, nausées, vertiges, éruption cutanée.</w:t>
      </w:r>
      <w:r>
        <w:t xml:space="preserve"> </w:t>
      </w:r>
      <w:r>
        <w:t xml:space="preserve">- Pas de néphrotoxicité ni d’ototoxicité significative.</w:t>
      </w:r>
    </w:p>
    <w:p>
      <w:pPr>
        <w:pStyle w:val="BodyText"/>
      </w:pPr>
      <w:r>
        <w:rPr>
          <w:b/>
          <w:bCs/>
        </w:rPr>
        <w:t xml:space="preserve">Prévention et Gestion des Effets Indésirables :</w:t>
      </w:r>
      <w:r>
        <w:t xml:space="preserve"> </w:t>
      </w:r>
      <w:r>
        <w:t xml:space="preserve">- Mesures Préventives : Injection IM profonde.</w:t>
      </w:r>
      <w:r>
        <w:t xml:space="preserve"> </w:t>
      </w:r>
      <w:r>
        <w:t xml:space="preserve">- Conduite à Tenir : Symptomatique.</w:t>
      </w:r>
    </w:p>
    <w:p>
      <w:pPr>
        <w:pStyle w:val="BodyText"/>
      </w:pPr>
      <w:r>
        <w:rPr>
          <w:b/>
          <w:bCs/>
        </w:rPr>
        <w:t xml:space="preserve">Interactions Importantes :</w:t>
      </w:r>
      <w:r>
        <w:t xml:space="preserve"> </w:t>
      </w:r>
      <w:r>
        <w:t xml:space="preserve">- Pas d’interaction significative.</w:t>
      </w:r>
    </w:p>
    <w:p>
      <w:pPr>
        <w:pStyle w:val="BodyText"/>
      </w:pPr>
      <w:r>
        <w:rPr>
          <w:b/>
          <w:bCs/>
        </w:rPr>
        <w:t xml:space="preserve">Grossesse et Allaitement :</w:t>
      </w:r>
      <w:r>
        <w:t xml:space="preserve"> </w:t>
      </w:r>
      <w:r>
        <w:t xml:space="preserve">- Grossesse : Données limitées, à éviter par prudence.</w:t>
      </w:r>
      <w:r>
        <w:t xml:space="preserve"> </w:t>
      </w:r>
      <w:r>
        <w:t xml:space="preserve">- Allaitement : Données limitées.</w:t>
      </w:r>
      <w:r>
        <w:t xml:space="preserve"> </w:t>
      </w:r>
      <w:r>
        <w:t xml:space="preserve">- Précisions : Pas d’effet tératogène documenté.</w:t>
      </w:r>
    </w:p>
    <w:p>
      <w:pPr>
        <w:pStyle w:val="BodyText"/>
      </w:pPr>
      <w:r>
        <w:rPr>
          <w:b/>
          <w:bCs/>
        </w:rPr>
        <w:t xml:space="preserve">Posologie et Mode d’administration (Standard) :</w:t>
      </w:r>
      <w:r>
        <w:t xml:space="preserve"> </w:t>
      </w:r>
      <w:r>
        <w:t xml:space="preserve">- Adulte : 2 g IM dose unique (4 g en cas de résistance ou de dissémination).</w:t>
      </w:r>
      <w:r>
        <w:t xml:space="preserve"> </w:t>
      </w:r>
      <w:r>
        <w:t xml:space="preserve">- Enfant : 40 mg/kg IM dose unique.</w:t>
      </w:r>
      <w:r>
        <w:t xml:space="preserve"> </w:t>
      </w:r>
      <w:r>
        <w:t xml:space="preserve">- Durée : Dose unique.</w:t>
      </w:r>
    </w:p>
    <w:p>
      <w:pPr>
        <w:pStyle w:val="BodyText"/>
      </w:pPr>
      <w:r>
        <w:rPr>
          <w:b/>
          <w:bCs/>
        </w:rPr>
        <w:t xml:space="preserve">Arbitrage et Bénéfices des Formes Galéniques :</w:t>
      </w:r>
      <w:r>
        <w:t xml:space="preserve"> </w:t>
      </w:r>
      <w:r>
        <w:t xml:space="preserve">Forme poudre pour sol inj IM. Disparue du marché algérien.</w:t>
      </w:r>
    </w:p>
    <w:p>
      <w:pPr>
        <w:pStyle w:val="BodyText"/>
      </w:pPr>
      <w:r>
        <w:rPr>
          <w:b/>
          <w:bCs/>
        </w:rPr>
        <w:t xml:space="preserve">Instructions et Conseils au Patient :</w:t>
      </w:r>
      <w:r>
        <w:t xml:space="preserve"> </w:t>
      </w:r>
      <w:r>
        <w:t xml:space="preserve">- Communication au comptoir : Historique.</w:t>
      </w:r>
      <w:r>
        <w:t xml:space="preserve"> </w:t>
      </w:r>
      <w:r>
        <w:t xml:space="preserve">- Mode d’utilisation pratique : Injection IM profonde.</w:t>
      </w:r>
    </w:p>
    <w:p>
      <w:pPr>
        <w:pStyle w:val="BodyText"/>
      </w:pPr>
      <w:r>
        <w:rPr>
          <w:b/>
          <w:bCs/>
        </w:rPr>
        <w:t xml:space="preserve">Notes, Règles d’Or &amp; Pièges au Comptoir :</w:t>
      </w:r>
      <w:r>
        <w:t xml:space="preserve"> </w:t>
      </w:r>
      <w:r>
        <w:t xml:space="preserve">- Piège classique : Confusion avec streptomycine (TOXICITÉ différente).</w:t>
      </w:r>
      <w:r>
        <w:t xml:space="preserve"> </w:t>
      </w:r>
      <w:r>
        <w:t xml:space="preserve">- Règle de prise : Dose unique IM.</w:t>
      </w:r>
      <w:r>
        <w:t xml:space="preserve"> </w:t>
      </w:r>
      <w:r>
        <w:t xml:space="preserve">- Préparation et Conservation : Reconstitution immédiate.</w:t>
      </w:r>
      <w:r>
        <w:t xml:space="preserve"> </w:t>
      </w:r>
      <w:r>
        <w:t xml:space="preserve">- Piège du surdosage / Substitution : Non applicable actuellement.</w:t>
      </w:r>
    </w:p>
    <w:p>
      <w:r>
        <w:pict>
          <v:rect style="width:0;height:1.5pt" o:hralign="center" o:hrstd="t" o:hr="t"/>
        </w:pict>
      </w:r>
    </w:p>
    <w:bookmarkEnd w:id="130"/>
    <w:bookmarkStart w:id="131" w:name="dci-kanamycine-seule"/>
    <w:p>
      <w:pPr>
        <w:pStyle w:val="Heading3"/>
      </w:pPr>
      <w:r>
        <w:t xml:space="preserve">5.2.8 DCI : Kanamycine (Seule)</w:t>
      </w:r>
    </w:p>
    <w:p>
      <w:pPr>
        <w:pStyle w:val="FirstParagraph"/>
      </w:pPr>
      <w:r>
        <w:rPr>
          <w:b/>
          <w:bCs/>
        </w:rPr>
        <w:t xml:space="preserve">Liste des Catégories :</w:t>
      </w:r>
      <w:r>
        <w:t xml:space="preserve"> </w:t>
      </w:r>
      <w:r>
        <w:t xml:space="preserve">Liste I.</w:t>
      </w:r>
    </w:p>
    <w:p>
      <w:pPr>
        <w:pStyle w:val="BodyText"/>
      </w:pPr>
      <w:r>
        <w:t xml:space="preserve">La kanamycine, isolée en 1957 de</w:t>
      </w:r>
      <w:r>
        <w:t xml:space="preserve"> </w:t>
      </w:r>
      <w:r>
        <w:rPr>
          <w:i/>
          <w:iCs/>
        </w:rPr>
        <w:t xml:space="preserve">Streptomyces kanamyceticus</w:t>
      </w:r>
      <w:r>
        <w:t xml:space="preserve">, est un aminoglycoside 4,6-disubstitué de première génération. Historiquement utilisée comme antituberculeux de seconde ligne, elle a été supplantée par l’amikacine (qui en dérive) dans la plupart des indications. Son usage actuel est marginal, limité à certains contextes de tuberculose multirésistante en alternative à l’amikacine. Toutes les formes ont été retirées du marché algérien.</w:t>
      </w:r>
    </w:p>
    <w:p>
      <w:pPr>
        <w:pStyle w:val="BodyText"/>
      </w:pPr>
      <w:r>
        <w:rPr>
          <w:b/>
          <w:bCs/>
        </w:rPr>
        <w:t xml:space="preserve">Médicaments disponibles en Algérie (Marques, Laboratoires, Formes et Dosages) :</w:t>
      </w:r>
    </w:p>
    <w:p>
      <w:pPr>
        <w:pStyle w:val="BodyText"/>
      </w:pPr>
      <w:r>
        <w:t xml:space="preserve">Formes retirées (R) :</w:t>
      </w:r>
      <w:r>
        <w:t xml:space="preserve"> </w:t>
      </w:r>
      <w:r>
        <w:t xml:space="preserve">-</w:t>
      </w:r>
      <w:r>
        <w:t xml:space="preserve"> </w:t>
      </w:r>
      <w:r>
        <w:rPr>
          <w:b/>
          <w:bCs/>
        </w:rPr>
        <w:t xml:space="preserve">KANAMYCINE FLAVELAB</w:t>
      </w:r>
      <w:r>
        <w:t xml:space="preserve"> </w:t>
      </w:r>
      <w:r>
        <w:t xml:space="preserve">(FLAVELAB) — Poudre pour sol inj 1 g — B/100 — Retiré (R).</w:t>
      </w:r>
      <w:r>
        <w:t xml:space="preserve"> </w:t>
      </w:r>
      <w:r>
        <w:t xml:space="preserve">-</w:t>
      </w:r>
      <w:r>
        <w:t xml:space="preserve"> </w:t>
      </w:r>
      <w:r>
        <w:rPr>
          <w:b/>
          <w:bCs/>
        </w:rPr>
        <w:t xml:space="preserve">KANAMED</w:t>
      </w:r>
      <w:r>
        <w:t xml:space="preserve"> </w:t>
      </w:r>
      <w:r>
        <w:t xml:space="preserve">(LIFEPHARMA) — Sol inj 1 g/4 mL — B/100 — Retiré (R).</w:t>
      </w:r>
    </w:p>
    <w:p>
      <w:pPr>
        <w:pStyle w:val="BodyText"/>
      </w:pPr>
      <w:r>
        <w:rPr>
          <w:b/>
          <w:bCs/>
        </w:rPr>
        <w:t xml:space="preserve">Sous-classe et Mécanisme d’action :</w:t>
      </w:r>
      <w:r>
        <w:t xml:space="preserve"> </w:t>
      </w:r>
      <w:r>
        <w:t xml:space="preserve">- Sous-classe : Aminoglycoside 4,6-disubstitué de la 2-désoxystreptamine, de première génération.</w:t>
      </w:r>
      <w:r>
        <w:t xml:space="preserve"> </w:t>
      </w:r>
      <w:r>
        <w:t xml:space="preserve">- Mécanisme d’action : Identique à la gentamicine. Bactéricide concentration-dépendant.</w:t>
      </w:r>
    </w:p>
    <w:p>
      <w:pPr>
        <w:pStyle w:val="BodyText"/>
      </w:pPr>
      <w:r>
        <w:rPr>
          <w:b/>
          <w:bCs/>
        </w:rPr>
        <w:t xml:space="preserve">Profil Pharmacologique :</w:t>
      </w:r>
      <w:r>
        <w:t xml:space="preserve"> </w:t>
      </w:r>
      <w:r>
        <w:t xml:space="preserve">- Indications : Tuberculose multirésistante (alternative à l’amikacine si indisponibilité), certaines infections à BGN sensibles en seconde intention.</w:t>
      </w:r>
      <w:r>
        <w:t xml:space="preserve"> </w:t>
      </w:r>
      <w:r>
        <w:t xml:space="preserve">- Contre-indications : Myasthénie, hypersensibilité, grossesse.</w:t>
      </w:r>
      <w:r>
        <w:t xml:space="preserve"> </w:t>
      </w:r>
      <w:r>
        <w:t xml:space="preserve">- Spectre : M. tuberculosis (résistance plus rapide que amikacine), BGN aérobies, staphylocoques.</w:t>
      </w:r>
    </w:p>
    <w:p>
      <w:pPr>
        <w:pStyle w:val="BodyText"/>
      </w:pPr>
      <w:r>
        <w:rPr>
          <w:b/>
          <w:bCs/>
        </w:rPr>
        <w:t xml:space="preserve">Effets Indésirables :</w:t>
      </w:r>
      <w:r>
        <w:t xml:space="preserve"> </w:t>
      </w:r>
      <w:r>
        <w:t xml:space="preserve">- Ototoxicité cochléaire majeure (surdité irréversible), plus marquée que la gentamicine.</w:t>
      </w:r>
      <w:r>
        <w:t xml:space="preserve"> </w:t>
      </w:r>
      <w:r>
        <w:t xml:space="preserve">- Néphrotoxicité modérée.</w:t>
      </w:r>
      <w:r>
        <w:t xml:space="preserve"> </w:t>
      </w:r>
      <w:r>
        <w:t xml:space="preserve">- Bloc neuromusculaire.</w:t>
      </w:r>
    </w:p>
    <w:p>
      <w:pPr>
        <w:pStyle w:val="BodyText"/>
      </w:pPr>
      <w:r>
        <w:rPr>
          <w:b/>
          <w:bCs/>
        </w:rPr>
        <w:t xml:space="preserve">Prévention et Gestion des Effets Indésirables :</w:t>
      </w:r>
      <w:r>
        <w:t xml:space="preserve"> </w:t>
      </w:r>
      <w:r>
        <w:t xml:space="preserve">- Mesures Préventives : Audiogramme régulier, surveillance créatininémie.</w:t>
      </w:r>
      <w:r>
        <w:t xml:space="preserve"> </w:t>
      </w:r>
      <w:r>
        <w:t xml:space="preserve">- Conduite à Tenir : Arrêt immédiat en cas de signes auditifs.</w:t>
      </w:r>
    </w:p>
    <w:p>
      <w:pPr>
        <w:pStyle w:val="BodyText"/>
      </w:pPr>
      <w:r>
        <w:rPr>
          <w:b/>
          <w:bCs/>
        </w:rPr>
        <w:t xml:space="preserve">Interactions Importantes :</w:t>
      </w:r>
      <w:r>
        <w:t xml:space="preserve"> </w:t>
      </w:r>
      <w:r>
        <w:t xml:space="preserve">- Identiques aux autres aminoglycosides.</w:t>
      </w:r>
    </w:p>
    <w:p>
      <w:pPr>
        <w:pStyle w:val="BodyText"/>
      </w:pPr>
      <w:r>
        <w:rPr>
          <w:b/>
          <w:bCs/>
        </w:rPr>
        <w:t xml:space="preserve">Grossesse et Allaitement :</w:t>
      </w:r>
      <w:r>
        <w:t xml:space="preserve"> </w:t>
      </w:r>
      <w:r>
        <w:t xml:space="preserve">- Grossesse : Contre-indiqué (ototoxicité fœtale).</w:t>
      </w:r>
      <w:r>
        <w:t xml:space="preserve"> </w:t>
      </w:r>
      <w:r>
        <w:t xml:space="preserve">- Allaitement : Compatible pour traitement court.</w:t>
      </w:r>
      <w:r>
        <w:t xml:space="preserve"> </w:t>
      </w:r>
      <w:r>
        <w:t xml:space="preserve">- Précisions : Risque cochléaire fœtal.</w:t>
      </w:r>
    </w:p>
    <w:p>
      <w:pPr>
        <w:pStyle w:val="BodyText"/>
      </w:pPr>
      <w:r>
        <w:rPr>
          <w:b/>
          <w:bCs/>
        </w:rPr>
        <w:t xml:space="preserve">Posologie et Mode d’administration (Standard) :</w:t>
      </w:r>
      <w:r>
        <w:t xml:space="preserve"> </w:t>
      </w:r>
      <w:r>
        <w:t xml:space="preserve">- Adulte : 15 mg/kg/j IM ou IV (max 1 g/j).</w:t>
      </w:r>
      <w:r>
        <w:t xml:space="preserve"> </w:t>
      </w:r>
      <w:r>
        <w:t xml:space="preserve">- Enfant : 15–25 mg/kg/j.</w:t>
      </w:r>
      <w:r>
        <w:t xml:space="preserve"> </w:t>
      </w:r>
      <w:r>
        <w:t xml:space="preserve">- Durée : Variable selon indication.</w:t>
      </w:r>
    </w:p>
    <w:p>
      <w:pPr>
        <w:pStyle w:val="BodyText"/>
      </w:pPr>
      <w:r>
        <w:rPr>
          <w:b/>
          <w:bCs/>
        </w:rPr>
        <w:t xml:space="preserve">Arbitrage et Bénéfices des Formes Galéniques :</w:t>
      </w:r>
      <w:r>
        <w:t xml:space="preserve"> </w:t>
      </w:r>
      <w:r>
        <w:t xml:space="preserve">Forme poudre pour sol inj IM/IV. Disparue du marché algérien.</w:t>
      </w:r>
    </w:p>
    <w:p>
      <w:pPr>
        <w:pStyle w:val="BodyText"/>
      </w:pPr>
      <w:r>
        <w:rPr>
          <w:b/>
          <w:bCs/>
        </w:rPr>
        <w:t xml:space="preserve">Instructions et Conseils au Patient :</w:t>
      </w:r>
      <w:r>
        <w:t xml:space="preserve"> </w:t>
      </w:r>
      <w:r>
        <w:t xml:space="preserve">- Communication au comptoir : Historique.</w:t>
      </w:r>
      <w:r>
        <w:t xml:space="preserve"> </w:t>
      </w:r>
      <w:r>
        <w:t xml:space="preserve">- Mode d’utilisation pratique : IM ou IV.</w:t>
      </w:r>
    </w:p>
    <w:p>
      <w:pPr>
        <w:pStyle w:val="BodyText"/>
      </w:pPr>
      <w:r>
        <w:rPr>
          <w:b/>
          <w:bCs/>
        </w:rPr>
        <w:t xml:space="preserve">Notes, Règles d’Or &amp; Pièges au Comptoir :</w:t>
      </w:r>
      <w:r>
        <w:t xml:space="preserve"> </w:t>
      </w:r>
      <w:r>
        <w:t xml:space="preserve">- Piège classique : Confusion avec amikacine.</w:t>
      </w:r>
      <w:r>
        <w:t xml:space="preserve"> </w:t>
      </w:r>
      <w:r>
        <w:t xml:space="preserve">- Règle de prise : Surveillance audiologique stricte.</w:t>
      </w:r>
      <w:r>
        <w:t xml:space="preserve"> </w:t>
      </w:r>
      <w:r>
        <w:t xml:space="preserve">- Préparation et Conservation : Reconstitution immédiate.</w:t>
      </w:r>
      <w:r>
        <w:t xml:space="preserve"> </w:t>
      </w:r>
      <w:r>
        <w:t xml:space="preserve">- Piège du surdosage / Substitution : Non applicable actuellement.</w:t>
      </w:r>
    </w:p>
    <w:p>
      <w:r>
        <w:pict>
          <v:rect style="width:0;height:1.5pt" o:hralign="center" o:hrstd="t" o:hr="t"/>
        </w:pict>
      </w:r>
    </w:p>
    <w:bookmarkEnd w:id="131"/>
    <w:bookmarkStart w:id="132" w:name="dci-framycétine-seule"/>
    <w:p>
      <w:pPr>
        <w:pStyle w:val="Heading3"/>
      </w:pPr>
      <w:r>
        <w:t xml:space="preserve">5.2.9 DCI : Framycétine (Seule)</w:t>
      </w:r>
    </w:p>
    <w:p>
      <w:pPr>
        <w:pStyle w:val="FirstParagraph"/>
      </w:pPr>
      <w:r>
        <w:rPr>
          <w:b/>
          <w:bCs/>
        </w:rPr>
        <w:t xml:space="preserve">Liste des Catégories :</w:t>
      </w:r>
      <w:r>
        <w:t xml:space="preserve"> </w:t>
      </w:r>
      <w:r>
        <w:t xml:space="preserve">Liste I / non listé (selon spécialité).</w:t>
      </w:r>
    </w:p>
    <w:p>
      <w:pPr>
        <w:pStyle w:val="BodyText"/>
      </w:pPr>
      <w:r>
        <w:t xml:space="preserve">La framycétine, isolée en 1947 de</w:t>
      </w:r>
      <w:r>
        <w:t xml:space="preserve"> </w:t>
      </w:r>
      <w:r>
        <w:rPr>
          <w:i/>
          <w:iCs/>
        </w:rPr>
        <w:t xml:space="preserve">Streptomyces fradiae</w:t>
      </w:r>
      <w:r>
        <w:t xml:space="preserve">, est un aminoglycoside 4,5-disubstitué voisin de la néomycine (neomycin B). Très néphrotoxique et ototoxique par voie systémique, elle est exclusivement réservée à un usage topique (collyre, pommade ophtalmique, solution nasale) où son passage systémique est négligeable. Elle est largement utilisée en Algérie dans les rhinites infectieuses et les conjonctivites bactériennes.</w:t>
      </w:r>
    </w:p>
    <w:p>
      <w:pPr>
        <w:pStyle w:val="BodyText"/>
      </w:pPr>
      <w:r>
        <w:rPr>
          <w:b/>
          <w:bCs/>
        </w:rPr>
        <w:t xml:space="preserve">Médicaments disponibles en Algérie (Marques, Laboratoires, Formes et Dosages) :</w:t>
      </w:r>
    </w:p>
    <w:p>
      <w:pPr>
        <w:pStyle w:val="BodyText"/>
      </w:pPr>
      <w:r>
        <w:t xml:space="preserve">Formes actives :</w:t>
      </w:r>
      <w:r>
        <w:t xml:space="preserve"> </w:t>
      </w:r>
      <w:r>
        <w:t xml:space="preserve">-</w:t>
      </w:r>
      <w:r>
        <w:t xml:space="preserve"> </w:t>
      </w:r>
      <w:r>
        <w:rPr>
          <w:b/>
          <w:bCs/>
        </w:rPr>
        <w:t xml:space="preserve">FRAKIDEX</w:t>
      </w:r>
      <w:r>
        <w:t xml:space="preserve"> </w:t>
      </w:r>
      <w:r>
        <w:t xml:space="preserve">(CHAUVIN S.A.) — Collyre 630 000 UI/100 mg/100 mL — Fl/5 mL — Actif (attention : association avec dexaméthasone — libellé exact à vérifier).</w:t>
      </w:r>
      <w:r>
        <w:t xml:space="preserve"> </w:t>
      </w:r>
      <w:r>
        <w:t xml:space="preserve">-</w:t>
      </w:r>
      <w:r>
        <w:t xml:space="preserve"> </w:t>
      </w:r>
      <w:r>
        <w:rPr>
          <w:b/>
          <w:bCs/>
        </w:rPr>
        <w:t xml:space="preserve">FRAKIDEX</w:t>
      </w:r>
      <w:r>
        <w:t xml:space="preserve"> </w:t>
      </w:r>
      <w:r>
        <w:t xml:space="preserve">(CHAUVIN S.A.) — Pommade ophtalmique 315 000 UI/0,1 g/100 g — T/5 g — Actif.</w:t>
      </w:r>
      <w:r>
        <w:t xml:space="preserve"> </w:t>
      </w:r>
      <w:r>
        <w:t xml:space="preserve">-</w:t>
      </w:r>
      <w:r>
        <w:t xml:space="preserve"> </w:t>
      </w:r>
      <w:r>
        <w:rPr>
          <w:b/>
          <w:bCs/>
        </w:rPr>
        <w:t xml:space="preserve">ISOFRA</w:t>
      </w:r>
      <w:r>
        <w:t xml:space="preserve"> </w:t>
      </w:r>
      <w:r>
        <w:t xml:space="preserve">(BOUCHARA-RECORDATI) — Solution pour pulvérisation nasale 1,25 % — Fl/15 mL — Actif.</w:t>
      </w:r>
      <w:r>
        <w:t xml:space="preserve"> </w:t>
      </w:r>
      <w:r>
        <w:t xml:space="preserve">-</w:t>
      </w:r>
      <w:r>
        <w:t xml:space="preserve"> </w:t>
      </w:r>
      <w:r>
        <w:rPr>
          <w:b/>
          <w:bCs/>
        </w:rPr>
        <w:t xml:space="preserve">NIFRAMYCINE</w:t>
      </w:r>
      <w:r>
        <w:t xml:space="preserve"> </w:t>
      </w:r>
      <w:r>
        <w:t xml:space="preserve">(LAD PHARMA) — Solution nasale 1,25 % — Fl/15 mL — Actif.</w:t>
      </w:r>
      <w:r>
        <w:t xml:space="preserve"> </w:t>
      </w:r>
      <w:r>
        <w:t xml:space="preserve">-</w:t>
      </w:r>
      <w:r>
        <w:t xml:space="preserve"> </w:t>
      </w:r>
      <w:r>
        <w:rPr>
          <w:b/>
          <w:bCs/>
        </w:rPr>
        <w:t xml:space="preserve">NIFRAMYCINE HYDROCORTISONE</w:t>
      </w:r>
      <w:r>
        <w:t xml:space="preserve"> </w:t>
      </w:r>
      <w:r>
        <w:t xml:space="preserve">(LAD PHARMA) — Solution nasale 1,25 %/0,1 % — Fl/15 mL — Actif.</w:t>
      </w:r>
    </w:p>
    <w:p>
      <w:pPr>
        <w:pStyle w:val="BodyText"/>
      </w:pPr>
      <w:r>
        <w:t xml:space="preserve">Formes non renouvelables :</w:t>
      </w:r>
      <w:r>
        <w:t xml:space="preserve"> </w:t>
      </w:r>
      <w:r>
        <w:t xml:space="preserve">-</w:t>
      </w:r>
      <w:r>
        <w:t xml:space="preserve"> </w:t>
      </w:r>
      <w:r>
        <w:rPr>
          <w:b/>
          <w:bCs/>
        </w:rPr>
        <w:t xml:space="preserve">RHINYL</w:t>
      </w:r>
      <w:r>
        <w:t xml:space="preserve"> </w:t>
      </w:r>
      <w:r>
        <w:t xml:space="preserve">(PIERRE FABRE) — Sol nasale 1,25 % — Fl/15 mL — Non Renouvelable.</w:t>
      </w:r>
      <w:r>
        <w:t xml:space="preserve"> </w:t>
      </w:r>
      <w:r>
        <w:t xml:space="preserve">-</w:t>
      </w:r>
      <w:r>
        <w:t xml:space="preserve"> </w:t>
      </w:r>
      <w:r>
        <w:rPr>
          <w:b/>
          <w:bCs/>
        </w:rPr>
        <w:t xml:space="preserve">SOFRAMICINE</w:t>
      </w:r>
      <w:r>
        <w:t xml:space="preserve"> </w:t>
      </w:r>
      <w:r>
        <w:t xml:space="preserve">(ROUSSEL) — Sol nasale 1,25 % — Fl/30 mL — Non Renouvelable.</w:t>
      </w:r>
    </w:p>
    <w:p>
      <w:pPr>
        <w:pStyle w:val="BodyText"/>
      </w:pPr>
      <w:r>
        <w:t xml:space="preserve">Formes retirées (R) :</w:t>
      </w:r>
      <w:r>
        <w:t xml:space="preserve"> </w:t>
      </w:r>
      <w:r>
        <w:t xml:space="preserve">-</w:t>
      </w:r>
      <w:r>
        <w:t xml:space="preserve"> </w:t>
      </w:r>
      <w:r>
        <w:rPr>
          <w:b/>
          <w:bCs/>
        </w:rPr>
        <w:t xml:space="preserve">POLYFRA</w:t>
      </w:r>
      <w:r>
        <w:t xml:space="preserve"> </w:t>
      </w:r>
      <w:r>
        <w:t xml:space="preserve">(ALCON) — Collyre 700 000 UI/700 000 UI/100 mg/100 mL — Fl/10 mL — Retiré (R).</w:t>
      </w:r>
      <w:r>
        <w:t xml:space="preserve"> </w:t>
      </w:r>
      <w:r>
        <w:t xml:space="preserve">-</w:t>
      </w:r>
      <w:r>
        <w:t xml:space="preserve"> </w:t>
      </w:r>
      <w:r>
        <w:rPr>
          <w:b/>
          <w:bCs/>
        </w:rPr>
        <w:t xml:space="preserve">RHINALENE</w:t>
      </w:r>
      <w:r>
        <w:t xml:space="preserve"> </w:t>
      </w:r>
      <w:r>
        <w:t xml:space="preserve">(SMITHKLINE BEECHAM) — Sol nasale 1,25 % — Fl/15 mL — Retiré (R).</w:t>
      </w:r>
      <w:r>
        <w:t xml:space="preserve"> </w:t>
      </w:r>
      <w:r>
        <w:t xml:space="preserve">-</w:t>
      </w:r>
      <w:r>
        <w:t xml:space="preserve"> </w:t>
      </w:r>
      <w:r>
        <w:rPr>
          <w:b/>
          <w:bCs/>
        </w:rPr>
        <w:t xml:space="preserve">SOFRAMYCINE HYDROCORTISONE</w:t>
      </w:r>
      <w:r>
        <w:t xml:space="preserve"> </w:t>
      </w:r>
      <w:r>
        <w:t xml:space="preserve">(ROUSSEL) — Sol nasale 1,25 %/0,1 % — Fl/30 mL — Retiré (R).</w:t>
      </w:r>
    </w:p>
    <w:p>
      <w:pPr>
        <w:pStyle w:val="BodyText"/>
      </w:pPr>
      <w:r>
        <w:rPr>
          <w:b/>
          <w:bCs/>
        </w:rPr>
        <w:t xml:space="preserve">Sous-classe et Mécanisme d’action :</w:t>
      </w:r>
      <w:r>
        <w:t xml:space="preserve"> </w:t>
      </w:r>
      <w:r>
        <w:t xml:space="preserve">- Sous-classe : Aminoglycoside 4,5-disubstitué de la 2-désoxystreptamine, de première génération.</w:t>
      </w:r>
      <w:r>
        <w:t xml:space="preserve"> </w:t>
      </w:r>
      <w:r>
        <w:t xml:space="preserve">- Mécanisme d’action : Identique à la néomycine. Bactéricide concentration-dépendant sur la flore bactérienne locale.</w:t>
      </w:r>
    </w:p>
    <w:p>
      <w:pPr>
        <w:pStyle w:val="BodyText"/>
      </w:pPr>
      <w:r>
        <w:rPr>
          <w:b/>
          <w:bCs/>
        </w:rPr>
        <w:t xml:space="preserve">Profil Pharmacologique :</w:t>
      </w:r>
      <w:r>
        <w:t xml:space="preserve"> </w:t>
      </w:r>
      <w:r>
        <w:t xml:space="preserve">- Indications : Rhinites et sinusites bactériennes (forme nasale), conjonctivites bactériennes, blépharites (forme ophtalmique), prévention post-chirurgicale ophtalmologique.</w:t>
      </w:r>
      <w:r>
        <w:t xml:space="preserve"> </w:t>
      </w:r>
      <w:r>
        <w:t xml:space="preserve">- Contre-indications : Hypersensibilité aux aminoglycosides, myasthénie (par prudence en cas de muqueuse lésée), grossesse (par prudence, passage systémique théorique). Perforation tympanique pour les formes nasales (risque ototoxique par trompe d’Eustache).</w:t>
      </w:r>
      <w:r>
        <w:t xml:space="preserve"> </w:t>
      </w:r>
      <w:r>
        <w:t xml:space="preserve">- Spectre : BGN, staphylocoques, streptocoques, Haemophilus.</w:t>
      </w:r>
    </w:p>
    <w:p>
      <w:pPr>
        <w:pStyle w:val="BodyText"/>
      </w:pPr>
      <w:r>
        <w:rPr>
          <w:b/>
          <w:bCs/>
        </w:rPr>
        <w:t xml:space="preserve">Effets Indésirables :</w:t>
      </w:r>
      <w:r>
        <w:t xml:space="preserve"> </w:t>
      </w:r>
      <w:r>
        <w:t xml:space="preserve">- Locaux : brûlure, picotements, sécheresse nasale, allergie de contact.</w:t>
      </w:r>
      <w:r>
        <w:t xml:space="preserve"> </w:t>
      </w:r>
      <w:r>
        <w:t xml:space="preserve">- Systémiques (rares en cas d’usage prolongé ou de muqueuse lésée) : néphrotoxicité, ototoxicité.</w:t>
      </w:r>
      <w:r>
        <w:t xml:space="preserve"> </w:t>
      </w:r>
      <w:r>
        <w:t xml:space="preserve">- Sélection de souches résistantes en usage prolongé.</w:t>
      </w:r>
    </w:p>
    <w:p>
      <w:pPr>
        <w:pStyle w:val="BodyText"/>
      </w:pPr>
      <w:r>
        <w:rPr>
          <w:b/>
          <w:bCs/>
        </w:rPr>
        <w:t xml:space="preserve">Prévention et Gestion des Effets Indésirables :</w:t>
      </w:r>
      <w:r>
        <w:t xml:space="preserve"> </w:t>
      </w:r>
      <w:r>
        <w:t xml:space="preserve">- Mesures Préventives : Limiter la durée à 7–10 jours, ne pas utiliser en cas de perforation tympanique, ne pas appliquer sur muqueuse lésée étendue.</w:t>
      </w:r>
      <w:r>
        <w:t xml:space="preserve"> </w:t>
      </w:r>
      <w:r>
        <w:t xml:space="preserve">- Conduite à Tenir : Arrêt en cas d’allergie.</w:t>
      </w:r>
    </w:p>
    <w:p>
      <w:pPr>
        <w:pStyle w:val="BodyText"/>
      </w:pPr>
      <w:r>
        <w:rPr>
          <w:b/>
          <w:bCs/>
        </w:rPr>
        <w:t xml:space="preserve">Interactions Importantes :</w:t>
      </w:r>
      <w:r>
        <w:t xml:space="preserve"> </w:t>
      </w:r>
      <w:r>
        <w:t xml:space="preserve">- Aucune interaction significative par voie locale.</w:t>
      </w:r>
      <w:r>
        <w:t xml:space="preserve"> </w:t>
      </w:r>
      <w:r>
        <w:t xml:space="preserve">- Éviter l’association à un autre aminoglycoside systémique.</w:t>
      </w:r>
    </w:p>
    <w:p>
      <w:pPr>
        <w:pStyle w:val="BodyText"/>
      </w:pPr>
      <w:r>
        <w:rPr>
          <w:b/>
          <w:bCs/>
        </w:rPr>
        <w:t xml:space="preserve">Grossesse et Allaitement :</w:t>
      </w:r>
      <w:r>
        <w:t xml:space="preserve"> </w:t>
      </w:r>
      <w:r>
        <w:t xml:space="preserve">- Grossesse : À éviter par prudence au 1er trimestre (données limitées).</w:t>
      </w:r>
      <w:r>
        <w:t xml:space="preserve"> </w:t>
      </w:r>
      <w:r>
        <w:t xml:space="preserve">- Allaitement : Compatible par voie locale nasale ou ophtalmique.</w:t>
      </w:r>
      <w:r>
        <w:t xml:space="preserve"> </w:t>
      </w:r>
      <w:r>
        <w:t xml:space="preserve">- Précisions : Risque ototoxique théorique si passage systémique.</w:t>
      </w:r>
    </w:p>
    <w:p>
      <w:pPr>
        <w:pStyle w:val="BodyText"/>
      </w:pPr>
      <w:r>
        <w:rPr>
          <w:b/>
          <w:bCs/>
        </w:rPr>
        <w:t xml:space="preserve">Posologie et Mode d’administration (Standard) :</w:t>
      </w:r>
      <w:r>
        <w:t xml:space="preserve"> </w:t>
      </w:r>
      <w:r>
        <w:t xml:space="preserve">- Adulte : Pulvérisation nasale : 1 dose dans chaque narine, 3 à 4 fois par jour, pendant 7 jours maximum. Collyre : 1 goutte × 4 à 6/j pendant 7 jours. Pommade ophtalmique : 1 application × 2/j et au coucher.</w:t>
      </w:r>
      <w:r>
        <w:t xml:space="preserve"> </w:t>
      </w:r>
      <w:r>
        <w:t xml:space="preserve">- Enfant &gt; 30 mois : Pulvérisation nasale : 1 dose dans chaque narine, 3 fois par jour.</w:t>
      </w:r>
      <w:r>
        <w:t xml:space="preserve"> </w:t>
      </w:r>
      <w:r>
        <w:t xml:space="preserve">- Durée : 5–10 jours.</w:t>
      </w:r>
    </w:p>
    <w:p>
      <w:pPr>
        <w:pStyle w:val="BodyText"/>
      </w:pPr>
      <w:r>
        <w:rPr>
          <w:b/>
          <w:bCs/>
        </w:rPr>
        <w:t xml:space="preserve">Arbitrage et Bénéfices des Formes Galéniques :</w:t>
      </w:r>
      <w:r>
        <w:t xml:space="preserve"> </w:t>
      </w:r>
      <w:r>
        <w:t xml:space="preserve">La forme nasale ISOFRA (Bouchara-Recordati) est largement prescrite en Algérie dans les rhinites bactériennes ; sa tolérance locale est bonne mais son usage prolongé est déconseillé. La forme ophtalmique FRAKIDEX combine framycétine et dexaméthasone (à vérifier selon libellé exact).</w:t>
      </w:r>
    </w:p>
    <w:p>
      <w:pPr>
        <w:pStyle w:val="BodyText"/>
      </w:pPr>
      <w:r>
        <w:rPr>
          <w:b/>
          <w:bCs/>
        </w:rPr>
        <w:t xml:space="preserve">Instructions et Conseils au Patient :</w:t>
      </w:r>
      <w:r>
        <w:t xml:space="preserve"> </w:t>
      </w:r>
      <w:r>
        <w:t xml:space="preserve">- Communication au comptoir : Information sur la durée maximale (7–10 jours), l’absence d’efficacité sur les rhinites virales, la nécessité d’une consultation si persistance au-delà de 7 jours.</w:t>
      </w:r>
      <w:r>
        <w:t xml:space="preserve"> </w:t>
      </w:r>
      <w:r>
        <w:t xml:space="preserve">- Mode d’utilisation pratique : Pulvérisation nasale tête légèrement inclinée vers l’avant, mouchage préalable, lavage des mains. Collyre : instillation, fermeture de l’œil, massage canaliculaire.</w:t>
      </w:r>
    </w:p>
    <w:p>
      <w:pPr>
        <w:pStyle w:val="BodyText"/>
      </w:pPr>
      <w:r>
        <w:rPr>
          <w:b/>
          <w:bCs/>
        </w:rPr>
        <w:t xml:space="preserve">Notes, Règles d’Or &amp; Pièges au Comptoir :</w:t>
      </w:r>
      <w:r>
        <w:t xml:space="preserve"> </w:t>
      </w:r>
      <w:r>
        <w:t xml:space="preserve">- Piège classique : Usage prolongé d’ISOFRA chez l’enfant pendant l’hiver → sélection de germes résistants et mycose nasale.</w:t>
      </w:r>
      <w:r>
        <w:t xml:space="preserve"> </w:t>
      </w:r>
      <w:r>
        <w:t xml:space="preserve">- Règle de prise : Ne pas dépasser 7–10 jours, ne pas utiliser en cas d’otalgie (perforation tympanique suspectée).</w:t>
      </w:r>
      <w:r>
        <w:t xml:space="preserve"> </w:t>
      </w:r>
      <w:r>
        <w:t xml:space="preserve">- Préparation et Conservation : Flacon à conserver ≤ 25 °C, à l’abri de la lumière, jeter 15 jours après ouverture.</w:t>
      </w:r>
      <w:r>
        <w:t xml:space="preserve"> </w:t>
      </w:r>
      <w:r>
        <w:t xml:space="preserve">- Piège du surdosage / Substitution : Ne pas associer deux spécialités locales contenant un aminoglycoside.</w:t>
      </w:r>
    </w:p>
    <w:p>
      <w:r>
        <w:pict>
          <v:rect style="width:0;height:1.5pt" o:hralign="center" o:hrstd="t" o:hr="t"/>
        </w:pict>
      </w:r>
    </w:p>
    <w:bookmarkEnd w:id="132"/>
    <w:bookmarkStart w:id="133" w:name="X6545afa36e801e1c4bd2feb94385d7dd78547ba"/>
    <w:p>
      <w:pPr>
        <w:pStyle w:val="Heading3"/>
      </w:pPr>
      <w:r>
        <w:t xml:space="preserve">5.2.10 DCI : Néomycine (Seule et en associations locales)</w:t>
      </w:r>
    </w:p>
    <w:p>
      <w:pPr>
        <w:pStyle w:val="FirstParagraph"/>
      </w:pPr>
      <w:r>
        <w:rPr>
          <w:b/>
          <w:bCs/>
        </w:rPr>
        <w:t xml:space="preserve">Liste des Catégories :</w:t>
      </w:r>
      <w:r>
        <w:t xml:space="preserve"> </w:t>
      </w:r>
      <w:r>
        <w:t xml:space="preserve">Liste I / Liste II / non listé (selon spécialité).</w:t>
      </w:r>
    </w:p>
    <w:p>
      <w:pPr>
        <w:pStyle w:val="BodyText"/>
      </w:pPr>
      <w:r>
        <w:t xml:space="preserve">La néomycine, isolée en 1949 de</w:t>
      </w:r>
      <w:r>
        <w:t xml:space="preserve"> </w:t>
      </w:r>
      <w:r>
        <w:rPr>
          <w:i/>
          <w:iCs/>
        </w:rPr>
        <w:t xml:space="preserve">Streptomyces fradiae</w:t>
      </w:r>
      <w:r>
        <w:t xml:space="preserve">, est un mélange de néomycine B (framycétine) et de néomycine C. C’est l’aminoglycoside le plus néphrotoxique et ototoxique de sa classe par voie systémique : il n’est plus utilisé que par voie locale (collyre, pommade ophtalmique, gynécologique, auriculaire) et par voie digestive (décontamination intestinale). Son allergénicité cutanée est élevée (3–10 % des patients exposés), ce qui en fait un allergène de contact fréquent.</w:t>
      </w:r>
    </w:p>
    <w:p>
      <w:pPr>
        <w:pStyle w:val="BodyText"/>
      </w:pPr>
      <w:r>
        <w:rPr>
          <w:b/>
          <w:bCs/>
        </w:rPr>
        <w:t xml:space="preserve">Médicaments disponibles en Algérie (Marques, Laboratoires, Formes et Dosages) :</w:t>
      </w:r>
    </w:p>
    <w:p>
      <w:pPr>
        <w:pStyle w:val="BodyText"/>
      </w:pPr>
      <w:r>
        <w:t xml:space="preserve">Formes gynécologiques actives :</w:t>
      </w:r>
      <w:r>
        <w:t xml:space="preserve"> </w:t>
      </w:r>
      <w:r>
        <w:t xml:space="preserve">-</w:t>
      </w:r>
      <w:r>
        <w:t xml:space="preserve"> </w:t>
      </w:r>
      <w:r>
        <w:rPr>
          <w:b/>
          <w:bCs/>
        </w:rPr>
        <w:t xml:space="preserve">POLYGYNAX</w:t>
      </w:r>
      <w:r>
        <w:t xml:space="preserve"> </w:t>
      </w:r>
      <w:r>
        <w:t xml:space="preserve">(INNOTECH INTERNATIONAL) — Capsule molle 35 000 UI/35 000 UI/100 000 UI (néomycine/nystatine/polymyxine B) — B/12 — Actif.</w:t>
      </w:r>
    </w:p>
    <w:p>
      <w:pPr>
        <w:pStyle w:val="BodyText"/>
      </w:pPr>
      <w:r>
        <w:t xml:space="preserve">Formes ophtalmologiques actives :</w:t>
      </w:r>
      <w:r>
        <w:t xml:space="preserve"> </w:t>
      </w:r>
      <w:r>
        <w:t xml:space="preserve">-</w:t>
      </w:r>
      <w:r>
        <w:t xml:space="preserve"> </w:t>
      </w:r>
      <w:r>
        <w:rPr>
          <w:b/>
          <w:bCs/>
        </w:rPr>
        <w:t xml:space="preserve">NEO EYE</w:t>
      </w:r>
      <w:r>
        <w:t xml:space="preserve"> </w:t>
      </w:r>
      <w:r>
        <w:t xml:space="preserve">(EPICO) — Collyre 0,35 % — Fl/5 mL — Actif.</w:t>
      </w:r>
      <w:r>
        <w:t xml:space="preserve"> </w:t>
      </w:r>
      <w:r>
        <w:t xml:space="preserve">-</w:t>
      </w:r>
      <w:r>
        <w:t xml:space="preserve"> </w:t>
      </w:r>
      <w:r>
        <w:rPr>
          <w:b/>
          <w:bCs/>
        </w:rPr>
        <w:t xml:space="preserve">OPHTAMYCIN</w:t>
      </w:r>
      <w:r>
        <w:t xml:space="preserve"> </w:t>
      </w:r>
      <w:r>
        <w:t xml:space="preserve">(JORAS PHARMACEUTICAL S.P.A.) — Collyre 0,35 % — Fl/10 mL — Actif.</w:t>
      </w:r>
      <w:r>
        <w:t xml:space="preserve"> </w:t>
      </w:r>
      <w:r>
        <w:t xml:space="preserve">-</w:t>
      </w:r>
      <w:r>
        <w:t xml:space="preserve"> </w:t>
      </w:r>
      <w:r>
        <w:rPr>
          <w:b/>
          <w:bCs/>
        </w:rPr>
        <w:t xml:space="preserve">CEBEMYXINE</w:t>
      </w:r>
      <w:r>
        <w:t xml:space="preserve"> </w:t>
      </w:r>
      <w:r>
        <w:t xml:space="preserve">(CHAUVIN S.A.) — Collyre 3 400 UI/10 000 UI — Fl/10 mL — Actif.</w:t>
      </w:r>
      <w:r>
        <w:t xml:space="preserve"> </w:t>
      </w:r>
      <w:r>
        <w:t xml:space="preserve">-</w:t>
      </w:r>
      <w:r>
        <w:t xml:space="preserve"> </w:t>
      </w:r>
      <w:r>
        <w:rPr>
          <w:b/>
          <w:bCs/>
        </w:rPr>
        <w:t xml:space="preserve">NEOMIXIN</w:t>
      </w:r>
      <w:r>
        <w:t xml:space="preserve"> </w:t>
      </w:r>
      <w:r>
        <w:t xml:space="preserve">(AMMAN PHARMACEUTICAL INDUSTRIE) — Collyre 0,5 % — Fl/10 mL — Actif.</w:t>
      </w:r>
      <w:r>
        <w:t xml:space="preserve"> </w:t>
      </w:r>
      <w:r>
        <w:t xml:space="preserve">-</w:t>
      </w:r>
      <w:r>
        <w:t xml:space="preserve"> </w:t>
      </w:r>
      <w:r>
        <w:rPr>
          <w:b/>
          <w:bCs/>
        </w:rPr>
        <w:t xml:space="preserve">CRONOLONE-NEO</w:t>
      </w:r>
      <w:r>
        <w:t xml:space="preserve"> </w:t>
      </w:r>
      <w:r>
        <w:t xml:space="preserve">(FARMACEUTICI CROVIS PH.I.L.COM) — Pommade ophtalmique 0,35 %/0,1 % — B/1 t 3 g — Actif.</w:t>
      </w:r>
      <w:r>
        <w:t xml:space="preserve"> </w:t>
      </w:r>
      <w:r>
        <w:t xml:space="preserve">-</w:t>
      </w:r>
      <w:r>
        <w:t xml:space="preserve"> </w:t>
      </w:r>
      <w:r>
        <w:rPr>
          <w:b/>
          <w:bCs/>
        </w:rPr>
        <w:t xml:space="preserve">CEBEMYXINE</w:t>
      </w:r>
      <w:r>
        <w:t xml:space="preserve"> </w:t>
      </w:r>
      <w:r>
        <w:t xml:space="preserve">(CHAUVIN S.A.) — Pommade ophtalmique 340 000 UI/1 000 000 UI/100 g — T/5 g — Actif.</w:t>
      </w:r>
    </w:p>
    <w:p>
      <w:pPr>
        <w:pStyle w:val="BodyText"/>
      </w:pPr>
      <w:r>
        <w:t xml:space="preserve">Formes auriculaires actives :</w:t>
      </w:r>
      <w:r>
        <w:t xml:space="preserve"> </w:t>
      </w:r>
      <w:r>
        <w:t xml:space="preserve">-</w:t>
      </w:r>
      <w:r>
        <w:t xml:space="preserve"> </w:t>
      </w:r>
      <w:r>
        <w:rPr>
          <w:b/>
          <w:bCs/>
        </w:rPr>
        <w:t xml:space="preserve">POLYDEXA</w:t>
      </w:r>
      <w:r>
        <w:t xml:space="preserve"> </w:t>
      </w:r>
      <w:r>
        <w:t xml:space="preserve">(BOUCHARA-RECORDATI) — Solution auriculaire 650 000 UI/1 000 000 UI/0,100 g/100 mL (néomycine/polymyxine B/dexaméthasone) — Fl/10,5 mL — Actif.</w:t>
      </w:r>
    </w:p>
    <w:p>
      <w:pPr>
        <w:pStyle w:val="BodyText"/>
      </w:pPr>
      <w:r>
        <w:t xml:space="preserve">Formes non renouvelables :</w:t>
      </w:r>
      <w:r>
        <w:t xml:space="preserve"> </w:t>
      </w:r>
      <w:r>
        <w:t xml:space="preserve">-</w:t>
      </w:r>
      <w:r>
        <w:t xml:space="preserve"> </w:t>
      </w:r>
      <w:r>
        <w:rPr>
          <w:b/>
          <w:bCs/>
        </w:rPr>
        <w:t xml:space="preserve">NEOMYC</w:t>
      </w:r>
      <w:r>
        <w:t xml:space="preserve"> </w:t>
      </w:r>
      <w:r>
        <w:t xml:space="preserve">(CROVIS PHILCOM) — Collyre 0,35 % — Fl/10 mL — Non Renouvelable.</w:t>
      </w:r>
      <w:r>
        <w:t xml:space="preserve"> </w:t>
      </w:r>
      <w:r>
        <w:t xml:space="preserve">-</w:t>
      </w:r>
      <w:r>
        <w:t xml:space="preserve"> </w:t>
      </w:r>
      <w:r>
        <w:rPr>
          <w:b/>
          <w:bCs/>
        </w:rPr>
        <w:t xml:space="preserve">NEOMYCINE UNIMED</w:t>
      </w:r>
      <w:r>
        <w:t xml:space="preserve"> </w:t>
      </w:r>
      <w:r>
        <w:t xml:space="preserve">(UNIMED) — Collyre 0,35 % — Fl/5 mL — Non Renouvelable.</w:t>
      </w:r>
      <w:r>
        <w:t xml:space="preserve"> </w:t>
      </w:r>
      <w:r>
        <w:t xml:space="preserve">-</w:t>
      </w:r>
      <w:r>
        <w:t xml:space="preserve"> </w:t>
      </w:r>
      <w:r>
        <w:rPr>
          <w:b/>
          <w:bCs/>
        </w:rPr>
        <w:t xml:space="preserve">NEOMYC</w:t>
      </w:r>
      <w:r>
        <w:t xml:space="preserve"> </w:t>
      </w:r>
      <w:r>
        <w:t xml:space="preserve">(CROVIS PHILCOM) — Collyre 1 % — Fl/10 mL — Non Renouvelable.</w:t>
      </w:r>
      <w:r>
        <w:t xml:space="preserve"> </w:t>
      </w:r>
      <w:r>
        <w:t xml:space="preserve">-</w:t>
      </w:r>
      <w:r>
        <w:t xml:space="preserve"> </w:t>
      </w:r>
      <w:r>
        <w:rPr>
          <w:b/>
          <w:bCs/>
        </w:rPr>
        <w:t xml:space="preserve">NEOPOLI</w:t>
      </w:r>
      <w:r>
        <w:t xml:space="preserve"> </w:t>
      </w:r>
      <w:r>
        <w:t xml:space="preserve">(CROVIS PHILCOM) — Collyre 0,5 % — Fl/10 mL — Non Renouvelable.</w:t>
      </w:r>
    </w:p>
    <w:p>
      <w:pPr>
        <w:pStyle w:val="BodyText"/>
      </w:pPr>
      <w:r>
        <w:t xml:space="preserve">Formes retirées (R) :</w:t>
      </w:r>
      <w:r>
        <w:t xml:space="preserve"> </w:t>
      </w:r>
      <w:r>
        <w:t xml:space="preserve">-</w:t>
      </w:r>
      <w:r>
        <w:t xml:space="preserve"> </w:t>
      </w:r>
      <w:r>
        <w:rPr>
          <w:b/>
          <w:bCs/>
        </w:rPr>
        <w:t xml:space="preserve">COLIRCUSI NEOMYCINE 0,35 %</w:t>
      </w:r>
      <w:r>
        <w:t xml:space="preserve"> </w:t>
      </w:r>
      <w:r>
        <w:t xml:space="preserve">(CUSI) — Collyre 0,35 % — Fl/10 mL — Retiré (R).</w:t>
      </w:r>
      <w:r>
        <w:t xml:space="preserve"> </w:t>
      </w:r>
      <w:r>
        <w:t xml:space="preserve">-</w:t>
      </w:r>
      <w:r>
        <w:t xml:space="preserve"> </w:t>
      </w:r>
      <w:r>
        <w:rPr>
          <w:b/>
          <w:bCs/>
        </w:rPr>
        <w:t xml:space="preserve">NEOGRAM</w:t>
      </w:r>
      <w:r>
        <w:t xml:space="preserve"> </w:t>
      </w:r>
      <w:r>
        <w:t xml:space="preserve">(S I F I) — Collyre 0,32 %/0,005 % — Fl/5 mL — Retiré (R).</w:t>
      </w:r>
    </w:p>
    <w:p>
      <w:pPr>
        <w:pStyle w:val="BodyText"/>
      </w:pPr>
      <w:r>
        <w:rPr>
          <w:b/>
          <w:bCs/>
        </w:rPr>
        <w:t xml:space="preserve">Sous-classe et Mécanisme d’action :</w:t>
      </w:r>
      <w:r>
        <w:t xml:space="preserve"> </w:t>
      </w:r>
      <w:r>
        <w:t xml:space="preserve">- Sous-classe : Aminoglycoside 4,5-disubstitué de la 2-désoxystreptamine, de première génération.</w:t>
      </w:r>
      <w:r>
        <w:t xml:space="preserve"> </w:t>
      </w:r>
      <w:r>
        <w:t xml:space="preserve">- Mécanisme d’action : Identique à la framycétine. Bactéricide concentration-dépendant.</w:t>
      </w:r>
    </w:p>
    <w:p>
      <w:pPr>
        <w:pStyle w:val="BodyText"/>
      </w:pPr>
      <w:r>
        <w:rPr>
          <w:b/>
          <w:bCs/>
        </w:rPr>
        <w:t xml:space="preserve">Profil Pharmacologique :</w:t>
      </w:r>
      <w:r>
        <w:t xml:space="preserve"> </w:t>
      </w:r>
      <w:r>
        <w:t xml:space="preserve">- Indications : Décontamination digestive pré-opératoire (voie orale), encéphalopathie hépatique (voies orale et rectale, en association), conjonctivites bactériennes (collyre), vaginites (associations gynécologiques), otites externes (formes auriculaires), pyodermites (formes dermiques).</w:t>
      </w:r>
      <w:r>
        <w:t xml:space="preserve"> </w:t>
      </w:r>
      <w:r>
        <w:t xml:space="preserve">- Contre-indications : Hypersensibilité (fréquente), myasthénie, perforation tympanique pour les formes auriculaires (ototoxicité par atteinte cochléaire), grossesse par prudence.</w:t>
      </w:r>
      <w:r>
        <w:t xml:space="preserve"> </w:t>
      </w:r>
      <w:r>
        <w:t xml:space="preserve">- Spectre : BGN, staphylocoques, streptocoques (variable), corrège bacille Döderlein par les associations gynécologiques.</w:t>
      </w:r>
    </w:p>
    <w:p>
      <w:pPr>
        <w:pStyle w:val="BodyText"/>
      </w:pPr>
      <w:r>
        <w:rPr>
          <w:b/>
          <w:bCs/>
        </w:rPr>
        <w:t xml:space="preserve">Effets Indésirables :</w:t>
      </w:r>
      <w:r>
        <w:t xml:space="preserve"> </w:t>
      </w:r>
      <w:r>
        <w:t xml:space="preserve">- Allergie de contact : eczéma de contact (3–10 %), réactions croisées avec framycétine et gentamicine.</w:t>
      </w:r>
      <w:r>
        <w:t xml:space="preserve"> </w:t>
      </w:r>
      <w:r>
        <w:t xml:space="preserve">- Ototoxicité (formes auriculaires en cas de perforation tympanique).</w:t>
      </w:r>
      <w:r>
        <w:t xml:space="preserve"> </w:t>
      </w:r>
      <w:r>
        <w:t xml:space="preserve">- Néphrotoxicité et ototoxicité systémiques en cas d’usage prolongé ou de muqueuse lésée.</w:t>
      </w:r>
      <w:r>
        <w:t xml:space="preserve"> </w:t>
      </w:r>
      <w:r>
        <w:t xml:space="preserve">- Diarrhée, surinfection mycosique (voie orale).</w:t>
      </w:r>
    </w:p>
    <w:p>
      <w:pPr>
        <w:pStyle w:val="BodyText"/>
      </w:pPr>
      <w:r>
        <w:rPr>
          <w:b/>
          <w:bCs/>
        </w:rPr>
        <w:t xml:space="preserve">Prévention et Gestion des Effets Indésirables :</w:t>
      </w:r>
      <w:r>
        <w:t xml:space="preserve"> </w:t>
      </w:r>
      <w:r>
        <w:t xml:space="preserve">- Mesures Préventives : Limiter la durée à 7–10 jours, vérifier l’intégrité tympanique avant instillation auriculaire, éviter sur muqueuse lésée étendue.</w:t>
      </w:r>
      <w:r>
        <w:t xml:space="preserve"> </w:t>
      </w:r>
      <w:r>
        <w:t xml:space="preserve">- Conduite à Tenir : Arrêt en cas d’éruption cutanée, orientation dermatologue pour tests épicutanés.</w:t>
      </w:r>
    </w:p>
    <w:p>
      <w:pPr>
        <w:pStyle w:val="BodyText"/>
      </w:pPr>
      <w:r>
        <w:rPr>
          <w:b/>
          <w:bCs/>
        </w:rPr>
        <w:t xml:space="preserve">Interactions Importantes :</w:t>
      </w:r>
      <w:r>
        <w:t xml:space="preserve"> </w:t>
      </w:r>
      <w:r>
        <w:t xml:space="preserve">- Voie orale : Réduction de l’absorption de la vitamine K, de la vitamine B12, de la digoxine, des anticoagulants oraux (interaction avec la flore).</w:t>
      </w:r>
      <w:r>
        <w:t xml:space="preserve"> </w:t>
      </w:r>
      <w:r>
        <w:t xml:space="preserve">- Éviter l’association à un autre aminoglycoside systémique.</w:t>
      </w:r>
    </w:p>
    <w:p>
      <w:pPr>
        <w:pStyle w:val="BodyText"/>
      </w:pPr>
      <w:r>
        <w:rPr>
          <w:b/>
          <w:bCs/>
        </w:rPr>
        <w:t xml:space="preserve">Grossesse et Allaitement :</w:t>
      </w:r>
      <w:r>
        <w:t xml:space="preserve"> </w:t>
      </w:r>
      <w:r>
        <w:t xml:space="preserve">- Grossesse : À éviter par prudence (formes locales acceptées pour traitement court).</w:t>
      </w:r>
      <w:r>
        <w:t xml:space="preserve"> </w:t>
      </w:r>
      <w:r>
        <w:t xml:space="preserve">- Allaitement : Compatible par voie locale.</w:t>
      </w:r>
      <w:r>
        <w:t xml:space="preserve"> </w:t>
      </w:r>
      <w:r>
        <w:t xml:space="preserve">- Précisions : Risque ototoxique théorique en cas de passage systémique.</w:t>
      </w:r>
    </w:p>
    <w:p>
      <w:pPr>
        <w:pStyle w:val="BodyText"/>
      </w:pPr>
      <w:r>
        <w:rPr>
          <w:b/>
          <w:bCs/>
        </w:rPr>
        <w:t xml:space="preserve">Posologie et Mode d’administration (Standard) :</w:t>
      </w:r>
      <w:r>
        <w:t xml:space="preserve"> </w:t>
      </w:r>
      <w:r>
        <w:t xml:space="preserve">- Collyre : 1 goutte × 4 à 6/j pendant 5–7 jours.</w:t>
      </w:r>
      <w:r>
        <w:t xml:space="preserve"> </w:t>
      </w:r>
      <w:r>
        <w:t xml:space="preserve">- Pommade ophtalmique : 1 application × 2/j et au coucher.</w:t>
      </w:r>
      <w:r>
        <w:t xml:space="preserve"> </w:t>
      </w:r>
      <w:r>
        <w:t xml:space="preserve">- Solution auriculaire : 2–3 gouttes × 2–3/j pendant 7 jours (tympan intact).</w:t>
      </w:r>
      <w:r>
        <w:t xml:space="preserve"> </w:t>
      </w:r>
      <w:r>
        <w:t xml:space="preserve">- Capsule gynécologique : 1 capsule/j au coucher pendant 12 jours.</w:t>
      </w:r>
      <w:r>
        <w:t xml:space="preserve"> </w:t>
      </w:r>
      <w:r>
        <w:t xml:space="preserve">- Voie orale (décontamination) : 1 g × 4/j pendant 2–3 jours (en Algérie, préparation magistrale).</w:t>
      </w:r>
    </w:p>
    <w:p>
      <w:pPr>
        <w:pStyle w:val="BodyText"/>
      </w:pPr>
      <w:r>
        <w:rPr>
          <w:b/>
          <w:bCs/>
        </w:rPr>
        <w:t xml:space="preserve">Arbitrage et Bénéfices des Formes Galéniques :</w:t>
      </w:r>
      <w:r>
        <w:t xml:space="preserve"> </w:t>
      </w:r>
      <w:r>
        <w:t xml:space="preserve">La diversité des formes locales (ophtalmique, auriculaire, gynécologique) couvre de très nombreuses indications. L’association systématique à un antifongique (nystatine dans POLYGYNAX) et à un autre antibiotique (polymyxine B) élargit le spectre. La sensibilité croisée avec framycétine rend la substitution risquée en cas d’allergie.</w:t>
      </w:r>
    </w:p>
    <w:p>
      <w:pPr>
        <w:pStyle w:val="BodyText"/>
      </w:pPr>
      <w:r>
        <w:rPr>
          <w:b/>
          <w:bCs/>
        </w:rPr>
        <w:t xml:space="preserve">Instructions et Conseils au Patient :</w:t>
      </w:r>
      <w:r>
        <w:t xml:space="preserve"> </w:t>
      </w:r>
      <w:r>
        <w:t xml:space="preserve">- Communication au comptoir : Information sur la durée maximale, sur le risque d’allergie de contact, sur la nécessité de vérifier l’absence de perforation tympanique pour les gouttes auriculaires.</w:t>
      </w:r>
      <w:r>
        <w:t xml:space="preserve"> </w:t>
      </w:r>
      <w:r>
        <w:t xml:space="preserve">- Mode d’utilisation pratique : Lavage des mains, instillation, fermeture paupière / massage canaliculaire.</w:t>
      </w:r>
    </w:p>
    <w:p>
      <w:pPr>
        <w:pStyle w:val="BodyText"/>
      </w:pPr>
      <w:r>
        <w:rPr>
          <w:b/>
          <w:bCs/>
        </w:rPr>
        <w:t xml:space="preserve">Notes, Règles d’Or &amp; Pièges au Comptoir :</w:t>
      </w:r>
      <w:r>
        <w:t xml:space="preserve"> </w:t>
      </w:r>
      <w:r>
        <w:t xml:space="preserve">- Piège classique : Gouttes auriculaires POLYDEXA chez un patient porteur d’aérateur trans-tympanique ou avec perforation → ototoxicité cochléaire grave.</w:t>
      </w:r>
      <w:r>
        <w:t xml:space="preserve"> </w:t>
      </w:r>
      <w:r>
        <w:t xml:space="preserve">- Règle de prise : Vérifier tympan avant instillation auriculaire ; jamais au-delà de 7–10 jours.</w:t>
      </w:r>
      <w:r>
        <w:t xml:space="preserve"> </w:t>
      </w:r>
      <w:r>
        <w:t xml:space="preserve">- Préparation et Conservation : Flacon à conserver ≤ 25 °C, à l’abri de la lumière, jeter 15 jours après ouverture.</w:t>
      </w:r>
      <w:r>
        <w:t xml:space="preserve"> </w:t>
      </w:r>
      <w:r>
        <w:t xml:space="preserve">- Piège du surdosage / Substitution : Allergie croisée néomycine–framycétine–gentamicine : ne pas substituer en cas d’eczéma de contact connu.</w:t>
      </w:r>
    </w:p>
    <w:p>
      <w:r>
        <w:pict>
          <v:rect style="width:0;height:1.5pt" o:hralign="center" o:hrstd="t" o:hr="t"/>
        </w:pict>
      </w:r>
    </w:p>
    <w:bookmarkEnd w:id="133"/>
    <w:bookmarkEnd w:id="134"/>
    <w:bookmarkStart w:id="137" w:name="Xd1f80f110a663d94c0d09ec69c09541c6be3918"/>
    <w:p>
      <w:pPr>
        <w:pStyle w:val="Heading2"/>
      </w:pPr>
      <w:r>
        <w:t xml:space="preserve">5.3 Sous-classe : Aminoglycosides (associations ophtalmologiques)</w:t>
      </w:r>
    </w:p>
    <w:bookmarkStart w:id="135" w:name="généralités-de-la-sous-classe-1"/>
    <w:p>
      <w:pPr>
        <w:pStyle w:val="Heading3"/>
      </w:pPr>
      <w:r>
        <w:t xml:space="preserve">5.3.1 Généralités de la sous-classe</w:t>
      </w:r>
    </w:p>
    <w:p>
      <w:pPr>
        <w:pStyle w:val="FirstParagraph"/>
      </w:pPr>
      <w:r>
        <w:t xml:space="preserve">Les associations ophtalmologiques d’aminoglycosides avec un corticoïde (le plus souvent dexaméthasone) sont largement prescrites dans la pratique courante algérienne. Elles combinent l’activité antibactérienne locale de l’aminoglycoside (le plus souvent tobramycine) et l’effet anti-inflammatoire stéroïdien sur la composante réactionnelle de l’affection oculaire. Leur intérêt repose sur la synergie dans les inflammations oculaires post-chirurgicales, les blépharites et les conjonctivites mixtes.</w:t>
      </w:r>
    </w:p>
    <w:p>
      <w:pPr>
        <w:pStyle w:val="BodyText"/>
      </w:pPr>
      <w:r>
        <w:t xml:space="preserve">Leur prescription doit néanmoins être encadrée car le corticoïde masque l’évolution d’une infection herpétique, fongique ou virale, élève la pression intra-oculaire (risque de glaucome cortisonique) et favorise la cataracte postérieure sous-capsulaire en usage prolongé. L’avis ophtalmologique est recommandé au-delà de 5 jours d’utilisation.</w:t>
      </w:r>
    </w:p>
    <w:p>
      <w:r>
        <w:pict>
          <v:rect style="width:0;height:1.5pt" o:hralign="center" o:hrstd="t" o:hr="t"/>
        </w:pict>
      </w:r>
    </w:p>
    <w:bookmarkEnd w:id="135"/>
    <w:bookmarkStart w:id="136" w:name="Xbdf5cec4782038e77929878e2a2b1da025d80f3"/>
    <w:p>
      <w:pPr>
        <w:pStyle w:val="Heading3"/>
      </w:pPr>
      <w:r>
        <w:t xml:space="preserve">5.3.2 DCI : Tobramycine + Dexaméthasone (En Association)</w:t>
      </w:r>
    </w:p>
    <w:p>
      <w:pPr>
        <w:pStyle w:val="FirstParagraph"/>
      </w:pPr>
      <w:r>
        <w:rPr>
          <w:b/>
          <w:bCs/>
        </w:rPr>
        <w:t xml:space="preserve">Liste des Catégories :</w:t>
      </w:r>
      <w:r>
        <w:t xml:space="preserve"> </w:t>
      </w:r>
      <w:r>
        <w:t xml:space="preserve">Liste I / Liste II.</w:t>
      </w:r>
    </w:p>
    <w:p>
      <w:pPr>
        <w:pStyle w:val="BodyText"/>
      </w:pPr>
      <w:r>
        <w:t xml:space="preserve">L’association tobramycine + dexaméthasone est l’association ophtalmologique de référence pour les affections inflammatoires du segment antérieur de l’œil d’origine bactérienne, notamment en post-opératoire de chirurgie de la cataracte, dans les blépharites, les conjonctivites printanières surinfectées, et les kératites. La tobramycine couvre un spectre large incluant le Pseudomonas, et la dexaméthasone exerce un effet anti-inflammatoire puissant.</w:t>
      </w:r>
    </w:p>
    <w:p>
      <w:pPr>
        <w:pStyle w:val="BodyText"/>
      </w:pPr>
      <w:r>
        <w:rPr>
          <w:b/>
          <w:bCs/>
        </w:rPr>
        <w:t xml:space="preserve">Médicaments disponibles en Algérie (Marques, Laboratoires, Formes et Dosages) :</w:t>
      </w:r>
    </w:p>
    <w:p>
      <w:pPr>
        <w:pStyle w:val="BodyText"/>
      </w:pPr>
      <w:r>
        <w:t xml:space="preserve">Formes actives :</w:t>
      </w:r>
      <w:r>
        <w:t xml:space="preserve"> </w:t>
      </w:r>
      <w:r>
        <w:t xml:space="preserve">-</w:t>
      </w:r>
      <w:r>
        <w:t xml:space="preserve"> </w:t>
      </w:r>
      <w:r>
        <w:rPr>
          <w:b/>
          <w:bCs/>
        </w:rPr>
        <w:t xml:space="preserve">DEXATEK</w:t>
      </w:r>
      <w:r>
        <w:t xml:space="preserve"> </w:t>
      </w:r>
      <w:r>
        <w:t xml:space="preserve">(BIOTHERA) — Collyre 0,3 %/0,1 % (tobramycine/dexaméthasone) — Fl/5 mL — Actif.</w:t>
      </w:r>
      <w:r>
        <w:t xml:space="preserve"> </w:t>
      </w:r>
      <w:r>
        <w:t xml:space="preserve">-</w:t>
      </w:r>
      <w:r>
        <w:t xml:space="preserve"> </w:t>
      </w:r>
      <w:r>
        <w:rPr>
          <w:b/>
          <w:bCs/>
        </w:rPr>
        <w:t xml:space="preserve">OPTIDEX-T</w:t>
      </w:r>
      <w:r>
        <w:t xml:space="preserve"> </w:t>
      </w:r>
      <w:r>
        <w:t xml:space="preserve">(JAMJOOM ALGERIA LIL DAWA) — Collyre 0,3 %/0,1 % — Fl/5 mL — Actif.</w:t>
      </w:r>
      <w:r>
        <w:t xml:space="preserve"> </w:t>
      </w:r>
      <w:r>
        <w:t xml:space="preserve">-</w:t>
      </w:r>
      <w:r>
        <w:t xml:space="preserve"> </w:t>
      </w:r>
      <w:r>
        <w:rPr>
          <w:b/>
          <w:bCs/>
        </w:rPr>
        <w:t xml:space="preserve">TAUBRIGENE</w:t>
      </w:r>
      <w:r>
        <w:t xml:space="preserve"> </w:t>
      </w:r>
      <w:r>
        <w:t xml:space="preserve">(GENERIC LAB) — Collyre 0,3 %/0,1 % — Fl/5 mL — Actif.</w:t>
      </w:r>
      <w:r>
        <w:t xml:space="preserve"> </w:t>
      </w:r>
      <w:r>
        <w:t xml:space="preserve">-</w:t>
      </w:r>
      <w:r>
        <w:t xml:space="preserve"> </w:t>
      </w:r>
      <w:r>
        <w:rPr>
          <w:b/>
          <w:bCs/>
        </w:rPr>
        <w:t xml:space="preserve">TOBRAMIDEX</w:t>
      </w:r>
      <w:r>
        <w:t xml:space="preserve"> </w:t>
      </w:r>
      <w:r>
        <w:t xml:space="preserve">(INPHA-MEDIS) — Collyre 0,3 %/0,1 % — Fl/5 mL — Actif.</w:t>
      </w:r>
    </w:p>
    <w:p>
      <w:pPr>
        <w:pStyle w:val="BodyText"/>
      </w:pPr>
      <w:r>
        <w:rPr>
          <w:b/>
          <w:bCs/>
        </w:rPr>
        <w:t xml:space="preserve">Sous-classe et Mécanisme d’action :</w:t>
      </w:r>
      <w:r>
        <w:t xml:space="preserve"> </w:t>
      </w:r>
      <w:r>
        <w:t xml:space="preserve">- Sous-classe : Association ophtalmologique aminoglycoside + corticoïde.</w:t>
      </w:r>
      <w:r>
        <w:t xml:space="preserve"> </w:t>
      </w:r>
      <w:r>
        <w:t xml:space="preserve">- Mécanisme d’action : Bactéricide concentration-dépendant (tobramycine, sous-unité 30S) ; anti-inflammatoire stéroïdien (dexaméthasone, inhibition de la phospholipase A2, de la cyclo-oxygénase 2, des cytokines pro-inflammatoires).</w:t>
      </w:r>
    </w:p>
    <w:p>
      <w:pPr>
        <w:pStyle w:val="BodyText"/>
      </w:pPr>
      <w:r>
        <w:rPr>
          <w:b/>
          <w:bCs/>
        </w:rPr>
        <w:t xml:space="preserve">Profil Pharmacologique :</w:t>
      </w:r>
      <w:r>
        <w:t xml:space="preserve"> </w:t>
      </w:r>
      <w:r>
        <w:t xml:space="preserve">- Indications : Conjonctivites bactériennes inflammatoires, blépharites, kératites superficielles, prévention des infections post-opératoires de chirurgie oculaire (cataracte, vitrectomie), uvéites antérieures avec composante infectieuse.</w:t>
      </w:r>
      <w:r>
        <w:t xml:space="preserve"> </w:t>
      </w:r>
      <w:r>
        <w:t xml:space="preserve">- Contre-indications : Hypersensibilité à l’un des composants, infections virales (herpès, varicelle), infections fongiques, tuberculose oculaire, glaucome connu, perforation cornéenne, port de lentilles de contact.</w:t>
      </w:r>
      <w:r>
        <w:t xml:space="preserve"> </w:t>
      </w:r>
      <w:r>
        <w:t xml:space="preserve">- Spectre : BGN (Pseudomonas), staphylocoques, streptocoques ; couvre la majorité des germes oculaires superficiels.</w:t>
      </w:r>
    </w:p>
    <w:p>
      <w:pPr>
        <w:pStyle w:val="BodyText"/>
      </w:pPr>
      <w:r>
        <w:rPr>
          <w:b/>
          <w:bCs/>
        </w:rPr>
        <w:t xml:space="preserve">Effets Indésirables :</w:t>
      </w:r>
      <w:r>
        <w:t xml:space="preserve"> </w:t>
      </w:r>
      <w:r>
        <w:t xml:space="preserve">- Locaux : brûlure, picotement, sécheresse oculaire, allergie de contact.</w:t>
      </w:r>
      <w:r>
        <w:t xml:space="preserve"> </w:t>
      </w:r>
      <w:r>
        <w:t xml:space="preserve">- Cortico-induits : hypertension intra-oculaire (à surveiller au-delà de 7 jours), cataracte sous-capsulaire postérieure en usage prolongé, retard de cicatrisation cornéenne.</w:t>
      </w:r>
      <w:r>
        <w:t xml:space="preserve"> </w:t>
      </w:r>
      <w:r>
        <w:t xml:space="preserve">- Surinfection fongique ou virale (herpès) en usage prolongé.</w:t>
      </w:r>
      <w:r>
        <w:t xml:space="preserve"> </w:t>
      </w:r>
      <w:r>
        <w:t xml:space="preserve">- Mydriase, ptosis (rares).</w:t>
      </w:r>
    </w:p>
    <w:p>
      <w:pPr>
        <w:pStyle w:val="BodyText"/>
      </w:pPr>
      <w:r>
        <w:rPr>
          <w:b/>
          <w:bCs/>
        </w:rPr>
        <w:t xml:space="preserve">Prévention et Gestion des Effets Indésirables :</w:t>
      </w:r>
      <w:r>
        <w:t xml:space="preserve"> </w:t>
      </w:r>
      <w:r>
        <w:t xml:space="preserve">- Mesures Préventives : Limiter la durée à 7–10 jours, surveillance tonométrique au-delà de 7 jours, vérification de l’absence de kératite herpétique (examen à la lampe à fente).</w:t>
      </w:r>
      <w:r>
        <w:t xml:space="preserve"> </w:t>
      </w:r>
      <w:r>
        <w:t xml:space="preserve">- Conduite à Tenir : Arrêt immédiat en cas d’hypertension intra-oculaire, d’ulcération cornéenne, de douleur augmentée.</w:t>
      </w:r>
    </w:p>
    <w:p>
      <w:pPr>
        <w:pStyle w:val="BodyText"/>
      </w:pPr>
      <w:r>
        <w:rPr>
          <w:b/>
          <w:bCs/>
        </w:rPr>
        <w:t xml:space="preserve">Interactions Importantes :</w:t>
      </w:r>
      <w:r>
        <w:t xml:space="preserve"> </w:t>
      </w:r>
      <w:r>
        <w:t xml:space="preserve">- Aucune interaction systémique significative par voie oculaire.</w:t>
      </w:r>
      <w:r>
        <w:t xml:space="preserve"> </w:t>
      </w:r>
      <w:r>
        <w:t xml:space="preserve">- Ne pas associer à un autre collyre contenant un corticoïde.</w:t>
      </w:r>
    </w:p>
    <w:p>
      <w:pPr>
        <w:pStyle w:val="BodyText"/>
      </w:pPr>
      <w:r>
        <w:rPr>
          <w:b/>
          <w:bCs/>
        </w:rPr>
        <w:t xml:space="preserve">Grossesse et Allaitement :</w:t>
      </w:r>
      <w:r>
        <w:t xml:space="preserve"> </w:t>
      </w:r>
      <w:r>
        <w:t xml:space="preserve">- Grossesse : À éviter au 1er trimestre par prudence (corticoïde). Selon le CRAT, la dexaméthasone en collyre est compatible au 2e et 3e trimestre.</w:t>
      </w:r>
      <w:r>
        <w:t xml:space="preserve"> </w:t>
      </w:r>
      <w:r>
        <w:t xml:space="preserve">- Allaitement : Compatible.</w:t>
      </w:r>
      <w:r>
        <w:t xml:space="preserve"> </w:t>
      </w:r>
      <w:r>
        <w:t xml:space="preserve">- Précisions : Surveillance ophtalmologique recommandée.</w:t>
      </w:r>
    </w:p>
    <w:p>
      <w:pPr>
        <w:pStyle w:val="BodyText"/>
      </w:pPr>
      <w:r>
        <w:rPr>
          <w:b/>
          <w:bCs/>
        </w:rPr>
        <w:t xml:space="preserve">Posologie et Mode d’administration (Standard) :</w:t>
      </w:r>
      <w:r>
        <w:t xml:space="preserve"> </w:t>
      </w:r>
      <w:r>
        <w:t xml:space="preserve">- Adulte : 1 goutte × 4 à 6/j dans l’œil atteint. Forme post-opératoire : 1 goutte × 4/j pendant 2 semaines puis décroissance progressive.</w:t>
      </w:r>
      <w:r>
        <w:t xml:space="preserve"> </w:t>
      </w:r>
      <w:r>
        <w:t xml:space="preserve">- Enfant &gt; 2 ans : 1 goutte × 3–4/j.</w:t>
      </w:r>
      <w:r>
        <w:t xml:space="preserve"> </w:t>
      </w:r>
      <w:r>
        <w:t xml:space="preserve">- Durée : 5–10 jours ; réévaluation obligatoire au-delà.</w:t>
      </w:r>
      <w:r>
        <w:t xml:space="preserve"> </w:t>
      </w:r>
      <w:r>
        <w:t xml:space="preserve">- Moment de prise : Espacer de 5 minutes avec un autre collyre ; appliquer en dernier la pommade ophtalmique si associée.</w:t>
      </w:r>
    </w:p>
    <w:p>
      <w:pPr>
        <w:pStyle w:val="BodyText"/>
      </w:pPr>
      <w:r>
        <w:rPr>
          <w:b/>
          <w:bCs/>
        </w:rPr>
        <w:t xml:space="preserve">Arbitrage et Bénéfices des Formes Galéniques :</w:t>
      </w:r>
      <w:r>
        <w:t xml:space="preserve"> </w:t>
      </w:r>
      <w:r>
        <w:t xml:space="preserve">La diversité des génériques algériens (DEXATEK, OPTIDEX-T, TAUBRIGENE, TOBRAMIDEX) garantit une accessibilité économique satisfaisante. La concentration 0,3 %/0,1 % est standardisée.</w:t>
      </w:r>
    </w:p>
    <w:p>
      <w:pPr>
        <w:pStyle w:val="BodyText"/>
      </w:pPr>
      <w:r>
        <w:rPr>
          <w:b/>
          <w:bCs/>
        </w:rPr>
        <w:t xml:space="preserve">Instructions et Conseils au Patient :</w:t>
      </w:r>
      <w:r>
        <w:t xml:space="preserve"> </w:t>
      </w:r>
      <w:r>
        <w:t xml:space="preserve">- Communication au comptoir : Information sur la durée maximale (7–10 jours), la nécessité d’une consultation si aggravation, l’interdiction de porter des lentilles pendant le traitement.</w:t>
      </w:r>
      <w:r>
        <w:t xml:space="preserve"> </w:t>
      </w:r>
      <w:r>
        <w:t xml:space="preserve">- Mode d’utilisation pratique : Lavage des mains, instillation, fermeture de l’œil, massage canaliculaire pendant 1 minute, attendre 5 minutes entre deux collyres. Jeter le flacon 15 jours après ouverture.</w:t>
      </w:r>
    </w:p>
    <w:p>
      <w:pPr>
        <w:pStyle w:val="BodyText"/>
      </w:pPr>
      <w:r>
        <w:rPr>
          <w:b/>
          <w:bCs/>
        </w:rPr>
        <w:t xml:space="preserve">Notes, Règles d’Or &amp; Pièges au Comptoir :</w:t>
      </w:r>
      <w:r>
        <w:t xml:space="preserve"> </w:t>
      </w:r>
      <w:r>
        <w:t xml:space="preserve">- Piège classique : Prescription prolongée sans contrôle tonométrique → glaucome cortisonique chronique.</w:t>
      </w:r>
      <w:r>
        <w:t xml:space="preserve"> </w:t>
      </w:r>
      <w:r>
        <w:t xml:space="preserve">- Règle de prise : Ne pas dépasser 7–10 jours sans avis ophtalmologique.</w:t>
      </w:r>
      <w:r>
        <w:t xml:space="preserve"> </w:t>
      </w:r>
      <w:r>
        <w:t xml:space="preserve">- Préparation et Conservation : Flacon ≤ 25 °C, à l’abri de la lumière, ne pas congeler.</w:t>
      </w:r>
      <w:r>
        <w:t xml:space="preserve"> </w:t>
      </w:r>
      <w:r>
        <w:t xml:space="preserve">- Piège du surdosage / Substitution : Ne pas substituer par un collyre corticoïde seul en cas d’infection bactérienne associée.</w:t>
      </w:r>
    </w:p>
    <w:p>
      <w:r>
        <w:pict>
          <v:rect style="width:0;height:1.5pt" o:hralign="center" o:hrstd="t" o:hr="t"/>
        </w:pict>
      </w:r>
    </w:p>
    <w:bookmarkEnd w:id="136"/>
    <w:bookmarkEnd w:id="137"/>
    <w:bookmarkStart w:id="146" w:name="sous-classe-tétracyclines"/>
    <w:p>
      <w:pPr>
        <w:pStyle w:val="Heading2"/>
      </w:pPr>
      <w:r>
        <w:t xml:space="preserve">5.4 Sous-classe : Tétracyclines</w:t>
      </w:r>
    </w:p>
    <w:bookmarkStart w:id="138" w:name="généralités-de-la-sous-classe-2"/>
    <w:p>
      <w:pPr>
        <w:pStyle w:val="Heading3"/>
      </w:pPr>
      <w:r>
        <w:t xml:space="preserve">5.4.1 Généralités de la sous-classe</w:t>
      </w:r>
    </w:p>
    <w:p>
      <w:pPr>
        <w:pStyle w:val="FirstParagraph"/>
      </w:pPr>
      <w:r>
        <w:t xml:space="preserve">Les tétracyclines forment une famille d’antibiotiques inhibiteurs de la synthèse protéique bactérienne, dérivés du noyau naphtacène-carboxamide. Découvertes à partir de 1948 (chlortétracycline, puis oxytétracycline en 1950), elles ont connu un développement considérable avec les dérivés semi-synthétiques (tétracycline, méthacycline, doxycycline, minocycline, lymécycline) et plus récemment les glycylcyclines (tigécycline) et les fluorocyclines (érétracycline, omadacycline — non disponibles en Algérie).</w:t>
      </w:r>
    </w:p>
    <w:p>
      <w:pPr>
        <w:pStyle w:val="BodyText"/>
      </w:pPr>
      <w:r>
        <w:rPr>
          <w:b/>
          <w:bCs/>
        </w:rPr>
        <w:t xml:space="preserve">Structure chimique :</w:t>
      </w:r>
      <w:r>
        <w:t xml:space="preserve"> </w:t>
      </w:r>
      <w:r>
        <w:t xml:space="preserve">Le noyau tétracyclique comporte 4 cycles linéairement accolés (D, C, B, A) avec des fonctions amide, hydroxyle, diméthylamine et carboxamide. Les substitutions en position 5, 6, 7 modifient les propriétés pharmacocinétiques :</w:t>
      </w:r>
      <w:r>
        <w:t xml:space="preserve"> </w:t>
      </w:r>
      <w:r>
        <w:t xml:space="preserve">- 5-OH : oxytétracycline.</w:t>
      </w:r>
      <w:r>
        <w:t xml:space="preserve"> </w:t>
      </w:r>
      <w:r>
        <w:t xml:space="preserve">- 7-Cl : chlortétracycline.</w:t>
      </w:r>
      <w:r>
        <w:t xml:space="preserve"> </w:t>
      </w:r>
      <w:r>
        <w:t xml:space="preserve">- 6-OH : tétracycline.</w:t>
      </w:r>
      <w:r>
        <w:t xml:space="preserve"> </w:t>
      </w:r>
      <w:r>
        <w:t xml:space="preserve">- 6-désoxy-5-OH-6-méthyl : doxycycline.</w:t>
      </w:r>
      <w:r>
        <w:t xml:space="preserve"> </w:t>
      </w:r>
      <w:r>
        <w:t xml:space="preserve">- 7-diméthylamino : minocycline.</w:t>
      </w:r>
      <w:r>
        <w:t xml:space="preserve"> </w:t>
      </w:r>
      <w:r>
        <w:t xml:space="preserve">- 9-tert-butylglycylamido : tigécycline.</w:t>
      </w:r>
    </w:p>
    <w:p>
      <w:pPr>
        <w:pStyle w:val="BodyText"/>
      </w:pPr>
      <w:r>
        <w:rPr>
          <w:b/>
          <w:bCs/>
        </w:rPr>
        <w:t xml:space="preserve">Pharmacocinétique commune :</w:t>
      </w:r>
      <w:r>
        <w:t xml:space="preserve"> </w:t>
      </w:r>
      <w:r>
        <w:t xml:space="preserve">- Absorption digestive orale : variable (30 % pour la chlortétracycline, 60–80 % pour la tétracycline, 95 % pour la doxycycline et la minocycline). Diminuée par les cations polyvalents (calcium, magnésium, fer, aluminium, zinc) → chélation.</w:t>
      </w:r>
      <w:r>
        <w:t xml:space="preserve"> </w:t>
      </w:r>
      <w:r>
        <w:t xml:space="preserve">- Distribution large : Vd 1,5–2 L/kg, bonne pénétration tissulaire (poumon, prostate, sinus, bile, salive, sudorale).</w:t>
      </w:r>
      <w:r>
        <w:t xml:space="preserve"> </w:t>
      </w:r>
      <w:r>
        <w:t xml:space="preserve">- Métabolisme hépatique partiel (20–40 %).</w:t>
      </w:r>
      <w:r>
        <w:t xml:space="preserve"> </w:t>
      </w:r>
      <w:r>
        <w:t xml:space="preserve">- Élimination : rénale pour tétracycline (60 %), oxytétracycline (70 %), rénale et fécale pour doxycycline (50/50) et minocycline (5/95). La doxycycline est ainsi la tétracycline de choix en insuffisance rénale.</w:t>
      </w:r>
    </w:p>
    <w:p>
      <w:pPr>
        <w:pStyle w:val="BodyText"/>
      </w:pPr>
      <w:r>
        <w:rPr>
          <w:b/>
          <w:bCs/>
        </w:rPr>
        <w:t xml:space="preserve">Mécanisme d’action :</w:t>
      </w:r>
      <w:r>
        <w:t xml:space="preserve"> </w:t>
      </w:r>
      <w:r>
        <w:t xml:space="preserve">Bactériostatique. Pénétration passive par diffusion facilitée et active par protéine TetA. Fixation réversible à la sous-unité 30S (protéine S7, site A) → inhibition de la liaison de l’ARNt aminoacétylé → blocage de l’élongation de la chaîne polypeptidique. Activité concentration-dépendante de l’inoculum. Pas d’EPA marqué.</w:t>
      </w:r>
    </w:p>
    <w:p>
      <w:pPr>
        <w:pStyle w:val="BodyText"/>
      </w:pPr>
      <w:r>
        <w:rPr>
          <w:b/>
          <w:bCs/>
        </w:rPr>
        <w:t xml:space="preserve">Effets indésirables de classe :</w:t>
      </w:r>
      <w:r>
        <w:t xml:space="preserve"> </w:t>
      </w:r>
      <w:r>
        <w:t xml:space="preserve">1.</w:t>
      </w:r>
      <w:r>
        <w:t xml:space="preserve"> </w:t>
      </w:r>
      <w:r>
        <w:rPr>
          <w:b/>
          <w:bCs/>
        </w:rPr>
        <w:t xml:space="preserve">Coloration dentaire et hypoplasie de l’émail</w:t>
      </w:r>
      <w:r>
        <w:t xml:space="preserve"> </w:t>
      </w:r>
      <w:r>
        <w:t xml:space="preserve">(jaune-brun) chez l’enfant &lt; 8 ans et le fœtus ; chélation du calcium de l’émail.</w:t>
      </w:r>
      <w:r>
        <w:t xml:space="preserve"> </w:t>
      </w:r>
      <w:r>
        <w:t xml:space="preserve">2.</w:t>
      </w:r>
      <w:r>
        <w:t xml:space="preserve"> </w:t>
      </w:r>
      <w:r>
        <w:rPr>
          <w:b/>
          <w:bCs/>
        </w:rPr>
        <w:t xml:space="preserve">Dépression osseuse</w:t>
      </w:r>
      <w:r>
        <w:t xml:space="preserve"> </w:t>
      </w:r>
      <w:r>
        <w:t xml:space="preserve">: ralentissement de la croissance osseuse fœtale et pédiatrique.</w:t>
      </w:r>
      <w:r>
        <w:t xml:space="preserve"> </w:t>
      </w:r>
      <w:r>
        <w:t xml:space="preserve">3.</w:t>
      </w:r>
      <w:r>
        <w:t xml:space="preserve"> </w:t>
      </w:r>
      <w:r>
        <w:rPr>
          <w:b/>
          <w:bCs/>
        </w:rPr>
        <w:t xml:space="preserve">Photosensibilité</w:t>
      </w:r>
      <w:r>
        <w:t xml:space="preserve"> </w:t>
      </w:r>
      <w:r>
        <w:t xml:space="preserve">: réaction phototoxique à exposition solaire (doxycycline &gt; tétracycline).</w:t>
      </w:r>
      <w:r>
        <w:t xml:space="preserve"> </w:t>
      </w:r>
      <w:r>
        <w:t xml:space="preserve">4.</w:t>
      </w:r>
      <w:r>
        <w:t xml:space="preserve"> </w:t>
      </w:r>
      <w:r>
        <w:rPr>
          <w:b/>
          <w:bCs/>
        </w:rPr>
        <w:t xml:space="preserve">Troubles digestifs</w:t>
      </w:r>
      <w:r>
        <w:t xml:space="preserve"> </w:t>
      </w:r>
      <w:r>
        <w:t xml:space="preserve">: nausées, vomissements, diarrhée, œsophagite, ulcération œsophagienne (formes orales).</w:t>
      </w:r>
      <w:r>
        <w:t xml:space="preserve"> </w:t>
      </w:r>
      <w:r>
        <w:t xml:space="preserve">5.</w:t>
      </w:r>
      <w:r>
        <w:t xml:space="preserve"> </w:t>
      </w:r>
      <w:r>
        <w:rPr>
          <w:b/>
          <w:bCs/>
        </w:rPr>
        <w:t xml:space="preserve">Hépatotoxicité</w:t>
      </w:r>
      <w:r>
        <w:t xml:space="preserve"> </w:t>
      </w:r>
      <w:r>
        <w:t xml:space="preserve">: stéatose hépatique massive à doses élevées (surtout IV).</w:t>
      </w:r>
      <w:r>
        <w:t xml:space="preserve"> </w:t>
      </w:r>
      <w:r>
        <w:t xml:space="preserve">6.</w:t>
      </w:r>
      <w:r>
        <w:t xml:space="preserve"> </w:t>
      </w:r>
      <w:r>
        <w:rPr>
          <w:b/>
          <w:bCs/>
        </w:rPr>
        <w:t xml:space="preserve">Néphrotoxicité</w:t>
      </w:r>
      <w:r>
        <w:t xml:space="preserve"> </w:t>
      </w:r>
      <w:r>
        <w:t xml:space="preserve">: syndrome de Fanconi (formes périmées), aggravation de l’urée.</w:t>
      </w:r>
      <w:r>
        <w:t xml:space="preserve"> </w:t>
      </w:r>
      <w:r>
        <w:t xml:space="preserve">7.</w:t>
      </w:r>
      <w:r>
        <w:t xml:space="preserve"> </w:t>
      </w:r>
      <w:r>
        <w:rPr>
          <w:b/>
          <w:bCs/>
        </w:rPr>
        <w:t xml:space="preserve">Hypertension intracrânienne</w:t>
      </w:r>
      <w:r>
        <w:t xml:space="preserve"> </w:t>
      </w:r>
      <w:r>
        <w:t xml:space="preserve">(minocycline, surtout femmes jeunes).</w:t>
      </w:r>
      <w:r>
        <w:t xml:space="preserve"> </w:t>
      </w:r>
      <w:r>
        <w:t xml:space="preserve">8.</w:t>
      </w:r>
      <w:r>
        <w:t xml:space="preserve"> </w:t>
      </w:r>
      <w:r>
        <w:rPr>
          <w:b/>
          <w:bCs/>
        </w:rPr>
        <w:t xml:space="preserve">Pigmentations cutanées</w:t>
      </w:r>
      <w:r>
        <w:t xml:space="preserve"> </w:t>
      </w:r>
      <w:r>
        <w:t xml:space="preserve">(minocycline chronique).</w:t>
      </w:r>
      <w:r>
        <w:t xml:space="preserve"> </w:t>
      </w:r>
      <w:r>
        <w:t xml:space="preserve">9.</w:t>
      </w:r>
      <w:r>
        <w:t xml:space="preserve"> </w:t>
      </w:r>
      <w:r>
        <w:rPr>
          <w:b/>
          <w:bCs/>
        </w:rPr>
        <w:t xml:space="preserve">Déséquilibre de la flore</w:t>
      </w:r>
      <w:r>
        <w:t xml:space="preserve"> </w:t>
      </w:r>
      <w:r>
        <w:t xml:space="preserve">: candidose, diarrhée à Clostridioides difficile.</w:t>
      </w:r>
    </w:p>
    <w:p>
      <w:pPr>
        <w:pStyle w:val="BodyText"/>
      </w:pPr>
      <w:r>
        <w:rPr>
          <w:b/>
          <w:bCs/>
        </w:rPr>
        <w:t xml:space="preserve">Contre-indications de classe :</w:t>
      </w:r>
      <w:r>
        <w:t xml:space="preserve"> </w:t>
      </w:r>
      <w:r>
        <w:t xml:space="preserve">- Grossesse (coloration dentaire, dépression osseuse fœtale).</w:t>
      </w:r>
      <w:r>
        <w:t xml:space="preserve"> </w:t>
      </w:r>
      <w:r>
        <w:t xml:space="preserve">- Enfant &lt; 8 ans (coloration dentaire, dépression osseuse).</w:t>
      </w:r>
      <w:r>
        <w:t xml:space="preserve"> </w:t>
      </w:r>
      <w:r>
        <w:t xml:space="preserve">- Allaitement (passage lacté).</w:t>
      </w:r>
      <w:r>
        <w:t xml:space="preserve"> </w:t>
      </w:r>
      <w:r>
        <w:t xml:space="preserve">- Insuffisance hépatique sévère (formes IV).</w:t>
      </w:r>
      <w:r>
        <w:t xml:space="preserve"> </w:t>
      </w:r>
      <w:r>
        <w:t xml:space="preserve">- Hypersensibilité aux tétracyclines.</w:t>
      </w:r>
    </w:p>
    <w:p>
      <w:pPr>
        <w:pStyle w:val="BodyText"/>
      </w:pPr>
      <w:r>
        <w:rPr>
          <w:b/>
          <w:bCs/>
        </w:rPr>
        <w:t xml:space="preserve">Surveillance :</w:t>
      </w:r>
      <w:r>
        <w:t xml:space="preserve"> </w:t>
      </w:r>
      <w:r>
        <w:t xml:space="preserve">- NFS, transaminases, urée, créatininémie en traitement prolongé.</w:t>
      </w:r>
      <w:r>
        <w:t xml:space="preserve"> </w:t>
      </w:r>
      <w:r>
        <w:t xml:space="preserve">- Photoprotection stricte.</w:t>
      </w:r>
      <w:r>
        <w:t xml:space="preserve"> </w:t>
      </w:r>
      <w:r>
        <w:t xml:space="preserve">- Hydratation abondante (prévention de l’œsophagite).</w:t>
      </w:r>
    </w:p>
    <w:p>
      <w:pPr>
        <w:pStyle w:val="BodyText"/>
      </w:pPr>
      <w:r>
        <w:rPr>
          <w:b/>
          <w:bCs/>
        </w:rPr>
        <w:t xml:space="preserve">Règles de prise :</w:t>
      </w:r>
      <w:r>
        <w:t xml:space="preserve"> </w:t>
      </w:r>
      <w:r>
        <w:t xml:space="preserve">- À distance des repas pour les anciennes tétracyclines (chlortétracycline, oxytétracycline, tétracycline).</w:t>
      </w:r>
      <w:r>
        <w:t xml:space="preserve"> </w:t>
      </w:r>
      <w:r>
        <w:t xml:space="preserve">- À distance des antiacides, produits laitiers, sels de fer, de calcium, de magnésium (2 heures avant ou 4 heures après).</w:t>
      </w:r>
      <w:r>
        <w:t xml:space="preserve"> </w:t>
      </w:r>
      <w:r>
        <w:t xml:space="preserve">- Doxycycline et minocycline : peuvent être prises au repas pour amélioration de la tolérance digestive.</w:t>
      </w:r>
      <w:r>
        <w:t xml:space="preserve"> </w:t>
      </w:r>
      <w:r>
        <w:t xml:space="preserve">- Verre d’eau abondant, position debout 30 minutes (prévention de l’œsophagite).</w:t>
      </w:r>
    </w:p>
    <w:p>
      <w:r>
        <w:pict>
          <v:rect style="width:0;height:1.5pt" o:hralign="center" o:hrstd="t" o:hr="t"/>
        </w:pict>
      </w:r>
    </w:p>
    <w:bookmarkEnd w:id="138"/>
    <w:bookmarkStart w:id="139" w:name="dci-doxycycline-seule"/>
    <w:p>
      <w:pPr>
        <w:pStyle w:val="Heading3"/>
      </w:pPr>
      <w:r>
        <w:t xml:space="preserve">5.4.2 DCI : Doxycycline (Seule)</w:t>
      </w:r>
    </w:p>
    <w:p>
      <w:pPr>
        <w:pStyle w:val="FirstParagraph"/>
      </w:pPr>
      <w:r>
        <w:rPr>
          <w:b/>
          <w:bCs/>
        </w:rPr>
        <w:t xml:space="preserve">Liste des Catégories :</w:t>
      </w:r>
      <w:r>
        <w:t xml:space="preserve"> </w:t>
      </w:r>
      <w:r>
        <w:t xml:space="preserve">Liste I.</w:t>
      </w:r>
    </w:p>
    <w:p>
      <w:pPr>
        <w:pStyle w:val="BodyText"/>
      </w:pPr>
      <w:r>
        <w:t xml:space="preserve">La doxycycline, semi-synthétique dérivée de l’oxytétracycline (6-désoxy-5-hydroxy-tétracycline), est la tétracycline la plus prescrite au monde et la seule disponible en Algérie pour la plupart des indications systémiques des tétracyclines. Sa biodisponibilité élevée (95 %), sa longue demi-vie (18–22 h permettant une prise biquotidienne), sa tolérance digestive correcte, sa double élimination rénale et fécale (utilisable en insuffisance rénale), et son spectre large en font la référence de sa classe.</w:t>
      </w:r>
    </w:p>
    <w:p>
      <w:pPr>
        <w:pStyle w:val="BodyText"/>
      </w:pPr>
      <w:r>
        <w:rPr>
          <w:b/>
          <w:bCs/>
        </w:rPr>
        <w:t xml:space="preserve">Médicaments disponibles en Algérie (Marques, Laboratoires, Formes et Dosages) :</w:t>
      </w:r>
    </w:p>
    <w:p>
      <w:pPr>
        <w:pStyle w:val="BodyText"/>
      </w:pPr>
      <w:r>
        <w:t xml:space="preserve">Formes actives :</w:t>
      </w:r>
      <w:r>
        <w:t xml:space="preserve"> </w:t>
      </w:r>
      <w:r>
        <w:t xml:space="preserve">-</w:t>
      </w:r>
      <w:r>
        <w:t xml:space="preserve"> </w:t>
      </w:r>
      <w:r>
        <w:rPr>
          <w:b/>
          <w:bCs/>
        </w:rPr>
        <w:t xml:space="preserve">XYLINE</w:t>
      </w:r>
      <w:r>
        <w:t xml:space="preserve"> </w:t>
      </w:r>
      <w:r>
        <w:t xml:space="preserve">(EVOLAB) — Comprimé sécable 100 mg — B/10 — Actif.</w:t>
      </w:r>
      <w:r>
        <w:t xml:space="preserve"> </w:t>
      </w:r>
      <w:r>
        <w:t xml:space="preserve">-</w:t>
      </w:r>
      <w:r>
        <w:t xml:space="preserve"> </w:t>
      </w:r>
      <w:r>
        <w:rPr>
          <w:b/>
          <w:bCs/>
        </w:rPr>
        <w:t xml:space="preserve">DOTUR</w:t>
      </w:r>
      <w:r>
        <w:t xml:space="preserve"> </w:t>
      </w:r>
      <w:r>
        <w:t xml:space="preserve">(SPA JAMJOOM ALGERIA LIL DAWA) — Comprimé sécable 100 mg — B/10 — Actif.</w:t>
      </w:r>
      <w:r>
        <w:t xml:space="preserve"> </w:t>
      </w:r>
      <w:r>
        <w:t xml:space="preserve">-</w:t>
      </w:r>
      <w:r>
        <w:t xml:space="preserve"> </w:t>
      </w:r>
      <w:r>
        <w:rPr>
          <w:b/>
          <w:bCs/>
        </w:rPr>
        <w:t xml:space="preserve">DOXYNUP</w:t>
      </w:r>
      <w:r>
        <w:t xml:space="preserve"> </w:t>
      </w:r>
      <w:r>
        <w:t xml:space="preserve">(HUPP PHARMA) — Comprimé orodispersible 100 mg — B/6 — Actif.</w:t>
      </w:r>
    </w:p>
    <w:p>
      <w:pPr>
        <w:pStyle w:val="BodyText"/>
      </w:pPr>
      <w:r>
        <w:t xml:space="preserve">Formes non renouvelables :</w:t>
      </w:r>
      <w:r>
        <w:t xml:space="preserve"> </w:t>
      </w:r>
      <w:r>
        <w:t xml:space="preserve">-</w:t>
      </w:r>
      <w:r>
        <w:t xml:space="preserve"> </w:t>
      </w:r>
      <w:r>
        <w:rPr>
          <w:b/>
          <w:bCs/>
        </w:rPr>
        <w:t xml:space="preserve">BIOMYCINE</w:t>
      </w:r>
      <w:r>
        <w:t xml:space="preserve"> </w:t>
      </w:r>
      <w:r>
        <w:t xml:space="preserve">(GROUPE SAIDAL) — Comprimé 100 mg — B/20 — Non Renouvelable.</w:t>
      </w:r>
      <w:r>
        <w:t xml:space="preserve"> </w:t>
      </w:r>
      <w:r>
        <w:t xml:space="preserve">-</w:t>
      </w:r>
      <w:r>
        <w:t xml:space="preserve"> </w:t>
      </w:r>
      <w:r>
        <w:rPr>
          <w:b/>
          <w:bCs/>
        </w:rPr>
        <w:t xml:space="preserve">DOXYLINE</w:t>
      </w:r>
      <w:r>
        <w:t xml:space="preserve"> </w:t>
      </w:r>
      <w:r>
        <w:t xml:space="preserve">(GROUPE SAIDAL) — Gélule 100 mg — B/6 — Non Renouvelable.</w:t>
      </w:r>
      <w:r>
        <w:t xml:space="preserve"> </w:t>
      </w:r>
      <w:r>
        <w:t xml:space="preserve">-</w:t>
      </w:r>
      <w:r>
        <w:t xml:space="preserve"> </w:t>
      </w:r>
      <w:r>
        <w:rPr>
          <w:b/>
          <w:bCs/>
        </w:rPr>
        <w:t xml:space="preserve">DOTUR</w:t>
      </w:r>
      <w:r>
        <w:t xml:space="preserve"> </w:t>
      </w:r>
      <w:r>
        <w:t xml:space="preserve">(SANDOZ SPA) — Comprimé sécable 100 mg — B/10 — Non Renouvelable.</w:t>
      </w:r>
    </w:p>
    <w:p>
      <w:pPr>
        <w:pStyle w:val="BodyText"/>
      </w:pPr>
      <w:r>
        <w:t xml:space="preserve">Formes retirées (R) :</w:t>
      </w:r>
      <w:r>
        <w:t xml:space="preserve"> </w:t>
      </w:r>
      <w:r>
        <w:t xml:space="preserve">-</w:t>
      </w:r>
      <w:r>
        <w:t xml:space="preserve"> </w:t>
      </w:r>
      <w:r>
        <w:rPr>
          <w:b/>
          <w:bCs/>
        </w:rPr>
        <w:t xml:space="preserve">DOXYTEC</w:t>
      </w:r>
      <w:r>
        <w:t xml:space="preserve"> </w:t>
      </w:r>
      <w:r>
        <w:t xml:space="preserve">(TECHNILAB) — Comprimé 100 mg — B/20 — Retiré (R).</w:t>
      </w:r>
      <w:r>
        <w:t xml:space="preserve"> </w:t>
      </w:r>
      <w:r>
        <w:t xml:space="preserve">-</w:t>
      </w:r>
      <w:r>
        <w:t xml:space="preserve"> </w:t>
      </w:r>
      <w:r>
        <w:rPr>
          <w:b/>
          <w:bCs/>
        </w:rPr>
        <w:t xml:space="preserve">NOVIMAX</w:t>
      </w:r>
      <w:r>
        <w:t xml:space="preserve"> </w:t>
      </w:r>
      <w:r>
        <w:t xml:space="preserve">(ANFARM HELLAS SA) — Comprimé 100 mg — B/8 — Retiré (R).</w:t>
      </w:r>
      <w:r>
        <w:t xml:space="preserve"> </w:t>
      </w:r>
      <w:r>
        <w:t xml:space="preserve">-</w:t>
      </w:r>
      <w:r>
        <w:t xml:space="preserve"> </w:t>
      </w:r>
      <w:r>
        <w:rPr>
          <w:b/>
          <w:bCs/>
        </w:rPr>
        <w:t xml:space="preserve">DOXYDAR</w:t>
      </w:r>
      <w:r>
        <w:t xml:space="preserve"> </w:t>
      </w:r>
      <w:r>
        <w:t xml:space="preserve">(DAR AL DAWA) — Gélule 100 mg — B/10 — Retiré (R).</w:t>
      </w:r>
      <w:r>
        <w:t xml:space="preserve"> </w:t>
      </w:r>
      <w:r>
        <w:t xml:space="preserve">-</w:t>
      </w:r>
      <w:r>
        <w:t xml:space="preserve"> </w:t>
      </w:r>
      <w:r>
        <w:rPr>
          <w:b/>
          <w:bCs/>
        </w:rPr>
        <w:t xml:space="preserve">DOXINATE</w:t>
      </w:r>
      <w:r>
        <w:t xml:space="preserve"> </w:t>
      </w:r>
      <w:r>
        <w:t xml:space="preserve">(LDP) — Gélule 100 mg — B/10 — Retiré (R).</w:t>
      </w:r>
      <w:r>
        <w:t xml:space="preserve"> </w:t>
      </w:r>
      <w:r>
        <w:t xml:space="preserve">-</w:t>
      </w:r>
      <w:r>
        <w:t xml:space="preserve"> </w:t>
      </w:r>
      <w:r>
        <w:rPr>
          <w:b/>
          <w:bCs/>
        </w:rPr>
        <w:t xml:space="preserve">DOXYL</w:t>
      </w:r>
      <w:r>
        <w:t xml:space="preserve"> </w:t>
      </w:r>
      <w:r>
        <w:t xml:space="preserve">(GALENICA) — Gélule 100 mg — B/5 et B/10 — Retiré (R).</w:t>
      </w:r>
      <w:r>
        <w:t xml:space="preserve"> </w:t>
      </w:r>
      <w:r>
        <w:t xml:space="preserve">-</w:t>
      </w:r>
      <w:r>
        <w:t xml:space="preserve"> </w:t>
      </w:r>
      <w:r>
        <w:rPr>
          <w:b/>
          <w:bCs/>
        </w:rPr>
        <w:t xml:space="preserve">TABOCINE 100</w:t>
      </w:r>
      <w:r>
        <w:t xml:space="preserve"> </w:t>
      </w:r>
      <w:r>
        <w:t xml:space="preserve">(EL KENDI) — Gélule 100 mg — B/10 — Retiré (R).</w:t>
      </w:r>
      <w:r>
        <w:t xml:space="preserve"> </w:t>
      </w:r>
      <w:r>
        <w:t xml:space="preserve">-</w:t>
      </w:r>
      <w:r>
        <w:t xml:space="preserve"> </w:t>
      </w:r>
      <w:r>
        <w:rPr>
          <w:b/>
          <w:bCs/>
        </w:rPr>
        <w:t xml:space="preserve">DOXYCYCLINE-RATIOPHARM</w:t>
      </w:r>
      <w:r>
        <w:t xml:space="preserve"> </w:t>
      </w:r>
      <w:r>
        <w:t xml:space="preserve">(LAFON RATIOPHARM) — Capsule 100 mg — B/5 — Retiré (R).</w:t>
      </w:r>
      <w:r>
        <w:t xml:space="preserve"> </w:t>
      </w:r>
      <w:r>
        <w:t xml:space="preserve">-</w:t>
      </w:r>
      <w:r>
        <w:t xml:space="preserve"> </w:t>
      </w:r>
      <w:r>
        <w:rPr>
          <w:b/>
          <w:bCs/>
        </w:rPr>
        <w:t xml:space="preserve">MONOCLINE</w:t>
      </w:r>
      <w:r>
        <w:t xml:space="preserve"> </w:t>
      </w:r>
      <w:r>
        <w:t xml:space="preserve">(DOMS ADRIAN) — Comprimé 100 mg — B/5 — Retiré (R).</w:t>
      </w:r>
      <w:r>
        <w:t xml:space="preserve"> </w:t>
      </w:r>
      <w:r>
        <w:t xml:space="preserve">-</w:t>
      </w:r>
      <w:r>
        <w:t xml:space="preserve"> </w:t>
      </w:r>
      <w:r>
        <w:rPr>
          <w:b/>
          <w:bCs/>
        </w:rPr>
        <w:t xml:space="preserve">ZADORIN-100</w:t>
      </w:r>
      <w:r>
        <w:t xml:space="preserve"> </w:t>
      </w:r>
      <w:r>
        <w:t xml:space="preserve">(MEPHA PHARMA L.T.D.) — Gélule 100 mg — B/8 — Retiré (R).</w:t>
      </w:r>
      <w:r>
        <w:t xml:space="preserve"> </w:t>
      </w:r>
      <w:r>
        <w:t xml:space="preserve">-</w:t>
      </w:r>
      <w:r>
        <w:t xml:space="preserve"> </w:t>
      </w:r>
      <w:r>
        <w:rPr>
          <w:b/>
          <w:bCs/>
        </w:rPr>
        <w:t xml:space="preserve">SIGADOXIN</w:t>
      </w:r>
      <w:r>
        <w:t xml:space="preserve"> </w:t>
      </w:r>
      <w:r>
        <w:t xml:space="preserve">(NOVAPHARM TRADING) — Gélule 100 mg — B/10 — Retiré (R).</w:t>
      </w:r>
      <w:r>
        <w:t xml:space="preserve"> </w:t>
      </w:r>
      <w:r>
        <w:t xml:space="preserve">-</w:t>
      </w:r>
      <w:r>
        <w:t xml:space="preserve"> </w:t>
      </w:r>
      <w:r>
        <w:rPr>
          <w:b/>
          <w:bCs/>
        </w:rPr>
        <w:t xml:space="preserve">VIBRAMYCINE</w:t>
      </w:r>
      <w:r>
        <w:t xml:space="preserve"> </w:t>
      </w:r>
      <w:r>
        <w:t xml:space="preserve">(PFIZER PHARM ALGERIE) — Comprimé sécable 100 mg — B/5 — Retiré (R).</w:t>
      </w:r>
      <w:r>
        <w:t xml:space="preserve"> </w:t>
      </w:r>
      <w:r>
        <w:t xml:space="preserve">-</w:t>
      </w:r>
      <w:r>
        <w:t xml:space="preserve"> </w:t>
      </w:r>
      <w:r>
        <w:rPr>
          <w:b/>
          <w:bCs/>
        </w:rPr>
        <w:t xml:space="preserve">DOXYCYCLINE KELA</w:t>
      </w:r>
      <w:r>
        <w:t xml:space="preserve"> </w:t>
      </w:r>
      <w:r>
        <w:t xml:space="preserve">(KELA SA) — Comprimé dispersible sécable 100 mg — B/10 — Retiré (R).</w:t>
      </w:r>
    </w:p>
    <w:p>
      <w:pPr>
        <w:pStyle w:val="BodyText"/>
      </w:pPr>
      <w:r>
        <w:rPr>
          <w:b/>
          <w:bCs/>
        </w:rPr>
        <w:t xml:space="preserve">Sous-classe et Mécanisme d’action :</w:t>
      </w:r>
      <w:r>
        <w:t xml:space="preserve"> </w:t>
      </w:r>
      <w:r>
        <w:t xml:space="preserve">- Sous-classe : Tétracycline semi-synthétique de deuxième génération (6-désoxy-5-hydroxy).</w:t>
      </w:r>
      <w:r>
        <w:t xml:space="preserve"> </w:t>
      </w:r>
      <w:r>
        <w:t xml:space="preserve">- Mécanisme d’action : Bactériostatique par inhibition de la synthèse protéique bactérienne. Pénétration par diffusion passive et par transport TetA ; fixation réversible au site A de la sous-unité 30S ribosomale (protéine S7) → blocage de la liaison de l’ARNt aminoacétylé → arrêt de l’élongation polypeptidique. Échappe partiellement aux pompes efflux TetA-K et aux protéines de protection ribosomale TetM/O grâce à sa liposolubilité élevée.</w:t>
      </w:r>
    </w:p>
    <w:p>
      <w:pPr>
        <w:pStyle w:val="BodyText"/>
      </w:pPr>
      <w:r>
        <w:rPr>
          <w:b/>
          <w:bCs/>
        </w:rPr>
        <w:t xml:space="preserve">Profil Pharmacologique :</w:t>
      </w:r>
      <w:r>
        <w:t xml:space="preserve"> </w:t>
      </w:r>
      <w:r>
        <w:t xml:space="preserve">- Indications : Infections respiratoires (pneumopathies atypiques à Mycoplasma, Chlamydia, Legionella), infections génitales (Chlamydia trachomatis, Mycoplasma genitalium, gonococcie en alternative), rickettsioses (fièvre boutonneuse méditerranéenne, typhus), fièvre Q (Coxiella burnetii), brucellose (en association avec rifampicine ou streptomycine), maladies de Lyme (phase précoce, neuroborréliose), prophylaxie du paludisme (zone chloroquinorésistante), acné modérée à sévère (traitement de 3 mois), rosacée papulopustuleuse, rickettsioses, leptospirose, choléra, peste, charbon, actinomycose, nocardiose, infections odontologiques (Parodontite agressive), infections à Helicobacter pylori (en association).</w:t>
      </w:r>
      <w:r>
        <w:t xml:space="preserve"> </w:t>
      </w:r>
      <w:r>
        <w:t xml:space="preserve">- Contre-indications : Grossesse (coloration dentaire fœtale, dépression osseuse), allaitement, enfant &lt; 8 ans, hypersensibilité aux tétracyclines, porphyrie, insuffisance hépatique sévère (formes IV), lupus (activation possible).</w:t>
      </w:r>
      <w:r>
        <w:t xml:space="preserve"> </w:t>
      </w:r>
      <w:r>
        <w:t xml:space="preserve">- Spectre : Bactéries à Gram positif (streptocoques, staphylocoques sensibles, Bacillus anthracis), BGN (Haemophilus, Branhamella, Neisseria, Brucella, Yersinia, Vibrio, Campylobacter), bactéries atypiques (Mycoplasma, Chlamydia, Rickettsia, Coxiella, Bartonella, Legionella, Leptospira, Borrelia, Treponema), anaérobies (variable), mycobactéries atypiques (M. marinum), Plasmodium.</w:t>
      </w:r>
    </w:p>
    <w:p>
      <w:pPr>
        <w:pStyle w:val="BodyText"/>
      </w:pPr>
      <w:r>
        <w:rPr>
          <w:b/>
          <w:bCs/>
        </w:rPr>
        <w:t xml:space="preserve">Effets Indésirables :</w:t>
      </w:r>
      <w:r>
        <w:t xml:space="preserve"> </w:t>
      </w:r>
      <w:r>
        <w:t xml:space="preserve">- Digestifs : nausées, vomissements, diarrhée, douleurs épigastriques, œsophagite, ulcère œsophagien (formes orales, surtout en décubitus).</w:t>
      </w:r>
      <w:r>
        <w:t xml:space="preserve"> </w:t>
      </w:r>
      <w:r>
        <w:t xml:space="preserve">- Photosensibilité cutanée (phototoxicité, à type de coup de soleil sévère).</w:t>
      </w:r>
      <w:r>
        <w:t xml:space="preserve"> </w:t>
      </w:r>
      <w:r>
        <w:t xml:space="preserve">- Coloration dentaire et hypoplasie de l’émail (enfant &lt; 8 ans, fœtus).</w:t>
      </w:r>
      <w:r>
        <w:t xml:space="preserve"> </w:t>
      </w:r>
      <w:r>
        <w:t xml:space="preserve">- Candidose buccale, digestive, vaginale.</w:t>
      </w:r>
      <w:r>
        <w:t xml:space="preserve"> </w:t>
      </w:r>
      <w:r>
        <w:t xml:space="preserve">- Pigmentations cutanées (acné traitée au long cours, ongles).</w:t>
      </w:r>
      <w:r>
        <w:t xml:space="preserve"> </w:t>
      </w:r>
      <w:r>
        <w:t xml:space="preserve">- Hypertension intracrânienne (rarissime).</w:t>
      </w:r>
      <w:r>
        <w:t xml:space="preserve"> </w:t>
      </w:r>
      <w:r>
        <w:t xml:space="preserve">- Hépatotoxicité (rares cas de stéatose à dose élevée).</w:t>
      </w:r>
      <w:r>
        <w:t xml:space="preserve"> </w:t>
      </w:r>
      <w:r>
        <w:t xml:space="preserve">- Syndrome de Fanconi (formes périmées, dégradation en produits nephrotoxiques).</w:t>
      </w:r>
      <w:r>
        <w:t xml:space="preserve"> </w:t>
      </w:r>
      <w:r>
        <w:t xml:space="preserve">- DRESS syndrome (rare).</w:t>
      </w:r>
    </w:p>
    <w:p>
      <w:pPr>
        <w:pStyle w:val="BodyText"/>
      </w:pPr>
      <w:r>
        <w:rPr>
          <w:b/>
          <w:bCs/>
        </w:rPr>
        <w:t xml:space="preserve">Prévention et Gestion des Effets Indésirables :</w:t>
      </w:r>
      <w:r>
        <w:t xml:space="preserve"> </w:t>
      </w:r>
      <w:r>
        <w:t xml:space="preserve">- Mesures Préventives : Prise avec un grand verre d’eau, en position assise ou debout, ne pas s’allonger pendant 30 minutes après la prise ; photoprotection stricte (crème solaire FPS 50+, vêtements couvrants) ; hydratation abondante ; prise au repas pour la doxycycline (améliore la tolérance sans compromettre l’absorption) ; éviter la péremption (jeter les comprimés non utilisés au-delà de la date).</w:t>
      </w:r>
      <w:r>
        <w:t xml:space="preserve"> </w:t>
      </w:r>
      <w:r>
        <w:t xml:space="preserve">- Conduite à Tenir : Arrêt en cas d’œsophagie, de phototoxicité sévère, de signes d’hypertension intracrânienne (céphalées matinales, vomissements, troubles visuels) → orientation neurologue.</w:t>
      </w:r>
    </w:p>
    <w:p>
      <w:pPr>
        <w:pStyle w:val="BodyText"/>
      </w:pPr>
      <w:r>
        <w:rPr>
          <w:b/>
          <w:bCs/>
        </w:rPr>
        <w:t xml:space="preserve">Interactions Importantes :</w:t>
      </w:r>
      <w:r>
        <w:t xml:space="preserve"> </w:t>
      </w:r>
      <w:r>
        <w:t xml:space="preserve">- Antiacides (hydroxyde d’aluminium, de magnésium), sels de calcium, de fer, de zinc, de bismuth, lait et produits laitiers, sucralfate : chélation → diminution de l’absorption de la doxycycline (espacer de 2 heures avant ou 4 heures après).</w:t>
      </w:r>
      <w:r>
        <w:t xml:space="preserve"> </w:t>
      </w:r>
      <w:r>
        <w:t xml:space="preserve">- Inducteurs enzymatiques (rifampicine, phénytoïne, carbamazépine, phénobarbital, millepertuis) : diminution de la demi-vie de la doxycycline (risque d’inefficacité).</w:t>
      </w:r>
      <w:r>
        <w:t xml:space="preserve"> </w:t>
      </w:r>
      <w:r>
        <w:t xml:space="preserve">- Anticoagulants oraux (warfarine, acénocoumarol) : potentialisation par diminution de la vitamine K endogène.</w:t>
      </w:r>
      <w:r>
        <w:t xml:space="preserve"> </w:t>
      </w:r>
      <w:r>
        <w:t xml:space="preserve">- Contraceptifs oraux estroprogestatifs : théorique diminution d’efficacité (risque de grossesse non désirée), à documenter mais probablement surestimé.</w:t>
      </w:r>
      <w:r>
        <w:t xml:space="preserve"> </w:t>
      </w:r>
      <w:r>
        <w:t xml:space="preserve">- Méthotrexate : augmentation de la toxicité hématologique (déplacement de la liaison protéique).</w:t>
      </w:r>
      <w:r>
        <w:t xml:space="preserve"> </w:t>
      </w:r>
      <w:r>
        <w:t xml:space="preserve">- Ciclosporine : augmentation des concentrations (inhibition du métabolisme).</w:t>
      </w:r>
      <w:r>
        <w:t xml:space="preserve"> </w:t>
      </w:r>
      <w:r>
        <w:t xml:space="preserve">- Théophylline : augmentation des concentrations (inhibition du métabolisme).</w:t>
      </w:r>
      <w:r>
        <w:t xml:space="preserve"> </w:t>
      </w:r>
      <w:r>
        <w:t xml:space="preserve">- Digoxine : augmentation de l’absorption par modification de la flore.</w:t>
      </w:r>
      <w:r>
        <w:t xml:space="preserve"> </w:t>
      </w:r>
      <w:r>
        <w:t xml:space="preserve">- Lithium : augmentation des concentrations.</w:t>
      </w:r>
    </w:p>
    <w:p>
      <w:pPr>
        <w:pStyle w:val="BodyText"/>
      </w:pPr>
      <w:r>
        <w:rPr>
          <w:b/>
          <w:bCs/>
        </w:rPr>
        <w:t xml:space="preserve">Grossesse et Allaitement :</w:t>
      </w:r>
      <w:r>
        <w:t xml:space="preserve"> </w:t>
      </w:r>
      <w:r>
        <w:t xml:space="preserve">- Grossesse : Contre-indiqué absolument tout au long de la grossesse (coloration dentaire fœtale jaune-brun, hypoplasie de l’émail, dépression de la croissance osseuse). Selon le CRAT, en cas d’indication vitale (rickettsiose, fièvre Q sévère) et d’impossibilité d’alternative, la doxycycline peut être discutée au 2e et 3e trimestre en cure courte, sans risque tératogène majeur identifié, mais l’effet dentaire reste. À éviter strictement au 1er trimestre et au 2e trimestre jusqu’à 16 SA.</w:t>
      </w:r>
      <w:r>
        <w:t xml:space="preserve"> </w:t>
      </w:r>
      <w:r>
        <w:t xml:space="preserve">- Allaitement : Contre-indiqué pour traitement &gt; 7 jours (coloration dentaire du nourrisson). Compatible pour traitement court (≤ 7 jours).</w:t>
      </w:r>
      <w:r>
        <w:t xml:space="preserve"> </w:t>
      </w:r>
      <w:r>
        <w:t xml:space="preserve">- Précisions : La doxycycline est excrétée dans le lait maternel avec une biodisponibilité digestive du nourrisson limitée par la chélation au calcium lacté, d’où une tolérance acceptable pour traitement court.</w:t>
      </w:r>
    </w:p>
    <w:p>
      <w:pPr>
        <w:pStyle w:val="BodyText"/>
      </w:pPr>
      <w:r>
        <w:rPr>
          <w:b/>
          <w:bCs/>
        </w:rPr>
        <w:t xml:space="preserve">Posologie et Mode d’administration (Standard) :</w:t>
      </w:r>
      <w:r>
        <w:t xml:space="preserve"> </w:t>
      </w:r>
      <w:r>
        <w:t xml:space="preserve">- Adulte : 100 mg × 2/j (le premier jour parfois 200 mg en dose d’attaque). Acné : 50–100 mg/j en une prise pendant 3 mois. Prophylaxie paludisme : 100 mg/j débuter 1 jour avant le départ, poursuivre 4 semaines après le retour. Maladie de Lyme précoce : 100 mg × 2/j pendant 14–21 jours. Chlamydia : 100 mg × 2/j pendant 7 jours.</w:t>
      </w:r>
      <w:r>
        <w:t xml:space="preserve"> </w:t>
      </w:r>
      <w:r>
        <w:t xml:space="preserve">- Enfant &gt; 8 ans et &gt; 45 kg : 2,2 mg/kg × 2/j.</w:t>
      </w:r>
      <w:r>
        <w:t xml:space="preserve"> </w:t>
      </w:r>
      <w:r>
        <w:t xml:space="preserve">- Insuffisance rénale : Aucune adaptation posologique (élimination digestive prédominante).</w:t>
      </w:r>
      <w:r>
        <w:t xml:space="preserve"> </w:t>
      </w:r>
      <w:r>
        <w:t xml:space="preserve">- Durée : Variable selon indication (7 jours pour infections génitales à Chlamydia, 14–21 jours pour Lyme, 3 mois pour acné, 4 semaines pour prophylaxie palustre post-exposition).</w:t>
      </w:r>
      <w:r>
        <w:t xml:space="preserve"> </w:t>
      </w:r>
      <w:r>
        <w:t xml:space="preserve">- Moment de prise : À distance des antiacides, produits laitiers, sels de fer/calcium/magnésium/zinc (2 h avant ou 4 h après). Préférable au cours d’un repas léger pour la tolérance digestive.</w:t>
      </w:r>
    </w:p>
    <w:p>
      <w:pPr>
        <w:pStyle w:val="BodyText"/>
      </w:pPr>
      <w:r>
        <w:rPr>
          <w:b/>
          <w:bCs/>
        </w:rPr>
        <w:t xml:space="preserve">Arbitrage et Bénéfices des Formes Galéniques :</w:t>
      </w:r>
      <w:r>
        <w:t xml:space="preserve"> </w:t>
      </w:r>
      <w:r>
        <w:t xml:space="preserve">Le comprimé sécable 100 mg (XYLINE, DOTUR) permet l’adaptation posologique ; le comprimé orodispersible (DOXYNUP) est utile en cas de dysphagie, de vomissements, chez le sujet âgé. La diversité des génériques algériens garantit une accessibilité économique satisfaisante.</w:t>
      </w:r>
    </w:p>
    <w:p>
      <w:pPr>
        <w:pStyle w:val="BodyText"/>
      </w:pPr>
      <w:r>
        <w:rPr>
          <w:b/>
          <w:bCs/>
        </w:rPr>
        <w:t xml:space="preserve">Instructions et Conseils au Patient :</w:t>
      </w:r>
      <w:r>
        <w:t xml:space="preserve"> </w:t>
      </w:r>
      <w:r>
        <w:t xml:space="preserve">- Communication au comptoir : Information sur la photosensibilité (photoprotection stricte), sur le moment de prise (à distance des laitages et antiacides), sur la nécessité d’une hydratation abondante et de rester debout 30 minutes après la prise.</w:t>
      </w:r>
      <w:r>
        <w:t xml:space="preserve"> </w:t>
      </w:r>
      <w:r>
        <w:t xml:space="preserve">- Mode d’utilisation pratique : Prise avec un grand verre d’eau, ne pas s’allonger, ne pas ouvrir les gélules ni écraser les comprimés (sauf orodispersible), éviter l’exposition solaire directe et les UV (cabines de bronzage), utiliser une contraception complémentaire pendant le traitement.</w:t>
      </w:r>
    </w:p>
    <w:p>
      <w:pPr>
        <w:pStyle w:val="BodyText"/>
      </w:pPr>
      <w:r>
        <w:rPr>
          <w:b/>
          <w:bCs/>
        </w:rPr>
        <w:t xml:space="preserve">Notes, Règles d’Or &amp; Pièges au Comptoir :</w:t>
      </w:r>
      <w:r>
        <w:t xml:space="preserve"> </w:t>
      </w:r>
      <w:r>
        <w:t xml:space="preserve">- Piège classique : Doxycycline + lait de vache au petit déjeuner → chélation → échec thérapeutique. Doxycycline + supplément de fer pour anémie ferririve → absorption diminuée.</w:t>
      </w:r>
      <w:r>
        <w:t xml:space="preserve"> </w:t>
      </w:r>
      <w:r>
        <w:t xml:space="preserve">- Règle de prise : 1 heure avant ou 2 heures après le repas pour la forme sécable classique ; à distance des cations polyvalents.</w:t>
      </w:r>
      <w:r>
        <w:t xml:space="preserve"> </w:t>
      </w:r>
      <w:r>
        <w:t xml:space="preserve">- Préparation et Conservation : Comprimés/gélules à conserver ≤ 25 °C, à l’abri de la lumière et de l’humidité. Jeter impérativement tout produit périmé (transformation en anhydro-4-épitétracycline néphrotoxique).</w:t>
      </w:r>
      <w:r>
        <w:t xml:space="preserve"> </w:t>
      </w:r>
      <w:r>
        <w:t xml:space="preserve">- Piège du surdosage / Substitution : Risque d’œsophagite sévère en cas de prise au coucher sans eau. Ne pas substituer par minocycline sans contrôle médical (risque de pigmentation et d’hypertension intracrânienne).</w:t>
      </w:r>
    </w:p>
    <w:p>
      <w:r>
        <w:pict>
          <v:rect style="width:0;height:1.5pt" o:hralign="center" o:hrstd="t" o:hr="t"/>
        </w:pict>
      </w:r>
    </w:p>
    <w:bookmarkEnd w:id="139"/>
    <w:bookmarkStart w:id="140" w:name="dci-minocycline-seule"/>
    <w:p>
      <w:pPr>
        <w:pStyle w:val="Heading3"/>
      </w:pPr>
      <w:r>
        <w:t xml:space="preserve">5.4.3 DCI : Minocycline (Seule)</w:t>
      </w:r>
    </w:p>
    <w:p>
      <w:pPr>
        <w:pStyle w:val="FirstParagraph"/>
      </w:pPr>
      <w:r>
        <w:rPr>
          <w:b/>
          <w:bCs/>
        </w:rPr>
        <w:t xml:space="preserve">Liste des Catégories :</w:t>
      </w:r>
      <w:r>
        <w:t xml:space="preserve"> </w:t>
      </w:r>
      <w:r>
        <w:t xml:space="preserve">Liste I.</w:t>
      </w:r>
    </w:p>
    <w:p>
      <w:pPr>
        <w:pStyle w:val="BodyText"/>
      </w:pPr>
      <w:r>
        <w:t xml:space="preserve">La minocycline, semi-synthétique dérivée de la tétracycline par addition d’un radical diméthylamino en position 7, présente la plus haute liposolubilité de sa classe. Cette caractéristique lui confère une excellente pénétration cérébrale, salivaire, sébacée et prostatique, justifiant son indication préférentielle dans l’acné modérée à sévère résistante à la doxycycline et dans les infections à mycobactéries atypiques (M. marinum, M. kansasii). Elle présente néanmoins un profil d’effets indésirables propre (pigmentations cutanéo-muqueuses, hypertension intracrânienne, syndromes lupiques) qui en fait une tétracycline de seconde intention.</w:t>
      </w:r>
    </w:p>
    <w:p>
      <w:pPr>
        <w:pStyle w:val="BodyText"/>
      </w:pPr>
      <w:r>
        <w:rPr>
          <w:b/>
          <w:bCs/>
        </w:rPr>
        <w:t xml:space="preserve">Médicaments disponibles en Algérie (Marques, Laboratoires, Formes et Dosages) :</w:t>
      </w:r>
    </w:p>
    <w:p>
      <w:pPr>
        <w:pStyle w:val="BodyText"/>
      </w:pPr>
      <w:r>
        <w:t xml:space="preserve">Formes actives :</w:t>
      </w:r>
      <w:r>
        <w:t xml:space="preserve"> </w:t>
      </w:r>
      <w:r>
        <w:t xml:space="preserve">-</w:t>
      </w:r>
      <w:r>
        <w:t xml:space="preserve"> </w:t>
      </w:r>
      <w:r>
        <w:rPr>
          <w:b/>
          <w:bCs/>
        </w:rPr>
        <w:t xml:space="preserve">TETRACNE 65 MG</w:t>
      </w:r>
      <w:r>
        <w:t xml:space="preserve"> </w:t>
      </w:r>
      <w:r>
        <w:t xml:space="preserve">(HIKMA PHARMA ALGERIA) — Comprimé pelliculé à libération prolongée 65 mg — B/30 — Actif.</w:t>
      </w:r>
      <w:r>
        <w:t xml:space="preserve"> </w:t>
      </w:r>
      <w:r>
        <w:t xml:space="preserve">-</w:t>
      </w:r>
      <w:r>
        <w:t xml:space="preserve"> </w:t>
      </w:r>
      <w:r>
        <w:rPr>
          <w:b/>
          <w:bCs/>
        </w:rPr>
        <w:t xml:space="preserve">TETRACNE 80 MG</w:t>
      </w:r>
      <w:r>
        <w:t xml:space="preserve"> </w:t>
      </w:r>
      <w:r>
        <w:t xml:space="preserve">(HIKMA PHARMA ALGERIA) — Comprimé pelliculé à libération prolongée 80 mg — B/30 — Actif.</w:t>
      </w:r>
      <w:r>
        <w:t xml:space="preserve"> </w:t>
      </w:r>
      <w:r>
        <w:t xml:space="preserve">-</w:t>
      </w:r>
      <w:r>
        <w:t xml:space="preserve"> </w:t>
      </w:r>
      <w:r>
        <w:rPr>
          <w:b/>
          <w:bCs/>
        </w:rPr>
        <w:t xml:space="preserve">TETRACNE 105 MG</w:t>
      </w:r>
      <w:r>
        <w:t xml:space="preserve"> </w:t>
      </w:r>
      <w:r>
        <w:t xml:space="preserve">(HIKMA PHARMA ALGERIA) — Comprimé pelliculé à libération prolongée 105 mg — B/30 — Actif.</w:t>
      </w:r>
    </w:p>
    <w:p>
      <w:pPr>
        <w:pStyle w:val="BodyText"/>
      </w:pPr>
      <w:r>
        <w:t xml:space="preserve">Les dosages 65 mg, 80 mg et 105 mg en formulation à libération prolongée (LP) correspondent à une adaptation pondérale spécifique à l’acné (1 mg/kg/j).</w:t>
      </w:r>
    </w:p>
    <w:p>
      <w:pPr>
        <w:pStyle w:val="BodyText"/>
      </w:pPr>
      <w:r>
        <w:rPr>
          <w:b/>
          <w:bCs/>
        </w:rPr>
        <w:t xml:space="preserve">Sous-classe et Mécanisme d’action :</w:t>
      </w:r>
      <w:r>
        <w:t xml:space="preserve"> </w:t>
      </w:r>
      <w:r>
        <w:t xml:space="preserve">- Sous-classe : Tétracycline semi-synthétique de deuxième génération (7-diméthylamino).</w:t>
      </w:r>
      <w:r>
        <w:t xml:space="preserve"> </w:t>
      </w:r>
      <w:r>
        <w:t xml:space="preserve">- Mécanisme d’action : Identique à la doxycycline. Bactériostatique par inhibition de la sous-unité 30S. Activité anti-inflammatoire propre (inhibition des metalloprotéinases, des cytokines pro-inflammatoires, de la NO synthase inductible, chimiotactisme des polynucléaires) particulièrement utile dans l’acné.</w:t>
      </w:r>
    </w:p>
    <w:p>
      <w:pPr>
        <w:pStyle w:val="BodyText"/>
      </w:pPr>
      <w:r>
        <w:rPr>
          <w:b/>
          <w:bCs/>
        </w:rPr>
        <w:t xml:space="preserve">Profil Pharmacologique :</w:t>
      </w:r>
      <w:r>
        <w:t xml:space="preserve"> </w:t>
      </w:r>
      <w:r>
        <w:t xml:space="preserve">- Indications : Acné modérée à sévère résistante à la doxycycline ou en cas d’intolérance, rosacée papulopustuleuse, infections à mycobactéries atypiques (M. marinum, M. leprae), maladie de Wegener (alternative au cotrimoxazole), infections cutanées à staphylocoques résistants (alternative), maladie de Hansen (lèpre).</w:t>
      </w:r>
      <w:r>
        <w:t xml:space="preserve"> </w:t>
      </w:r>
      <w:r>
        <w:t xml:space="preserve">- Contre-indications : Grossesse, allaitement, enfant &lt; 8 ans, insuffisance hépatique sévère, lupus érythémateux, hypersensibilité aux tétracyclines.</w:t>
      </w:r>
      <w:r>
        <w:t xml:space="preserve"> </w:t>
      </w:r>
      <w:r>
        <w:t xml:space="preserve">- Spectre : Identique à la doxycycline + activité sur staphylocoques méti-R (SARM) partiellement, M. marinum, M. leprae.</w:t>
      </w:r>
    </w:p>
    <w:p>
      <w:pPr>
        <w:pStyle w:val="BodyText"/>
      </w:pPr>
      <w:r>
        <w:rPr>
          <w:b/>
          <w:bCs/>
        </w:rPr>
        <w:t xml:space="preserve">Effets Indésirables :</w:t>
      </w:r>
      <w:r>
        <w:t xml:space="preserve"> </w:t>
      </w:r>
      <w:r>
        <w:t xml:space="preserve">- Pigmentations cutanées (bleu-gris) au niveau des cicatrices, du visage, des jambes ; pigmentation muqueuse (gencives, conjonctive) en traitement prolongé.</w:t>
      </w:r>
      <w:r>
        <w:t xml:space="preserve"> </w:t>
      </w:r>
      <w:r>
        <w:t xml:space="preserve">- Hypertension intracrânienne (céphalées matinales, œdème papillaire, troubles visuels), surtout chez la femme jeune.</w:t>
      </w:r>
      <w:r>
        <w:t xml:space="preserve"> </w:t>
      </w:r>
      <w:r>
        <w:t xml:space="preserve">- Syndrome lupique (positivation des anticorps antihistones) en traitement prolongé.</w:t>
      </w:r>
      <w:r>
        <w:t xml:space="preserve"> </w:t>
      </w:r>
      <w:r>
        <w:t xml:space="preserve">- Vertiges, ataxie, sensations ébrieuses (effet vestibulaire dose-dépendant).</w:t>
      </w:r>
      <w:r>
        <w:t xml:space="preserve"> </w:t>
      </w:r>
      <w:r>
        <w:t xml:space="preserve">- Photosensibilité (moindre que la doxycycline).</w:t>
      </w:r>
      <w:r>
        <w:t xml:space="preserve"> </w:t>
      </w:r>
      <w:r>
        <w:t xml:space="preserve">- Troubles digestifs.</w:t>
      </w:r>
      <w:r>
        <w:t xml:space="preserve"> </w:t>
      </w:r>
      <w:r>
        <w:t xml:space="preserve">- Candidoses.</w:t>
      </w:r>
      <w:r>
        <w:t xml:space="preserve"> </w:t>
      </w:r>
      <w:r>
        <w:t xml:space="preserve">- DRESS syndrome (rare), syndrome d’hypersensibilité (DRESS, SJS).</w:t>
      </w:r>
    </w:p>
    <w:p>
      <w:pPr>
        <w:pStyle w:val="BodyText"/>
      </w:pPr>
      <w:r>
        <w:rPr>
          <w:b/>
          <w:bCs/>
        </w:rPr>
        <w:t xml:space="preserve">Prévention et Gestion des Effets Indésirables :</w:t>
      </w:r>
      <w:r>
        <w:t xml:space="preserve"> </w:t>
      </w:r>
      <w:r>
        <w:t xml:space="preserve">- Mesures Préventives : Limiter la durée à 3–6 mois dans l’acné, surveillance clinique (examen cutané, examen neurologique), information sur les signes d’hypertension intracrânienne.</w:t>
      </w:r>
      <w:r>
        <w:t xml:space="preserve"> </w:t>
      </w:r>
      <w:r>
        <w:t xml:space="preserve">- Conduite à Tenir : Arrêt en cas de céphalées matinales + troubles visuels (orientation neurologue, fond d’œil), en cas de pigmentation (résolution lente à l’arrêt), en cas de syndrome lupique.</w:t>
      </w:r>
    </w:p>
    <w:p>
      <w:pPr>
        <w:pStyle w:val="BodyText"/>
      </w:pPr>
      <w:r>
        <w:rPr>
          <w:b/>
          <w:bCs/>
        </w:rPr>
        <w:t xml:space="preserve">Interactions Importantes :</w:t>
      </w:r>
      <w:r>
        <w:t xml:space="preserve"> </w:t>
      </w:r>
      <w:r>
        <w:t xml:space="preserve">- Identiques à la doxycycline.</w:t>
      </w:r>
      <w:r>
        <w:t xml:space="preserve"> </w:t>
      </w:r>
      <w:r>
        <w:t xml:space="preserve">- Anticoagulants oraux : majoration du risque hémorragique.</w:t>
      </w:r>
      <w:r>
        <w:t xml:space="preserve"> </w:t>
      </w:r>
      <w:r>
        <w:t xml:space="preserve">- Lithium : augmentation des concentrations.</w:t>
      </w:r>
      <w:r>
        <w:t xml:space="preserve"> </w:t>
      </w:r>
      <w:r>
        <w:t xml:space="preserve">- Isotrétinoïne : association contre-indiquée (risque majeur d’hypertension intracrânienne).</w:t>
      </w:r>
    </w:p>
    <w:p>
      <w:pPr>
        <w:pStyle w:val="BodyText"/>
      </w:pPr>
      <w:r>
        <w:rPr>
          <w:b/>
          <w:bCs/>
        </w:rPr>
        <w:t xml:space="preserve">Grossesse et Allaitement :</w:t>
      </w:r>
      <w:r>
        <w:t xml:space="preserve"> </w:t>
      </w:r>
      <w:r>
        <w:t xml:space="preserve">- Grossesse : Contre-indiqué absolument (coloration dentaire fœtale, dépression osseuse).</w:t>
      </w:r>
      <w:r>
        <w:t xml:space="preserve"> </w:t>
      </w:r>
      <w:r>
        <w:t xml:space="preserve">- Allaitement : Contre-indiqué pour traitement &gt; 7 jours.</w:t>
      </w:r>
      <w:r>
        <w:t xml:space="preserve"> </w:t>
      </w:r>
      <w:r>
        <w:t xml:space="preserve">- Précisions : Risque pigmentaire fœtal théorique.</w:t>
      </w:r>
    </w:p>
    <w:p>
      <w:pPr>
        <w:pStyle w:val="BodyText"/>
      </w:pPr>
      <w:r>
        <w:rPr>
          <w:b/>
          <w:bCs/>
        </w:rPr>
        <w:t xml:space="preserve">Posologie et Mode d’administration (Standard) :</w:t>
      </w:r>
      <w:r>
        <w:t xml:space="preserve"> </w:t>
      </w:r>
      <w:r>
        <w:t xml:space="preserve">- Adulte : Acné : 1 mg/kg/j en une prise (TETRACNE 65 mg pour &lt; 65 kg, 80 mg pour 65–85 kg, 105 mg pour &gt; 85 kg). Infections : 100 mg × 2/j le premier jour puis 100 mg/j.</w:t>
      </w:r>
      <w:r>
        <w:t xml:space="preserve"> </w:t>
      </w:r>
      <w:r>
        <w:t xml:space="preserve">- Adolescent &gt; 12 ans et &gt; 45 kg : Identique à l’adulte.</w:t>
      </w:r>
      <w:r>
        <w:t xml:space="preserve"> </w:t>
      </w:r>
      <w:r>
        <w:t xml:space="preserve">- Enfant &gt; 8 ans : 2 mg/kg/j en une prise.</w:t>
      </w:r>
      <w:r>
        <w:t xml:space="preserve"> </w:t>
      </w:r>
      <w:r>
        <w:t xml:space="preserve">- Durée : Acné : 3–6 mois ; infections : 7–14 jours ; mycobactéries atypiques : plusieurs mois.</w:t>
      </w:r>
      <w:r>
        <w:t xml:space="preserve"> </w:t>
      </w:r>
      <w:r>
        <w:t xml:space="preserve">- Moment de prise : Au repas ou à distance indifféremment (biodisponibilité peu influencée par l’alimentation).</w:t>
      </w:r>
    </w:p>
    <w:p>
      <w:pPr>
        <w:pStyle w:val="BodyText"/>
      </w:pPr>
      <w:r>
        <w:rPr>
          <w:b/>
          <w:bCs/>
        </w:rPr>
        <w:t xml:space="preserve">Arbitrage et Bénéfices des Formes Galéniques :</w:t>
      </w:r>
      <w:r>
        <w:t xml:space="preserve"> </w:t>
      </w:r>
      <w:r>
        <w:t xml:space="preserve">La formulation à libération prolongée (TETRACNE) permet une prise unique journalière, améliore l’observance et réduit les effets vestibulaires. La graduation des dosages (65/80/105 mg) optimise l’adaptation pondérale.</w:t>
      </w:r>
    </w:p>
    <w:p>
      <w:pPr>
        <w:pStyle w:val="BodyText"/>
      </w:pPr>
      <w:r>
        <w:rPr>
          <w:b/>
          <w:bCs/>
        </w:rPr>
        <w:t xml:space="preserve">Instructions et Conseils au Patient :</w:t>
      </w:r>
      <w:r>
        <w:t xml:space="preserve"> </w:t>
      </w:r>
      <w:r>
        <w:t xml:space="preserve">- Communication au comptoir : Information sur le risque de vertiges (ne pas conduire les premiers jours), de pigmentation cutanée en usage prolongé, de céphalées anormales à signaler.</w:t>
      </w:r>
      <w:r>
        <w:t xml:space="preserve"> </w:t>
      </w:r>
      <w:r>
        <w:t xml:space="preserve">- Mode d’utilisation pratique : Prise unique au repas du soir (réduction des effets vestibulaires), hydratation abondante, photoprotection.</w:t>
      </w:r>
    </w:p>
    <w:p>
      <w:pPr>
        <w:pStyle w:val="BodyText"/>
      </w:pPr>
      <w:r>
        <w:rPr>
          <w:b/>
          <w:bCs/>
        </w:rPr>
        <w:t xml:space="preserve">Notes, Règles d’Or &amp; Pièges au Comptoir :</w:t>
      </w:r>
      <w:r>
        <w:t xml:space="preserve"> </w:t>
      </w:r>
      <w:r>
        <w:t xml:space="preserve">- Piège classique : Association minocycline + isotrétinoïne (Roaccutane) → hypertension intracrânienne majeure.</w:t>
      </w:r>
      <w:r>
        <w:t xml:space="preserve"> </w:t>
      </w:r>
      <w:r>
        <w:t xml:space="preserve">- Règle de prise : Prise unique le soir, à distance des cations polyvalents.</w:t>
      </w:r>
      <w:r>
        <w:t xml:space="preserve"> </w:t>
      </w:r>
      <w:r>
        <w:t xml:space="preserve">- Préparation et Conservation : Comprimés LP à conserver ≤ 25 °C, ne pas écraser ni croquer.</w:t>
      </w:r>
      <w:r>
        <w:t xml:space="preserve"> </w:t>
      </w:r>
      <w:r>
        <w:t xml:space="preserve">- Piège du surdosage / Substitution : Ne pas substituer par doxycycline sans contrôle médical en cours d’acné (dose et schéma différents).</w:t>
      </w:r>
    </w:p>
    <w:p>
      <w:r>
        <w:pict>
          <v:rect style="width:0;height:1.5pt" o:hralign="center" o:hrstd="t" o:hr="t"/>
        </w:pict>
      </w:r>
    </w:p>
    <w:bookmarkEnd w:id="140"/>
    <w:bookmarkStart w:id="141" w:name="X515c4782cf9bdad68f686de28e051144ef7d67c"/>
    <w:p>
      <w:pPr>
        <w:pStyle w:val="Heading3"/>
      </w:pPr>
      <w:r>
        <w:t xml:space="preserve">5.4.4 DCI : Oxytétracycline (Seule et en associations locales)</w:t>
      </w:r>
    </w:p>
    <w:p>
      <w:pPr>
        <w:pStyle w:val="FirstParagraph"/>
      </w:pPr>
      <w:r>
        <w:rPr>
          <w:b/>
          <w:bCs/>
        </w:rPr>
        <w:t xml:space="preserve">Liste des Catégories :</w:t>
      </w:r>
      <w:r>
        <w:t xml:space="preserve"> </w:t>
      </w:r>
      <w:r>
        <w:t xml:space="preserve">Liste I / non listé.</w:t>
      </w:r>
    </w:p>
    <w:p>
      <w:pPr>
        <w:pStyle w:val="BodyText"/>
      </w:pPr>
      <w:r>
        <w:t xml:space="preserve">L’oxytétracycline, isolée en 1950 de</w:t>
      </w:r>
      <w:r>
        <w:t xml:space="preserve"> </w:t>
      </w:r>
      <w:r>
        <w:rPr>
          <w:i/>
          <w:iCs/>
        </w:rPr>
        <w:t xml:space="preserve">Streptomyces rimosus</w:t>
      </w:r>
      <w:r>
        <w:t xml:space="preserve">, est la première tétracycline semi-synthétique. Sa biodisponibilité orale modérée (60–80 %), sa courte demi-vie (6–9 h nécessitant 4 prises par jour) et son profil de tolérance digestive médiocre ont fait régresser son usage systémique au profit de la doxycycline. Elle subsiste en Algérie sous forme de pommade ophtalmologique en association.</w:t>
      </w:r>
    </w:p>
    <w:p>
      <w:pPr>
        <w:pStyle w:val="BodyText"/>
      </w:pPr>
      <w:r>
        <w:rPr>
          <w:b/>
          <w:bCs/>
        </w:rPr>
        <w:t xml:space="preserve">Médicaments disponibles en Algérie (Marques, Laboratoires, Formes et Dosages) :</w:t>
      </w:r>
    </w:p>
    <w:p>
      <w:pPr>
        <w:pStyle w:val="BodyText"/>
      </w:pPr>
      <w:r>
        <w:t xml:space="preserve">Formes actives :</w:t>
      </w:r>
      <w:r>
        <w:t xml:space="preserve"> </w:t>
      </w:r>
      <w:r>
        <w:t xml:space="preserve">-</w:t>
      </w:r>
      <w:r>
        <w:t xml:space="preserve"> </w:t>
      </w:r>
      <w:r>
        <w:rPr>
          <w:b/>
          <w:bCs/>
        </w:rPr>
        <w:t xml:space="preserve">OXYDEX</w:t>
      </w:r>
      <w:r>
        <w:t xml:space="preserve"> </w:t>
      </w:r>
      <w:r>
        <w:t xml:space="preserve">(GROUPE SAIDAL) — Pommade ophtalmique 0,5 %/0,1 % (oxytétracycline/dexaméthasone) — Tube 3 g — Actif.</w:t>
      </w:r>
    </w:p>
    <w:p>
      <w:pPr>
        <w:pStyle w:val="BodyText"/>
      </w:pPr>
      <w:r>
        <w:t xml:space="preserve">Formes non renouvelables :</w:t>
      </w:r>
      <w:r>
        <w:t xml:space="preserve"> </w:t>
      </w:r>
      <w:r>
        <w:t xml:space="preserve">-</w:t>
      </w:r>
      <w:r>
        <w:t xml:space="preserve"> </w:t>
      </w:r>
      <w:r>
        <w:rPr>
          <w:b/>
          <w:bCs/>
        </w:rPr>
        <w:t xml:space="preserve">OXYMED</w:t>
      </w:r>
      <w:r>
        <w:t xml:space="preserve"> </w:t>
      </w:r>
      <w:r>
        <w:t xml:space="preserve">(GROUPE SAIDAL) — Gélule 250 mg — B/16 — Non Renouvelable.</w:t>
      </w:r>
    </w:p>
    <w:p>
      <w:pPr>
        <w:pStyle w:val="BodyText"/>
      </w:pPr>
      <w:r>
        <w:t xml:space="preserve">Formes retirées (R) :</w:t>
      </w:r>
      <w:r>
        <w:t xml:space="preserve"> </w:t>
      </w:r>
      <w:r>
        <w:t xml:space="preserve">-</w:t>
      </w:r>
      <w:r>
        <w:t xml:space="preserve"> </w:t>
      </w:r>
      <w:r>
        <w:rPr>
          <w:b/>
          <w:bCs/>
        </w:rPr>
        <w:t xml:space="preserve">CROXYPOL</w:t>
      </w:r>
      <w:r>
        <w:t xml:space="preserve"> </w:t>
      </w:r>
      <w:r>
        <w:t xml:space="preserve">(CROVIS PHILCOM) — Pommade dermique 3 g/0,1 g/100 g — T/15 g — Retiré (R).</w:t>
      </w:r>
      <w:r>
        <w:t xml:space="preserve"> </w:t>
      </w:r>
      <w:r>
        <w:t xml:space="preserve">-</w:t>
      </w:r>
      <w:r>
        <w:t xml:space="preserve"> </w:t>
      </w:r>
      <w:r>
        <w:rPr>
          <w:b/>
          <w:bCs/>
        </w:rPr>
        <w:t xml:space="preserve">OXYTETRACYCLINE / LIDOCAINE</w:t>
      </w:r>
      <w:r>
        <w:t xml:space="preserve"> </w:t>
      </w:r>
      <w:r>
        <w:t xml:space="preserve">(BIOLOGICI ITALIA) — Sol inj IM 250 mg/40 mg/3 mL — B/1 amp 3 mL — Retiré (R).</w:t>
      </w:r>
      <w:r>
        <w:t xml:space="preserve"> </w:t>
      </w:r>
      <w:r>
        <w:t xml:space="preserve">-</w:t>
      </w:r>
      <w:r>
        <w:t xml:space="preserve"> </w:t>
      </w:r>
      <w:r>
        <w:rPr>
          <w:b/>
          <w:bCs/>
        </w:rPr>
        <w:t xml:space="preserve">TERRAMYCINE SOLU-RETARD</w:t>
      </w:r>
      <w:r>
        <w:t xml:space="preserve"> </w:t>
      </w:r>
      <w:r>
        <w:t xml:space="preserve">(PFIZER) — Sol inj IM 250 mg/40 mg — B/1 amp 3 mL — Retiré (R).</w:t>
      </w:r>
      <w:r>
        <w:t xml:space="preserve"> </w:t>
      </w:r>
      <w:r>
        <w:t xml:space="preserve">-</w:t>
      </w:r>
      <w:r>
        <w:t xml:space="preserve"> </w:t>
      </w:r>
      <w:r>
        <w:rPr>
          <w:b/>
          <w:bCs/>
        </w:rPr>
        <w:t xml:space="preserve">TERRAMYCINE</w:t>
      </w:r>
      <w:r>
        <w:t xml:space="preserve"> </w:t>
      </w:r>
      <w:r>
        <w:t xml:space="preserve">(PFIZER) — Comprimé enrobé 250 mg — B/16 — Retiré (R).</w:t>
      </w:r>
      <w:r>
        <w:t xml:space="preserve"> </w:t>
      </w:r>
      <w:r>
        <w:t xml:space="preserve">-</w:t>
      </w:r>
      <w:r>
        <w:t xml:space="preserve"> </w:t>
      </w:r>
      <w:r>
        <w:rPr>
          <w:b/>
          <w:bCs/>
        </w:rPr>
        <w:t xml:space="preserve">OXYMED</w:t>
      </w:r>
      <w:r>
        <w:t xml:space="preserve"> </w:t>
      </w:r>
      <w:r>
        <w:t xml:space="preserve">(SAIDAL) — Pommade ophtalmique 1 % — T/5 g — Retiré (R).</w:t>
      </w:r>
      <w:r>
        <w:t xml:space="preserve"> </w:t>
      </w:r>
      <w:r>
        <w:t xml:space="preserve">-</w:t>
      </w:r>
      <w:r>
        <w:t xml:space="preserve"> </w:t>
      </w:r>
      <w:r>
        <w:rPr>
          <w:b/>
          <w:bCs/>
        </w:rPr>
        <w:t xml:space="preserve">POSICYCLINE</w:t>
      </w:r>
      <w:r>
        <w:t xml:space="preserve"> </w:t>
      </w:r>
      <w:r>
        <w:t xml:space="preserve">(ALCON) — Pommade ophtalmique 1 % — T/5 g — Retiré (R).</w:t>
      </w:r>
      <w:r>
        <w:t xml:space="preserve"> </w:t>
      </w:r>
      <w:r>
        <w:t xml:space="preserve">-</w:t>
      </w:r>
      <w:r>
        <w:t xml:space="preserve"> </w:t>
      </w:r>
      <w:r>
        <w:rPr>
          <w:b/>
          <w:bCs/>
        </w:rPr>
        <w:t xml:space="preserve">POSICYCLINE</w:t>
      </w:r>
      <w:r>
        <w:t xml:space="preserve"> </w:t>
      </w:r>
      <w:r>
        <w:t xml:space="preserve">(ALCON) — Collyre 1 % — Fl/5 mL — Retiré (R).</w:t>
      </w:r>
    </w:p>
    <w:p>
      <w:pPr>
        <w:pStyle w:val="BodyText"/>
      </w:pPr>
      <w:r>
        <w:rPr>
          <w:b/>
          <w:bCs/>
        </w:rPr>
        <w:t xml:space="preserve">Sous-classe et Mécanisme d’action :</w:t>
      </w:r>
      <w:r>
        <w:t xml:space="preserve"> </w:t>
      </w:r>
      <w:r>
        <w:t xml:space="preserve">- Sous-classe : Tétracycline naturelle de première génération (5-hydroxy).</w:t>
      </w:r>
      <w:r>
        <w:t xml:space="preserve"> </w:t>
      </w:r>
      <w:r>
        <w:t xml:space="preserve">- Mécanisme d’action : Identique à la doxycycline. Bactériostatique.</w:t>
      </w:r>
    </w:p>
    <w:p>
      <w:pPr>
        <w:pStyle w:val="BodyText"/>
      </w:pPr>
      <w:r>
        <w:rPr>
          <w:b/>
          <w:bCs/>
        </w:rPr>
        <w:t xml:space="preserve">Profil Pharmacologique :</w:t>
      </w:r>
      <w:r>
        <w:t xml:space="preserve"> </w:t>
      </w:r>
      <w:r>
        <w:t xml:space="preserve">- Indications : Forme ophtalmologique : conjonctivites bactériennes avec composante inflammatoire, blépharites, kératites, prophylaxie post-opératoire. Forme systémique (historique) : indications de classe.</w:t>
      </w:r>
      <w:r>
        <w:t xml:space="preserve"> </w:t>
      </w:r>
      <w:r>
        <w:t xml:space="preserve">- Contre-indications : Hypersensibilité, infections virales/fongiques oculaires (forme combinée au corticoïde), grossesse, enfant &lt; 8 ans, glaucome, perforation cornéenne.</w:t>
      </w:r>
      <w:r>
        <w:t xml:space="preserve"> </w:t>
      </w:r>
      <w:r>
        <w:t xml:space="preserve">- Spectre : Identique à la doxycycline.</w:t>
      </w:r>
    </w:p>
    <w:p>
      <w:pPr>
        <w:pStyle w:val="BodyText"/>
      </w:pPr>
      <w:r>
        <w:rPr>
          <w:b/>
          <w:bCs/>
        </w:rPr>
        <w:t xml:space="preserve">Effets Indésirables :</w:t>
      </w:r>
      <w:r>
        <w:t xml:space="preserve"> </w:t>
      </w:r>
      <w:r>
        <w:t xml:space="preserve">- Forme ophtalmologique : brûlure locale, allergie de contact, hypertension intra-oculaire (corticoïde), cataracte (usage prolongé), surinfection fongique.</w:t>
      </w:r>
      <w:r>
        <w:t xml:space="preserve"> </w:t>
      </w:r>
      <w:r>
        <w:t xml:space="preserve">- Forme systémique (historique) : identiques à la doxycycline, photosensibilité plus marquée.</w:t>
      </w:r>
    </w:p>
    <w:p>
      <w:pPr>
        <w:pStyle w:val="BodyText"/>
      </w:pPr>
      <w:r>
        <w:rPr>
          <w:b/>
          <w:bCs/>
        </w:rPr>
        <w:t xml:space="preserve">Prévention et Gestion des Effets Indésirables :</w:t>
      </w:r>
      <w:r>
        <w:t xml:space="preserve"> </w:t>
      </w:r>
      <w:r>
        <w:t xml:space="preserve">- Mesures Préventives : Limiter la durée à 7 jours, surveillance ophtalmologique au-delà.</w:t>
      </w:r>
      <w:r>
        <w:t xml:space="preserve"> </w:t>
      </w:r>
      <w:r>
        <w:t xml:space="preserve">- Conduite à Tenir : Arrêt en cas de douleur, de rougeur augmentée, de trouble visuel.</w:t>
      </w:r>
    </w:p>
    <w:p>
      <w:pPr>
        <w:pStyle w:val="BodyText"/>
      </w:pPr>
      <w:r>
        <w:rPr>
          <w:b/>
          <w:bCs/>
        </w:rPr>
        <w:t xml:space="preserve">Interactions Importantes :</w:t>
      </w:r>
      <w:r>
        <w:t xml:space="preserve"> </w:t>
      </w:r>
      <w:r>
        <w:t xml:space="preserve">- Identiques à la doxycycline (formes systémiques).</w:t>
      </w:r>
      <w:r>
        <w:t xml:space="preserve"> </w:t>
      </w:r>
      <w:r>
        <w:t xml:space="preserve">- Forme locale : pas d’interaction systémique significative.</w:t>
      </w:r>
    </w:p>
    <w:p>
      <w:pPr>
        <w:pStyle w:val="BodyText"/>
      </w:pPr>
      <w:r>
        <w:rPr>
          <w:b/>
          <w:bCs/>
        </w:rPr>
        <w:t xml:space="preserve">Grossesse et Allaitement :</w:t>
      </w:r>
      <w:r>
        <w:t xml:space="preserve"> </w:t>
      </w:r>
      <w:r>
        <w:t xml:space="preserve">- Grossesse : Forme ophtalmologique acceptable pour traitement court. Forme systémique : contre-indiquée.</w:t>
      </w:r>
      <w:r>
        <w:t xml:space="preserve"> </w:t>
      </w:r>
      <w:r>
        <w:t xml:space="preserve">- Allaitement : Compatible par voie ophtalmologique.</w:t>
      </w:r>
      <w:r>
        <w:t xml:space="preserve"> </w:t>
      </w:r>
      <w:r>
        <w:t xml:space="preserve">- Précisions : Risque théorique de passage systémique minimal.</w:t>
      </w:r>
    </w:p>
    <w:p>
      <w:pPr>
        <w:pStyle w:val="BodyText"/>
      </w:pPr>
      <w:r>
        <w:rPr>
          <w:b/>
          <w:bCs/>
        </w:rPr>
        <w:t xml:space="preserve">Posologie et Mode d’administration (Standard) :</w:t>
      </w:r>
      <w:r>
        <w:t xml:space="preserve"> </w:t>
      </w:r>
      <w:r>
        <w:t xml:space="preserve">- Adulte : Pommade ophtalmologique : 1 application × 2/j et au coucher pendant 5–7 jours. Forme systémique orale : 250–500 mg × 4/j (historique).</w:t>
      </w:r>
      <w:r>
        <w:t xml:space="preserve"> </w:t>
      </w:r>
      <w:r>
        <w:t xml:space="preserve">- Enfant &gt; 8 ans : 25–50 mg/kg/j en 4 prises (historique).</w:t>
      </w:r>
      <w:r>
        <w:t xml:space="preserve"> </w:t>
      </w:r>
      <w:r>
        <w:t xml:space="preserve">- Durée : 5–7 jours en ophtalmologie.</w:t>
      </w:r>
    </w:p>
    <w:p>
      <w:pPr>
        <w:pStyle w:val="BodyText"/>
      </w:pPr>
      <w:r>
        <w:rPr>
          <w:b/>
          <w:bCs/>
        </w:rPr>
        <w:t xml:space="preserve">Arbitrage et Bénéfices des Formes Galéniques :</w:t>
      </w:r>
      <w:r>
        <w:t xml:space="preserve"> </w:t>
      </w:r>
      <w:r>
        <w:t xml:space="preserve">La forme pommade ophtalmologique en association à la dexaméthasone (OXYDEX) prolonge le contact nocturne et combine antibiotique + anti-inflammatoire. La disparition des formes systémiques est cohérente avec les recommandations actuelles privilégiant la doxycycline.</w:t>
      </w:r>
    </w:p>
    <w:p>
      <w:pPr>
        <w:pStyle w:val="BodyText"/>
      </w:pPr>
      <w:r>
        <w:rPr>
          <w:b/>
          <w:bCs/>
        </w:rPr>
        <w:t xml:space="preserve">Instructions et Conseils au Patient :</w:t>
      </w:r>
      <w:r>
        <w:t xml:space="preserve"> </w:t>
      </w:r>
      <w:r>
        <w:t xml:space="preserve">- Communication au comptoir : Information sur la durée maximale, sur l’interdiction de porter des lentilles, sur la consultation si aggravation.</w:t>
      </w:r>
      <w:r>
        <w:t xml:space="preserve"> </w:t>
      </w:r>
      <w:r>
        <w:t xml:space="preserve">- Mode d’utilisation pratique : Lavage des mains, application d’un ruban de 1 cm dans le cul-de-sac conjonctival inférieur, fermeture de l’œil, massage doux.</w:t>
      </w:r>
    </w:p>
    <w:p>
      <w:pPr>
        <w:pStyle w:val="BodyText"/>
      </w:pPr>
      <w:r>
        <w:rPr>
          <w:b/>
          <w:bCs/>
        </w:rPr>
        <w:t xml:space="preserve">Notes, Règles d’Or &amp; Pièges au Comptoir :</w:t>
      </w:r>
      <w:r>
        <w:t xml:space="preserve"> </w:t>
      </w:r>
      <w:r>
        <w:t xml:space="preserve">- Piège classique : Usage prolongé sans contrôle ophtalmologique → glaucome cortisonique.</w:t>
      </w:r>
      <w:r>
        <w:t xml:space="preserve"> </w:t>
      </w:r>
      <w:r>
        <w:t xml:space="preserve">- Règle de prise : Ne pas dépasser 7 jours.</w:t>
      </w:r>
      <w:r>
        <w:t xml:space="preserve"> </w:t>
      </w:r>
      <w:r>
        <w:t xml:space="preserve">- Préparation et Conservation : Tube ≤ 25 °C, à l’abri de la lumière, jeter 1 mois après ouverture.</w:t>
      </w:r>
      <w:r>
        <w:t xml:space="preserve"> </w:t>
      </w:r>
      <w:r>
        <w:t xml:space="preserve">- Piège du surdosage / Substitution : Ne pas substituer par pommade corticoïde seule en cas d’infection.</w:t>
      </w:r>
    </w:p>
    <w:p>
      <w:r>
        <w:pict>
          <v:rect style="width:0;height:1.5pt" o:hralign="center" o:hrstd="t" o:hr="t"/>
        </w:pict>
      </w:r>
    </w:p>
    <w:bookmarkEnd w:id="141"/>
    <w:bookmarkStart w:id="142" w:name="dci-lymécycline-seule"/>
    <w:p>
      <w:pPr>
        <w:pStyle w:val="Heading3"/>
      </w:pPr>
      <w:r>
        <w:t xml:space="preserve">5.4.5 DCI : Lymécycline (Seule)</w:t>
      </w:r>
    </w:p>
    <w:p>
      <w:pPr>
        <w:pStyle w:val="FirstParagraph"/>
      </w:pPr>
      <w:r>
        <w:rPr>
          <w:b/>
          <w:bCs/>
        </w:rPr>
        <w:t xml:space="preserve">Liste des Catégories :</w:t>
      </w:r>
      <w:r>
        <w:t xml:space="preserve"> </w:t>
      </w:r>
      <w:r>
        <w:t xml:space="preserve">Liste I.</w:t>
      </w:r>
    </w:p>
    <w:p>
      <w:pPr>
        <w:pStyle w:val="BodyText"/>
      </w:pPr>
      <w:r>
        <w:t xml:space="preserve">La lymécycline, tétracycline semi-synthétique de deuxième génération (dérivée de la tétracycline par condensation avec la lysine), présente une absorption digestive améliorée et une tolérance supérieure à la tétracycline classique. Sa liposolubilité élevée lui confère une bonne pénétration sébacée, justifiant son indication préférentielle dans l’acné. Disponible en Algérie sous deux spécialités (TETRALYSAL, TETRAMAX), elle occupe une place de choix entre la doxycycline et la minocycline.</w:t>
      </w:r>
    </w:p>
    <w:p>
      <w:pPr>
        <w:pStyle w:val="BodyText"/>
      </w:pPr>
      <w:r>
        <w:rPr>
          <w:b/>
          <w:bCs/>
        </w:rPr>
        <w:t xml:space="preserve">Médicaments disponibles en Algérie (Marques, Laboratoires, Formes et Dosages) :</w:t>
      </w:r>
    </w:p>
    <w:p>
      <w:pPr>
        <w:pStyle w:val="BodyText"/>
      </w:pPr>
      <w:r>
        <w:t xml:space="preserve">Formes actives :</w:t>
      </w:r>
      <w:r>
        <w:t xml:space="preserve"> </w:t>
      </w:r>
      <w:r>
        <w:t xml:space="preserve">-</w:t>
      </w:r>
      <w:r>
        <w:t xml:space="preserve"> </w:t>
      </w:r>
      <w:r>
        <w:rPr>
          <w:b/>
          <w:bCs/>
        </w:rPr>
        <w:t xml:space="preserve">TETRALYSAL</w:t>
      </w:r>
      <w:r>
        <w:t xml:space="preserve"> </w:t>
      </w:r>
      <w:r>
        <w:t xml:space="preserve">(GALDERMA INTERNATIONAL) — Gélule 150 mg — B/16 — Actif.</w:t>
      </w:r>
      <w:r>
        <w:t xml:space="preserve"> </w:t>
      </w:r>
      <w:r>
        <w:t xml:space="preserve">-</w:t>
      </w:r>
      <w:r>
        <w:t xml:space="preserve"> </w:t>
      </w:r>
      <w:r>
        <w:rPr>
          <w:b/>
          <w:bCs/>
        </w:rPr>
        <w:t xml:space="preserve">TETRAMAX</w:t>
      </w:r>
      <w:r>
        <w:t xml:space="preserve"> </w:t>
      </w:r>
      <w:r>
        <w:t xml:space="preserve">(NOVAPHARM TRADING) — Gélule 150 mg — B/16 — Actif.</w:t>
      </w:r>
    </w:p>
    <w:p>
      <w:pPr>
        <w:pStyle w:val="BodyText"/>
      </w:pPr>
      <w:r>
        <w:rPr>
          <w:b/>
          <w:bCs/>
        </w:rPr>
        <w:t xml:space="preserve">Sous-classe et Mécanisme d’action :</w:t>
      </w:r>
      <w:r>
        <w:t xml:space="preserve"> </w:t>
      </w:r>
      <w:r>
        <w:t xml:space="preserve">- Sous-classe : Tétracycline semi-synthétique de deuxième génération (lysine-conjuguée).</w:t>
      </w:r>
      <w:r>
        <w:t xml:space="preserve"> </w:t>
      </w:r>
      <w:r>
        <w:t xml:space="preserve">- Mécanisme d’action : Identique à la doxycycline. Bactériostatique.</w:t>
      </w:r>
    </w:p>
    <w:p>
      <w:pPr>
        <w:pStyle w:val="BodyText"/>
      </w:pPr>
      <w:r>
        <w:rPr>
          <w:b/>
          <w:bCs/>
        </w:rPr>
        <w:t xml:space="preserve">Profil Pharmacologique :</w:t>
      </w:r>
      <w:r>
        <w:t xml:space="preserve"> </w:t>
      </w:r>
      <w:r>
        <w:t xml:space="preserve">- Indications : Acné modérée à sévère, rosacée papulopustuleuse, infections à Chlamydia, Mycoplasma, Rickettsia, infections ORL et respiratoires (alternative à la doxycycline), infections génitales non gonococciques, brucellose en association.</w:t>
      </w:r>
      <w:r>
        <w:t xml:space="preserve"> </w:t>
      </w:r>
      <w:r>
        <w:t xml:space="preserve">- Contre-indications : Grossesse, allaitement, enfant &lt; 8 ans, insuffisance hépatique sévère, lupus, hypersensibilité aux tétracyclines.</w:t>
      </w:r>
      <w:r>
        <w:t xml:space="preserve"> </w:t>
      </w:r>
      <w:r>
        <w:t xml:space="preserve">- Spectre : Identique à la doxycycline.</w:t>
      </w:r>
    </w:p>
    <w:p>
      <w:pPr>
        <w:pStyle w:val="BodyText"/>
      </w:pPr>
      <w:r>
        <w:rPr>
          <w:b/>
          <w:bCs/>
        </w:rPr>
        <w:t xml:space="preserve">Effets Indésirables :</w:t>
      </w:r>
      <w:r>
        <w:t xml:space="preserve"> </w:t>
      </w:r>
      <w:r>
        <w:t xml:space="preserve">- Identiques à la doxycycline, mais tolérance digestive globalement supérieure.</w:t>
      </w:r>
      <w:r>
        <w:t xml:space="preserve"> </w:t>
      </w:r>
      <w:r>
        <w:t xml:space="preserve">- Photosensibilité comparable à la doxycycline.</w:t>
      </w:r>
      <w:r>
        <w:t xml:space="preserve"> </w:t>
      </w:r>
      <w:r>
        <w:t xml:space="preserve">- Œsophagite (rarissime).</w:t>
      </w:r>
    </w:p>
    <w:p>
      <w:pPr>
        <w:pStyle w:val="BodyText"/>
      </w:pPr>
      <w:r>
        <w:rPr>
          <w:b/>
          <w:bCs/>
        </w:rPr>
        <w:t xml:space="preserve">Prévention et Gestion des Effets Indésirables :</w:t>
      </w:r>
      <w:r>
        <w:t xml:space="preserve"> </w:t>
      </w:r>
      <w:r>
        <w:t xml:space="preserve">- Mesures Préventives : Identiques à la doxycycline. Hydratation, position debout, photoprotection.</w:t>
      </w:r>
      <w:r>
        <w:t xml:space="preserve"> </w:t>
      </w:r>
      <w:r>
        <w:t xml:space="preserve">- Conduite à Tenir : Identique à la doxycycline.</w:t>
      </w:r>
    </w:p>
    <w:p>
      <w:pPr>
        <w:pStyle w:val="BodyText"/>
      </w:pPr>
      <w:r>
        <w:rPr>
          <w:b/>
          <w:bCs/>
        </w:rPr>
        <w:t xml:space="preserve">Interactions Importantes :</w:t>
      </w:r>
      <w:r>
        <w:t xml:space="preserve"> </w:t>
      </w:r>
      <w:r>
        <w:t xml:space="preserve">- Identiques à la doxycycline (cation polyvalents, inducteurs enzymatiques, anticoagulants oraux).</w:t>
      </w:r>
    </w:p>
    <w:p>
      <w:pPr>
        <w:pStyle w:val="BodyText"/>
      </w:pPr>
      <w:r>
        <w:rPr>
          <w:b/>
          <w:bCs/>
        </w:rPr>
        <w:t xml:space="preserve">Grossesse et Allaitement :</w:t>
      </w:r>
      <w:r>
        <w:t xml:space="preserve"> </w:t>
      </w:r>
      <w:r>
        <w:t xml:space="preserve">- Grossesse : Contre-indiqué.</w:t>
      </w:r>
      <w:r>
        <w:t xml:space="preserve"> </w:t>
      </w:r>
      <w:r>
        <w:t xml:space="preserve">- Allaitement : Contre-indiqué pour traitement &gt; 7 jours.</w:t>
      </w:r>
      <w:r>
        <w:t xml:space="preserve"> </w:t>
      </w:r>
      <w:r>
        <w:t xml:space="preserve">- Précisions : Risque dentaire et osseux fœtal.</w:t>
      </w:r>
    </w:p>
    <w:p>
      <w:pPr>
        <w:pStyle w:val="BodyText"/>
      </w:pPr>
      <w:r>
        <w:rPr>
          <w:b/>
          <w:bCs/>
        </w:rPr>
        <w:t xml:space="preserve">Posologie et Mode d’administration (Standard) :</w:t>
      </w:r>
      <w:r>
        <w:t xml:space="preserve"> </w:t>
      </w:r>
      <w:r>
        <w:t xml:space="preserve">- Adulte : 300 mg/j en une prise (soit 2 gélules de 150 mg) le matin, pendant 3 mois dans l’acné.</w:t>
      </w:r>
      <w:r>
        <w:t xml:space="preserve"> </w:t>
      </w:r>
      <w:r>
        <w:t xml:space="preserve">- Adolescent &gt; 12 ans et &gt; 40 kg : Identique à l’adulte.</w:t>
      </w:r>
      <w:r>
        <w:t xml:space="preserve"> </w:t>
      </w:r>
      <w:r>
        <w:t xml:space="preserve">- Enfant &gt; 8 ans : 10–15 mg/kg/j en 2 prises (indication rare).</w:t>
      </w:r>
      <w:r>
        <w:t xml:space="preserve"> </w:t>
      </w:r>
      <w:r>
        <w:t xml:space="preserve">- Durée : Acné : 3 mois ; infections : 7–14 jours.</w:t>
      </w:r>
      <w:r>
        <w:t xml:space="preserve"> </w:t>
      </w:r>
      <w:r>
        <w:t xml:space="preserve">- Moment de prise : À distance des cations polyvalents (2 h avant ou 4 h après). Préférable au cours du petit déjeuner pour la tolérance.</w:t>
      </w:r>
    </w:p>
    <w:p>
      <w:pPr>
        <w:pStyle w:val="BodyText"/>
      </w:pPr>
      <w:r>
        <w:rPr>
          <w:b/>
          <w:bCs/>
        </w:rPr>
        <w:t xml:space="preserve">Arbitrage et Bénéfices des Formes Galéniques :</w:t>
      </w:r>
      <w:r>
        <w:t xml:space="preserve"> </w:t>
      </w:r>
      <w:r>
        <w:t xml:space="preserve">La gélule 150 mg permet une posologie simple (2 gélules/j en une prise). TETRALYSAL (Galderma) bénéficie d’une reconnaissance dermatologique internationale.</w:t>
      </w:r>
    </w:p>
    <w:p>
      <w:pPr>
        <w:pStyle w:val="BodyText"/>
      </w:pPr>
      <w:r>
        <w:rPr>
          <w:b/>
          <w:bCs/>
        </w:rPr>
        <w:t xml:space="preserve">Instructions et Conseils au Patient :</w:t>
      </w:r>
      <w:r>
        <w:t xml:space="preserve"> </w:t>
      </w:r>
      <w:r>
        <w:t xml:space="preserve">- Communication au comptoir : Information sur la durée minimale (3 mois pour acné), la photoprotection, le moment de prise.</w:t>
      </w:r>
      <w:r>
        <w:t xml:space="preserve"> </w:t>
      </w:r>
      <w:r>
        <w:t xml:space="preserve">- Mode d’utilisation pratique : Identique à la doxycycline.</w:t>
      </w:r>
    </w:p>
    <w:p>
      <w:pPr>
        <w:pStyle w:val="BodyText"/>
      </w:pPr>
      <w:r>
        <w:rPr>
          <w:b/>
          <w:bCs/>
        </w:rPr>
        <w:t xml:space="preserve">Notes, Règles d’Or &amp; Pièges au Comptoir :</w:t>
      </w:r>
      <w:r>
        <w:t xml:space="preserve"> </w:t>
      </w:r>
      <w:r>
        <w:t xml:space="preserve">- Piège classique : Confusion avec la doxycycline (posologie différente).</w:t>
      </w:r>
      <w:r>
        <w:t xml:space="preserve"> </w:t>
      </w:r>
      <w:r>
        <w:t xml:space="preserve">- Règle de prise : À distance des laitages et antiacides.</w:t>
      </w:r>
      <w:r>
        <w:t xml:space="preserve"> </w:t>
      </w:r>
      <w:r>
        <w:t xml:space="preserve">- Préparation et Conservation : Gélules ≤ 25 °C, à l’abri de l’humidité.</w:t>
      </w:r>
      <w:r>
        <w:t xml:space="preserve"> </w:t>
      </w:r>
      <w:r>
        <w:t xml:space="preserve">- Piège du surdosage / Substitution : Ne pas substituer par doxycycline sans contrôle médical.</w:t>
      </w:r>
    </w:p>
    <w:p>
      <w:r>
        <w:pict>
          <v:rect style="width:0;height:1.5pt" o:hralign="center" o:hrstd="t" o:hr="t"/>
        </w:pict>
      </w:r>
    </w:p>
    <w:bookmarkEnd w:id="142"/>
    <w:bookmarkStart w:id="143" w:name="dci-chlorotétracycline-seule"/>
    <w:p>
      <w:pPr>
        <w:pStyle w:val="Heading3"/>
      </w:pPr>
      <w:r>
        <w:t xml:space="preserve">5.4.6 DCI : Chlorotétracycline (Seule)</w:t>
      </w:r>
    </w:p>
    <w:p>
      <w:pPr>
        <w:pStyle w:val="FirstParagraph"/>
      </w:pPr>
      <w:r>
        <w:rPr>
          <w:b/>
          <w:bCs/>
        </w:rPr>
        <w:t xml:space="preserve">Liste des Catégories :</w:t>
      </w:r>
      <w:r>
        <w:t xml:space="preserve"> </w:t>
      </w:r>
      <w:r>
        <w:t xml:space="preserve">Liste I / Liste II.</w:t>
      </w:r>
    </w:p>
    <w:p>
      <w:pPr>
        <w:pStyle w:val="BodyText"/>
      </w:pPr>
      <w:r>
        <w:t xml:space="preserve">La chlorotétracycline (Auréomycine), isolée en 1948 de</w:t>
      </w:r>
      <w:r>
        <w:t xml:space="preserve"> </w:t>
      </w:r>
      <w:r>
        <w:rPr>
          <w:i/>
          <w:iCs/>
        </w:rPr>
        <w:t xml:space="preserve">Streptomyces aureofaciens</w:t>
      </w:r>
      <w:r>
        <w:t xml:space="preserve">, est la première tétracycline découverte. Sa faible biodisponibilité orale (30 %) et sa demi-vie courte (6 h) ont fait régresser son usage systémique. Elle subsiste en Algérie sous forme de pommade dermique et ophtalmologique.</w:t>
      </w:r>
    </w:p>
    <w:p>
      <w:pPr>
        <w:pStyle w:val="BodyText"/>
      </w:pPr>
      <w:r>
        <w:rPr>
          <w:b/>
          <w:bCs/>
        </w:rPr>
        <w:t xml:space="preserve">Médicaments disponibles en Algérie (Marques, Laboratoires, Formes et Dosages) :</w:t>
      </w:r>
    </w:p>
    <w:p>
      <w:pPr>
        <w:pStyle w:val="BodyText"/>
      </w:pPr>
      <w:r>
        <w:t xml:space="preserve">Formes actives :</w:t>
      </w:r>
      <w:r>
        <w:t xml:space="preserve"> </w:t>
      </w:r>
      <w:r>
        <w:t xml:space="preserve">-</w:t>
      </w:r>
      <w:r>
        <w:t xml:space="preserve"> </w:t>
      </w:r>
      <w:r>
        <w:rPr>
          <w:b/>
          <w:bCs/>
        </w:rPr>
        <w:t xml:space="preserve">CLOMYCINE</w:t>
      </w:r>
      <w:r>
        <w:t xml:space="preserve"> </w:t>
      </w:r>
      <w:r>
        <w:t xml:space="preserve">(GROUPE SAIDAL) — Pommade dermique 3 % — T/15 g — Actif.</w:t>
      </w:r>
      <w:r>
        <w:t xml:space="preserve"> </w:t>
      </w:r>
      <w:r>
        <w:t xml:space="preserve">-</w:t>
      </w:r>
      <w:r>
        <w:t xml:space="preserve"> </w:t>
      </w:r>
      <w:r>
        <w:rPr>
          <w:b/>
          <w:bCs/>
        </w:rPr>
        <w:t xml:space="preserve">CLOMYCINE</w:t>
      </w:r>
      <w:r>
        <w:t xml:space="preserve"> </w:t>
      </w:r>
      <w:r>
        <w:t xml:space="preserve">(GROUPE SAIDAL) — Pommade ophtalmologique 1 % — B/01 t 5 g et B/50 t 5 g — Actif.</w:t>
      </w:r>
    </w:p>
    <w:p>
      <w:pPr>
        <w:pStyle w:val="BodyText"/>
      </w:pPr>
      <w:r>
        <w:t xml:space="preserve">Formes retirées (R) :</w:t>
      </w:r>
      <w:r>
        <w:t xml:space="preserve"> </w:t>
      </w:r>
      <w:r>
        <w:t xml:space="preserve">-</w:t>
      </w:r>
      <w:r>
        <w:t xml:space="preserve"> </w:t>
      </w:r>
      <w:r>
        <w:rPr>
          <w:b/>
          <w:bCs/>
        </w:rPr>
        <w:t xml:space="preserve">AUREOMYCINE</w:t>
      </w:r>
      <w:r>
        <w:t xml:space="preserve"> </w:t>
      </w:r>
      <w:r>
        <w:t xml:space="preserve">(PROMOPHARM) — Pommade ophtalmique 1 % — T/5 g — Retiré (R).</w:t>
      </w:r>
      <w:r>
        <w:t xml:space="preserve"> </w:t>
      </w:r>
      <w:r>
        <w:t xml:space="preserve">-</w:t>
      </w:r>
      <w:r>
        <w:t xml:space="preserve"> </w:t>
      </w:r>
      <w:r>
        <w:rPr>
          <w:b/>
          <w:bCs/>
        </w:rPr>
        <w:t xml:space="preserve">OPHTALMOSA CUSI AUREOMYCINE 1 %</w:t>
      </w:r>
      <w:r>
        <w:t xml:space="preserve"> </w:t>
      </w:r>
      <w:r>
        <w:t xml:space="preserve">(CUSI) — Pommade ophtalmique 1 % — T/5 g — Retiré (R).</w:t>
      </w:r>
    </w:p>
    <w:p>
      <w:pPr>
        <w:pStyle w:val="BodyText"/>
      </w:pPr>
      <w:r>
        <w:rPr>
          <w:b/>
          <w:bCs/>
        </w:rPr>
        <w:t xml:space="preserve">Sous-classe et Mécanisme d’action :</w:t>
      </w:r>
      <w:r>
        <w:t xml:space="preserve"> </w:t>
      </w:r>
      <w:r>
        <w:t xml:space="preserve">- Sous-classe : Tétracycline naturelle de première génération (7-chloro).</w:t>
      </w:r>
      <w:r>
        <w:t xml:space="preserve"> </w:t>
      </w:r>
      <w:r>
        <w:t xml:space="preserve">- Mécanisme d’action : Identique à la doxycycline. Bactériostatique.</w:t>
      </w:r>
    </w:p>
    <w:p>
      <w:pPr>
        <w:pStyle w:val="BodyText"/>
      </w:pPr>
      <w:r>
        <w:rPr>
          <w:b/>
          <w:bCs/>
        </w:rPr>
        <w:t xml:space="preserve">Profil Pharmacologique :</w:t>
      </w:r>
      <w:r>
        <w:t xml:space="preserve"> </w:t>
      </w:r>
      <w:r>
        <w:t xml:space="preserve">- Indications : Forme dermique : impétigo, ecthyma, pyodermites superficielles, plaies surinfectées. Forme ophtalmologique : conjonctivites, blépharites.</w:t>
      </w:r>
      <w:r>
        <w:t xml:space="preserve"> </w:t>
      </w:r>
      <w:r>
        <w:t xml:space="preserve">- Contre-indications : Hypersensibilité, mycoses cutanées, infections virales cutanées, allergie aux tétracyclines.</w:t>
      </w:r>
      <w:r>
        <w:t xml:space="preserve"> </w:t>
      </w:r>
      <w:r>
        <w:t xml:space="preserve">- Spectre : Identique à la doxycycline (formes locales limitées aux germes cutanés et oculaires).</w:t>
      </w:r>
    </w:p>
    <w:p>
      <w:pPr>
        <w:pStyle w:val="BodyText"/>
      </w:pPr>
      <w:r>
        <w:rPr>
          <w:b/>
          <w:bCs/>
        </w:rPr>
        <w:t xml:space="preserve">Effets Indésirables :</w:t>
      </w:r>
      <w:r>
        <w:t xml:space="preserve"> </w:t>
      </w:r>
      <w:r>
        <w:t xml:space="preserve">- Locaux : allergie de contact, eczéma, photosensibilité locale.</w:t>
      </w:r>
      <w:r>
        <w:t xml:space="preserve"> </w:t>
      </w:r>
      <w:r>
        <w:t xml:space="preserve">- Risque de sélection de résistances en usage prolongé.</w:t>
      </w:r>
    </w:p>
    <w:p>
      <w:pPr>
        <w:pStyle w:val="BodyText"/>
      </w:pPr>
      <w:r>
        <w:rPr>
          <w:b/>
          <w:bCs/>
        </w:rPr>
        <w:t xml:space="preserve">Prévention et Gestion des Effets Indésirables :</w:t>
      </w:r>
      <w:r>
        <w:t xml:space="preserve"> </w:t>
      </w:r>
      <w:r>
        <w:t xml:space="preserve">- Mesures Préventives : Limiter la durée à 7 jours, éviter l’exposition solaire.</w:t>
      </w:r>
      <w:r>
        <w:t xml:space="preserve"> </w:t>
      </w:r>
      <w:r>
        <w:t xml:space="preserve">- Conduite à Tenir : Arrêt en cas d’éruption.</w:t>
      </w:r>
    </w:p>
    <w:p>
      <w:pPr>
        <w:pStyle w:val="BodyText"/>
      </w:pPr>
      <w:r>
        <w:rPr>
          <w:b/>
          <w:bCs/>
        </w:rPr>
        <w:t xml:space="preserve">Interactions Importantes :</w:t>
      </w:r>
      <w:r>
        <w:t xml:space="preserve"> </w:t>
      </w:r>
      <w:r>
        <w:t xml:space="preserve">- Aucune interaction systémique significative par voie locale.</w:t>
      </w:r>
    </w:p>
    <w:p>
      <w:pPr>
        <w:pStyle w:val="BodyText"/>
      </w:pPr>
      <w:r>
        <w:rPr>
          <w:b/>
          <w:bCs/>
        </w:rPr>
        <w:t xml:space="preserve">Grossesse et Allaitement :</w:t>
      </w:r>
      <w:r>
        <w:t xml:space="preserve"> </w:t>
      </w:r>
      <w:r>
        <w:t xml:space="preserve">- Grossesse : Compatible par voie locale pour traitement court.</w:t>
      </w:r>
      <w:r>
        <w:t xml:space="preserve"> </w:t>
      </w:r>
      <w:r>
        <w:t xml:space="preserve">- Allaitement : Compatible.</w:t>
      </w:r>
      <w:r>
        <w:t xml:space="preserve"> </w:t>
      </w:r>
      <w:r>
        <w:t xml:space="preserve">- Précisions : Pas de passage systémique significatif.</w:t>
      </w:r>
    </w:p>
    <w:p>
      <w:pPr>
        <w:pStyle w:val="BodyText"/>
      </w:pPr>
      <w:r>
        <w:rPr>
          <w:b/>
          <w:bCs/>
        </w:rPr>
        <w:t xml:space="preserve">Posologie et Mode d’administration (Standard) :</w:t>
      </w:r>
      <w:r>
        <w:t xml:space="preserve"> </w:t>
      </w:r>
      <w:r>
        <w:t xml:space="preserve">- Adulte : Pommade dermique : 1–2 applications/j sur peau propre pendant 5–7 jours. Pommade ophtalmologique : 1 application × 2/j et au coucher.</w:t>
      </w:r>
      <w:r>
        <w:t xml:space="preserve"> </w:t>
      </w:r>
      <w:r>
        <w:t xml:space="preserve">- Enfant &gt; 8 ans : Identique à l’adulte.</w:t>
      </w:r>
      <w:r>
        <w:t xml:space="preserve"> </w:t>
      </w:r>
      <w:r>
        <w:t xml:space="preserve">- Durée : 5–7 jours.</w:t>
      </w:r>
    </w:p>
    <w:p>
      <w:pPr>
        <w:pStyle w:val="BodyText"/>
      </w:pPr>
      <w:r>
        <w:rPr>
          <w:b/>
          <w:bCs/>
        </w:rPr>
        <w:t xml:space="preserve">Arbitrage et Bénéfices des Formes Galéniques :</w:t>
      </w:r>
      <w:r>
        <w:t xml:space="preserve"> </w:t>
      </w:r>
      <w:r>
        <w:t xml:space="preserve">La pommade dermique à 3 % (CLOMYCINE) est une alternative économique aux autres topiques antibiotiques (acide fusidique, mupirocine). La pommade ophtalmologique à 1 % est une alternative historique aux collyres modernes.</w:t>
      </w:r>
    </w:p>
    <w:p>
      <w:pPr>
        <w:pStyle w:val="BodyText"/>
      </w:pPr>
      <w:r>
        <w:rPr>
          <w:b/>
          <w:bCs/>
        </w:rPr>
        <w:t xml:space="preserve">Instructions et Conseils au Patient :</w:t>
      </w:r>
      <w:r>
        <w:t xml:space="preserve"> </w:t>
      </w:r>
      <w:r>
        <w:t xml:space="preserve">- Communication au comptoir : Information sur la durée, l’absence d’efficacité sur les mycoses et viroses, la nécessité de nettoyer la lésion avant application.</w:t>
      </w:r>
      <w:r>
        <w:t xml:space="preserve"> </w:t>
      </w:r>
      <w:r>
        <w:t xml:space="preserve">- Mode d’utilisation pratique : Lavage des mains, application en couche fine, pansement si besoin.</w:t>
      </w:r>
    </w:p>
    <w:p>
      <w:pPr>
        <w:pStyle w:val="BodyText"/>
      </w:pPr>
      <w:r>
        <w:rPr>
          <w:b/>
          <w:bCs/>
        </w:rPr>
        <w:t xml:space="preserve">Notes, Règles d’Or &amp; Pièges au Comptoir :</w:t>
      </w:r>
      <w:r>
        <w:t xml:space="preserve"> </w:t>
      </w:r>
      <w:r>
        <w:t xml:space="preserve">- Piège classique : Usage prolongé sur plaie chronique → sélection de résistances.</w:t>
      </w:r>
      <w:r>
        <w:t xml:space="preserve"> </w:t>
      </w:r>
      <w:r>
        <w:t xml:space="preserve">- Règle de prise : Application propre, durée limitée.</w:t>
      </w:r>
      <w:r>
        <w:t xml:space="preserve"> </w:t>
      </w:r>
      <w:r>
        <w:t xml:space="preserve">- Préparation et Conservation : Tube ≤ 25 °C, à l’abri de la lumière, jeter 1 mois après ouverture.</w:t>
      </w:r>
      <w:r>
        <w:t xml:space="preserve"> </w:t>
      </w:r>
      <w:r>
        <w:t xml:space="preserve">- Piège du surdosage / Substitution : Allergie croisée possible avec autres tétracyclines.</w:t>
      </w:r>
    </w:p>
    <w:p>
      <w:r>
        <w:pict>
          <v:rect style="width:0;height:1.5pt" o:hralign="center" o:hrstd="t" o:hr="t"/>
        </w:pict>
      </w:r>
    </w:p>
    <w:bookmarkEnd w:id="143"/>
    <w:bookmarkStart w:id="144" w:name="Xac504d89237f74ec784620e1edcaa81752bcbbb"/>
    <w:p>
      <w:pPr>
        <w:pStyle w:val="Heading3"/>
      </w:pPr>
      <w:r>
        <w:t xml:space="preserve">5.4.7 DCI : Tétracycline (Seule et en associations locales)</w:t>
      </w:r>
    </w:p>
    <w:p>
      <w:pPr>
        <w:pStyle w:val="FirstParagraph"/>
      </w:pPr>
      <w:r>
        <w:rPr>
          <w:b/>
          <w:bCs/>
        </w:rPr>
        <w:t xml:space="preserve">Liste des Catégories :</w:t>
      </w:r>
      <w:r>
        <w:t xml:space="preserve"> </w:t>
      </w:r>
      <w:r>
        <w:t xml:space="preserve">Liste I.</w:t>
      </w:r>
    </w:p>
    <w:p>
      <w:pPr>
        <w:pStyle w:val="BodyText"/>
      </w:pPr>
      <w:r>
        <w:t xml:space="preserve">La tétracycline, semi-synthétique dérivée de la chlortétracycline (6-désméthyl-6-déoxychlortétracycline), a été la tétracycline de référence des années 1950–1970 avant d’être supplantée par la doxycycline. En Algérie, elle n’est plus disponible que sous la forme d’une association locale (Antibiotulle, retirée du marché).</w:t>
      </w:r>
    </w:p>
    <w:p>
      <w:pPr>
        <w:pStyle w:val="BodyText"/>
      </w:pPr>
      <w:r>
        <w:rPr>
          <w:b/>
          <w:bCs/>
        </w:rPr>
        <w:t xml:space="preserve">Médicaments disponibles en Algérie (Marques, Laboratoires, Formes et Dosages) :</w:t>
      </w:r>
    </w:p>
    <w:p>
      <w:pPr>
        <w:pStyle w:val="BodyText"/>
      </w:pPr>
      <w:r>
        <w:t xml:space="preserve">Formes retirées (R) :</w:t>
      </w:r>
      <w:r>
        <w:t xml:space="preserve"> </w:t>
      </w:r>
      <w:r>
        <w:t xml:space="preserve">-</w:t>
      </w:r>
      <w:r>
        <w:t xml:space="preserve"> </w:t>
      </w:r>
      <w:r>
        <w:rPr>
          <w:b/>
          <w:bCs/>
        </w:rPr>
        <w:t xml:space="preserve">ANTIBIOTULLE</w:t>
      </w:r>
      <w:r>
        <w:t xml:space="preserve"> </w:t>
      </w:r>
      <w:r>
        <w:t xml:space="preserve">(SOLVAY PHARMA) — Pansement médicamenteux (néomycine 425 000 UI/polymyxine B 300 000 UI pour 100 g) — B/10 — Retiré (R).</w:t>
      </w:r>
      <w:r>
        <w:t xml:space="preserve"> </w:t>
      </w:r>
      <w:r>
        <w:t xml:space="preserve">-</w:t>
      </w:r>
      <w:r>
        <w:t xml:space="preserve"> </w:t>
      </w:r>
      <w:r>
        <w:rPr>
          <w:b/>
          <w:bCs/>
        </w:rPr>
        <w:t xml:space="preserve">ANTIBIOTULLE</w:t>
      </w:r>
      <w:r>
        <w:t xml:space="preserve"> </w:t>
      </w:r>
      <w:r>
        <w:t xml:space="preserve">(SOLVAY PHARMA) — Gazes médicamenteuses (néomycine 425 000 UI/polymyxine B 300 000 UI pour 100 g) — B/5 — Retiré (R).</w:t>
      </w:r>
    </w:p>
    <w:p>
      <w:pPr>
        <w:pStyle w:val="BodyText"/>
      </w:pPr>
      <w:r>
        <w:rPr>
          <w:b/>
          <w:bCs/>
        </w:rPr>
        <w:t xml:space="preserve">Note :</w:t>
      </w:r>
      <w:r>
        <w:t xml:space="preserve"> </w:t>
      </w:r>
      <w:r>
        <w:t xml:space="preserve">Le libellé « Antibiotulle » dans la nomenclature algérienne est en réalité une association néomycine + polymyxine B en pansement, sans tétracycline ; elle est mentionnée ici par cohérence avec la nomenclature mais ne contient pas de tétracycline. Cette particularité est un piègle de saisie à connaître.</w:t>
      </w:r>
    </w:p>
    <w:p>
      <w:pPr>
        <w:pStyle w:val="BodyText"/>
      </w:pPr>
      <w:r>
        <w:rPr>
          <w:b/>
          <w:bCs/>
        </w:rPr>
        <w:t xml:space="preserve">Sous-classe et Mécanisme d’action :</w:t>
      </w:r>
      <w:r>
        <w:t xml:space="preserve"> </w:t>
      </w:r>
      <w:r>
        <w:t xml:space="preserve">- Sous-classe : Tétracycline de première génération.</w:t>
      </w:r>
      <w:r>
        <w:t xml:space="preserve"> </w:t>
      </w:r>
      <w:r>
        <w:t xml:space="preserve">- Mécanisme d’action : Identique à la doxycycline. Bactériostatique.</w:t>
      </w:r>
    </w:p>
    <w:p>
      <w:pPr>
        <w:pStyle w:val="BodyText"/>
      </w:pPr>
      <w:r>
        <w:rPr>
          <w:b/>
          <w:bCs/>
        </w:rPr>
        <w:t xml:space="preserve">Profil Pharmacologique :</w:t>
      </w:r>
      <w:r>
        <w:t xml:space="preserve"> </w:t>
      </w:r>
      <w:r>
        <w:t xml:space="preserve">- Indications : Historique : infections à germes sensibles, acné, infections génitales à Chlamydia, brucellose, rickettsioses.</w:t>
      </w:r>
      <w:r>
        <w:t xml:space="preserve"> </w:t>
      </w:r>
      <w:r>
        <w:t xml:space="preserve">- Contre-indications : Identiques à la doxycycline.</w:t>
      </w:r>
      <w:r>
        <w:t xml:space="preserve"> </w:t>
      </w:r>
      <w:r>
        <w:t xml:space="preserve">- Spectre : Identique à la doxycycline.</w:t>
      </w:r>
    </w:p>
    <w:p>
      <w:pPr>
        <w:pStyle w:val="BodyText"/>
      </w:pPr>
      <w:r>
        <w:rPr>
          <w:b/>
          <w:bCs/>
        </w:rPr>
        <w:t xml:space="preserve">Effets Indésirables :</w:t>
      </w:r>
      <w:r>
        <w:t xml:space="preserve"> </w:t>
      </w:r>
      <w:r>
        <w:t xml:space="preserve">- Identiques à la doxycycline, photosensibilité marquée.</w:t>
      </w:r>
    </w:p>
    <w:p>
      <w:pPr>
        <w:pStyle w:val="BodyText"/>
      </w:pPr>
      <w:r>
        <w:rPr>
          <w:b/>
          <w:bCs/>
        </w:rPr>
        <w:t xml:space="preserve">Prévention et Gestion des Effets Indésirables :</w:t>
      </w:r>
      <w:r>
        <w:t xml:space="preserve"> </w:t>
      </w:r>
      <w:r>
        <w:t xml:space="preserve">- Identiques à la doxycycline.</w:t>
      </w:r>
    </w:p>
    <w:p>
      <w:pPr>
        <w:pStyle w:val="BodyText"/>
      </w:pPr>
      <w:r>
        <w:rPr>
          <w:b/>
          <w:bCs/>
        </w:rPr>
        <w:t xml:space="preserve">Interactions Importantes :</w:t>
      </w:r>
      <w:r>
        <w:t xml:space="preserve"> </w:t>
      </w:r>
      <w:r>
        <w:t xml:space="preserve">- Identiques à la doxycycline.</w:t>
      </w:r>
    </w:p>
    <w:p>
      <w:pPr>
        <w:pStyle w:val="BodyText"/>
      </w:pPr>
      <w:r>
        <w:rPr>
          <w:b/>
          <w:bCs/>
        </w:rPr>
        <w:t xml:space="preserve">Grossesse et Allaitement :</w:t>
      </w:r>
      <w:r>
        <w:t xml:space="preserve"> </w:t>
      </w:r>
      <w:r>
        <w:t xml:space="preserve">- Contre-indiqué.</w:t>
      </w:r>
    </w:p>
    <w:p>
      <w:pPr>
        <w:pStyle w:val="BodyText"/>
      </w:pPr>
      <w:r>
        <w:rPr>
          <w:b/>
          <w:bCs/>
        </w:rPr>
        <w:t xml:space="preserve">Posologie et Mode d’administration (Standard) :</w:t>
      </w:r>
      <w:r>
        <w:t xml:space="preserve"> </w:t>
      </w:r>
      <w:r>
        <w:t xml:space="preserve">- Adulte : Historique : 250–500 mg × 4/j.</w:t>
      </w:r>
      <w:r>
        <w:t xml:space="preserve"> </w:t>
      </w:r>
      <w:r>
        <w:t xml:space="preserve">- Enfant &gt; 8 ans : 25–50 mg/kg/j en 4 prises.</w:t>
      </w:r>
      <w:r>
        <w:t xml:space="preserve"> </w:t>
      </w:r>
      <w:r>
        <w:t xml:space="preserve">- Durée : Variable selon indication.</w:t>
      </w:r>
    </w:p>
    <w:p>
      <w:pPr>
        <w:pStyle w:val="BodyText"/>
      </w:pPr>
      <w:r>
        <w:rPr>
          <w:b/>
          <w:bCs/>
        </w:rPr>
        <w:t xml:space="preserve">Arbitrage et Bénéfices des Formes Galéniques :</w:t>
      </w:r>
      <w:r>
        <w:t xml:space="preserve"> </w:t>
      </w:r>
      <w:r>
        <w:t xml:space="preserve">Plus disponible en Algérie sous forme systémique. Le pansement Antibiotulle (association néomycine + polymyxine B) était utilisé en pratique dermatologique pour les plaies surinfectées.</w:t>
      </w:r>
    </w:p>
    <w:p>
      <w:pPr>
        <w:pStyle w:val="BodyText"/>
      </w:pPr>
      <w:r>
        <w:rPr>
          <w:b/>
          <w:bCs/>
        </w:rPr>
        <w:t xml:space="preserve">Instructions et Conseils au Patient :</w:t>
      </w:r>
      <w:r>
        <w:t xml:space="preserve"> </w:t>
      </w:r>
      <w:r>
        <w:t xml:space="preserve">- Communication au comptoir : Historique.</w:t>
      </w:r>
      <w:r>
        <w:t xml:space="preserve"> </w:t>
      </w:r>
      <w:r>
        <w:t xml:space="preserve">- Mode d’utilisation pratique : Historique.</w:t>
      </w:r>
    </w:p>
    <w:p>
      <w:pPr>
        <w:pStyle w:val="BodyText"/>
      </w:pPr>
      <w:r>
        <w:rPr>
          <w:b/>
          <w:bCs/>
        </w:rPr>
        <w:t xml:space="preserve">Notes, Règles d’Or &amp; Pièges au Comptoir :</w:t>
      </w:r>
      <w:r>
        <w:t xml:space="preserve"> </w:t>
      </w:r>
      <w:r>
        <w:t xml:space="preserve">- Piège classique : Confusion de nomenclature entre « tétracycline » et la classe des tétracyclines.</w:t>
      </w:r>
      <w:r>
        <w:t xml:space="preserve"> </w:t>
      </w:r>
      <w:r>
        <w:t xml:space="preserve">- Règle de prise : Historique.</w:t>
      </w:r>
      <w:r>
        <w:t xml:space="preserve"> </w:t>
      </w:r>
      <w:r>
        <w:t xml:space="preserve">- Préparation et Conservation : Historique.</w:t>
      </w:r>
      <w:r>
        <w:t xml:space="preserve"> </w:t>
      </w:r>
      <w:r>
        <w:t xml:space="preserve">- Piège du surdosage / Substitution : Non applicable actuellement.</w:t>
      </w:r>
    </w:p>
    <w:p>
      <w:r>
        <w:pict>
          <v:rect style="width:0;height:1.5pt" o:hralign="center" o:hrstd="t" o:hr="t"/>
        </w:pict>
      </w:r>
    </w:p>
    <w:bookmarkEnd w:id="144"/>
    <w:bookmarkStart w:id="145" w:name="Xf2d7b499e7fdb240c8c2436d220041c7b8dccc5"/>
    <w:p>
      <w:pPr>
        <w:pStyle w:val="Heading3"/>
      </w:pPr>
      <w:r>
        <w:t xml:space="preserve">5.4.8 DCI : Bismuth + Métronidazole + Tétracycline (En Association)</w:t>
      </w:r>
    </w:p>
    <w:p>
      <w:pPr>
        <w:pStyle w:val="FirstParagraph"/>
      </w:pPr>
      <w:r>
        <w:rPr>
          <w:b/>
          <w:bCs/>
        </w:rPr>
        <w:t xml:space="preserve">Liste des Catégories :</w:t>
      </w:r>
      <w:r>
        <w:t xml:space="preserve"> </w:t>
      </w:r>
      <w:r>
        <w:t xml:space="preserve">Liste I.</w:t>
      </w:r>
    </w:p>
    <w:p>
      <w:pPr>
        <w:pStyle w:val="BodyText"/>
      </w:pPr>
      <w:r>
        <w:t xml:space="preserve">L’association bismuth + métronidazole + tétracycline (BMT) constitue l’un des traitements de référence de l’éradication de</w:t>
      </w:r>
      <w:r>
        <w:t xml:space="preserve"> </w:t>
      </w:r>
      <w:r>
        <w:rPr>
          <w:i/>
          <w:iCs/>
        </w:rPr>
        <w:t xml:space="preserve">Helicobacter pylori</w:t>
      </w:r>
      <w:r>
        <w:t xml:space="preserve"> </w:t>
      </w:r>
      <w:r>
        <w:t xml:space="preserve">en Algérie, en alternative à la trithérapie standard IPP + clarithromycine + amoxicilline (en cas d’allergie à la pénicilline, d’échec thérapeutique antérieur ou de résistance connue à la clarithromycine). Elle s’administre obligatoirement en association à un inhibiteur de la pompe à protons (IPP), constituant ainsi une quadrithérapie bismuthée. Le sous-nitrate de bismuth agit localement en protégeant la muqueuse, en inhibant l’uréase bactérienne et en exerçant un effet antibactérien direct.</w:t>
      </w:r>
    </w:p>
    <w:p>
      <w:pPr>
        <w:pStyle w:val="BodyText"/>
      </w:pPr>
      <w:r>
        <w:rPr>
          <w:b/>
          <w:bCs/>
        </w:rPr>
        <w:t xml:space="preserve">Médicaments disponibles en Algérie (Marques, Laboratoires, Formes et Dosages) :</w:t>
      </w:r>
    </w:p>
    <w:p>
      <w:pPr>
        <w:pStyle w:val="BodyText"/>
      </w:pPr>
      <w:r>
        <w:t xml:space="preserve">Formes actives :</w:t>
      </w:r>
      <w:r>
        <w:t xml:space="preserve"> </w:t>
      </w:r>
      <w:r>
        <w:t xml:space="preserve">-</w:t>
      </w:r>
      <w:r>
        <w:t xml:space="preserve"> </w:t>
      </w:r>
      <w:r>
        <w:rPr>
          <w:b/>
          <w:bCs/>
        </w:rPr>
        <w:t xml:space="preserve">DISPYLORI</w:t>
      </w:r>
      <w:r>
        <w:t xml:space="preserve"> </w:t>
      </w:r>
      <w:r>
        <w:t xml:space="preserve">(LABORATOIRE SAIPH) — Gélule 140 mg/125 mg/125 mg (bismuth sous-nitrate/métronidazole/tétracycline) — B/120 gélules — Actif.</w:t>
      </w:r>
      <w:r>
        <w:t xml:space="preserve"> </w:t>
      </w:r>
      <w:r>
        <w:t xml:space="preserve">-</w:t>
      </w:r>
      <w:r>
        <w:t xml:space="preserve"> </w:t>
      </w:r>
      <w:r>
        <w:rPr>
          <w:b/>
          <w:bCs/>
        </w:rPr>
        <w:t xml:space="preserve">PYLORIX</w:t>
      </w:r>
      <w:r>
        <w:t xml:space="preserve"> </w:t>
      </w:r>
      <w:r>
        <w:t xml:space="preserve">(PHARMALLIANCE) — Gélule 140 mg/125 mg/125 mg — B/120 gélules — Actif.</w:t>
      </w:r>
    </w:p>
    <w:p>
      <w:pPr>
        <w:pStyle w:val="BodyText"/>
      </w:pPr>
      <w:r>
        <w:rPr>
          <w:b/>
          <w:bCs/>
        </w:rPr>
        <w:t xml:space="preserve">Sous-classe et Mécanisme d’action :</w:t>
      </w:r>
      <w:r>
        <w:t xml:space="preserve"> </w:t>
      </w:r>
      <w:r>
        <w:t xml:space="preserve">- Sous-classe : Association antibiotique + sels de bismuth pour éradication de H. pylori.</w:t>
      </w:r>
      <w:r>
        <w:t xml:space="preserve"> </w:t>
      </w:r>
      <w:r>
        <w:t xml:space="preserve">- Mécanisme d’action : (1) Tétracycline : bactériostatique, inhibition de la synthèse protéique (30S). (2) Métronidazole : prodrogue activée par la pyruvate-ferredoxine oxydoréductase bactérienne en radical cytotoxique → cassure de l’ADN. (3) Bismuth : effet bactériostatique direct (inhibition de l’uréase, altération de la paroi), cytoprotection muqueuse (précipitation de mucine, formation d’un film protecteur).</w:t>
      </w:r>
    </w:p>
    <w:p>
      <w:pPr>
        <w:pStyle w:val="BodyText"/>
      </w:pPr>
      <w:r>
        <w:rPr>
          <w:b/>
          <w:bCs/>
        </w:rPr>
        <w:t xml:space="preserve">Profil Pharmacologique :</w:t>
      </w:r>
      <w:r>
        <w:t xml:space="preserve"> </w:t>
      </w:r>
      <w:r>
        <w:t xml:space="preserve">- Indications : Éradication de</w:t>
      </w:r>
      <w:r>
        <w:t xml:space="preserve"> </w:t>
      </w:r>
      <w:r>
        <w:rPr>
          <w:i/>
          <w:iCs/>
        </w:rPr>
        <w:t xml:space="preserve">Helicobacter pylori</w:t>
      </w:r>
      <w:r>
        <w:t xml:space="preserve"> </w:t>
      </w:r>
      <w:r>
        <w:t xml:space="preserve">en cas d’ulcère duodenal ou gastrique, de lymphome gastrique du MALT, d’anémie par carence en fer inexpliquée, de purpura thrombopénique immunologique, de dyspepsie fonctionnelle (selon recommandations) — en quadrithérapie bismuthée (association à un IPP : oméprazole 20 mg × 2/j ou ésoméprazole 20 mg × 2/j ou pantoprazole 40 mg × 2/j).</w:t>
      </w:r>
      <w:r>
        <w:t xml:space="preserve"> </w:t>
      </w:r>
      <w:r>
        <w:t xml:space="preserve">- Contre-indications : Hypersensibilité à l’un des composants, grossesse (tétracycline + métronidazole), allaitement, enfant &lt; 8 ans (tétracycline), insuffisance hépatique sévère (métronidazole), insuffisance rénale sévère (bismuth), prise d’alcool (effet antabuse du métronidazole).</w:t>
      </w:r>
      <w:r>
        <w:t xml:space="preserve"> </w:t>
      </w:r>
      <w:r>
        <w:t xml:space="preserve">- Spectre :</w:t>
      </w:r>
      <w:r>
        <w:t xml:space="preserve"> </w:t>
      </w:r>
      <w:r>
        <w:rPr>
          <w:i/>
          <w:iCs/>
        </w:rPr>
        <w:t xml:space="preserve">Helicobacter pylori</w:t>
      </w:r>
      <w:r>
        <w:t xml:space="preserve"> </w:t>
      </w:r>
      <w:r>
        <w:t xml:space="preserve">(efficacité &gt; 90 % en zone de faible résistance à la clarithromycine comme l’Algérie).</w:t>
      </w:r>
    </w:p>
    <w:p>
      <w:pPr>
        <w:pStyle w:val="BodyText"/>
      </w:pPr>
      <w:r>
        <w:rPr>
          <w:b/>
          <w:bCs/>
        </w:rPr>
        <w:t xml:space="preserve">Effets Indésirables :</w:t>
      </w:r>
      <w:r>
        <w:t xml:space="preserve"> </w:t>
      </w:r>
      <w:r>
        <w:t xml:space="preserve">- Digestifs : nausées, vomissements, diarrhée, dysgueusie, glossite, langue noire pileuse, coloration noire des selles (bismuth — banal et réversible).</w:t>
      </w:r>
      <w:r>
        <w:t xml:space="preserve"> </w:t>
      </w:r>
      <w:r>
        <w:t xml:space="preserve">- Neurologiques : céphalées, vertiges, ataxie (métronidazole), neuropathies sensitives en traitement prolongé.</w:t>
      </w:r>
      <w:r>
        <w:t xml:space="preserve"> </w:t>
      </w:r>
      <w:r>
        <w:t xml:space="preserve">- Allergiques : rash, urticaire.</w:t>
      </w:r>
      <w:r>
        <w:t xml:space="preserve"> </w:t>
      </w:r>
      <w:r>
        <w:t xml:space="preserve">- Hématologiques : neutropénie transitoire (métronidazole).</w:t>
      </w:r>
      <w:r>
        <w:t xml:space="preserve"> </w:t>
      </w:r>
      <w:r>
        <w:t xml:space="preserve">- Coloration dentaire (tétracycline).</w:t>
      </w:r>
      <w:r>
        <w:t xml:space="preserve"> </w:t>
      </w:r>
      <w:r>
        <w:t xml:space="preserve">- Effet antabuse (métronidazole + alcool : bouffées vasomotrices, nausées, vomissements, céphalées).</w:t>
      </w:r>
      <w:r>
        <w:t xml:space="preserve"> </w:t>
      </w:r>
      <w:r>
        <w:t xml:space="preserve">- Encéphalopathie au bismuth en cas d’insuffisance rénale (rare).</w:t>
      </w:r>
    </w:p>
    <w:p>
      <w:pPr>
        <w:pStyle w:val="BodyText"/>
      </w:pPr>
      <w:r>
        <w:rPr>
          <w:b/>
          <w:bCs/>
        </w:rPr>
        <w:t xml:space="preserve">Prévention et Gestion des Effets Indésirables :</w:t>
      </w:r>
      <w:r>
        <w:t xml:space="preserve"> </w:t>
      </w:r>
      <w:r>
        <w:t xml:space="preserve">- Mesures Préventives : Information stricte sur l’abstinence alcoolique pendant et 48 h après la fin du traitement, prise au cours des repas pour la tolérance digestive, hydratation abondante, photoprotection (tétracycline), surveillance transaminases en cas de traitement prolongé.</w:t>
      </w:r>
      <w:r>
        <w:t xml:space="preserve"> </w:t>
      </w:r>
      <w:r>
        <w:t xml:space="preserve">- Conduite à Tenir : Arrêt en cas de neuropathie, d’encéphalopathie (bismuth).</w:t>
      </w:r>
    </w:p>
    <w:p>
      <w:pPr>
        <w:pStyle w:val="BodyText"/>
      </w:pPr>
      <w:r>
        <w:rPr>
          <w:b/>
          <w:bCs/>
        </w:rPr>
        <w:t xml:space="preserve">Interactions Importantes :</w:t>
      </w:r>
      <w:r>
        <w:t xml:space="preserve"> </w:t>
      </w:r>
      <w:r>
        <w:t xml:space="preserve">- Alcool : effet antabuse (métronidazole).</w:t>
      </w:r>
      <w:r>
        <w:t xml:space="preserve"> </w:t>
      </w:r>
      <w:r>
        <w:t xml:space="preserve">- Warfarine, acénocoumarol : majoration de l’INR (métronidazole inhibe le CYP2C9).</w:t>
      </w:r>
      <w:r>
        <w:t xml:space="preserve"> </w:t>
      </w:r>
      <w:r>
        <w:t xml:space="preserve">- Disulfirame : risque de psychose aiguë (métronidazole).</w:t>
      </w:r>
      <w:r>
        <w:t xml:space="preserve"> </w:t>
      </w:r>
      <w:r>
        <w:t xml:space="preserve">- Cations polyvalents (calcium, magnésium, fer, zinc, aluminium, bismuth) : chélation de la tétracycline.</w:t>
      </w:r>
      <w:r>
        <w:t xml:space="preserve"> </w:t>
      </w:r>
      <w:r>
        <w:t xml:space="preserve">- Phénytoïne, phénobarbital : induction enzymatique → diminution du métronidazole.</w:t>
      </w:r>
      <w:r>
        <w:t xml:space="preserve"> </w:t>
      </w:r>
      <w:r>
        <w:t xml:space="preserve">- Cimétidine : diminution du métronidazole.</w:t>
      </w:r>
      <w:r>
        <w:t xml:space="preserve"> </w:t>
      </w:r>
      <w:r>
        <w:t xml:space="preserve">- Lithium : augmentation des concentrations (métronidazole).</w:t>
      </w:r>
      <w:r>
        <w:t xml:space="preserve"> </w:t>
      </w:r>
      <w:r>
        <w:t xml:space="preserve">- Fluorouracile : majoration de la toxicité (métronidazole).</w:t>
      </w:r>
    </w:p>
    <w:p>
      <w:pPr>
        <w:pStyle w:val="BodyText"/>
      </w:pPr>
      <w:r>
        <w:rPr>
          <w:b/>
          <w:bCs/>
        </w:rPr>
        <w:t xml:space="preserve">Grossesse et Allaitement :</w:t>
      </w:r>
      <w:r>
        <w:t xml:space="preserve"> </w:t>
      </w:r>
      <w:r>
        <w:t xml:space="preserve">- Grossesse : Contre-indiqué (tétracycline + métronidazole au 1er trimestre).</w:t>
      </w:r>
      <w:r>
        <w:t xml:space="preserve"> </w:t>
      </w:r>
      <w:r>
        <w:t xml:space="preserve">- Allaitement : Contre-indiqué.</w:t>
      </w:r>
      <w:r>
        <w:t xml:space="preserve"> </w:t>
      </w:r>
      <w:r>
        <w:t xml:space="preserve">- Précisions : Report de l’éradication après l’accouchement sauf urgence (hémorragie digestive sur ulcère).</w:t>
      </w:r>
    </w:p>
    <w:p>
      <w:pPr>
        <w:pStyle w:val="BodyText"/>
      </w:pPr>
      <w:r>
        <w:rPr>
          <w:b/>
          <w:bCs/>
        </w:rPr>
        <w:t xml:space="preserve">Posologie et Mode d’administration (Standard) :</w:t>
      </w:r>
      <w:r>
        <w:t xml:space="preserve"> </w:t>
      </w:r>
      <w:r>
        <w:t xml:space="preserve">- Adulte : 3 gélules × 4/j (soit bismuth 1,68 g/j, métronidazole 1,5 g/j, tétracycline 1,5 g/j) pendant 10–14 jours, en association à un IPP 2 fois/j (oméprazole 20 mg × 2/j, ésoméprazole 20 mg × 2/j, pantoprazole 40 mg × 2/j, lansoprazole 30 mg × 2/j, rabéprazole 20 mg × 2/j).</w:t>
      </w:r>
      <w:r>
        <w:t xml:space="preserve"> </w:t>
      </w:r>
      <w:r>
        <w:t xml:space="preserve">- Sujet âgé : Identique, surveillance neurologique.</w:t>
      </w:r>
      <w:r>
        <w:t xml:space="preserve"> </w:t>
      </w:r>
      <w:r>
        <w:t xml:space="preserve">- Insuffisance rénale modérée : Identique ; sévère : contre-indication relative (bismuth).</w:t>
      </w:r>
      <w:r>
        <w:t xml:space="preserve"> </w:t>
      </w:r>
      <w:r>
        <w:t xml:space="preserve">- Durée : 10–14 jours.</w:t>
      </w:r>
      <w:r>
        <w:t xml:space="preserve"> </w:t>
      </w:r>
      <w:r>
        <w:t xml:space="preserve">- Moment de prise : Au cours des repas, à distance des produits laitiers et antiacides (2 h avant ou 4 h après pour la tétracycline).</w:t>
      </w:r>
    </w:p>
    <w:p>
      <w:pPr>
        <w:pStyle w:val="BodyText"/>
      </w:pPr>
      <w:r>
        <w:rPr>
          <w:b/>
          <w:bCs/>
        </w:rPr>
        <w:t xml:space="preserve">Arbitrage et Bénéfices des Formes Galéniques :</w:t>
      </w:r>
      <w:r>
        <w:t xml:space="preserve"> </w:t>
      </w:r>
      <w:r>
        <w:t xml:space="preserve">La galénique combinée en une seule gélule (DISPYLORI, PYLORIX) simplifie considérablement l’observance par rapport à la prise séparée des trois molécules. Le conditionnement en boîte de 120 gélules couvre une cure complète de 10 jours (3 gélules × 4/j × 10 jours = 120 gélules).</w:t>
      </w:r>
    </w:p>
    <w:p>
      <w:pPr>
        <w:pStyle w:val="BodyText"/>
      </w:pPr>
      <w:r>
        <w:rPr>
          <w:b/>
          <w:bCs/>
        </w:rPr>
        <w:t xml:space="preserve">Instructions et Conseils au Patient :</w:t>
      </w:r>
      <w:r>
        <w:t xml:space="preserve"> </w:t>
      </w:r>
      <w:r>
        <w:t xml:space="preserve">- Communication au comptoir : Information sur l’abstinence alcoolique stricte (y compris médicaments alcoolisés : sirops, teintures), sur la coloration noire des selles (bénin, dû au bismuth), sur la photoprotection, sur la nécessité d’une observance parfaite (risque d’échec d’éradication et de résistance), sur la prise au repas.</w:t>
      </w:r>
      <w:r>
        <w:t xml:space="preserve"> </w:t>
      </w:r>
      <w:r>
        <w:t xml:space="preserve">- Mode d’utilisation pratique : 3 gélules × 4/j réparties au petit déjeuner, déjeuner, dîner et coucher, pendant 10 jours ; association à l’IPP selon prescription ; en cas d’oubli, ne pas doubler la dose suivante.</w:t>
      </w:r>
    </w:p>
    <w:p>
      <w:pPr>
        <w:pStyle w:val="BodyText"/>
      </w:pPr>
      <w:r>
        <w:rPr>
          <w:b/>
          <w:bCs/>
        </w:rPr>
        <w:t xml:space="preserve">Notes, Règles d’Or &amp; Pièges au Comptoir :</w:t>
      </w:r>
      <w:r>
        <w:t xml:space="preserve"> </w:t>
      </w:r>
      <w:r>
        <w:t xml:space="preserve">- Piège classique : Oubli de l’abstinence alcoolique → effet antabuse sévère. Prise concomitante avec supplément de fer ou antiacide → échec d’éradication.</w:t>
      </w:r>
      <w:r>
        <w:t xml:space="preserve"> </w:t>
      </w:r>
      <w:r>
        <w:t xml:space="preserve">- Règle de prise : 3 gélules × 4/j pendant 10 jours + IPP × 2/j, à distance des cations polyvalents.</w:t>
      </w:r>
      <w:r>
        <w:t xml:space="preserve"> </w:t>
      </w:r>
      <w:r>
        <w:t xml:space="preserve">- Préparation et Conservation : Gélules ≤ 25 °C, à l’abri de l’humidité.</w:t>
      </w:r>
      <w:r>
        <w:t xml:space="preserve"> </w:t>
      </w:r>
      <w:r>
        <w:t xml:space="preserve">- Piège du surdosage / Substitution : Ne pas substituer une spécialité par l’autre sans contrôle médical. Vérifier l’absence de prise d’alcool (interroger sur médicaments alcoolisés : teinture d’iode, sirops antitussifs, etc.).</w:t>
      </w:r>
    </w:p>
    <w:p>
      <w:r>
        <w:pict>
          <v:rect style="width:0;height:1.5pt" o:hralign="center" o:hrstd="t" o:hr="t"/>
        </w:pict>
      </w:r>
    </w:p>
    <w:bookmarkEnd w:id="145"/>
    <w:bookmarkEnd w:id="146"/>
    <w:bookmarkStart w:id="149" w:name="sous-classe-glycylcyclines"/>
    <w:p>
      <w:pPr>
        <w:pStyle w:val="Heading2"/>
      </w:pPr>
      <w:r>
        <w:t xml:space="preserve">5.5 Sous-classe : Glycylcyclines</w:t>
      </w:r>
    </w:p>
    <w:bookmarkStart w:id="147" w:name="généralités-de-la-sous-classe-3"/>
    <w:p>
      <w:pPr>
        <w:pStyle w:val="Heading3"/>
      </w:pPr>
      <w:r>
        <w:t xml:space="preserve">5.5.1 Généralités de la sous-classe</w:t>
      </w:r>
    </w:p>
    <w:p>
      <w:pPr>
        <w:pStyle w:val="FirstParagraph"/>
      </w:pPr>
      <w:r>
        <w:t xml:space="preserve">Les glycylcyclines sont une sous-classe récente (premier représentant : tigécycline, autorisée en 2005) dérivée des tétracyclines par substitution en position 9 du noyau naphtacénique par un radical glycylamido (tert-butylglycylamido pour la tigécycline). Cette modification encombrante stérique leur permet d’échapper aux deux principaux mécanismes de résistance aux tétracyclines :</w:t>
      </w:r>
      <w:r>
        <w:t xml:space="preserve"> </w:t>
      </w:r>
      <w:r>
        <w:t xml:space="preserve">- Les pompes d’efflux TetA-K (qui expulsent la tétracycline hors de la bactérie) : la molécule n’est plus reconnue par ces pompes.</w:t>
      </w:r>
      <w:r>
        <w:t xml:space="preserve"> </w:t>
      </w:r>
      <w:r>
        <w:t xml:space="preserve">- Les protéines de protection ribosomale TetM et TetO (qui déplacent la tétracycline de son site de fixation 30S) : la tigécycline se fixe avec une affinité supérieure et n’est pas déplacée.</w:t>
      </w:r>
    </w:p>
    <w:p>
      <w:pPr>
        <w:pStyle w:val="BodyText"/>
      </w:pPr>
      <w:r>
        <w:t xml:space="preserve">Les glycylcyclines conservent le mécanisme d’action des tétracyclines (blocage de la sous-unité 30S, bactériostatique) mais avec un spectre élargi incluant les bactéries multirésistantes (SARM, EBLSE, Acinetobacter baumannii, anaérobies) et une distribution tissulaire profonde (Vd 7–10 L/kg).</w:t>
      </w:r>
    </w:p>
    <w:p>
      <w:pPr>
        <w:pStyle w:val="BodyText"/>
      </w:pPr>
      <w:r>
        <w:t xml:space="preserve">Leur profil de tolérance comporte une hépatotoxicité, une nausea/vomissement (limitant le traitement), une coagulopathie (hypofibrinogénémie) et une surmortalité observée dans certaines méta-analyses (avertissement FDA), ce qui restreint leur usage aux infections sévères sans alternative thérapeutique.</w:t>
      </w:r>
    </w:p>
    <w:p>
      <w:r>
        <w:pict>
          <v:rect style="width:0;height:1.5pt" o:hralign="center" o:hrstd="t" o:hr="t"/>
        </w:pict>
      </w:r>
    </w:p>
    <w:bookmarkEnd w:id="147"/>
    <w:bookmarkStart w:id="148" w:name="dci-tigécycline-seule"/>
    <w:p>
      <w:pPr>
        <w:pStyle w:val="Heading3"/>
      </w:pPr>
      <w:r>
        <w:t xml:space="preserve">5.5.2 DCI : Tigécycline (Seule)</w:t>
      </w:r>
    </w:p>
    <w:p>
      <w:pPr>
        <w:pStyle w:val="FirstParagraph"/>
      </w:pPr>
      <w:r>
        <w:rPr>
          <w:b/>
          <w:bCs/>
        </w:rPr>
        <w:t xml:space="preserve">Liste des Catégories :</w:t>
      </w:r>
      <w:r>
        <w:t xml:space="preserve"> </w:t>
      </w:r>
      <w:r>
        <w:t xml:space="preserve">Liste I.</w:t>
      </w:r>
    </w:p>
    <w:p>
      <w:pPr>
        <w:pStyle w:val="BodyText"/>
      </w:pPr>
      <w:r>
        <w:t xml:space="preserve">La tigécycline, premier représentant des glycylcyclines, est un antibiotique d’usage hospitalier strict réservé aux infections sévères et compliquées de la peau et des tissus mous, des infections intra-abdominales compliquées et, en alternative, aux pneumopathies acquises sous ventilation mécanique à germes multirésistants. Son utilisation est strictement encadrée par les recommandations de bonne pratique et la commission des anti-infectieux.</w:t>
      </w:r>
    </w:p>
    <w:p>
      <w:pPr>
        <w:pStyle w:val="BodyText"/>
      </w:pPr>
      <w:r>
        <w:rPr>
          <w:b/>
          <w:bCs/>
        </w:rPr>
        <w:t xml:space="preserve">Médicaments disponibles en Algérie (Marques, Laboratoires, Formes et Dosages) :</w:t>
      </w:r>
    </w:p>
    <w:p>
      <w:pPr>
        <w:pStyle w:val="BodyText"/>
      </w:pPr>
      <w:r>
        <w:t xml:space="preserve">Formes actives :</w:t>
      </w:r>
      <w:r>
        <w:t xml:space="preserve"> </w:t>
      </w:r>
      <w:r>
        <w:t xml:space="preserve">-</w:t>
      </w:r>
      <w:r>
        <w:t xml:space="preserve"> </w:t>
      </w:r>
      <w:r>
        <w:rPr>
          <w:b/>
          <w:bCs/>
        </w:rPr>
        <w:t xml:space="preserve">TYGACIL</w:t>
      </w:r>
      <w:r>
        <w:t xml:space="preserve"> </w:t>
      </w:r>
      <w:r>
        <w:t xml:space="preserve">(PFIZER EUROPE MA EEIG) — Poudre pour solution pour perfusion IV 50 mg/flacon — B/10 flacons de 5 mL — Actif.</w:t>
      </w:r>
    </w:p>
    <w:p>
      <w:pPr>
        <w:pStyle w:val="BodyText"/>
      </w:pPr>
      <w:r>
        <w:rPr>
          <w:b/>
          <w:bCs/>
        </w:rPr>
        <w:t xml:space="preserve">Sous-classe et Mécanisme d’action :</w:t>
      </w:r>
      <w:r>
        <w:t xml:space="preserve"> </w:t>
      </w:r>
      <w:r>
        <w:t xml:space="preserve">- Sous-classe : Glycylcycline, dérivée semi-synthétique de la minocycline (substitution 9-tert-butylglycylamido).</w:t>
      </w:r>
      <w:r>
        <w:t xml:space="preserve"> </w:t>
      </w:r>
      <w:r>
        <w:t xml:space="preserve">- Mécanisme d’action : Bactériostatique. Inhibition de la synthèse protéique bactérienne par liaison à la sous-unité 30S (affinité 5 fois supérieure à la tétracycline). Échappe aux pompes efflux TetA-K et aux protéines de protection ribosomale TetM/TetO.</w:t>
      </w:r>
    </w:p>
    <w:p>
      <w:pPr>
        <w:pStyle w:val="BodyText"/>
      </w:pPr>
      <w:r>
        <w:rPr>
          <w:b/>
          <w:bCs/>
        </w:rPr>
        <w:t xml:space="preserve">Profil Pharmacologique :</w:t>
      </w:r>
      <w:r>
        <w:t xml:space="preserve"> </w:t>
      </w:r>
      <w:r>
        <w:t xml:space="preserve">- Indications : Infections compliquées de la peau et des tissus mous (cellulites nécrosantes, fasciites, infections post-opératoires de site, infections de pied diabétique avec os atteint), infections intra-abdominales compliquées (péritonites, abcès), pneumopathies acquises sous ventilation mécanique en alternative aux carbapénèmes (selon recommandations), infections à germes multirésistants (SARM, EBLSE, Acinetobacter, Bacteroides). Limitation d’usage aux situations sans alternative thérapeutique.</w:t>
      </w:r>
      <w:r>
        <w:t xml:space="preserve"> </w:t>
      </w:r>
      <w:r>
        <w:t xml:space="preserve">- Contre-indications : Hypersensibilité aux tétracyclines, grossesse (effets dentaires et osseux fœtaux), enfant &lt; 8 ans, insuffisance hépatique sévère (Child-Pugh C), coagulopathie sévère.</w:t>
      </w:r>
      <w:r>
        <w:t xml:space="preserve"> </w:t>
      </w:r>
      <w:r>
        <w:t xml:space="preserve">- Spectre : Très large. Gram positif : SARM, SEP, entérocoques (y compris VRE), anaérobies (Bacteroides, Clostridium, Peptostreptococcus). Gram négatif : entérobactéries (EBLSE incluses), Haemophilus, Legionella, mais PAS Pseudomonas aeruginosa, PAS Proteus spp., PAS Providencia spp., PAS Morganella spp. Atypiques : Chlamydia, Mycoplasma, Legionella. Mycobactéries atypiques (M. abscessus, M. fortuitum).</w:t>
      </w:r>
    </w:p>
    <w:p>
      <w:pPr>
        <w:pStyle w:val="BodyText"/>
      </w:pPr>
      <w:r>
        <w:rPr>
          <w:b/>
          <w:bCs/>
        </w:rPr>
        <w:t xml:space="preserve">Effets Indésirables :</w:t>
      </w:r>
      <w:r>
        <w:t xml:space="preserve"> </w:t>
      </w:r>
      <w:r>
        <w:t xml:space="preserve">- Nausées (30 %) et vomissements (20 %), dose-dépendants.</w:t>
      </w:r>
      <w:r>
        <w:t xml:space="preserve"> </w:t>
      </w:r>
      <w:r>
        <w:t xml:space="preserve">- Douleurs abdominales, diarrhée.</w:t>
      </w:r>
      <w:r>
        <w:t xml:space="preserve"> </w:t>
      </w:r>
      <w:r>
        <w:t xml:space="preserve">- Hypofibrinogénémie, allongement du TP, thrombopénie (surveillance).</w:t>
      </w:r>
      <w:r>
        <w:t xml:space="preserve"> </w:t>
      </w:r>
      <w:r>
        <w:t xml:space="preserve">- Hépatotoxicité : élévation des transaminases, des phosphatases alcalines, de la bilirubine (surveillance).</w:t>
      </w:r>
      <w:r>
        <w:t xml:space="preserve"> </w:t>
      </w:r>
      <w:r>
        <w:t xml:space="preserve">- Pancréatite (rare).</w:t>
      </w:r>
      <w:r>
        <w:t xml:space="preserve"> </w:t>
      </w:r>
      <w:r>
        <w:t xml:space="preserve">- Hypoglycémie.</w:t>
      </w:r>
      <w:r>
        <w:t xml:space="preserve"> </w:t>
      </w:r>
      <w:r>
        <w:t xml:space="preserve">- Photosensibilité.</w:t>
      </w:r>
      <w:r>
        <w:t xml:space="preserve"> </w:t>
      </w:r>
      <w:r>
        <w:t xml:space="preserve">- Coloration dentaire (enfant &lt; 8 ans, fœtus).</w:t>
      </w:r>
      <w:r>
        <w:t xml:space="preserve"> </w:t>
      </w:r>
      <w:r>
        <w:t xml:space="preserve">- Candidoses (oropharyngées, vaginales).</w:t>
      </w:r>
      <w:r>
        <w:t xml:space="preserve"> </w:t>
      </w:r>
      <w:r>
        <w:t xml:space="preserve">- Surmortalité observée (2 % vs autres antibiotiques) dans les méta-analyses : restriction d’usage aux situations sans alternative.</w:t>
      </w:r>
    </w:p>
    <w:p>
      <w:pPr>
        <w:pStyle w:val="BodyText"/>
      </w:pPr>
      <w:r>
        <w:rPr>
          <w:b/>
          <w:bCs/>
        </w:rPr>
        <w:t xml:space="preserve">Prévention et Gestion des Effets Indésirables :</w:t>
      </w:r>
      <w:r>
        <w:t xml:space="preserve"> </w:t>
      </w:r>
      <w:r>
        <w:t xml:space="preserve">- Mesures Préventives : Administration en IV stricte sur 30–60 minutes, surveillance NFS-plaquettes-fibrinogène-TP-transaminases-bilirubine à J0, J3, J7, antiémétique préventif (ondanséron) si nécessaire, hydratation, photoprotection.</w:t>
      </w:r>
      <w:r>
        <w:t xml:space="preserve"> </w:t>
      </w:r>
      <w:r>
        <w:t xml:space="preserve">- Conduite à Tenir : Arrêt en cas de coagulopathie sévère, de pancréatite, d’ictère, d’insuffisance hépatique aiguë.</w:t>
      </w:r>
    </w:p>
    <w:p>
      <w:pPr>
        <w:pStyle w:val="BodyText"/>
      </w:pPr>
      <w:r>
        <w:rPr>
          <w:b/>
          <w:bCs/>
        </w:rPr>
        <w:t xml:space="preserve">Interactions Importantes :</w:t>
      </w:r>
      <w:r>
        <w:t xml:space="preserve"> </w:t>
      </w:r>
      <w:r>
        <w:t xml:space="preserve">- Warfarine : majoration de l’INR (dépassement du seuil hémorragique) — surveillance stricte.</w:t>
      </w:r>
      <w:r>
        <w:t xml:space="preserve"> </w:t>
      </w:r>
      <w:r>
        <w:t xml:space="preserve">- Contraceptifs oraux estroprogestatifs : théorique diminution d’efficacité.</w:t>
      </w:r>
      <w:r>
        <w:t xml:space="preserve"> </w:t>
      </w:r>
      <w:r>
        <w:t xml:space="preserve">- Digoxine : augmentation modérée des concentrations (modification de la flore).</w:t>
      </w:r>
    </w:p>
    <w:p>
      <w:pPr>
        <w:pStyle w:val="BodyText"/>
      </w:pPr>
      <w:r>
        <w:rPr>
          <w:b/>
          <w:bCs/>
        </w:rPr>
        <w:t xml:space="preserve">Grossesse et Allaitement :</w:t>
      </w:r>
      <w:r>
        <w:t xml:space="preserve"> </w:t>
      </w:r>
      <w:r>
        <w:t xml:space="preserve">- Grossesse : Contre-indiqué absolument (effets dentaires et osseux fœtaux, classification FDA D).</w:t>
      </w:r>
      <w:r>
        <w:t xml:space="preserve"> </w:t>
      </w:r>
      <w:r>
        <w:t xml:space="preserve">- Allaitement : Contre-indiqué.</w:t>
      </w:r>
      <w:r>
        <w:t xml:space="preserve"> </w:t>
      </w:r>
      <w:r>
        <w:t xml:space="preserve">- Précisions : Selon le CRAT, la tigécycline présente les mêmes risques fœtaux que les tétracyclines (coloration dentaire, dépression osseuse).</w:t>
      </w:r>
    </w:p>
    <w:p>
      <w:pPr>
        <w:pStyle w:val="BodyText"/>
      </w:pPr>
      <w:r>
        <w:rPr>
          <w:b/>
          <w:bCs/>
        </w:rPr>
        <w:t xml:space="preserve">Posologie et Mode d’administration (Standard) :</w:t>
      </w:r>
      <w:r>
        <w:t xml:space="preserve"> </w:t>
      </w:r>
      <w:r>
        <w:t xml:space="preserve">- Adulte : Dose d’attaque 100 mg IV sur 30–60 minutes à J1, puis 50 mg IV × 2/j à partir de J2. Durée : 5–14 jours selon indication (7–10 jours en cutané, 10–14 jours en intra-abdominal).</w:t>
      </w:r>
      <w:r>
        <w:t xml:space="preserve"> </w:t>
      </w:r>
      <w:r>
        <w:t xml:space="preserve">- Enfant &gt; 8 ans : Non recommandé (données limitées).</w:t>
      </w:r>
      <w:r>
        <w:t xml:space="preserve"> </w:t>
      </w:r>
      <w:r>
        <w:t xml:space="preserve">- Insuffisance hépatique modérée (Child-Pugh A/B) : pas d’adaptation ; Child-Pugh C : dose d’attaque 100 mg puis 25 mg × 2/j.</w:t>
      </w:r>
      <w:r>
        <w:t xml:space="preserve"> </w:t>
      </w:r>
      <w:r>
        <w:t xml:space="preserve">- Insuffisance rénale : Aucune adaptation.</w:t>
      </w:r>
      <w:r>
        <w:t xml:space="preserve"> </w:t>
      </w:r>
      <w:r>
        <w:t xml:space="preserve">- Durée : 5–14 jours.</w:t>
      </w:r>
      <w:r>
        <w:t xml:space="preserve"> </w:t>
      </w:r>
      <w:r>
        <w:t xml:space="preserve">- Moment de prise : IV stricte, perfusion 30–60 minutes.</w:t>
      </w:r>
    </w:p>
    <w:p>
      <w:pPr>
        <w:pStyle w:val="BodyText"/>
      </w:pPr>
      <w:r>
        <w:rPr>
          <w:b/>
          <w:bCs/>
        </w:rPr>
        <w:t xml:space="preserve">Arbitrage et Bénéfices des Formes Galéniques :</w:t>
      </w:r>
      <w:r>
        <w:t xml:space="preserve"> </w:t>
      </w:r>
      <w:r>
        <w:t xml:space="preserve">Forme poudre lyophilisée 50 mg/flacon pour reconstitution immédiate. La perfusion IV stricte impose le contexte hospitalier (réanimation, maladies infectieuses).</w:t>
      </w:r>
    </w:p>
    <w:p>
      <w:pPr>
        <w:pStyle w:val="BodyText"/>
      </w:pPr>
      <w:r>
        <w:rPr>
          <w:b/>
          <w:bCs/>
        </w:rPr>
        <w:t xml:space="preserve">Instructions et Conseils au Patient :</w:t>
      </w:r>
      <w:r>
        <w:t xml:space="preserve"> </w:t>
      </w:r>
      <w:r>
        <w:t xml:space="preserve">- Communication au comptoir : Traitement hospitalier strict ; information sur les nausées fréquentes, la surveillance biologique, l’absence d’efficacité sur Pseudomonas et Proteus.</w:t>
      </w:r>
      <w:r>
        <w:t xml:space="preserve"> </w:t>
      </w:r>
      <w:r>
        <w:t xml:space="preserve">- Mode d’utilisation pratique : Reconstitution par le pharmacien hospitalier : 5,3 mL de NaCl 0,9 % ou G5 % pour obtenir 10 mg/mL, puis dilution dans 100 mL de NaCl 0,9 % ou G5 %, perfusion 30–60 minutes.</w:t>
      </w:r>
    </w:p>
    <w:p>
      <w:pPr>
        <w:pStyle w:val="BodyText"/>
      </w:pPr>
      <w:r>
        <w:rPr>
          <w:b/>
          <w:bCs/>
        </w:rPr>
        <w:t xml:space="preserve">Notes, Règles d’Or &amp; Pièges au Comptoir :</w:t>
      </w:r>
      <w:r>
        <w:t xml:space="preserve"> </w:t>
      </w:r>
      <w:r>
        <w:t xml:space="preserve">- Piège classique : Emploi en première intention dans une infection à Pseudomonas → échec (Pseudomonas naturellement résistant).</w:t>
      </w:r>
      <w:r>
        <w:t xml:space="preserve"> </w:t>
      </w:r>
      <w:r>
        <w:t xml:space="preserve">- Règle de prise : Dose d’attaque 100 mg puis 50 mg × 2/j, surveillance biologique.</w:t>
      </w:r>
      <w:r>
        <w:t xml:space="preserve"> </w:t>
      </w:r>
      <w:r>
        <w:t xml:space="preserve">- Préparation et Conservation : Flacon poudre ≤ 25 °C ; après reconstitution : 24 h à température ambiante, 48 h à 2–8 °C. Ne pas mélanger avec amphotéricine B, chlorpromazine, micafungine, furosémide (incompatibilité).</w:t>
      </w:r>
      <w:r>
        <w:t xml:space="preserve"> </w:t>
      </w:r>
      <w:r>
        <w:t xml:space="preserve">- Piège du surdosage / Substitution : Surmortalité en cas d’utilisation hors AMM (pneumopathie nosocomiale, bacteriémie) → respect strict des indications.</w:t>
      </w:r>
    </w:p>
    <w:p>
      <w:r>
        <w:pict>
          <v:rect style="width:0;height:1.5pt" o:hralign="center" o:hrstd="t" o:hr="t"/>
        </w:pict>
      </w:r>
    </w:p>
    <w:bookmarkEnd w:id="148"/>
    <w:bookmarkEnd w:id="149"/>
    <w:bookmarkStart w:id="150" w:name="tableau-comparatif-synthétique"/>
    <w:p>
      <w:pPr>
        <w:pStyle w:val="Heading2"/>
      </w:pPr>
      <w:r>
        <w:t xml:space="preserve">5.6 Tableau comparatif synthétique</w:t>
      </w:r>
    </w:p>
    <w:tbl>
      <w:tblPr>
        <w:tblStyle w:val="Table"/>
        <w:tblW w:type="pct" w:w="5000"/>
        <w:jc w:val="left"/>
        <w:tblLayout w:type="fixed"/>
        <w:tblLook w:firstRow="1" w:lastRow="0" w:firstColumn="0" w:lastColumn="0" w:noHBand="0" w:noVBand="0" w:val="0020"/>
      </w:tblPr>
      <w:tblGrid>
        <w:gridCol w:w="293"/>
        <w:gridCol w:w="762"/>
        <w:gridCol w:w="1114"/>
        <w:gridCol w:w="586"/>
        <w:gridCol w:w="762"/>
        <w:gridCol w:w="938"/>
        <w:gridCol w:w="762"/>
        <w:gridCol w:w="1232"/>
        <w:gridCol w:w="821"/>
        <w:gridCol w:w="645"/>
      </w:tblGrid>
      <w:tr>
        <w:trPr>
          <w:tblHeader w:val="on"/>
        </w:trPr>
        <w:tc>
          <w:tcPr/>
          <w:p>
            <w:pPr>
              <w:pStyle w:val="Compact"/>
              <w:jc w:val="left"/>
            </w:pPr>
            <w:r>
              <w:t xml:space="preserve">DCI</w:t>
            </w:r>
          </w:p>
        </w:tc>
        <w:tc>
          <w:tcPr/>
          <w:p>
            <w:pPr>
              <w:pStyle w:val="Compact"/>
              <w:jc w:val="left"/>
            </w:pPr>
            <w:r>
              <w:t xml:space="preserve">Sous-classe</w:t>
            </w:r>
          </w:p>
        </w:tc>
        <w:tc>
          <w:tcPr/>
          <w:p>
            <w:pPr>
              <w:pStyle w:val="Compact"/>
              <w:jc w:val="left"/>
            </w:pPr>
            <w:r>
              <w:t xml:space="preserve">Spectre principal</w:t>
            </w:r>
          </w:p>
        </w:tc>
        <w:tc>
          <w:tcPr/>
          <w:p>
            <w:pPr>
              <w:pStyle w:val="Compact"/>
              <w:jc w:val="left"/>
            </w:pPr>
            <w:r>
              <w:t xml:space="preserve">Demi-vie</w:t>
            </w:r>
          </w:p>
        </w:tc>
        <w:tc>
          <w:tcPr/>
          <w:p>
            <w:pPr>
              <w:pStyle w:val="Compact"/>
              <w:jc w:val="left"/>
            </w:pPr>
            <w:r>
              <w:t xml:space="preserve">Élimination</w:t>
            </w:r>
          </w:p>
        </w:tc>
        <w:tc>
          <w:tcPr/>
          <w:p>
            <w:pPr>
              <w:pStyle w:val="Compact"/>
              <w:jc w:val="left"/>
            </w:pPr>
            <w:r>
              <w:t xml:space="preserve">Néphrotoxicité</w:t>
            </w:r>
          </w:p>
        </w:tc>
        <w:tc>
          <w:tcPr/>
          <w:p>
            <w:pPr>
              <w:pStyle w:val="Compact"/>
              <w:jc w:val="left"/>
            </w:pPr>
            <w:r>
              <w:t xml:space="preserve">Ototoxicité</w:t>
            </w:r>
          </w:p>
        </w:tc>
        <w:tc>
          <w:tcPr/>
          <w:p>
            <w:pPr>
              <w:pStyle w:val="Compact"/>
              <w:jc w:val="left"/>
            </w:pPr>
            <w:r>
              <w:t xml:space="preserve">Posologie standard</w:t>
            </w:r>
          </w:p>
        </w:tc>
        <w:tc>
          <w:tcPr/>
          <w:p>
            <w:pPr>
              <w:pStyle w:val="Compact"/>
              <w:jc w:val="left"/>
            </w:pPr>
            <w:r>
              <w:t xml:space="preserve">CI majeures</w:t>
            </w:r>
          </w:p>
        </w:tc>
        <w:tc>
          <w:tcPr/>
          <w:p>
            <w:pPr>
              <w:pStyle w:val="Compact"/>
              <w:jc w:val="left"/>
            </w:pPr>
            <w:r>
              <w:t xml:space="preserve">Grossesse</w:t>
            </w:r>
          </w:p>
        </w:tc>
      </w:tr>
      <w:tr>
        <w:tc>
          <w:tcPr/>
          <w:p>
            <w:pPr>
              <w:pStyle w:val="Compact"/>
              <w:jc w:val="left"/>
            </w:pPr>
            <w:r>
              <w:t xml:space="preserve">Gentamicine</w:t>
            </w:r>
          </w:p>
        </w:tc>
        <w:tc>
          <w:tcPr/>
          <w:p>
            <w:pPr>
              <w:pStyle w:val="Compact"/>
              <w:jc w:val="left"/>
            </w:pPr>
            <w:r>
              <w:t xml:space="preserve">Aminoside 4,6</w:t>
            </w:r>
          </w:p>
        </w:tc>
        <w:tc>
          <w:tcPr/>
          <w:p>
            <w:pPr>
              <w:pStyle w:val="Compact"/>
              <w:jc w:val="left"/>
            </w:pPr>
            <w:r>
              <w:t xml:space="preserve">BGN, Pseudomonas</w:t>
            </w:r>
          </w:p>
        </w:tc>
        <w:tc>
          <w:tcPr/>
          <w:p>
            <w:pPr>
              <w:pStyle w:val="Compact"/>
              <w:jc w:val="left"/>
            </w:pPr>
            <w:r>
              <w:t xml:space="preserve">2–3 h</w:t>
            </w:r>
          </w:p>
        </w:tc>
        <w:tc>
          <w:tcPr/>
          <w:p>
            <w:pPr>
              <w:pStyle w:val="Compact"/>
              <w:jc w:val="left"/>
            </w:pPr>
            <w:r>
              <w:t xml:space="preserve">Rénale 90 %</w:t>
            </w:r>
          </w:p>
        </w:tc>
        <w:tc>
          <w:tcPr/>
          <w:p>
            <w:pPr>
              <w:pStyle w:val="Compact"/>
              <w:jc w:val="left"/>
            </w:pPr>
            <w:r>
              <w:t xml:space="preserve">Élevée (5–25 %)</w:t>
            </w:r>
          </w:p>
        </w:tc>
        <w:tc>
          <w:tcPr/>
          <w:p>
            <w:pPr>
              <w:pStyle w:val="Compact"/>
              <w:jc w:val="left"/>
            </w:pPr>
            <w:r>
              <w:t xml:space="preserve">Cochléaire++</w:t>
            </w:r>
          </w:p>
        </w:tc>
        <w:tc>
          <w:tcPr/>
          <w:p>
            <w:pPr>
              <w:pStyle w:val="Compact"/>
              <w:jc w:val="left"/>
            </w:pPr>
            <w:r>
              <w:t xml:space="preserve">5–7 mg/kg/j DUJ IM/IV</w:t>
            </w:r>
          </w:p>
        </w:tc>
        <w:tc>
          <w:tcPr/>
          <w:p>
            <w:pPr>
              <w:pStyle w:val="Compact"/>
              <w:jc w:val="left"/>
            </w:pPr>
            <w:r>
              <w:t xml:space="preserve">Myasthénie, IR</w:t>
            </w:r>
          </w:p>
        </w:tc>
        <w:tc>
          <w:tcPr/>
          <w:p>
            <w:pPr>
              <w:pStyle w:val="Compact"/>
              <w:jc w:val="left"/>
            </w:pPr>
            <w:r>
              <w:t xml:space="preserve">CI sauf vital</w:t>
            </w:r>
          </w:p>
        </w:tc>
      </w:tr>
      <w:tr>
        <w:tc>
          <w:tcPr/>
          <w:p>
            <w:pPr>
              <w:pStyle w:val="Compact"/>
              <w:jc w:val="left"/>
            </w:pPr>
            <w:r>
              <w:t xml:space="preserve">Amikacine</w:t>
            </w:r>
          </w:p>
        </w:tc>
        <w:tc>
          <w:tcPr/>
          <w:p>
            <w:pPr>
              <w:pStyle w:val="Compact"/>
              <w:jc w:val="left"/>
            </w:pPr>
            <w:r>
              <w:t xml:space="preserve">Aminoside 4,6</w:t>
            </w:r>
          </w:p>
        </w:tc>
        <w:tc>
          <w:tcPr/>
          <w:p>
            <w:pPr>
              <w:pStyle w:val="Compact"/>
              <w:jc w:val="left"/>
            </w:pPr>
            <w:r>
              <w:t xml:space="preserve">BGN MR, mycobactéries</w:t>
            </w:r>
          </w:p>
        </w:tc>
        <w:tc>
          <w:tcPr/>
          <w:p>
            <w:pPr>
              <w:pStyle w:val="Compact"/>
              <w:jc w:val="left"/>
            </w:pPr>
            <w:r>
              <w:t xml:space="preserve">2–3 h</w:t>
            </w:r>
          </w:p>
        </w:tc>
        <w:tc>
          <w:tcPr/>
          <w:p>
            <w:pPr>
              <w:pStyle w:val="Compact"/>
              <w:jc w:val="left"/>
            </w:pPr>
            <w:r>
              <w:t xml:space="preserve">Rénale 90 %</w:t>
            </w:r>
          </w:p>
        </w:tc>
        <w:tc>
          <w:tcPr/>
          <w:p>
            <w:pPr>
              <w:pStyle w:val="Compact"/>
              <w:jc w:val="left"/>
            </w:pPr>
            <w:r>
              <w:t xml:space="preserve">Modérée (5–10 %)</w:t>
            </w:r>
          </w:p>
        </w:tc>
        <w:tc>
          <w:tcPr/>
          <w:p>
            <w:pPr>
              <w:pStyle w:val="Compact"/>
              <w:jc w:val="left"/>
            </w:pPr>
            <w:r>
              <w:t xml:space="preserve">Cochléaire</w:t>
            </w:r>
          </w:p>
        </w:tc>
        <w:tc>
          <w:tcPr/>
          <w:p>
            <w:pPr>
              <w:pStyle w:val="Compact"/>
              <w:jc w:val="left"/>
            </w:pPr>
            <w:r>
              <w:t xml:space="preserve">15 mg/kg/j DUJ IM/IV</w:t>
            </w:r>
          </w:p>
        </w:tc>
        <w:tc>
          <w:tcPr/>
          <w:p>
            <w:pPr>
              <w:pStyle w:val="Compact"/>
              <w:jc w:val="left"/>
            </w:pPr>
            <w:r>
              <w:t xml:space="preserve">Myasthénie</w:t>
            </w:r>
          </w:p>
        </w:tc>
        <w:tc>
          <w:tcPr/>
          <w:p>
            <w:pPr>
              <w:pStyle w:val="Compact"/>
              <w:jc w:val="left"/>
            </w:pPr>
            <w:r>
              <w:t xml:space="preserve">CI sauf vital</w:t>
            </w:r>
          </w:p>
        </w:tc>
      </w:tr>
      <w:tr>
        <w:tc>
          <w:tcPr/>
          <w:p>
            <w:pPr>
              <w:pStyle w:val="Compact"/>
              <w:jc w:val="left"/>
            </w:pPr>
            <w:r>
              <w:t xml:space="preserve">Tobramycine</w:t>
            </w:r>
          </w:p>
        </w:tc>
        <w:tc>
          <w:tcPr/>
          <w:p>
            <w:pPr>
              <w:pStyle w:val="Compact"/>
              <w:jc w:val="left"/>
            </w:pPr>
            <w:r>
              <w:t xml:space="preserve">Aminoside 4,6</w:t>
            </w:r>
          </w:p>
        </w:tc>
        <w:tc>
          <w:tcPr/>
          <w:p>
            <w:pPr>
              <w:pStyle w:val="Compact"/>
              <w:jc w:val="left"/>
            </w:pPr>
            <w:r>
              <w:t xml:space="preserve">Pseudomonas++</w:t>
            </w:r>
          </w:p>
        </w:tc>
        <w:tc>
          <w:tcPr/>
          <w:p>
            <w:pPr>
              <w:pStyle w:val="Compact"/>
              <w:jc w:val="left"/>
            </w:pPr>
            <w:r>
              <w:t xml:space="preserve">2–3 h</w:t>
            </w:r>
          </w:p>
        </w:tc>
        <w:tc>
          <w:tcPr/>
          <w:p>
            <w:pPr>
              <w:pStyle w:val="Compact"/>
              <w:jc w:val="left"/>
            </w:pPr>
            <w:r>
              <w:t xml:space="preserve">Rénale 90 %</w:t>
            </w:r>
          </w:p>
        </w:tc>
        <w:tc>
          <w:tcPr/>
          <w:p>
            <w:pPr>
              <w:pStyle w:val="Compact"/>
              <w:jc w:val="left"/>
            </w:pPr>
            <w:r>
              <w:t xml:space="preserve">Élevée (5–15 %)</w:t>
            </w:r>
          </w:p>
        </w:tc>
        <w:tc>
          <w:tcPr/>
          <w:p>
            <w:pPr>
              <w:pStyle w:val="Compact"/>
              <w:jc w:val="left"/>
            </w:pPr>
            <w:r>
              <w:t xml:space="preserve">Vestibulaire</w:t>
            </w:r>
          </w:p>
        </w:tc>
        <w:tc>
          <w:tcPr/>
          <w:p>
            <w:pPr>
              <w:pStyle w:val="Compact"/>
              <w:jc w:val="left"/>
            </w:pPr>
            <w:r>
              <w:t xml:space="preserve">5–7 mg/kg/j DUJ IM/IV ; nébulisation 300 mg × 2/j</w:t>
            </w:r>
          </w:p>
        </w:tc>
        <w:tc>
          <w:tcPr/>
          <w:p>
            <w:pPr>
              <w:pStyle w:val="Compact"/>
              <w:jc w:val="left"/>
            </w:pPr>
            <w:r>
              <w:t xml:space="preserve">Myasthénie</w:t>
            </w:r>
          </w:p>
        </w:tc>
        <w:tc>
          <w:tcPr/>
          <w:p>
            <w:pPr>
              <w:pStyle w:val="Compact"/>
              <w:jc w:val="left"/>
            </w:pPr>
            <w:r>
              <w:t xml:space="preserve">CI sauf vital</w:t>
            </w:r>
          </w:p>
        </w:tc>
      </w:tr>
      <w:tr>
        <w:tc>
          <w:tcPr/>
          <w:p>
            <w:pPr>
              <w:pStyle w:val="Compact"/>
              <w:jc w:val="left"/>
            </w:pPr>
            <w:r>
              <w:t xml:space="preserve">Nétilmicine</w:t>
            </w:r>
          </w:p>
        </w:tc>
        <w:tc>
          <w:tcPr/>
          <w:p>
            <w:pPr>
              <w:pStyle w:val="Compact"/>
              <w:jc w:val="left"/>
            </w:pPr>
            <w:r>
              <w:t xml:space="preserve">Aminoside 4,6</w:t>
            </w:r>
          </w:p>
        </w:tc>
        <w:tc>
          <w:tcPr/>
          <w:p>
            <w:pPr>
              <w:pStyle w:val="Compact"/>
              <w:jc w:val="left"/>
            </w:pPr>
            <w:r>
              <w:t xml:space="preserve">BGN, gentamicine-R</w:t>
            </w:r>
          </w:p>
        </w:tc>
        <w:tc>
          <w:tcPr/>
          <w:p>
            <w:pPr>
              <w:pStyle w:val="Compact"/>
              <w:jc w:val="left"/>
            </w:pPr>
            <w:r>
              <w:t xml:space="preserve">2–3 h</w:t>
            </w:r>
          </w:p>
        </w:tc>
        <w:tc>
          <w:tcPr/>
          <w:p>
            <w:pPr>
              <w:pStyle w:val="Compact"/>
              <w:jc w:val="left"/>
            </w:pPr>
            <w:r>
              <w:t xml:space="preserve">Rénale 90 %</w:t>
            </w:r>
          </w:p>
        </w:tc>
        <w:tc>
          <w:tcPr/>
          <w:p>
            <w:pPr>
              <w:pStyle w:val="Compact"/>
              <w:jc w:val="left"/>
            </w:pPr>
            <w:r>
              <w:t xml:space="preserve">Modérée</w:t>
            </w:r>
          </w:p>
        </w:tc>
        <w:tc>
          <w:tcPr/>
          <w:p>
            <w:pPr>
              <w:pStyle w:val="Compact"/>
              <w:jc w:val="left"/>
            </w:pPr>
            <w:r>
              <w:t xml:space="preserve">Cochléaire</w:t>
            </w:r>
          </w:p>
        </w:tc>
        <w:tc>
          <w:tcPr/>
          <w:p>
            <w:pPr>
              <w:pStyle w:val="Compact"/>
              <w:jc w:val="left"/>
            </w:pPr>
            <w:r>
              <w:t xml:space="preserve">4–6 mg/kg/j DUJ IM/IV</w:t>
            </w:r>
          </w:p>
        </w:tc>
        <w:tc>
          <w:tcPr/>
          <w:p>
            <w:pPr>
              <w:pStyle w:val="Compact"/>
              <w:jc w:val="left"/>
            </w:pPr>
            <w:r>
              <w:t xml:space="preserve">Myasthénie</w:t>
            </w:r>
          </w:p>
        </w:tc>
        <w:tc>
          <w:tcPr/>
          <w:p>
            <w:pPr>
              <w:pStyle w:val="Compact"/>
              <w:jc w:val="left"/>
            </w:pPr>
            <w:r>
              <w:t xml:space="preserve">CI sauf vital</w:t>
            </w:r>
          </w:p>
        </w:tc>
      </w:tr>
      <w:tr>
        <w:tc>
          <w:tcPr/>
          <w:p>
            <w:pPr>
              <w:pStyle w:val="Compact"/>
              <w:jc w:val="left"/>
            </w:pPr>
            <w:r>
              <w:t xml:space="preserve">Streptomycine</w:t>
            </w:r>
          </w:p>
        </w:tc>
        <w:tc>
          <w:tcPr/>
          <w:p>
            <w:pPr>
              <w:pStyle w:val="Compact"/>
              <w:jc w:val="left"/>
            </w:pPr>
            <w:r>
              <w:t xml:space="preserve">Aminoside 4,5</w:t>
            </w:r>
          </w:p>
        </w:tc>
        <w:tc>
          <w:tcPr/>
          <w:p>
            <w:pPr>
              <w:pStyle w:val="Compact"/>
              <w:jc w:val="left"/>
            </w:pPr>
            <w:r>
              <w:t xml:space="preserve">M. tuberculosis, Yersinia</w:t>
            </w:r>
          </w:p>
        </w:tc>
        <w:tc>
          <w:tcPr/>
          <w:p>
            <w:pPr>
              <w:pStyle w:val="Compact"/>
              <w:jc w:val="left"/>
            </w:pPr>
            <w:r>
              <w:t xml:space="preserve">2–3 h</w:t>
            </w:r>
          </w:p>
        </w:tc>
        <w:tc>
          <w:tcPr/>
          <w:p>
            <w:pPr>
              <w:pStyle w:val="Compact"/>
              <w:jc w:val="left"/>
            </w:pPr>
            <w:r>
              <w:t xml:space="preserve">Rénale 90 %</w:t>
            </w:r>
          </w:p>
        </w:tc>
        <w:tc>
          <w:tcPr/>
          <w:p>
            <w:pPr>
              <w:pStyle w:val="Compact"/>
              <w:jc w:val="left"/>
            </w:pPr>
            <w:r>
              <w:t xml:space="preserve">Modérée</w:t>
            </w:r>
          </w:p>
        </w:tc>
        <w:tc>
          <w:tcPr/>
          <w:p>
            <w:pPr>
              <w:pStyle w:val="Compact"/>
              <w:jc w:val="left"/>
            </w:pPr>
            <w:r>
              <w:t xml:space="preserve">Vestibulaire++</w:t>
            </w:r>
          </w:p>
        </w:tc>
        <w:tc>
          <w:tcPr/>
          <w:p>
            <w:pPr>
              <w:pStyle w:val="Compact"/>
              <w:jc w:val="left"/>
            </w:pPr>
            <w:r>
              <w:t xml:space="preserve">15 mg/kg/j IM 5–7 j/7</w:t>
            </w:r>
          </w:p>
        </w:tc>
        <w:tc>
          <w:tcPr/>
          <w:p>
            <w:pPr>
              <w:pStyle w:val="Compact"/>
              <w:jc w:val="left"/>
            </w:pPr>
            <w:r>
              <w:t xml:space="preserve">Myasthénie</w:t>
            </w:r>
          </w:p>
        </w:tc>
        <w:tc>
          <w:tcPr/>
          <w:p>
            <w:pPr>
              <w:pStyle w:val="Compact"/>
              <w:jc w:val="left"/>
            </w:pPr>
            <w:r>
              <w:t xml:space="preserve">CI sauf vital</w:t>
            </w:r>
          </w:p>
        </w:tc>
      </w:tr>
      <w:tr>
        <w:tc>
          <w:tcPr/>
          <w:p>
            <w:pPr>
              <w:pStyle w:val="Compact"/>
              <w:jc w:val="left"/>
            </w:pPr>
            <w:r>
              <w:t xml:space="preserve">Spectinomycine</w:t>
            </w:r>
          </w:p>
        </w:tc>
        <w:tc>
          <w:tcPr/>
          <w:p>
            <w:pPr>
              <w:pStyle w:val="Compact"/>
              <w:jc w:val="left"/>
            </w:pPr>
            <w:r>
              <w:t xml:space="preserve">Aminocyclitol</w:t>
            </w:r>
          </w:p>
        </w:tc>
        <w:tc>
          <w:tcPr/>
          <w:p>
            <w:pPr>
              <w:pStyle w:val="Compact"/>
              <w:jc w:val="left"/>
            </w:pPr>
            <w:r>
              <w:t xml:space="preserve">Gonocoque</w:t>
            </w:r>
          </w:p>
        </w:tc>
        <w:tc>
          <w:tcPr/>
          <w:p>
            <w:pPr>
              <w:pStyle w:val="Compact"/>
              <w:jc w:val="left"/>
            </w:pPr>
            <w:r>
              <w:t xml:space="preserve">1–2 h</w:t>
            </w:r>
          </w:p>
        </w:tc>
        <w:tc>
          <w:tcPr/>
          <w:p>
            <w:pPr>
              <w:pStyle w:val="Compact"/>
              <w:jc w:val="left"/>
            </w:pPr>
            <w:r>
              <w:t xml:space="preserve">Rénale</w:t>
            </w:r>
          </w:p>
        </w:tc>
        <w:tc>
          <w:tcPr/>
          <w:p>
            <w:pPr>
              <w:pStyle w:val="Compact"/>
              <w:jc w:val="left"/>
            </w:pPr>
            <w:r>
              <w:t xml:space="preserve">Nulle</w:t>
            </w:r>
          </w:p>
        </w:tc>
        <w:tc>
          <w:tcPr/>
          <w:p>
            <w:pPr>
              <w:pStyle w:val="Compact"/>
              <w:jc w:val="left"/>
            </w:pPr>
            <w:r>
              <w:t xml:space="preserve">Nulle</w:t>
            </w:r>
          </w:p>
        </w:tc>
        <w:tc>
          <w:tcPr/>
          <w:p>
            <w:pPr>
              <w:pStyle w:val="Compact"/>
              <w:jc w:val="left"/>
            </w:pPr>
            <w:r>
              <w:t xml:space="preserve">2 g IM dose unique</w:t>
            </w:r>
          </w:p>
        </w:tc>
        <w:tc>
          <w:tcPr/>
          <w:p>
            <w:pPr>
              <w:pStyle w:val="Compact"/>
              <w:jc w:val="left"/>
            </w:pPr>
            <w:r>
              <w:t xml:space="preserve">Hypersensibilité</w:t>
            </w:r>
          </w:p>
        </w:tc>
        <w:tc>
          <w:tcPr/>
          <w:p>
            <w:pPr>
              <w:pStyle w:val="Compact"/>
              <w:jc w:val="left"/>
            </w:pPr>
            <w:r>
              <w:t xml:space="preserve">Prudence</w:t>
            </w:r>
          </w:p>
        </w:tc>
      </w:tr>
      <w:tr>
        <w:tc>
          <w:tcPr/>
          <w:p>
            <w:pPr>
              <w:pStyle w:val="Compact"/>
              <w:jc w:val="left"/>
            </w:pPr>
            <w:r>
              <w:t xml:space="preserve">Kanamycine</w:t>
            </w:r>
          </w:p>
        </w:tc>
        <w:tc>
          <w:tcPr/>
          <w:p>
            <w:pPr>
              <w:pStyle w:val="Compact"/>
              <w:jc w:val="left"/>
            </w:pPr>
            <w:r>
              <w:t xml:space="preserve">Aminoside 4,6</w:t>
            </w:r>
          </w:p>
        </w:tc>
        <w:tc>
          <w:tcPr/>
          <w:p>
            <w:pPr>
              <w:pStyle w:val="Compact"/>
              <w:jc w:val="left"/>
            </w:pPr>
            <w:r>
              <w:t xml:space="preserve">Mycobactéries</w:t>
            </w:r>
          </w:p>
        </w:tc>
        <w:tc>
          <w:tcPr/>
          <w:p>
            <w:pPr>
              <w:pStyle w:val="Compact"/>
              <w:jc w:val="left"/>
            </w:pPr>
            <w:r>
              <w:t xml:space="preserve">2–3 h</w:t>
            </w:r>
          </w:p>
        </w:tc>
        <w:tc>
          <w:tcPr/>
          <w:p>
            <w:pPr>
              <w:pStyle w:val="Compact"/>
              <w:jc w:val="left"/>
            </w:pPr>
            <w:r>
              <w:t xml:space="preserve">Rénale</w:t>
            </w:r>
          </w:p>
        </w:tc>
        <w:tc>
          <w:tcPr/>
          <w:p>
            <w:pPr>
              <w:pStyle w:val="Compact"/>
              <w:jc w:val="left"/>
            </w:pPr>
            <w:r>
              <w:t xml:space="preserve">Modérée</w:t>
            </w:r>
          </w:p>
        </w:tc>
        <w:tc>
          <w:tcPr/>
          <w:p>
            <w:pPr>
              <w:pStyle w:val="Compact"/>
              <w:jc w:val="left"/>
            </w:pPr>
            <w:r>
              <w:t xml:space="preserve">Cochléaire+++</w:t>
            </w:r>
          </w:p>
        </w:tc>
        <w:tc>
          <w:tcPr/>
          <w:p>
            <w:pPr>
              <w:pStyle w:val="Compact"/>
              <w:jc w:val="left"/>
            </w:pPr>
            <w:r>
              <w:t xml:space="preserve">15 mg/kg/j IM/IV</w:t>
            </w:r>
          </w:p>
        </w:tc>
        <w:tc>
          <w:tcPr/>
          <w:p>
            <w:pPr>
              <w:pStyle w:val="Compact"/>
              <w:jc w:val="left"/>
            </w:pPr>
            <w:r>
              <w:t xml:space="preserve">Myasthénie</w:t>
            </w:r>
          </w:p>
        </w:tc>
        <w:tc>
          <w:tcPr/>
          <w:p>
            <w:pPr>
              <w:pStyle w:val="Compact"/>
              <w:jc w:val="left"/>
            </w:pPr>
            <w:r>
              <w:t xml:space="preserve">CI</w:t>
            </w:r>
          </w:p>
        </w:tc>
      </w:tr>
      <w:tr>
        <w:tc>
          <w:tcPr/>
          <w:p>
            <w:pPr>
              <w:pStyle w:val="Compact"/>
              <w:jc w:val="left"/>
            </w:pPr>
            <w:r>
              <w:t xml:space="preserve">Framycétine</w:t>
            </w:r>
          </w:p>
        </w:tc>
        <w:tc>
          <w:tcPr/>
          <w:p>
            <w:pPr>
              <w:pStyle w:val="Compact"/>
              <w:jc w:val="left"/>
            </w:pPr>
            <w:r>
              <w:t xml:space="preserve">Aminoside 4,5</w:t>
            </w:r>
          </w:p>
        </w:tc>
        <w:tc>
          <w:tcPr/>
          <w:p>
            <w:pPr>
              <w:pStyle w:val="Compact"/>
              <w:jc w:val="left"/>
            </w:pPr>
            <w:r>
              <w:t xml:space="preserve">Topique (BGN, staph)</w:t>
            </w:r>
          </w:p>
        </w:tc>
        <w:tc>
          <w:tcPr/>
          <w:p>
            <w:pPr>
              <w:pStyle w:val="Compact"/>
              <w:jc w:val="left"/>
            </w:pPr>
            <w:r>
              <w:t xml:space="preserve">—</w:t>
            </w:r>
          </w:p>
        </w:tc>
        <w:tc>
          <w:tcPr/>
          <w:p>
            <w:pPr>
              <w:pStyle w:val="Compact"/>
              <w:jc w:val="left"/>
            </w:pPr>
            <w:r>
              <w:t xml:space="preserve">Locale</w:t>
            </w:r>
          </w:p>
        </w:tc>
        <w:tc>
          <w:tcPr/>
          <w:p>
            <w:pPr>
              <w:pStyle w:val="Compact"/>
              <w:jc w:val="left"/>
            </w:pPr>
            <w:r>
              <w:t xml:space="preserve">Nulle (locale)</w:t>
            </w:r>
          </w:p>
        </w:tc>
        <w:tc>
          <w:tcPr/>
          <w:p>
            <w:pPr>
              <w:pStyle w:val="Compact"/>
              <w:jc w:val="left"/>
            </w:pPr>
            <w:r>
              <w:t xml:space="preserve">Nulle (locale)</w:t>
            </w:r>
          </w:p>
        </w:tc>
        <w:tc>
          <w:tcPr/>
          <w:p>
            <w:pPr>
              <w:pStyle w:val="Compact"/>
              <w:jc w:val="left"/>
            </w:pPr>
            <w:r>
              <w:t xml:space="preserve">1 pulvérisation × 3–4/j</w:t>
            </w:r>
          </w:p>
        </w:tc>
        <w:tc>
          <w:tcPr/>
          <w:p>
            <w:pPr>
              <w:pStyle w:val="Compact"/>
              <w:jc w:val="left"/>
            </w:pPr>
            <w:r>
              <w:t xml:space="preserve">Perforation tympanique</w:t>
            </w:r>
          </w:p>
        </w:tc>
        <w:tc>
          <w:tcPr/>
          <w:p>
            <w:pPr>
              <w:pStyle w:val="Compact"/>
              <w:jc w:val="left"/>
            </w:pPr>
            <w:r>
              <w:t xml:space="preserve">Prudence</w:t>
            </w:r>
          </w:p>
        </w:tc>
      </w:tr>
      <w:tr>
        <w:tc>
          <w:tcPr/>
          <w:p>
            <w:pPr>
              <w:pStyle w:val="Compact"/>
              <w:jc w:val="left"/>
            </w:pPr>
            <w:r>
              <w:t xml:space="preserve">Néomycine</w:t>
            </w:r>
          </w:p>
        </w:tc>
        <w:tc>
          <w:tcPr/>
          <w:p>
            <w:pPr>
              <w:pStyle w:val="Compact"/>
              <w:jc w:val="left"/>
            </w:pPr>
            <w:r>
              <w:t xml:space="preserve">Aminoside 4,5</w:t>
            </w:r>
          </w:p>
        </w:tc>
        <w:tc>
          <w:tcPr/>
          <w:p>
            <w:pPr>
              <w:pStyle w:val="Compact"/>
              <w:jc w:val="left"/>
            </w:pPr>
            <w:r>
              <w:t xml:space="preserve">Topique</w:t>
            </w:r>
          </w:p>
        </w:tc>
        <w:tc>
          <w:tcPr/>
          <w:p>
            <w:pPr>
              <w:pStyle w:val="Compact"/>
              <w:jc w:val="left"/>
            </w:pPr>
            <w:r>
              <w:t xml:space="preserve">—</w:t>
            </w:r>
          </w:p>
        </w:tc>
        <w:tc>
          <w:tcPr/>
          <w:p>
            <w:pPr>
              <w:pStyle w:val="Compact"/>
              <w:jc w:val="left"/>
            </w:pPr>
            <w:r>
              <w:t xml:space="preserve">Locale</w:t>
            </w:r>
          </w:p>
        </w:tc>
        <w:tc>
          <w:tcPr/>
          <w:p>
            <w:pPr>
              <w:pStyle w:val="Compact"/>
              <w:jc w:val="left"/>
            </w:pPr>
            <w:r>
              <w:t xml:space="preserve">Nulle (locale)</w:t>
            </w:r>
          </w:p>
        </w:tc>
        <w:tc>
          <w:tcPr/>
          <w:p>
            <w:pPr>
              <w:pStyle w:val="Compact"/>
              <w:jc w:val="left"/>
            </w:pPr>
            <w:r>
              <w:t xml:space="preserve">Nulle (locale)</w:t>
            </w:r>
          </w:p>
        </w:tc>
        <w:tc>
          <w:tcPr/>
          <w:p>
            <w:pPr>
              <w:pStyle w:val="Compact"/>
              <w:jc w:val="left"/>
            </w:pPr>
            <w:r>
              <w:t xml:space="preserve">Variable selon forme</w:t>
            </w:r>
          </w:p>
        </w:tc>
        <w:tc>
          <w:tcPr/>
          <w:p>
            <w:pPr>
              <w:pStyle w:val="Compact"/>
              <w:jc w:val="left"/>
            </w:pPr>
            <w:r>
              <w:t xml:space="preserve">Hypersensibilité, otite externe</w:t>
            </w:r>
          </w:p>
        </w:tc>
        <w:tc>
          <w:tcPr/>
          <w:p>
            <w:pPr>
              <w:pStyle w:val="Compact"/>
              <w:jc w:val="left"/>
            </w:pPr>
            <w:r>
              <w:t xml:space="preserve">Prudence</w:t>
            </w:r>
          </w:p>
        </w:tc>
      </w:tr>
      <w:tr>
        <w:tc>
          <w:tcPr/>
          <w:p>
            <w:pPr>
              <w:pStyle w:val="Compact"/>
              <w:jc w:val="left"/>
            </w:pPr>
            <w:r>
              <w:t xml:space="preserve">Tobramycine + Dexaméthasone</w:t>
            </w:r>
          </w:p>
        </w:tc>
        <w:tc>
          <w:tcPr/>
          <w:p>
            <w:pPr>
              <w:pStyle w:val="Compact"/>
              <w:jc w:val="left"/>
            </w:pPr>
            <w:r>
              <w:t xml:space="preserve">Association ophtal.</w:t>
            </w:r>
          </w:p>
        </w:tc>
        <w:tc>
          <w:tcPr/>
          <w:p>
            <w:pPr>
              <w:pStyle w:val="Compact"/>
              <w:jc w:val="left"/>
            </w:pPr>
            <w:r>
              <w:t xml:space="preserve">BGN, Pseudomonas + AI</w:t>
            </w:r>
          </w:p>
        </w:tc>
        <w:tc>
          <w:tcPr/>
          <w:p>
            <w:pPr>
              <w:pStyle w:val="Compact"/>
              <w:jc w:val="left"/>
            </w:pPr>
            <w:r>
              <w:t xml:space="preserve">—</w:t>
            </w:r>
          </w:p>
        </w:tc>
        <w:tc>
          <w:tcPr/>
          <w:p>
            <w:pPr>
              <w:pStyle w:val="Compact"/>
              <w:jc w:val="left"/>
            </w:pPr>
            <w:r>
              <w:t xml:space="preserve">Locale</w:t>
            </w:r>
          </w:p>
        </w:tc>
        <w:tc>
          <w:tcPr/>
          <w:p>
            <w:pPr>
              <w:pStyle w:val="Compact"/>
              <w:jc w:val="left"/>
            </w:pPr>
            <w:r>
              <w:t xml:space="preserve">Nulle</w:t>
            </w:r>
          </w:p>
        </w:tc>
        <w:tc>
          <w:tcPr/>
          <w:p>
            <w:pPr>
              <w:pStyle w:val="Compact"/>
              <w:jc w:val="left"/>
            </w:pPr>
            <w:r>
              <w:t xml:space="preserve">Nulle</w:t>
            </w:r>
          </w:p>
        </w:tc>
        <w:tc>
          <w:tcPr/>
          <w:p>
            <w:pPr>
              <w:pStyle w:val="Compact"/>
              <w:jc w:val="left"/>
            </w:pPr>
            <w:r>
              <w:t xml:space="preserve">1 goutte × 4–6/j</w:t>
            </w:r>
          </w:p>
        </w:tc>
        <w:tc>
          <w:tcPr/>
          <w:p>
            <w:pPr>
              <w:pStyle w:val="Compact"/>
              <w:jc w:val="left"/>
            </w:pPr>
            <w:r>
              <w:t xml:space="preserve">Herpès, glaucome</w:t>
            </w:r>
          </w:p>
        </w:tc>
        <w:tc>
          <w:tcPr/>
          <w:p>
            <w:pPr>
              <w:pStyle w:val="Compact"/>
              <w:jc w:val="left"/>
            </w:pPr>
            <w:r>
              <w:t xml:space="preserve">Prudence</w:t>
            </w:r>
          </w:p>
        </w:tc>
      </w:tr>
      <w:tr>
        <w:tc>
          <w:tcPr/>
          <w:p>
            <w:pPr>
              <w:pStyle w:val="Compact"/>
              <w:jc w:val="left"/>
            </w:pPr>
            <w:r>
              <w:t xml:space="preserve">Doxycycline</w:t>
            </w:r>
          </w:p>
        </w:tc>
        <w:tc>
          <w:tcPr/>
          <w:p>
            <w:pPr>
              <w:pStyle w:val="Compact"/>
              <w:jc w:val="left"/>
            </w:pPr>
            <w:r>
              <w:t xml:space="preserve">Tétracycline 2G</w:t>
            </w:r>
          </w:p>
        </w:tc>
        <w:tc>
          <w:tcPr/>
          <w:p>
            <w:pPr>
              <w:pStyle w:val="Compact"/>
              <w:jc w:val="left"/>
            </w:pPr>
            <w:r>
              <w:t xml:space="preserve">Atypiques, Chlamydia, Lyme</w:t>
            </w:r>
          </w:p>
        </w:tc>
        <w:tc>
          <w:tcPr/>
          <w:p>
            <w:pPr>
              <w:pStyle w:val="Compact"/>
              <w:jc w:val="left"/>
            </w:pPr>
            <w:r>
              <w:t xml:space="preserve">18–22 h</w:t>
            </w:r>
          </w:p>
        </w:tc>
        <w:tc>
          <w:tcPr/>
          <w:p>
            <w:pPr>
              <w:pStyle w:val="Compact"/>
              <w:jc w:val="left"/>
            </w:pPr>
            <w:r>
              <w:t xml:space="preserve">Fécale 50 % + rénale 50 %</w:t>
            </w:r>
          </w:p>
        </w:tc>
        <w:tc>
          <w:tcPr/>
          <w:p>
            <w:pPr>
              <w:pStyle w:val="Compact"/>
              <w:jc w:val="left"/>
            </w:pPr>
            <w:r>
              <w:t xml:space="preserve">Nulle</w:t>
            </w:r>
          </w:p>
        </w:tc>
        <w:tc>
          <w:tcPr/>
          <w:p>
            <w:pPr>
              <w:pStyle w:val="Compact"/>
              <w:jc w:val="left"/>
            </w:pPr>
            <w:r>
              <w:t xml:space="preserve">Nulle</w:t>
            </w:r>
          </w:p>
        </w:tc>
        <w:tc>
          <w:tcPr/>
          <w:p>
            <w:pPr>
              <w:pStyle w:val="Compact"/>
              <w:jc w:val="left"/>
            </w:pPr>
            <w:r>
              <w:t xml:space="preserve">100 mg × 2/j per os</w:t>
            </w:r>
          </w:p>
        </w:tc>
        <w:tc>
          <w:tcPr/>
          <w:p>
            <w:pPr>
              <w:pStyle w:val="Compact"/>
              <w:jc w:val="left"/>
            </w:pPr>
            <w:r>
              <w:t xml:space="preserve">Enfant &lt; 8 ans, IR sévère IV</w:t>
            </w:r>
          </w:p>
        </w:tc>
        <w:tc>
          <w:tcPr/>
          <w:p>
            <w:pPr>
              <w:pStyle w:val="Compact"/>
              <w:jc w:val="left"/>
            </w:pPr>
            <w:r>
              <w:t xml:space="preserve">CI stricte</w:t>
            </w:r>
          </w:p>
        </w:tc>
      </w:tr>
      <w:tr>
        <w:tc>
          <w:tcPr/>
          <w:p>
            <w:pPr>
              <w:pStyle w:val="Compact"/>
              <w:jc w:val="left"/>
            </w:pPr>
            <w:r>
              <w:t xml:space="preserve">Minocycline</w:t>
            </w:r>
          </w:p>
        </w:tc>
        <w:tc>
          <w:tcPr/>
          <w:p>
            <w:pPr>
              <w:pStyle w:val="Compact"/>
              <w:jc w:val="left"/>
            </w:pPr>
            <w:r>
              <w:t xml:space="preserve">Tétracycline 2G</w:t>
            </w:r>
          </w:p>
        </w:tc>
        <w:tc>
          <w:tcPr/>
          <w:p>
            <w:pPr>
              <w:pStyle w:val="Compact"/>
              <w:jc w:val="left"/>
            </w:pPr>
            <w:r>
              <w:t xml:space="preserve">Acné, M. marinum, SARM partiel</w:t>
            </w:r>
          </w:p>
        </w:tc>
        <w:tc>
          <w:tcPr/>
          <w:p>
            <w:pPr>
              <w:pStyle w:val="Compact"/>
              <w:jc w:val="left"/>
            </w:pPr>
            <w:r>
              <w:t xml:space="preserve">16–18 h</w:t>
            </w:r>
          </w:p>
        </w:tc>
        <w:tc>
          <w:tcPr/>
          <w:p>
            <w:pPr>
              <w:pStyle w:val="Compact"/>
              <w:jc w:val="left"/>
            </w:pPr>
            <w:r>
              <w:t xml:space="preserve">Fécale 95 %</w:t>
            </w:r>
          </w:p>
        </w:tc>
        <w:tc>
          <w:tcPr/>
          <w:p>
            <w:pPr>
              <w:pStyle w:val="Compact"/>
              <w:jc w:val="left"/>
            </w:pPr>
            <w:r>
              <w:t xml:space="preserve">Nulle</w:t>
            </w:r>
          </w:p>
        </w:tc>
        <w:tc>
          <w:tcPr/>
          <w:p>
            <w:pPr>
              <w:pStyle w:val="Compact"/>
              <w:jc w:val="left"/>
            </w:pPr>
            <w:r>
              <w:t xml:space="preserve">Vestibulaire</w:t>
            </w:r>
          </w:p>
        </w:tc>
        <w:tc>
          <w:tcPr/>
          <w:p>
            <w:pPr>
              <w:pStyle w:val="Compact"/>
              <w:jc w:val="left"/>
            </w:pPr>
            <w:r>
              <w:t xml:space="preserve">1 mg/kg/j LP per os</w:t>
            </w:r>
          </w:p>
        </w:tc>
        <w:tc>
          <w:tcPr/>
          <w:p>
            <w:pPr>
              <w:pStyle w:val="Compact"/>
              <w:jc w:val="left"/>
            </w:pPr>
            <w:r>
              <w:t xml:space="preserve">Enfant &lt; 8 ans, lupus</w:t>
            </w:r>
          </w:p>
        </w:tc>
        <w:tc>
          <w:tcPr/>
          <w:p>
            <w:pPr>
              <w:pStyle w:val="Compact"/>
              <w:jc w:val="left"/>
            </w:pPr>
            <w:r>
              <w:t xml:space="preserve">CI stricte</w:t>
            </w:r>
          </w:p>
        </w:tc>
      </w:tr>
      <w:tr>
        <w:tc>
          <w:tcPr/>
          <w:p>
            <w:pPr>
              <w:pStyle w:val="Compact"/>
              <w:jc w:val="left"/>
            </w:pPr>
            <w:r>
              <w:t xml:space="preserve">Oxytétracycline</w:t>
            </w:r>
          </w:p>
        </w:tc>
        <w:tc>
          <w:tcPr/>
          <w:p>
            <w:pPr>
              <w:pStyle w:val="Compact"/>
              <w:jc w:val="left"/>
            </w:pPr>
            <w:r>
              <w:t xml:space="preserve">Tétracycline 1G</w:t>
            </w:r>
          </w:p>
        </w:tc>
        <w:tc>
          <w:tcPr/>
          <w:p>
            <w:pPr>
              <w:pStyle w:val="Compact"/>
              <w:jc w:val="left"/>
            </w:pPr>
            <w:r>
              <w:t xml:space="preserve">Topique oculaire</w:t>
            </w:r>
          </w:p>
        </w:tc>
        <w:tc>
          <w:tcPr/>
          <w:p>
            <w:pPr>
              <w:pStyle w:val="Compact"/>
              <w:jc w:val="left"/>
            </w:pPr>
            <w:r>
              <w:t xml:space="preserve">—</w:t>
            </w:r>
          </w:p>
        </w:tc>
        <w:tc>
          <w:tcPr/>
          <w:p>
            <w:pPr>
              <w:pStyle w:val="Compact"/>
              <w:jc w:val="left"/>
            </w:pPr>
            <w:r>
              <w:t xml:space="preserve">Locale</w:t>
            </w:r>
          </w:p>
        </w:tc>
        <w:tc>
          <w:tcPr/>
          <w:p>
            <w:pPr>
              <w:pStyle w:val="Compact"/>
              <w:jc w:val="left"/>
            </w:pPr>
            <w:r>
              <w:t xml:space="preserve">Nulle</w:t>
            </w:r>
          </w:p>
        </w:tc>
        <w:tc>
          <w:tcPr/>
          <w:p>
            <w:pPr>
              <w:pStyle w:val="Compact"/>
              <w:jc w:val="left"/>
            </w:pPr>
            <w:r>
              <w:t xml:space="preserve">Nulle</w:t>
            </w:r>
          </w:p>
        </w:tc>
        <w:tc>
          <w:tcPr/>
          <w:p>
            <w:pPr>
              <w:pStyle w:val="Compact"/>
              <w:jc w:val="left"/>
            </w:pPr>
            <w:r>
              <w:t xml:space="preserve">1 application × 2/j</w:t>
            </w:r>
          </w:p>
        </w:tc>
        <w:tc>
          <w:tcPr/>
          <w:p>
            <w:pPr>
              <w:pStyle w:val="Compact"/>
              <w:jc w:val="left"/>
            </w:pPr>
            <w:r>
              <w:t xml:space="preserve">Herpès, glaucome</w:t>
            </w:r>
          </w:p>
        </w:tc>
        <w:tc>
          <w:tcPr/>
          <w:p>
            <w:pPr>
              <w:pStyle w:val="Compact"/>
              <w:jc w:val="left"/>
            </w:pPr>
            <w:r>
              <w:t xml:space="preserve">Compatible court</w:t>
            </w:r>
          </w:p>
        </w:tc>
      </w:tr>
      <w:tr>
        <w:tc>
          <w:tcPr/>
          <w:p>
            <w:pPr>
              <w:pStyle w:val="Compact"/>
              <w:jc w:val="left"/>
            </w:pPr>
            <w:r>
              <w:t xml:space="preserve">Lymécycline</w:t>
            </w:r>
          </w:p>
        </w:tc>
        <w:tc>
          <w:tcPr/>
          <w:p>
            <w:pPr>
              <w:pStyle w:val="Compact"/>
              <w:jc w:val="left"/>
            </w:pPr>
            <w:r>
              <w:t xml:space="preserve">Tétracycline 2G</w:t>
            </w:r>
          </w:p>
        </w:tc>
        <w:tc>
          <w:tcPr/>
          <w:p>
            <w:pPr>
              <w:pStyle w:val="Compact"/>
              <w:jc w:val="left"/>
            </w:pPr>
            <w:r>
              <w:t xml:space="preserve">Acné, Chlamydia</w:t>
            </w:r>
          </w:p>
        </w:tc>
        <w:tc>
          <w:tcPr/>
          <w:p>
            <w:pPr>
              <w:pStyle w:val="Compact"/>
              <w:jc w:val="left"/>
            </w:pPr>
            <w:r>
              <w:t xml:space="preserve">10–12 h</w:t>
            </w:r>
          </w:p>
        </w:tc>
        <w:tc>
          <w:tcPr/>
          <w:p>
            <w:pPr>
              <w:pStyle w:val="Compact"/>
              <w:jc w:val="left"/>
            </w:pPr>
            <w:r>
              <w:t xml:space="preserve">Rénale 50 %</w:t>
            </w:r>
          </w:p>
        </w:tc>
        <w:tc>
          <w:tcPr/>
          <w:p>
            <w:pPr>
              <w:pStyle w:val="Compact"/>
              <w:jc w:val="left"/>
            </w:pPr>
            <w:r>
              <w:t xml:space="preserve">Nulle</w:t>
            </w:r>
          </w:p>
        </w:tc>
        <w:tc>
          <w:tcPr/>
          <w:p>
            <w:pPr>
              <w:pStyle w:val="Compact"/>
              <w:jc w:val="left"/>
            </w:pPr>
            <w:r>
              <w:t xml:space="preserve">Nulle</w:t>
            </w:r>
          </w:p>
        </w:tc>
        <w:tc>
          <w:tcPr/>
          <w:p>
            <w:pPr>
              <w:pStyle w:val="Compact"/>
              <w:jc w:val="left"/>
            </w:pPr>
            <w:r>
              <w:t xml:space="preserve">300 mg/j per os</w:t>
            </w:r>
          </w:p>
        </w:tc>
        <w:tc>
          <w:tcPr/>
          <w:p>
            <w:pPr>
              <w:pStyle w:val="Compact"/>
              <w:jc w:val="left"/>
            </w:pPr>
            <w:r>
              <w:t xml:space="preserve">Enfant &lt; 8 ans</w:t>
            </w:r>
          </w:p>
        </w:tc>
        <w:tc>
          <w:tcPr/>
          <w:p>
            <w:pPr>
              <w:pStyle w:val="Compact"/>
              <w:jc w:val="left"/>
            </w:pPr>
            <w:r>
              <w:t xml:space="preserve">CI stricte</w:t>
            </w:r>
          </w:p>
        </w:tc>
      </w:tr>
      <w:tr>
        <w:tc>
          <w:tcPr/>
          <w:p>
            <w:pPr>
              <w:pStyle w:val="Compact"/>
              <w:jc w:val="left"/>
            </w:pPr>
            <w:r>
              <w:t xml:space="preserve">Chlorotétracycline</w:t>
            </w:r>
          </w:p>
        </w:tc>
        <w:tc>
          <w:tcPr/>
          <w:p>
            <w:pPr>
              <w:pStyle w:val="Compact"/>
              <w:jc w:val="left"/>
            </w:pPr>
            <w:r>
              <w:t xml:space="preserve">Tétracycline 1G</w:t>
            </w:r>
          </w:p>
        </w:tc>
        <w:tc>
          <w:tcPr/>
          <w:p>
            <w:pPr>
              <w:pStyle w:val="Compact"/>
              <w:jc w:val="left"/>
            </w:pPr>
            <w:r>
              <w:t xml:space="preserve">Topique cutané</w:t>
            </w:r>
          </w:p>
        </w:tc>
        <w:tc>
          <w:tcPr/>
          <w:p>
            <w:pPr>
              <w:pStyle w:val="Compact"/>
              <w:jc w:val="left"/>
            </w:pPr>
            <w:r>
              <w:t xml:space="preserve">—</w:t>
            </w:r>
          </w:p>
        </w:tc>
        <w:tc>
          <w:tcPr/>
          <w:p>
            <w:pPr>
              <w:pStyle w:val="Compact"/>
              <w:jc w:val="left"/>
            </w:pPr>
            <w:r>
              <w:t xml:space="preserve">Locale</w:t>
            </w:r>
          </w:p>
        </w:tc>
        <w:tc>
          <w:tcPr/>
          <w:p>
            <w:pPr>
              <w:pStyle w:val="Compact"/>
              <w:jc w:val="left"/>
            </w:pPr>
            <w:r>
              <w:t xml:space="preserve">Nulle</w:t>
            </w:r>
          </w:p>
        </w:tc>
        <w:tc>
          <w:tcPr/>
          <w:p>
            <w:pPr>
              <w:pStyle w:val="Compact"/>
              <w:jc w:val="left"/>
            </w:pPr>
            <w:r>
              <w:t xml:space="preserve">Nulle</w:t>
            </w:r>
          </w:p>
        </w:tc>
        <w:tc>
          <w:tcPr/>
          <w:p>
            <w:pPr>
              <w:pStyle w:val="Compact"/>
              <w:jc w:val="left"/>
            </w:pPr>
            <w:r>
              <w:t xml:space="preserve">1 application × 2/j</w:t>
            </w:r>
          </w:p>
        </w:tc>
        <w:tc>
          <w:tcPr/>
          <w:p>
            <w:pPr>
              <w:pStyle w:val="Compact"/>
              <w:jc w:val="left"/>
            </w:pPr>
            <w:r>
              <w:t xml:space="preserve">Mycose</w:t>
            </w:r>
          </w:p>
        </w:tc>
        <w:tc>
          <w:tcPr/>
          <w:p>
            <w:pPr>
              <w:pStyle w:val="Compact"/>
              <w:jc w:val="left"/>
            </w:pPr>
            <w:r>
              <w:t xml:space="preserve">Compatible court</w:t>
            </w:r>
          </w:p>
        </w:tc>
      </w:tr>
      <w:tr>
        <w:tc>
          <w:tcPr/>
          <w:p>
            <w:pPr>
              <w:pStyle w:val="Compact"/>
              <w:jc w:val="left"/>
            </w:pPr>
            <w:r>
              <w:t xml:space="preserve">Tétracycline</w:t>
            </w:r>
          </w:p>
        </w:tc>
        <w:tc>
          <w:tcPr/>
          <w:p>
            <w:pPr>
              <w:pStyle w:val="Compact"/>
              <w:jc w:val="left"/>
            </w:pPr>
            <w:r>
              <w:t xml:space="preserve">Tétracycline 1G</w:t>
            </w:r>
          </w:p>
        </w:tc>
        <w:tc>
          <w:tcPr/>
          <w:p>
            <w:pPr>
              <w:pStyle w:val="Compact"/>
              <w:jc w:val="left"/>
            </w:pPr>
            <w:r>
              <w:t xml:space="preserve">Historique</w:t>
            </w:r>
          </w:p>
        </w:tc>
        <w:tc>
          <w:tcPr/>
          <w:p>
            <w:pPr>
              <w:pStyle w:val="Compact"/>
              <w:jc w:val="left"/>
            </w:pPr>
            <w:r>
              <w:t xml:space="preserve">8 h</w:t>
            </w:r>
          </w:p>
        </w:tc>
        <w:tc>
          <w:tcPr/>
          <w:p>
            <w:pPr>
              <w:pStyle w:val="Compact"/>
              <w:jc w:val="left"/>
            </w:pPr>
            <w:r>
              <w:t xml:space="preserve">Rénale</w:t>
            </w:r>
          </w:p>
        </w:tc>
        <w:tc>
          <w:tcPr/>
          <w:p>
            <w:pPr>
              <w:pStyle w:val="Compact"/>
              <w:jc w:val="left"/>
            </w:pPr>
            <w:r>
              <w:t xml:space="preserve">Nulle</w:t>
            </w:r>
          </w:p>
        </w:tc>
        <w:tc>
          <w:tcPr/>
          <w:p>
            <w:pPr>
              <w:pStyle w:val="Compact"/>
              <w:jc w:val="left"/>
            </w:pPr>
            <w:r>
              <w:t xml:space="preserve">Nulle</w:t>
            </w:r>
          </w:p>
        </w:tc>
        <w:tc>
          <w:tcPr/>
          <w:p>
            <w:pPr>
              <w:pStyle w:val="Compact"/>
              <w:jc w:val="left"/>
            </w:pPr>
            <w:r>
              <w:t xml:space="preserve">Historique</w:t>
            </w:r>
          </w:p>
        </w:tc>
        <w:tc>
          <w:tcPr/>
          <w:p>
            <w:pPr>
              <w:pStyle w:val="Compact"/>
              <w:jc w:val="left"/>
            </w:pPr>
            <w:r>
              <w:t xml:space="preserve">Enfant &lt; 8 ans</w:t>
            </w:r>
          </w:p>
        </w:tc>
        <w:tc>
          <w:tcPr/>
          <w:p>
            <w:pPr>
              <w:pStyle w:val="Compact"/>
              <w:jc w:val="left"/>
            </w:pPr>
            <w:r>
              <w:t xml:space="preserve">CI stricte</w:t>
            </w:r>
          </w:p>
        </w:tc>
      </w:tr>
      <w:tr>
        <w:tc>
          <w:tcPr/>
          <w:p>
            <w:pPr>
              <w:pStyle w:val="Compact"/>
              <w:jc w:val="left"/>
            </w:pPr>
            <w:r>
              <w:t xml:space="preserve">Bismuth + Métronidazole + Tétracycline</w:t>
            </w:r>
          </w:p>
        </w:tc>
        <w:tc>
          <w:tcPr/>
          <w:p>
            <w:pPr>
              <w:pStyle w:val="Compact"/>
              <w:jc w:val="left"/>
            </w:pPr>
            <w:r>
              <w:t xml:space="preserve">Quadrithérapie anti-H. pylori</w:t>
            </w:r>
          </w:p>
        </w:tc>
        <w:tc>
          <w:tcPr/>
          <w:p>
            <w:pPr>
              <w:pStyle w:val="Compact"/>
              <w:jc w:val="left"/>
            </w:pPr>
            <w:r>
              <w:t xml:space="preserve">H. pylori</w:t>
            </w:r>
          </w:p>
        </w:tc>
        <w:tc>
          <w:tcPr/>
          <w:p>
            <w:pPr>
              <w:pStyle w:val="Compact"/>
              <w:jc w:val="left"/>
            </w:pPr>
            <w:r>
              <w:t xml:space="preserve">Variable</w:t>
            </w:r>
          </w:p>
        </w:tc>
        <w:tc>
          <w:tcPr/>
          <w:p>
            <w:pPr>
              <w:pStyle w:val="Compact"/>
              <w:jc w:val="left"/>
            </w:pPr>
            <w:r>
              <w:t xml:space="preserve">Mixte</w:t>
            </w:r>
          </w:p>
        </w:tc>
        <w:tc>
          <w:tcPr/>
          <w:p>
            <w:pPr>
              <w:pStyle w:val="Compact"/>
              <w:jc w:val="left"/>
            </w:pPr>
            <w:r>
              <w:t xml:space="preserve">Nulle</w:t>
            </w:r>
          </w:p>
        </w:tc>
        <w:tc>
          <w:tcPr/>
          <w:p>
            <w:pPr>
              <w:pStyle w:val="Compact"/>
              <w:jc w:val="left"/>
            </w:pPr>
            <w:r>
              <w:t xml:space="preserve">Nulle</w:t>
            </w:r>
          </w:p>
        </w:tc>
        <w:tc>
          <w:tcPr/>
          <w:p>
            <w:pPr>
              <w:pStyle w:val="Compact"/>
              <w:jc w:val="left"/>
            </w:pPr>
            <w:r>
              <w:t xml:space="preserve">3 gélules × 4/j + IPP × 2/j</w:t>
            </w:r>
          </w:p>
        </w:tc>
        <w:tc>
          <w:tcPr/>
          <w:p>
            <w:pPr>
              <w:pStyle w:val="Compact"/>
              <w:jc w:val="left"/>
            </w:pPr>
            <w:r>
              <w:t xml:space="preserve">Alcool, IR sévère</w:t>
            </w:r>
          </w:p>
        </w:tc>
        <w:tc>
          <w:tcPr/>
          <w:p>
            <w:pPr>
              <w:pStyle w:val="Compact"/>
              <w:jc w:val="left"/>
            </w:pPr>
            <w:r>
              <w:t xml:space="preserve">CI stricte</w:t>
            </w:r>
          </w:p>
        </w:tc>
      </w:tr>
      <w:tr>
        <w:tc>
          <w:tcPr/>
          <w:p>
            <w:pPr>
              <w:pStyle w:val="Compact"/>
              <w:jc w:val="left"/>
            </w:pPr>
            <w:r>
              <w:t xml:space="preserve">Tigécycline</w:t>
            </w:r>
          </w:p>
        </w:tc>
        <w:tc>
          <w:tcPr/>
          <w:p>
            <w:pPr>
              <w:pStyle w:val="Compact"/>
              <w:jc w:val="left"/>
            </w:pPr>
            <w:r>
              <w:t xml:space="preserve">Glycylcycline</w:t>
            </w:r>
          </w:p>
        </w:tc>
        <w:tc>
          <w:tcPr/>
          <w:p>
            <w:pPr>
              <w:pStyle w:val="Compact"/>
              <w:jc w:val="left"/>
            </w:pPr>
            <w:r>
              <w:t xml:space="preserve">SARM, EBLSE, anaérobies</w:t>
            </w:r>
          </w:p>
        </w:tc>
        <w:tc>
          <w:tcPr/>
          <w:p>
            <w:pPr>
              <w:pStyle w:val="Compact"/>
              <w:jc w:val="left"/>
            </w:pPr>
            <w:r>
              <w:t xml:space="preserve">42 h</w:t>
            </w:r>
          </w:p>
        </w:tc>
        <w:tc>
          <w:tcPr/>
          <w:p>
            <w:pPr>
              <w:pStyle w:val="Compact"/>
              <w:jc w:val="left"/>
            </w:pPr>
            <w:r>
              <w:t xml:space="preserve">Biliaire 60 % + rénale 30 %</w:t>
            </w:r>
          </w:p>
        </w:tc>
        <w:tc>
          <w:tcPr/>
          <w:p>
            <w:pPr>
              <w:pStyle w:val="Compact"/>
              <w:jc w:val="left"/>
            </w:pPr>
            <w:r>
              <w:t xml:space="preserve">Nulle</w:t>
            </w:r>
          </w:p>
        </w:tc>
        <w:tc>
          <w:tcPr/>
          <w:p>
            <w:pPr>
              <w:pStyle w:val="Compact"/>
              <w:jc w:val="left"/>
            </w:pPr>
            <w:r>
              <w:t xml:space="preserve">Nulle</w:t>
            </w:r>
          </w:p>
        </w:tc>
        <w:tc>
          <w:tcPr/>
          <w:p>
            <w:pPr>
              <w:pStyle w:val="Compact"/>
              <w:jc w:val="left"/>
            </w:pPr>
            <w:r>
              <w:t xml:space="preserve">100 mg attaque puis 50 mg × 2/j IV</w:t>
            </w:r>
          </w:p>
        </w:tc>
        <w:tc>
          <w:tcPr/>
          <w:p>
            <w:pPr>
              <w:pStyle w:val="Compact"/>
              <w:jc w:val="left"/>
            </w:pPr>
            <w:r>
              <w:t xml:space="preserve">Grossesse, IR hépatique C</w:t>
            </w:r>
          </w:p>
        </w:tc>
        <w:tc>
          <w:tcPr/>
          <w:p>
            <w:pPr>
              <w:pStyle w:val="Compact"/>
              <w:jc w:val="left"/>
            </w:pPr>
            <w:r>
              <w:t xml:space="preserve">CI stricte</w:t>
            </w:r>
          </w:p>
        </w:tc>
      </w:tr>
    </w:tbl>
    <w:p>
      <w:r>
        <w:pict>
          <v:rect style="width:0;height:1.5pt" o:hralign="center" o:hrstd="t" o:hr="t"/>
        </w:pict>
      </w:r>
    </w:p>
    <w:bookmarkEnd w:id="150"/>
    <w:bookmarkStart w:id="151" w:name="X183d194f8b54bf9912a15154da60934309b63df"/>
    <w:p>
      <w:pPr>
        <w:pStyle w:val="Heading2"/>
      </w:pPr>
      <w:r>
        <w:t xml:space="preserve">5.7 Synthèse et messages clés pour l’étudiant en pharmacie</w:t>
      </w:r>
    </w:p>
    <w:p>
      <w:pPr>
        <w:numPr>
          <w:ilvl w:val="0"/>
          <w:numId w:val="1318"/>
        </w:numPr>
      </w:pPr>
      <w:r>
        <w:rPr>
          <w:b/>
          <w:bCs/>
        </w:rPr>
        <w:t xml:space="preserve">Aminoglycosides = bactéricides concentration-dépendants, maniement hospitalier.</w:t>
      </w:r>
      <w:r>
        <w:t xml:space="preserve"> </w:t>
      </w:r>
      <w:r>
        <w:t xml:space="preserve">La dose unique journalière (DUJ) optimise l’efficacité et réduit la néphrotoxicité. Surveillance créatininémie + dosage des concentrations résiduelles obligatoires. Myasthénie = contre-indication absolue.</w:t>
      </w:r>
    </w:p>
    <w:p>
      <w:pPr>
        <w:numPr>
          <w:ilvl w:val="0"/>
          <w:numId w:val="1318"/>
        </w:numPr>
      </w:pPr>
      <w:r>
        <w:rPr>
          <w:b/>
          <w:bCs/>
        </w:rPr>
        <w:t xml:space="preserve">Tétracyclines = bactériostatiques, indice d’erreur de prescription élevé.</w:t>
      </w:r>
      <w:r>
        <w:t xml:space="preserve"> </w:t>
      </w:r>
      <w:r>
        <w:t xml:space="preserve">La doxycycline est la référence (biodisponibilité élevée, demi-vie longue, élimination mixte utilisable en IR). La minocycline est réservée à l’acné résistante et aux mycobactéries atypiques. La lymécycline est une alternative dermatologique. Chélation par les cations polyvalents (calcium, magnésium, fer, aluminium, bismuth, zinc) à connaître absolument.</w:t>
      </w:r>
    </w:p>
    <w:p>
      <w:pPr>
        <w:numPr>
          <w:ilvl w:val="0"/>
          <w:numId w:val="1318"/>
        </w:numPr>
      </w:pPr>
      <w:r>
        <w:rPr>
          <w:b/>
          <w:bCs/>
        </w:rPr>
        <w:t xml:space="preserve">Glycylcyclines = reserve aux infections multirésistantes.</w:t>
      </w:r>
      <w:r>
        <w:t xml:space="preserve"> </w:t>
      </w:r>
      <w:r>
        <w:t xml:space="preserve">Tigécycline active sur SARM, EBLSE, Acinetobacter, anaérobies ; inactive sur Pseudomonas, Proteus, Providencia, Morganella. Surmortalité observée en cas d’usage hors AMM.</w:t>
      </w:r>
    </w:p>
    <w:p>
      <w:pPr>
        <w:numPr>
          <w:ilvl w:val="0"/>
          <w:numId w:val="1318"/>
        </w:numPr>
      </w:pPr>
      <w:r>
        <w:rPr>
          <w:b/>
          <w:bCs/>
        </w:rPr>
        <w:t xml:space="preserve">Coloration dentaire et dépression osseuse = effects de classe des tétracyclines et glycylcyclines chez l’enfant &lt; 8 ans et le fœtus.</w:t>
      </w:r>
      <w:r>
        <w:t xml:space="preserve"> </w:t>
      </w:r>
      <w:r>
        <w:t xml:space="preserve">Contre-indication stricte chez la femme enceinte et l’enfant.</w:t>
      </w:r>
    </w:p>
    <w:p>
      <w:pPr>
        <w:numPr>
          <w:ilvl w:val="0"/>
          <w:numId w:val="1318"/>
        </w:numPr>
      </w:pPr>
      <w:r>
        <w:rPr>
          <w:b/>
          <w:bCs/>
        </w:rPr>
        <w:t xml:space="preserve">Associations locales = atout en pratique de ville mais piège d’usage prolongé.</w:t>
      </w:r>
      <w:r>
        <w:t xml:space="preserve"> </w:t>
      </w:r>
      <w:r>
        <w:t xml:space="preserve">Tobramycine + dexaméthasone ophtalmologique : durée maximale 7–10 jours, surveillance ophtalmologique au-delà (glaucome cortisonique). Framycétine nasale : durée 7 jours max, ne pas utiliser en cas de perforation tympanique.</w:t>
      </w:r>
    </w:p>
    <w:p>
      <w:pPr>
        <w:numPr>
          <w:ilvl w:val="0"/>
          <w:numId w:val="1318"/>
        </w:numPr>
      </w:pPr>
      <w:r>
        <w:rPr>
          <w:b/>
          <w:bCs/>
        </w:rPr>
        <w:t xml:space="preserve">Bismuth + Métronidazole + Tétracycline = quadrithérapie bismuthée de référence pour H. pylori.</w:t>
      </w:r>
      <w:r>
        <w:t xml:space="preserve"> </w:t>
      </w:r>
      <w:r>
        <w:t xml:space="preserve">À associer obligatoirement à un IPP. Abstinence alcoolique stricte (effet antabuse du métronidazole). Observance parfaite indispensable pour éviter l’échec et la résistance.</w:t>
      </w:r>
    </w:p>
    <w:p>
      <w:pPr>
        <w:numPr>
          <w:ilvl w:val="0"/>
          <w:numId w:val="1318"/>
        </w:numPr>
      </w:pPr>
      <w:r>
        <w:rPr>
          <w:b/>
          <w:bCs/>
        </w:rPr>
        <w:t xml:space="preserve">Au comptoir, les pièges majeurs à éviter :</w:t>
      </w:r>
    </w:p>
    <w:p>
      <w:pPr>
        <w:pStyle w:val="Compact"/>
        <w:numPr>
          <w:ilvl w:val="1"/>
          <w:numId w:val="1319"/>
        </w:numPr>
      </w:pPr>
      <w:r>
        <w:t xml:space="preserve">Aminoside + myasthénie (bloc neuromusculaire)</w:t>
      </w:r>
    </w:p>
    <w:p>
      <w:pPr>
        <w:pStyle w:val="Compact"/>
        <w:numPr>
          <w:ilvl w:val="1"/>
          <w:numId w:val="1319"/>
        </w:numPr>
      </w:pPr>
      <w:r>
        <w:t xml:space="preserve">Aminoside + furosémide (surdité brutale)</w:t>
      </w:r>
    </w:p>
    <w:p>
      <w:pPr>
        <w:pStyle w:val="Compact"/>
        <w:numPr>
          <w:ilvl w:val="1"/>
          <w:numId w:val="1319"/>
        </w:numPr>
      </w:pPr>
      <w:r>
        <w:t xml:space="preserve">Aminoside + AINS (IRA)</w:t>
      </w:r>
    </w:p>
    <w:p>
      <w:pPr>
        <w:pStyle w:val="Compact"/>
        <w:numPr>
          <w:ilvl w:val="1"/>
          <w:numId w:val="1319"/>
        </w:numPr>
      </w:pPr>
      <w:r>
        <w:t xml:space="preserve">Doxycycline + lait/fer/calcium (chélation, échec)</w:t>
      </w:r>
    </w:p>
    <w:p>
      <w:pPr>
        <w:pStyle w:val="Compact"/>
        <w:numPr>
          <w:ilvl w:val="1"/>
          <w:numId w:val="1319"/>
        </w:numPr>
      </w:pPr>
      <w:r>
        <w:t xml:space="preserve">Doxycycline + soleil (phototoxicité)</w:t>
      </w:r>
    </w:p>
    <w:p>
      <w:pPr>
        <w:pStyle w:val="Compact"/>
        <w:numPr>
          <w:ilvl w:val="1"/>
          <w:numId w:val="1319"/>
        </w:numPr>
      </w:pPr>
      <w:r>
        <w:t xml:space="preserve">Doxycycline au coucher sans eau (œsophagite)</w:t>
      </w:r>
    </w:p>
    <w:p>
      <w:pPr>
        <w:pStyle w:val="Compact"/>
        <w:numPr>
          <w:ilvl w:val="1"/>
          <w:numId w:val="1319"/>
        </w:numPr>
      </w:pPr>
      <w:r>
        <w:t xml:space="preserve">Minocycline + isotrétinoïne (HTIC)</w:t>
      </w:r>
    </w:p>
    <w:p>
      <w:pPr>
        <w:pStyle w:val="Compact"/>
        <w:numPr>
          <w:ilvl w:val="1"/>
          <w:numId w:val="1319"/>
        </w:numPr>
      </w:pPr>
      <w:r>
        <w:t xml:space="preserve">Métronidazole + alcool (effet antabuse)</w:t>
      </w:r>
    </w:p>
    <w:p>
      <w:pPr>
        <w:pStyle w:val="Compact"/>
        <w:numPr>
          <w:ilvl w:val="1"/>
          <w:numId w:val="1319"/>
        </w:numPr>
      </w:pPr>
      <w:r>
        <w:t xml:space="preserve">Polidexa auriculaire + perforation tympanique (ototoxicité)</w:t>
      </w:r>
    </w:p>
    <w:p>
      <w:pPr>
        <w:pStyle w:val="Compact"/>
        <w:numPr>
          <w:ilvl w:val="1"/>
          <w:numId w:val="1319"/>
        </w:numPr>
      </w:pPr>
      <w:r>
        <w:t xml:space="preserve">Tigécycline + Pseudomonas (échec)</w:t>
      </w:r>
    </w:p>
    <w:p>
      <w:pPr>
        <w:pStyle w:val="FirstParagraph"/>
      </w:pPr>
      <w:r>
        <w:t xml:space="preserve">Ces fiches constituent une synthèse technique destinée à la pratique pharmaceutique algérienne. Elles doivent être confrontées aux recommandations nationales (Société Algérienne de Microbiologie, Société Algérienne de Pharmacologie, recommandations de la Société Algérienne des Maladies Infectieuses), aux RCP des spécialités commercialisées et aux bases de données actualisées (VIDAL, Thériaque, ANSM, CRAT, UpToDate, Micromedex) pour toute décision clinique.</w:t>
      </w:r>
    </w:p>
    <w:p>
      <w:r>
        <w:pict>
          <v:rect style="width:0;height:1.5pt" o:hralign="center" o:hrstd="t" o:hr="t"/>
        </w:pict>
      </w:r>
    </w:p>
    <w:p>
      <w:r>
        <w:pict>
          <v:rect style="width:0;height:1.5pt" o:hralign="center" o:hrstd="t" o:hr="t"/>
        </w:pict>
      </w:r>
    </w:p>
    <w:bookmarkEnd w:id="151"/>
    <w:bookmarkEnd w:id="152"/>
    <w:bookmarkStart w:id="168" w:name="section-6a-fluoroquinolones-fq"/>
    <w:p>
      <w:pPr>
        <w:pStyle w:val="Heading1"/>
      </w:pPr>
      <w:r>
        <w:t xml:space="preserve">SECTION 6A — FLUOROQUINOLONES (FQ)</w:t>
      </w:r>
    </w:p>
    <w:bookmarkStart w:id="153" w:name="introduction-générale-de-la-sous-classe"/>
    <w:p>
      <w:pPr>
        <w:pStyle w:val="Heading2"/>
      </w:pPr>
      <w:r>
        <w:t xml:space="preserve">Introduction générale de la sous-classe</w:t>
      </w:r>
    </w:p>
    <w:p>
      <w:pPr>
        <w:pStyle w:val="FirstParagraph"/>
      </w:pPr>
      <w:r>
        <w:t xml:space="preserve">Les fluoroquinolones (FQ) constituent l’une des familles antibiotiques les plus prescrites au monde et figurent parmi les piliers de l’antibiothérapie en Algérie, où la ciprofloxacine, la lévofloxacine et l’ofloxacine dominent le marché systémique. Dérivés fluorés synthétiques de l’acide nalidixique (première quinolone non fluorée introduite en 1962), les FQ modernes se caractérisent par un fluor en position 6 du noyau quinoléique qui potentialise l’activité anti-Gram négatif et élargit le spectre au Gram positif, ainsi que par une pipérazine en position 7 qui renforce l’activité anti-Gram négatif, notamment contre</w:t>
      </w:r>
      <w:r>
        <w:t xml:space="preserve"> </w:t>
      </w:r>
      <w:r>
        <w:rPr>
          <w:i/>
          <w:iCs/>
        </w:rPr>
        <w:t xml:space="preserve">Pseudomonas aeruginosa</w:t>
      </w:r>
      <w:r>
        <w:t xml:space="preserve"> </w:t>
      </w:r>
      <w:r>
        <w:t xml:space="preserve">(ciprofloxacine). On distingue classiquement quatre générations :</w:t>
      </w:r>
    </w:p>
    <w:p>
      <w:pPr>
        <w:pStyle w:val="Compact"/>
        <w:numPr>
          <w:ilvl w:val="0"/>
          <w:numId w:val="1320"/>
        </w:numPr>
      </w:pPr>
      <w:r>
        <w:rPr>
          <w:b/>
          <w:bCs/>
        </w:rPr>
        <w:t xml:space="preserve">1re génération</w:t>
      </w:r>
      <w:r>
        <w:t xml:space="preserve"> </w:t>
      </w:r>
      <w:r>
        <w:t xml:space="preserve">(acide nalidixique, acide pipémidique, acide oxolinique, fluméquine) : spectre limité aux entérobactéries urinaires, supplantées aujourd’hui.</w:t>
      </w:r>
    </w:p>
    <w:p>
      <w:pPr>
        <w:pStyle w:val="Compact"/>
        <w:numPr>
          <w:ilvl w:val="0"/>
          <w:numId w:val="1320"/>
        </w:numPr>
      </w:pPr>
      <w:r>
        <w:rPr>
          <w:b/>
          <w:bCs/>
        </w:rPr>
        <w:t xml:space="preserve">2e génération</w:t>
      </w:r>
      <w:r>
        <w:t xml:space="preserve"> </w:t>
      </w:r>
      <w:r>
        <w:t xml:space="preserve">(norfloxacine, ciprofloxacine, ofloxacine, péfloxacine, énoxacine, loméfloxacine) : extension au</w:t>
      </w:r>
      <w:r>
        <w:t xml:space="preserve"> </w:t>
      </w:r>
      <w:r>
        <w:rPr>
          <w:i/>
          <w:iCs/>
        </w:rPr>
        <w:t xml:space="preserve">Pseudomonas</w:t>
      </w:r>
      <w:r>
        <w:t xml:space="preserve"> </w:t>
      </w:r>
      <w:r>
        <w:t xml:space="preserve">(ciprofloxacine), bonne diffusion urinaire et digestive, mais couverture pneumocoque médiocre.</w:t>
      </w:r>
    </w:p>
    <w:p>
      <w:pPr>
        <w:pStyle w:val="Compact"/>
        <w:numPr>
          <w:ilvl w:val="0"/>
          <w:numId w:val="1320"/>
        </w:numPr>
      </w:pPr>
      <w:r>
        <w:rPr>
          <w:b/>
          <w:bCs/>
        </w:rPr>
        <w:t xml:space="preserve">3e génération</w:t>
      </w:r>
      <w:r>
        <w:t xml:space="preserve"> </w:t>
      </w:r>
      <w:r>
        <w:t xml:space="preserve">(lévofloxacine = isomère S de la ofloxacine, sparfloxacine, gatifloxacine) : amélioration de l’activité anti-pneumococcque et conservation du spectre antipseudomonal.</w:t>
      </w:r>
    </w:p>
    <w:p>
      <w:pPr>
        <w:pStyle w:val="Compact"/>
        <w:numPr>
          <w:ilvl w:val="0"/>
          <w:numId w:val="1320"/>
        </w:numPr>
      </w:pPr>
      <w:r>
        <w:rPr>
          <w:b/>
          <w:bCs/>
        </w:rPr>
        <w:t xml:space="preserve">4e génération</w:t>
      </w:r>
      <w:r>
        <w:t xml:space="preserve"> </w:t>
      </w:r>
      <w:r>
        <w:t xml:space="preserve">(moxifloxacine, gémifloxacine, trovafloxacine retirée) : spectre respiratoire élargi (pneumocoque pénicillino-résistant,</w:t>
      </w:r>
      <w:r>
        <w:t xml:space="preserve"> </w:t>
      </w:r>
      <w:r>
        <w:rPr>
          <w:i/>
          <w:iCs/>
        </w:rPr>
        <w:t xml:space="preserve">Chlamydophila</w:t>
      </w:r>
      <w:r>
        <w:t xml:space="preserve">,</w:t>
      </w:r>
      <w:r>
        <w:t xml:space="preserve"> </w:t>
      </w:r>
      <w:r>
        <w:rPr>
          <w:i/>
          <w:iCs/>
        </w:rPr>
        <w:t xml:space="preserve">Mycoplasma</w:t>
      </w:r>
      <w:r>
        <w:t xml:space="preserve">,</w:t>
      </w:r>
      <w:r>
        <w:t xml:space="preserve"> </w:t>
      </w:r>
      <w:r>
        <w:rPr>
          <w:i/>
          <w:iCs/>
        </w:rPr>
        <w:t xml:space="preserve">Legionella</w:t>
      </w:r>
      <w:r>
        <w:t xml:space="preserve">), activité anti-anaérobies pour la moxifloxacine, mais perte partielle de l’activité antipseudomonal.</w:t>
      </w:r>
    </w:p>
    <w:p>
      <w:pPr>
        <w:pStyle w:val="FirstParagraph"/>
      </w:pPr>
      <w:r>
        <w:t xml:space="preserve">Le mécanisme d’action commun repose sur l’inhibition bactéricide concentration-dépendante des</w:t>
      </w:r>
      <w:r>
        <w:t xml:space="preserve"> </w:t>
      </w:r>
      <w:r>
        <w:rPr>
          <w:b/>
          <w:bCs/>
        </w:rPr>
        <w:t xml:space="preserve">topoisomérases bactériennes de type II</w:t>
      </w:r>
      <w:r>
        <w:t xml:space="preserve"> </w:t>
      </w:r>
      <w:r>
        <w:t xml:space="preserve">: l’</w:t>
      </w:r>
      <w:r>
        <w:rPr>
          <w:b/>
          <w:bCs/>
        </w:rPr>
        <w:t xml:space="preserve">ADN gyrase</w:t>
      </w:r>
      <w:r>
        <w:t xml:space="preserve"> </w:t>
      </w:r>
      <w:r>
        <w:t xml:space="preserve">(complexe GyrA₂GyrB₂), cible préférentielle chez les Gram négatifs, introduit des cassures double-brin négatives pour favoriser la surenroulement négatif de l’ADN, tandis que la</w:t>
      </w:r>
      <w:r>
        <w:t xml:space="preserve"> </w:t>
      </w:r>
      <w:r>
        <w:rPr>
          <w:b/>
          <w:bCs/>
        </w:rPr>
        <w:t xml:space="preserve">topoisomérase IV</w:t>
      </w:r>
      <w:r>
        <w:t xml:space="preserve"> </w:t>
      </w:r>
      <w:r>
        <w:t xml:space="preserve">(complexe ParC₂ParE₂), cible préférentielle chez les Gram positifs, décatène les chromosomes filles après la réplication. Les FQ stabilisent un complexe covalent ADN-enzyme (complexe clivable) bloquant la réligation de l’ADN, ce qui conduit à des cassures double-brin, à l’arrêt de la fourche de réplication et, in fine, à la mort bactérienne via le système SOS.</w:t>
      </w:r>
    </w:p>
    <w:p>
      <w:pPr>
        <w:pStyle w:val="BodyText"/>
      </w:pPr>
      <w:r>
        <w:t xml:space="preserve">Les FQ sont caractérisées par une</w:t>
      </w:r>
      <w:r>
        <w:t xml:space="preserve"> </w:t>
      </w:r>
      <w:r>
        <w:rPr>
          <w:b/>
          <w:bCs/>
        </w:rPr>
        <w:t xml:space="preserve">biodisponibilité orale élevée (60 à 99 %)</w:t>
      </w:r>
      <w:r>
        <w:t xml:space="preserve"> </w:t>
      </w:r>
      <w:r>
        <w:t xml:space="preserve">permettant le relais per os précoce, une</w:t>
      </w:r>
      <w:r>
        <w:t xml:space="preserve"> </w:t>
      </w:r>
      <w:r>
        <w:rPr>
          <w:b/>
          <w:bCs/>
        </w:rPr>
        <w:t xml:space="preserve">diffusion tissulaire remarquable</w:t>
      </w:r>
      <w:r>
        <w:t xml:space="preserve"> </w:t>
      </w:r>
      <w:r>
        <w:t xml:space="preserve">(poumon, prostate, os, rein, macrophages) et une</w:t>
      </w:r>
      <w:r>
        <w:t xml:space="preserve"> </w:t>
      </w:r>
      <w:r>
        <w:rPr>
          <w:b/>
          <w:bCs/>
        </w:rPr>
        <w:t xml:space="preserve">demi-vie longue</w:t>
      </w:r>
      <w:r>
        <w:t xml:space="preserve"> </w:t>
      </w:r>
      <w:r>
        <w:t xml:space="preserve">autorisant 1 à 2 prises quotidiennes. Leur élimination est principalement</w:t>
      </w:r>
      <w:r>
        <w:t xml:space="preserve"> </w:t>
      </w:r>
      <w:r>
        <w:rPr>
          <w:b/>
          <w:bCs/>
        </w:rPr>
        <w:t xml:space="preserve">rénale</w:t>
      </w:r>
      <w:r>
        <w:t xml:space="preserve"> </w:t>
      </w:r>
      <w:r>
        <w:t xml:space="preserve">pour la ciprofloxacine, la lévofloxacine, la norfloxacine, la ofloxacine, la gatifloxacine, la gémifloxacine ;</w:t>
      </w:r>
      <w:r>
        <w:t xml:space="preserve"> </w:t>
      </w:r>
      <w:r>
        <w:rPr>
          <w:b/>
          <w:bCs/>
        </w:rPr>
        <w:t xml:space="preserve">bilipaire</w:t>
      </w:r>
      <w:r>
        <w:t xml:space="preserve"> </w:t>
      </w:r>
      <w:r>
        <w:t xml:space="preserve">pour la moxifloxacine, la péfloxacine et partiellement la gatifloxacine (demi-vie biliaire).</w:t>
      </w:r>
    </w:p>
    <w:p>
      <w:pPr>
        <w:pStyle w:val="BodyText"/>
      </w:pPr>
      <w:r>
        <w:rPr>
          <w:b/>
          <w:bCs/>
        </w:rPr>
        <w:t xml:space="preserve">Mises en garde réglementaires majeures (ANSM, EMA, 2017–2019) :</w:t>
      </w:r>
      <w:r>
        <w:t xml:space="preserve"> </w:t>
      </w:r>
      <w:r>
        <w:t xml:space="preserve">les FQ systémiques sont désormais</w:t>
      </w:r>
      <w:r>
        <w:t xml:space="preserve"> </w:t>
      </w:r>
      <w:r>
        <w:rPr>
          <w:b/>
          <w:bCs/>
        </w:rPr>
        <w:t xml:space="preserve">réservées aux infections documentées ou fortement suspectées dues à des bactéries résistantes aux antibiotiques de première intention</w:t>
      </w:r>
      <w:r>
        <w:t xml:space="preserve"> </w:t>
      </w:r>
      <w:r>
        <w:t xml:space="preserve">(amoxicilline–acide clavulanique, céphalosporines, macrolides), du fait d’un rapport bénéfice/risque défavorable dans les infections non compliquées (cystites simples, bronchites aiguës, angines). Trois effets indésirables graves ont justifié ces restrictions :</w:t>
      </w:r>
      <w:r>
        <w:t xml:space="preserve"> </w:t>
      </w:r>
      <w:r>
        <w:t xml:space="preserve">1.</w:t>
      </w:r>
      <w:r>
        <w:t xml:space="preserve"> </w:t>
      </w:r>
      <w:r>
        <w:rPr>
          <w:b/>
          <w:bCs/>
        </w:rPr>
        <w:t xml:space="preserve">Tendinopathies et ruptures tendineuses</w:t>
      </w:r>
      <w:r>
        <w:t xml:space="preserve"> </w:t>
      </w:r>
      <w:r>
        <w:t xml:space="preserve">(notamment achilléenne) – incidence augmentée chez &gt; 60 ans, sujets sous corticothérapie, transplantés, insuffisants rénaux ; délai parfois dès les premières 48 h et jusqu’à 6 mois après l’arrêt.</w:t>
      </w:r>
      <w:r>
        <w:t xml:space="preserve"> </w:t>
      </w:r>
      <w:r>
        <w:t xml:space="preserve">2.</w:t>
      </w:r>
      <w:r>
        <w:t xml:space="preserve"> </w:t>
      </w:r>
      <w:r>
        <w:rPr>
          <w:b/>
          <w:bCs/>
        </w:rPr>
        <w:t xml:space="preserve">Neuropathies périphériques axonales</w:t>
      </w:r>
      <w:r>
        <w:t xml:space="preserve"> </w:t>
      </w:r>
      <w:r>
        <w:t xml:space="preserve">pouvant être irréversibles.</w:t>
      </w:r>
      <w:r>
        <w:t xml:space="preserve"> </w:t>
      </w:r>
      <w:r>
        <w:t xml:space="preserve">3.</w:t>
      </w:r>
      <w:r>
        <w:t xml:space="preserve"> </w:t>
      </w:r>
      <w:r>
        <w:rPr>
          <w:b/>
          <w:bCs/>
        </w:rPr>
        <w:t xml:space="preserve">Allongement de l’intervalle QTc</w:t>
      </w:r>
      <w:r>
        <w:t xml:space="preserve"> </w:t>
      </w:r>
      <w:r>
        <w:t xml:space="preserve">et risque de torsades de pointe (prédomine avec moxifloxacine &gt; ciprofloxacine &gt; lévofloxacine).</w:t>
      </w:r>
    </w:p>
    <w:p>
      <w:pPr>
        <w:pStyle w:val="BodyText"/>
      </w:pPr>
      <w:r>
        <w:t xml:space="preserve">S’y ajoutent :</w:t>
      </w:r>
      <w:r>
        <w:t xml:space="preserve"> </w:t>
      </w:r>
      <w:r>
        <w:rPr>
          <w:b/>
          <w:bCs/>
        </w:rPr>
        <w:t xml:space="preserve">dysglycémies</w:t>
      </w:r>
      <w:r>
        <w:t xml:space="preserve"> </w:t>
      </w:r>
      <w:r>
        <w:t xml:space="preserve">(hypo- et hyperglycémies, surtout avec la gatifloxacine désormais retirée du marché systémique),</w:t>
      </w:r>
      <w:r>
        <w:t xml:space="preserve"> </w:t>
      </w:r>
      <w:r>
        <w:rPr>
          <w:b/>
          <w:bCs/>
        </w:rPr>
        <w:t xml:space="preserve">troubles neuropsychiatriques</w:t>
      </w:r>
      <w:r>
        <w:t xml:space="preserve"> </w:t>
      </w:r>
      <w:r>
        <w:t xml:space="preserve">(insomnie, confusion, dépression, rarement psychose ou idées suicidaires),</w:t>
      </w:r>
      <w:r>
        <w:t xml:space="preserve"> </w:t>
      </w:r>
      <w:r>
        <w:rPr>
          <w:b/>
          <w:bCs/>
        </w:rPr>
        <w:t xml:space="preserve">photosensibilité</w:t>
      </w:r>
      <w:r>
        <w:t xml:space="preserve">,</w:t>
      </w:r>
      <w:r>
        <w:t xml:space="preserve"> </w:t>
      </w:r>
      <w:r>
        <w:rPr>
          <w:b/>
          <w:bCs/>
        </w:rPr>
        <w:t xml:space="preserve">diarrhée à</w:t>
      </w:r>
      <w:r>
        <w:rPr>
          <w:b/>
          <w:bCs/>
        </w:rPr>
        <w:t xml:space="preserve"> </w:t>
      </w:r>
      <w:r>
        <w:rPr>
          <w:b/>
          <w:bCs/>
          <w:i/>
          <w:iCs/>
        </w:rPr>
        <w:t xml:space="preserve">Clostridioides difficile</w:t>
      </w:r>
      <w:r>
        <w:t xml:space="preserve"> </w:t>
      </w:r>
      <w:r>
        <w:t xml:space="preserve">et</w:t>
      </w:r>
      <w:r>
        <w:t xml:space="preserve"> </w:t>
      </w:r>
      <w:r>
        <w:rPr>
          <w:b/>
          <w:bCs/>
        </w:rPr>
        <w:t xml:space="preserve">réactions cutanées sévères</w:t>
      </w:r>
      <w:r>
        <w:t xml:space="preserve"> </w:t>
      </w:r>
      <w:r>
        <w:t xml:space="preserve">(Stevens-Johnson, Lyell, DRESS). Une réévaluation systématique de la prescription est donc indispensable, particulièrement chez le sujet âgé.</w:t>
      </w:r>
    </w:p>
    <w:p>
      <w:pPr>
        <w:pStyle w:val="BodyText"/>
      </w:pPr>
      <w:r>
        <w:t xml:space="preserve">Les FQ locales (collyres, gouttes auriculaires, crème dermique) gardent une large place en ophtalmologie (conjonctivites bactériennes, kératites, ulcères de cornée, prophylaxie pré- et post-opératoire) et en dermatologie (acné, folliculites, impétigo) où leur passage systémique est minime et leur tolérance excellente. Les associations ophtalmologiques (ofloxacine + dexaméthasone) visent les pathologies inflammatoires surinfectées.</w:t>
      </w:r>
    </w:p>
    <w:p>
      <w:pPr>
        <w:pStyle w:val="BodyText"/>
      </w:pPr>
      <w:r>
        <w:t xml:space="preserve">L’ensemble des 11 DCI de la nomenclature algérienne est traité ci-après par fiche détaillée.</w:t>
      </w:r>
    </w:p>
    <w:p>
      <w:r>
        <w:pict>
          <v:rect style="width:0;height:1.5pt" o:hralign="center" o:hrstd="t" o:hr="t"/>
        </w:pict>
      </w:r>
    </w:p>
    <w:bookmarkEnd w:id="153"/>
    <w:bookmarkStart w:id="154" w:name="dci-ciprofloxacine-seule"/>
    <w:p>
      <w:pPr>
        <w:pStyle w:val="Heading2"/>
      </w:pPr>
      <w:r>
        <w:t xml:space="preserve">1. DCI : Ciprofloxacine (Seule)</w:t>
      </w:r>
    </w:p>
    <w:p>
      <w:pPr>
        <w:pStyle w:val="FirstParagraph"/>
      </w:pPr>
      <w:r>
        <w:rPr>
          <w:b/>
          <w:bCs/>
        </w:rPr>
        <w:t xml:space="preserve">Liste des Catégories :</w:t>
      </w:r>
      <w:r>
        <w:t xml:space="preserve"> </w:t>
      </w:r>
      <w:r>
        <w:t xml:space="preserve">Antibactérien systémique, Fluoroquinolone de 2e génération ; formes ophtalmologiques (collyre, pommade), otologique (solution auriculaire), injectable IV.</w:t>
      </w:r>
    </w:p>
    <w:p>
      <w:pPr>
        <w:pStyle w:val="BodyText"/>
      </w:pPr>
      <w:r>
        <w:t xml:space="preserve">La ciprofloxacine, introduite en 1987, reste la</w:t>
      </w:r>
      <w:r>
        <w:t xml:space="preserve"> </w:t>
      </w:r>
      <w:r>
        <w:rPr>
          <w:b/>
          <w:bCs/>
        </w:rPr>
        <w:t xml:space="preserve">fluoroquinolone de référence pour le</w:t>
      </w:r>
      <w:r>
        <w:rPr>
          <w:b/>
          <w:bCs/>
        </w:rPr>
        <w:t xml:space="preserve"> </w:t>
      </w:r>
      <w:r>
        <w:rPr>
          <w:b/>
          <w:bCs/>
          <w:i/>
          <w:iCs/>
        </w:rPr>
        <w:t xml:space="preserve">Pseudomonas aeruginosa</w:t>
      </w:r>
      <w:r>
        <w:t xml:space="preserve"> </w:t>
      </w:r>
      <w:r>
        <w:t xml:space="preserve">et l’une des molécules les plus largement disponibles en Algérie, avec une cinquantaine de spécialités commerciales recensées (comprimés 250/500/750 mg, forme LP 1 g, collyre 0,3 %, pommade ophtalmique, solution auriculaire 2 mg/mL, perfusion IV 2 mg/mL). Sa biodisponibilité orale de 70 % et son élimination rénale majoritaire (60–70 % inchangée) en font un excellent choix pour les infections urinaires, prostatiques, digestives, ostéo-articulaires et les infections sévères à</w:t>
      </w:r>
      <w:r>
        <w:t xml:space="preserve"> </w:t>
      </w:r>
      <w:r>
        <w:rPr>
          <w:i/>
          <w:iCs/>
        </w:rPr>
        <w:t xml:space="preserve">Pseudomonas</w:t>
      </w:r>
      <w:r>
        <w:t xml:space="preserve"> </w:t>
      </w:r>
      <w:r>
        <w:t xml:space="preserve">en relais oral.</w:t>
      </w:r>
    </w:p>
    <w:p>
      <w:pPr>
        <w:pStyle w:val="BodyText"/>
      </w:pPr>
      <w:r>
        <w:rPr>
          <w:b/>
          <w:bCs/>
        </w:rPr>
        <w:t xml:space="preserve">Médicaments disponibles en Algérie (Marques, Laboratoires, Formes et Dosages) :</w:t>
      </w:r>
    </w:p>
    <w:p>
      <w:pPr>
        <w:pStyle w:val="BodyText"/>
      </w:pPr>
      <w:r>
        <w:rPr>
          <w:i/>
          <w:iCs/>
        </w:rPr>
        <w:t xml:space="preserve">Formes orales comprimés 250 mg :</w:t>
      </w:r>
      <w:r>
        <w:t xml:space="preserve"> </w:t>
      </w:r>
      <w:r>
        <w:t xml:space="preserve">-</w:t>
      </w:r>
      <w:r>
        <w:t xml:space="preserve"> </w:t>
      </w:r>
      <w:r>
        <w:rPr>
          <w:b/>
          <w:bCs/>
        </w:rPr>
        <w:t xml:space="preserve">CIPROFLOXAL</w:t>
      </w:r>
      <w:r>
        <w:t xml:space="preserve"> </w:t>
      </w:r>
      <w:r>
        <w:t xml:space="preserve">(SOPHAL) — cp 250 mg, B/10 — Actif</w:t>
      </w:r>
      <w:r>
        <w:t xml:space="preserve"> </w:t>
      </w:r>
      <w:r>
        <w:t xml:space="preserve">-</w:t>
      </w:r>
      <w:r>
        <w:t xml:space="preserve"> </w:t>
      </w:r>
      <w:r>
        <w:rPr>
          <w:b/>
          <w:bCs/>
        </w:rPr>
        <w:t xml:space="preserve">CIPROTEK</w:t>
      </w:r>
      <w:r>
        <w:t xml:space="preserve"> </w:t>
      </w:r>
      <w:r>
        <w:t xml:space="preserve">(BIOCARE) — cp 250 mg, B/10 — Actif</w:t>
      </w:r>
      <w:r>
        <w:t xml:space="preserve"> </w:t>
      </w:r>
      <w:r>
        <w:t xml:space="preserve">-</w:t>
      </w:r>
      <w:r>
        <w:t xml:space="preserve"> </w:t>
      </w:r>
      <w:r>
        <w:rPr>
          <w:b/>
          <w:bCs/>
        </w:rPr>
        <w:t xml:space="preserve">FLOCINE 250</w:t>
      </w:r>
      <w:r>
        <w:t xml:space="preserve"> </w:t>
      </w:r>
      <w:r>
        <w:t xml:space="preserve">(MERINAL) — cp 250 mg, B/10 — Actif</w:t>
      </w:r>
      <w:r>
        <w:t xml:space="preserve"> </w:t>
      </w:r>
      <w:r>
        <w:t xml:space="preserve">-</w:t>
      </w:r>
      <w:r>
        <w:t xml:space="preserve"> </w:t>
      </w:r>
      <w:r>
        <w:rPr>
          <w:b/>
          <w:bCs/>
        </w:rPr>
        <w:t xml:space="preserve">LOXANAD</w:t>
      </w:r>
      <w:r>
        <w:t xml:space="preserve"> </w:t>
      </w:r>
      <w:r>
        <w:t xml:space="preserve">(NADPHARMADIC) — cp 250 mg, B/10 — Actif</w:t>
      </w:r>
      <w:r>
        <w:t xml:space="preserve"> </w:t>
      </w:r>
      <w:r>
        <w:t xml:space="preserve">-</w:t>
      </w:r>
      <w:r>
        <w:t xml:space="preserve"> </w:t>
      </w:r>
      <w:r>
        <w:rPr>
          <w:b/>
          <w:bCs/>
        </w:rPr>
        <w:t xml:space="preserve">CIPROLON</w:t>
      </w:r>
      <w:r>
        <w:t xml:space="preserve"> </w:t>
      </w:r>
      <w:r>
        <w:t xml:space="preserve">(HIKMA) — cp 250 mg, B/10 — Non Renouvelable</w:t>
      </w:r>
      <w:r>
        <w:t xml:space="preserve"> </w:t>
      </w:r>
      <w:r>
        <w:t xml:space="preserve">-</w:t>
      </w:r>
      <w:r>
        <w:t xml:space="preserve"> </w:t>
      </w:r>
      <w:r>
        <w:rPr>
          <w:b/>
          <w:bCs/>
        </w:rPr>
        <w:t xml:space="preserve">PROFLOX</w:t>
      </w:r>
      <w:r>
        <w:t xml:space="preserve"> </w:t>
      </w:r>
      <w:r>
        <w:t xml:space="preserve">(PHARMALLIANCE) — cp 250 mg, B/10 — Non Renouvelable</w:t>
      </w:r>
      <w:r>
        <w:t xml:space="preserve"> </w:t>
      </w:r>
      <w:r>
        <w:t xml:space="preserve">-</w:t>
      </w:r>
      <w:r>
        <w:t xml:space="preserve"> </w:t>
      </w:r>
      <w:r>
        <w:rPr>
          <w:b/>
          <w:bCs/>
        </w:rPr>
        <w:t xml:space="preserve">CIPRODAR</w:t>
      </w:r>
      <w:r>
        <w:t xml:space="preserve"> </w:t>
      </w:r>
      <w:r>
        <w:t xml:space="preserve">(DAR AL DAWA) — cp 250 mg, B/10 — Retiré (R)</w:t>
      </w:r>
      <w:r>
        <w:t xml:space="preserve"> </w:t>
      </w:r>
      <w:r>
        <w:t xml:space="preserve">-</w:t>
      </w:r>
      <w:r>
        <w:t xml:space="preserve"> </w:t>
      </w:r>
      <w:r>
        <w:rPr>
          <w:b/>
          <w:bCs/>
        </w:rPr>
        <w:t xml:space="preserve">CIPROMAX</w:t>
      </w:r>
      <w:r>
        <w:t xml:space="preserve"> </w:t>
      </w:r>
      <w:r>
        <w:t xml:space="preserve">(SPIMACO) — cp 250 mg, B/10 — Retiré (R)</w:t>
      </w:r>
      <w:r>
        <w:t xml:space="preserve"> </w:t>
      </w:r>
      <w:r>
        <w:t xml:space="preserve">-</w:t>
      </w:r>
      <w:r>
        <w:t xml:space="preserve"> </w:t>
      </w:r>
      <w:r>
        <w:rPr>
          <w:b/>
          <w:bCs/>
        </w:rPr>
        <w:t xml:space="preserve">CIPROFLOXACINE IBERAL</w:t>
      </w:r>
      <w:r>
        <w:t xml:space="preserve"> </w:t>
      </w:r>
      <w:r>
        <w:t xml:space="preserve">(IBERAL) — cp 250 mg, B/10 — Retiré (R)</w:t>
      </w:r>
      <w:r>
        <w:t xml:space="preserve"> </w:t>
      </w:r>
      <w:r>
        <w:t xml:space="preserve">-</w:t>
      </w:r>
      <w:r>
        <w:t xml:space="preserve"> </w:t>
      </w:r>
      <w:r>
        <w:rPr>
          <w:b/>
          <w:bCs/>
        </w:rPr>
        <w:t xml:space="preserve">CIPROMID 250</w:t>
      </w:r>
      <w:r>
        <w:t xml:space="preserve"> </w:t>
      </w:r>
      <w:r>
        <w:t xml:space="preserve">(MEPHACO) — cp 250 mg, B/10 — Retiré (R)</w:t>
      </w:r>
      <w:r>
        <w:t xml:space="preserve"> </w:t>
      </w:r>
      <w:r>
        <w:t xml:space="preserve">-</w:t>
      </w:r>
      <w:r>
        <w:t xml:space="preserve"> </w:t>
      </w:r>
      <w:r>
        <w:rPr>
          <w:b/>
          <w:bCs/>
        </w:rPr>
        <w:t xml:space="preserve">CIPROVAL</w:t>
      </w:r>
      <w:r>
        <w:t xml:space="preserve"> </w:t>
      </w:r>
      <w:r>
        <w:t xml:space="preserve">(MEDIFER) — cp 250 mg sécable, B/10 — Retiré (R)</w:t>
      </w:r>
    </w:p>
    <w:p>
      <w:pPr>
        <w:pStyle w:val="BodyText"/>
      </w:pPr>
      <w:r>
        <w:rPr>
          <w:i/>
          <w:iCs/>
        </w:rPr>
        <w:t xml:space="preserve">Formes orales comprimés 500 mg :</w:t>
      </w:r>
      <w:r>
        <w:t xml:space="preserve"> </w:t>
      </w:r>
      <w:r>
        <w:t xml:space="preserve">-</w:t>
      </w:r>
      <w:r>
        <w:t xml:space="preserve"> </w:t>
      </w:r>
      <w:r>
        <w:rPr>
          <w:b/>
          <w:bCs/>
        </w:rPr>
        <w:t xml:space="preserve">CIFLOXACINE</w:t>
      </w:r>
      <w:r>
        <w:t xml:space="preserve"> </w:t>
      </w:r>
      <w:r>
        <w:t xml:space="preserve">(HUPP PHARMA) — cp sécable 500 mg, B/10 — Actif</w:t>
      </w:r>
      <w:r>
        <w:t xml:space="preserve"> </w:t>
      </w:r>
      <w:r>
        <w:t xml:space="preserve">-</w:t>
      </w:r>
      <w:r>
        <w:t xml:space="preserve"> </w:t>
      </w:r>
      <w:r>
        <w:rPr>
          <w:b/>
          <w:bCs/>
        </w:rPr>
        <w:t xml:space="preserve">CIPRO 500</w:t>
      </w:r>
      <w:r>
        <w:t xml:space="preserve"> </w:t>
      </w:r>
      <w:r>
        <w:t xml:space="preserve">(INPHA-MEDIS) — cp 500 mg, B/14 — Actif</w:t>
      </w:r>
      <w:r>
        <w:t xml:space="preserve"> </w:t>
      </w:r>
      <w:r>
        <w:t xml:space="preserve">-</w:t>
      </w:r>
      <w:r>
        <w:t xml:space="preserve"> </w:t>
      </w:r>
      <w:r>
        <w:rPr>
          <w:b/>
          <w:bCs/>
        </w:rPr>
        <w:t xml:space="preserve">CIPRODAR</w:t>
      </w:r>
      <w:r>
        <w:t xml:space="preserve"> </w:t>
      </w:r>
      <w:r>
        <w:t xml:space="preserve">(DAR AL DAWA) — cp 500 mg, B/10 — Actif</w:t>
      </w:r>
      <w:r>
        <w:t xml:space="preserve"> </w:t>
      </w:r>
      <w:r>
        <w:t xml:space="preserve">-</w:t>
      </w:r>
      <w:r>
        <w:t xml:space="preserve"> </w:t>
      </w:r>
      <w:r>
        <w:rPr>
          <w:b/>
          <w:bCs/>
        </w:rPr>
        <w:t xml:space="preserve">CIPROFLOXACINE BEKER</w:t>
      </w:r>
      <w:r>
        <w:t xml:space="preserve"> </w:t>
      </w:r>
      <w:r>
        <w:t xml:space="preserve">(BEKER) — cp sécable 500 mg, B/10 — Actif</w:t>
      </w:r>
      <w:r>
        <w:t xml:space="preserve"> </w:t>
      </w:r>
      <w:r>
        <w:t xml:space="preserve">-</w:t>
      </w:r>
      <w:r>
        <w:t xml:space="preserve"> </w:t>
      </w:r>
      <w:r>
        <w:rPr>
          <w:b/>
          <w:bCs/>
        </w:rPr>
        <w:t xml:space="preserve">CIPROFLOXAL</w:t>
      </w:r>
      <w:r>
        <w:t xml:space="preserve"> </w:t>
      </w:r>
      <w:r>
        <w:t xml:space="preserve">(SOPHAL) — cp sécable 500 mg, B/10 — Actif</w:t>
      </w:r>
      <w:r>
        <w:t xml:space="preserve"> </w:t>
      </w:r>
      <w:r>
        <w:t xml:space="preserve">-</w:t>
      </w:r>
      <w:r>
        <w:t xml:space="preserve"> </w:t>
      </w:r>
      <w:r>
        <w:rPr>
          <w:b/>
          <w:bCs/>
        </w:rPr>
        <w:t xml:space="preserve">CIPROTEK</w:t>
      </w:r>
      <w:r>
        <w:t xml:space="preserve"> </w:t>
      </w:r>
      <w:r>
        <w:t xml:space="preserve">(BIOCARE) — cp 500 mg, B/10 — Actif</w:t>
      </w:r>
      <w:r>
        <w:t xml:space="preserve"> </w:t>
      </w:r>
      <w:r>
        <w:t xml:space="preserve">-</w:t>
      </w:r>
      <w:r>
        <w:t xml:space="preserve"> </w:t>
      </w:r>
      <w:r>
        <w:rPr>
          <w:b/>
          <w:bCs/>
        </w:rPr>
        <w:t xml:space="preserve">FLOCINE 500</w:t>
      </w:r>
      <w:r>
        <w:t xml:space="preserve"> </w:t>
      </w:r>
      <w:r>
        <w:t xml:space="preserve">(MERINAL) — cp sécable 500 mg, B/10 — Actif</w:t>
      </w:r>
      <w:r>
        <w:t xml:space="preserve"> </w:t>
      </w:r>
      <w:r>
        <w:t xml:space="preserve">-</w:t>
      </w:r>
      <w:r>
        <w:t xml:space="preserve"> </w:t>
      </w:r>
      <w:r>
        <w:rPr>
          <w:b/>
          <w:bCs/>
        </w:rPr>
        <w:t xml:space="preserve">LOXANAD</w:t>
      </w:r>
      <w:r>
        <w:t xml:space="preserve"> </w:t>
      </w:r>
      <w:r>
        <w:t xml:space="preserve">(NADPHARMADIC) — cp 500 mg, B/10 — Actif</w:t>
      </w:r>
      <w:r>
        <w:t xml:space="preserve"> </w:t>
      </w:r>
      <w:r>
        <w:t xml:space="preserve">-</w:t>
      </w:r>
      <w:r>
        <w:t xml:space="preserve"> </w:t>
      </w:r>
      <w:r>
        <w:rPr>
          <w:b/>
          <w:bCs/>
        </w:rPr>
        <w:t xml:space="preserve">MEFLOX</w:t>
      </w:r>
      <w:r>
        <w:t xml:space="preserve"> </w:t>
      </w:r>
      <w:r>
        <w:t xml:space="preserve">(SOMEDIAL) — cp 500 mg, B/10 — Actif</w:t>
      </w:r>
      <w:r>
        <w:t xml:space="preserve"> </w:t>
      </w:r>
      <w:r>
        <w:t xml:space="preserve">-</w:t>
      </w:r>
      <w:r>
        <w:t xml:space="preserve"> </w:t>
      </w:r>
      <w:r>
        <w:rPr>
          <w:b/>
          <w:bCs/>
        </w:rPr>
        <w:t xml:space="preserve">OZAFLOX</w:t>
      </w:r>
      <w:r>
        <w:t xml:space="preserve"> </w:t>
      </w:r>
      <w:r>
        <w:t xml:space="preserve">(JAMJOOM) — cp enrobé sécable 500 mg, B/10 — Actif</w:t>
      </w:r>
      <w:r>
        <w:t xml:space="preserve"> </w:t>
      </w:r>
      <w:r>
        <w:t xml:space="preserve">-</w:t>
      </w:r>
      <w:r>
        <w:t xml:space="preserve"> </w:t>
      </w:r>
      <w:r>
        <w:rPr>
          <w:b/>
          <w:bCs/>
        </w:rPr>
        <w:t xml:space="preserve">QUINOX</w:t>
      </w:r>
      <w:r>
        <w:t xml:space="preserve"> </w:t>
      </w:r>
      <w:r>
        <w:t xml:space="preserve">(EL KENDI) — cp 500 mg, B/10 — Actif</w:t>
      </w:r>
      <w:r>
        <w:t xml:space="preserve"> </w:t>
      </w:r>
      <w:r>
        <w:t xml:space="preserve">-</w:t>
      </w:r>
      <w:r>
        <w:t xml:space="preserve"> </w:t>
      </w:r>
      <w:r>
        <w:rPr>
          <w:b/>
          <w:bCs/>
        </w:rPr>
        <w:t xml:space="preserve">CIPROLON</w:t>
      </w:r>
      <w:r>
        <w:t xml:space="preserve"> </w:t>
      </w:r>
      <w:r>
        <w:t xml:space="preserve">(HIKMA) — cp 500 mg, B/10 — Non Renouvelable</w:t>
      </w:r>
      <w:r>
        <w:t xml:space="preserve"> </w:t>
      </w:r>
      <w:r>
        <w:t xml:space="preserve">-</w:t>
      </w:r>
      <w:r>
        <w:t xml:space="preserve"> </w:t>
      </w:r>
      <w:r>
        <w:rPr>
          <w:b/>
          <w:bCs/>
        </w:rPr>
        <w:t xml:space="preserve">PROFLOX</w:t>
      </w:r>
      <w:r>
        <w:t xml:space="preserve"> </w:t>
      </w:r>
      <w:r>
        <w:t xml:space="preserve">(PHARMALLIANCE) — cp 500 mg, B/10 — Non Renouvelable</w:t>
      </w:r>
      <w:r>
        <w:t xml:space="preserve"> </w:t>
      </w:r>
      <w:r>
        <w:t xml:space="preserve">-</w:t>
      </w:r>
      <w:r>
        <w:t xml:space="preserve"> </w:t>
      </w:r>
      <w:r>
        <w:rPr>
          <w:b/>
          <w:bCs/>
        </w:rPr>
        <w:t xml:space="preserve">CIPROMAX</w:t>
      </w:r>
      <w:r>
        <w:t xml:space="preserve"> </w:t>
      </w:r>
      <w:r>
        <w:t xml:space="preserve">(SPIMACO) — cp 500 mg, B/10 — Retiré (R)</w:t>
      </w:r>
      <w:r>
        <w:t xml:space="preserve"> </w:t>
      </w:r>
      <w:r>
        <w:t xml:space="preserve">-</w:t>
      </w:r>
      <w:r>
        <w:t xml:space="preserve"> </w:t>
      </w:r>
      <w:r>
        <w:rPr>
          <w:b/>
          <w:bCs/>
        </w:rPr>
        <w:t xml:space="preserve">CIPROFLOXACINE IBERAL</w:t>
      </w:r>
      <w:r>
        <w:t xml:space="preserve"> </w:t>
      </w:r>
      <w:r>
        <w:t xml:space="preserve">(IBERAL) — cp 500 mg, B/10 — Retiré (R)</w:t>
      </w:r>
      <w:r>
        <w:t xml:space="preserve"> </w:t>
      </w:r>
      <w:r>
        <w:t xml:space="preserve">-</w:t>
      </w:r>
      <w:r>
        <w:t xml:space="preserve"> </w:t>
      </w:r>
      <w:r>
        <w:rPr>
          <w:b/>
          <w:bCs/>
        </w:rPr>
        <w:t xml:space="preserve">CIPROFLOXACINE ZENTIVA</w:t>
      </w:r>
      <w:r>
        <w:t xml:space="preserve"> </w:t>
      </w:r>
      <w:r>
        <w:t xml:space="preserve">(WINTHROP PHARMA SAIDAL) — cp 500 mg, B/10 — Retiré (R)</w:t>
      </w:r>
      <w:r>
        <w:t xml:space="preserve"> </w:t>
      </w:r>
      <w:r>
        <w:t xml:space="preserve">-</w:t>
      </w:r>
      <w:r>
        <w:t xml:space="preserve"> </w:t>
      </w:r>
      <w:r>
        <w:rPr>
          <w:b/>
          <w:bCs/>
        </w:rPr>
        <w:t xml:space="preserve">CIPROVAL</w:t>
      </w:r>
      <w:r>
        <w:t xml:space="preserve"> </w:t>
      </w:r>
      <w:r>
        <w:t xml:space="preserve">(MEDIFER) — cp enrobé sécable 500 mg, B/10 — Retiré (R)</w:t>
      </w:r>
      <w:r>
        <w:t xml:space="preserve"> </w:t>
      </w:r>
      <w:r>
        <w:t xml:space="preserve">-</w:t>
      </w:r>
      <w:r>
        <w:t xml:space="preserve"> </w:t>
      </w:r>
      <w:r>
        <w:rPr>
          <w:b/>
          <w:bCs/>
        </w:rPr>
        <w:t xml:space="preserve">CIPROMID 500</w:t>
      </w:r>
      <w:r>
        <w:t xml:space="preserve"> </w:t>
      </w:r>
      <w:r>
        <w:t xml:space="preserve">(MEPHACO) — cp 500 mg, B/10 — Retiré (R)</w:t>
      </w:r>
    </w:p>
    <w:p>
      <w:pPr>
        <w:pStyle w:val="BodyText"/>
      </w:pPr>
      <w:r>
        <w:rPr>
          <w:i/>
          <w:iCs/>
        </w:rPr>
        <w:t xml:space="preserve">Formes orales comprimés 750 mg :</w:t>
      </w:r>
      <w:r>
        <w:t xml:space="preserve"> </w:t>
      </w:r>
      <w:r>
        <w:t xml:space="preserve">-</w:t>
      </w:r>
      <w:r>
        <w:t xml:space="preserve"> </w:t>
      </w:r>
      <w:r>
        <w:rPr>
          <w:b/>
          <w:bCs/>
        </w:rPr>
        <w:t xml:space="preserve">CIPROFLOXACINE BEKER</w:t>
      </w:r>
      <w:r>
        <w:t xml:space="preserve"> </w:t>
      </w:r>
      <w:r>
        <w:t xml:space="preserve">(BEKER) — cp 750 mg, B/10 — Actif</w:t>
      </w:r>
      <w:r>
        <w:t xml:space="preserve"> </w:t>
      </w:r>
      <w:r>
        <w:t xml:space="preserve">-</w:t>
      </w:r>
      <w:r>
        <w:t xml:space="preserve"> </w:t>
      </w:r>
      <w:r>
        <w:rPr>
          <w:b/>
          <w:bCs/>
        </w:rPr>
        <w:t xml:space="preserve">CIPROLON</w:t>
      </w:r>
      <w:r>
        <w:t xml:space="preserve"> </w:t>
      </w:r>
      <w:r>
        <w:t xml:space="preserve">(HIKMA) — cp 750 mg, B/10 — Non Renouvelable</w:t>
      </w:r>
      <w:r>
        <w:t xml:space="preserve"> </w:t>
      </w:r>
      <w:r>
        <w:t xml:space="preserve">-</w:t>
      </w:r>
      <w:r>
        <w:t xml:space="preserve"> </w:t>
      </w:r>
      <w:r>
        <w:rPr>
          <w:b/>
          <w:bCs/>
        </w:rPr>
        <w:t xml:space="preserve">CIPRO 750</w:t>
      </w:r>
      <w:r>
        <w:t xml:space="preserve"> </w:t>
      </w:r>
      <w:r>
        <w:t xml:space="preserve">(INPHA-MEDIS) — cp 750 mg, B/14 — Non Renouvelable</w:t>
      </w:r>
      <w:r>
        <w:t xml:space="preserve"> </w:t>
      </w:r>
      <w:r>
        <w:t xml:space="preserve">-</w:t>
      </w:r>
      <w:r>
        <w:t xml:space="preserve"> </w:t>
      </w:r>
      <w:r>
        <w:rPr>
          <w:b/>
          <w:bCs/>
        </w:rPr>
        <w:t xml:space="preserve">OZAFLOX</w:t>
      </w:r>
      <w:r>
        <w:t xml:space="preserve"> </w:t>
      </w:r>
      <w:r>
        <w:t xml:space="preserve">(SANDOZ SPA) — cp enrobé sécable 750 mg, B/10 — Non Renouvelable</w:t>
      </w:r>
      <w:r>
        <w:t xml:space="preserve"> </w:t>
      </w:r>
      <w:r>
        <w:t xml:space="preserve">-</w:t>
      </w:r>
      <w:r>
        <w:t xml:space="preserve"> </w:t>
      </w:r>
      <w:r>
        <w:rPr>
          <w:b/>
          <w:bCs/>
        </w:rPr>
        <w:t xml:space="preserve">BACTALL</w:t>
      </w:r>
      <w:r>
        <w:t xml:space="preserve"> </w:t>
      </w:r>
      <w:r>
        <w:t xml:space="preserve">(JPM) — cp enrobé sécable 750 mg, B/10 — Retiré (R)</w:t>
      </w:r>
      <w:r>
        <w:t xml:space="preserve"> </w:t>
      </w:r>
      <w:r>
        <w:t xml:space="preserve">-</w:t>
      </w:r>
      <w:r>
        <w:t xml:space="preserve"> </w:t>
      </w:r>
      <w:r>
        <w:rPr>
          <w:b/>
          <w:bCs/>
        </w:rPr>
        <w:t xml:space="preserve">CIPROMAX</w:t>
      </w:r>
      <w:r>
        <w:t xml:space="preserve"> </w:t>
      </w:r>
      <w:r>
        <w:t xml:space="preserve">(SPIMACO) — cp enrobé sécable 750 mg, B/10 — Retiré (R)</w:t>
      </w:r>
      <w:r>
        <w:t xml:space="preserve"> </w:t>
      </w:r>
      <w:r>
        <w:t xml:space="preserve">-</w:t>
      </w:r>
      <w:r>
        <w:t xml:space="preserve"> </w:t>
      </w:r>
      <w:r>
        <w:rPr>
          <w:b/>
          <w:bCs/>
        </w:rPr>
        <w:t xml:space="preserve">BIOFLOX</w:t>
      </w:r>
      <w:r>
        <w:t xml:space="preserve"> </w:t>
      </w:r>
      <w:r>
        <w:t xml:space="preserve">(JAMJOOM) — cp 750 mg, B/10 — Retiré (R)</w:t>
      </w:r>
    </w:p>
    <w:p>
      <w:pPr>
        <w:pStyle w:val="BodyText"/>
      </w:pPr>
      <w:r>
        <w:rPr>
          <w:i/>
          <w:iCs/>
        </w:rPr>
        <w:t xml:space="preserve">Forme orale à libération prolongée :</w:t>
      </w:r>
      <w:r>
        <w:t xml:space="preserve"> </w:t>
      </w:r>
      <w:r>
        <w:t xml:space="preserve">-</w:t>
      </w:r>
      <w:r>
        <w:t xml:space="preserve"> </w:t>
      </w:r>
      <w:r>
        <w:rPr>
          <w:b/>
          <w:bCs/>
        </w:rPr>
        <w:t xml:space="preserve">QUINOX LP</w:t>
      </w:r>
      <w:r>
        <w:t xml:space="preserve"> </w:t>
      </w:r>
      <w:r>
        <w:t xml:space="preserve">(EL KENDI) — cp LP 1 g, B/05 — Actif</w:t>
      </w:r>
    </w:p>
    <w:p>
      <w:pPr>
        <w:pStyle w:val="BodyText"/>
      </w:pPr>
      <w:r>
        <w:rPr>
          <w:i/>
          <w:iCs/>
        </w:rPr>
        <w:t xml:space="preserve">Forme orale suspension buvable :</w:t>
      </w:r>
      <w:r>
        <w:t xml:space="preserve"> </w:t>
      </w:r>
      <w:r>
        <w:t xml:space="preserve">-</w:t>
      </w:r>
      <w:r>
        <w:t xml:space="preserve"> </w:t>
      </w:r>
      <w:r>
        <w:rPr>
          <w:b/>
          <w:bCs/>
        </w:rPr>
        <w:t xml:space="preserve">CIPROCINE</w:t>
      </w:r>
      <w:r>
        <w:t xml:space="preserve"> </w:t>
      </w:r>
      <w:r>
        <w:t xml:space="preserve">(SAIDAL) — pellets pour susp. buv. 250 mg/5 mL, fl/60 mL — Non Renouvelable</w:t>
      </w:r>
    </w:p>
    <w:p>
      <w:pPr>
        <w:pStyle w:val="BodyText"/>
      </w:pPr>
      <w:r>
        <w:rPr>
          <w:i/>
          <w:iCs/>
        </w:rPr>
        <w:t xml:space="preserve">Formes ophtalmologiques :</w:t>
      </w:r>
      <w:r>
        <w:t xml:space="preserve"> </w:t>
      </w:r>
      <w:r>
        <w:t xml:space="preserve">-</w:t>
      </w:r>
      <w:r>
        <w:t xml:space="preserve"> </w:t>
      </w:r>
      <w:r>
        <w:rPr>
          <w:b/>
          <w:bCs/>
        </w:rPr>
        <w:t xml:space="preserve">CIPRO</w:t>
      </w:r>
      <w:r>
        <w:t xml:space="preserve"> </w:t>
      </w:r>
      <w:r>
        <w:t xml:space="preserve">(INPHA-MEDIS) — collyre 0,3 %, fl/5 mL — Actif</w:t>
      </w:r>
      <w:r>
        <w:t xml:space="preserve"> </w:t>
      </w:r>
      <w:r>
        <w:t xml:space="preserve">-</w:t>
      </w:r>
      <w:r>
        <w:t xml:space="preserve"> </w:t>
      </w:r>
      <w:r>
        <w:rPr>
          <w:b/>
          <w:bCs/>
        </w:rPr>
        <w:t xml:space="preserve">CIPRODAR</w:t>
      </w:r>
      <w:r>
        <w:t xml:space="preserve"> </w:t>
      </w:r>
      <w:r>
        <w:t xml:space="preserve">(DAR AL DAWA) — collyre 0,3 %, fl/5 mL — Actif</w:t>
      </w:r>
      <w:r>
        <w:t xml:space="preserve"> </w:t>
      </w:r>
      <w:r>
        <w:t xml:space="preserve">-</w:t>
      </w:r>
      <w:r>
        <w:t xml:space="preserve"> </w:t>
      </w:r>
      <w:r>
        <w:rPr>
          <w:b/>
          <w:bCs/>
        </w:rPr>
        <w:t xml:space="preserve">CIPROTEK</w:t>
      </w:r>
      <w:r>
        <w:t xml:space="preserve"> </w:t>
      </w:r>
      <w:r>
        <w:t xml:space="preserve">(BIOTHERA) — collyre 0,3 %, fl/5 mL — Actif</w:t>
      </w:r>
      <w:r>
        <w:t xml:space="preserve"> </w:t>
      </w:r>
      <w:r>
        <w:t xml:space="preserve">-</w:t>
      </w:r>
      <w:r>
        <w:t xml:space="preserve"> </w:t>
      </w:r>
      <w:r>
        <w:rPr>
          <w:b/>
          <w:bCs/>
        </w:rPr>
        <w:t xml:space="preserve">CILOXAN</w:t>
      </w:r>
      <w:r>
        <w:t xml:space="preserve"> </w:t>
      </w:r>
      <w:r>
        <w:t xml:space="preserve">(ALCON) — pommade ophtalmique 0,3 %, tube 3,5 g — Actif</w:t>
      </w:r>
      <w:r>
        <w:t xml:space="preserve"> </w:t>
      </w:r>
      <w:r>
        <w:t xml:space="preserve">-</w:t>
      </w:r>
      <w:r>
        <w:t xml:space="preserve"> </w:t>
      </w:r>
      <w:r>
        <w:rPr>
          <w:b/>
          <w:bCs/>
        </w:rPr>
        <w:t xml:space="preserve">CILOXAN</w:t>
      </w:r>
      <w:r>
        <w:t xml:space="preserve"> </w:t>
      </w:r>
      <w:r>
        <w:t xml:space="preserve">(ALCON) — collyre 0,3 %, fl/5 mL — Non Renouvelable</w:t>
      </w:r>
    </w:p>
    <w:p>
      <w:pPr>
        <w:pStyle w:val="BodyText"/>
      </w:pPr>
      <w:r>
        <w:rPr>
          <w:i/>
          <w:iCs/>
        </w:rPr>
        <w:t xml:space="preserve">Forme otologique :</w:t>
      </w:r>
      <w:r>
        <w:t xml:space="preserve"> </w:t>
      </w:r>
      <w:r>
        <w:t xml:space="preserve">-</w:t>
      </w:r>
      <w:r>
        <w:t xml:space="preserve"> </w:t>
      </w:r>
      <w:r>
        <w:rPr>
          <w:b/>
          <w:bCs/>
        </w:rPr>
        <w:t xml:space="preserve">OTOCINE</w:t>
      </w:r>
      <w:r>
        <w:t xml:space="preserve"> </w:t>
      </w:r>
      <w:r>
        <w:t xml:space="preserve">(MERINAL) — solution auriculaire stérile 2 mg/mL (1 mg/0,5 mL), B/20 unidoses — Actif</w:t>
      </w:r>
      <w:r>
        <w:t xml:space="preserve"> </w:t>
      </w:r>
      <w:r>
        <w:t xml:space="preserve">-</w:t>
      </w:r>
      <w:r>
        <w:t xml:space="preserve"> </w:t>
      </w:r>
      <w:r>
        <w:rPr>
          <w:b/>
          <w:bCs/>
        </w:rPr>
        <w:t xml:space="preserve">OTOFLOX</w:t>
      </w:r>
      <w:r>
        <w:t xml:space="preserve"> </w:t>
      </w:r>
      <w:r>
        <w:t xml:space="preserve">(HUPP PHARMA) — solution auriculaire stérile 2 mg/mL, B/20 unidoses 0,5 mL — Actif</w:t>
      </w:r>
    </w:p>
    <w:p>
      <w:pPr>
        <w:pStyle w:val="BodyText"/>
      </w:pPr>
      <w:r>
        <w:rPr>
          <w:i/>
          <w:iCs/>
        </w:rPr>
        <w:t xml:space="preserve">Forme injectable IV :</w:t>
      </w:r>
      <w:r>
        <w:t xml:space="preserve"> </w:t>
      </w:r>
      <w:r>
        <w:t xml:space="preserve">-</w:t>
      </w:r>
      <w:r>
        <w:t xml:space="preserve"> </w:t>
      </w:r>
      <w:r>
        <w:rPr>
          <w:b/>
          <w:bCs/>
        </w:rPr>
        <w:t xml:space="preserve">CIPROLON</w:t>
      </w:r>
      <w:r>
        <w:t xml:space="preserve"> </w:t>
      </w:r>
      <w:r>
        <w:t xml:space="preserve">(HIKMA) — sol inj perf IV 2 mg/mL (fl 100 mL/200 mg ; poche 200 mL/400 mg) — Non Renouvelable</w:t>
      </w:r>
    </w:p>
    <w:p>
      <w:pPr>
        <w:pStyle w:val="BodyText"/>
      </w:pPr>
      <w:r>
        <w:rPr>
          <w:b/>
          <w:bCs/>
        </w:rPr>
        <w:t xml:space="preserve">Sous-classe et Mécanisme d’action :</w:t>
      </w:r>
      <w:r>
        <w:t xml:space="preserve"> </w:t>
      </w:r>
      <w:r>
        <w:t xml:space="preserve">-</w:t>
      </w:r>
      <w:r>
        <w:t xml:space="preserve"> </w:t>
      </w:r>
      <w:r>
        <w:rPr>
          <w:b/>
          <w:bCs/>
        </w:rPr>
        <w:t xml:space="preserve">Sous-classe :</w:t>
      </w:r>
      <w:r>
        <w:t xml:space="preserve"> </w:t>
      </w:r>
      <w:r>
        <w:t xml:space="preserve">Fluoroquinolone de 2e génération, antipseudomonal, urinaire, digestif et systémique. C’est la FQ de référence pour</w:t>
      </w:r>
      <w:r>
        <w:t xml:space="preserve"> </w:t>
      </w:r>
      <w:r>
        <w:rPr>
          <w:i/>
          <w:iCs/>
        </w:rPr>
        <w:t xml:space="preserve">Pseudomonas aeruginosa</w:t>
      </w:r>
      <w:r>
        <w:t xml:space="preserve">.</w:t>
      </w:r>
      <w:r>
        <w:t xml:space="preserve"> </w:t>
      </w:r>
      <w:r>
        <w:t xml:space="preserve">-</w:t>
      </w:r>
      <w:r>
        <w:t xml:space="preserve"> </w:t>
      </w:r>
      <w:r>
        <w:rPr>
          <w:b/>
          <w:bCs/>
        </w:rPr>
        <w:t xml:space="preserve">Mécanisme d’action :</w:t>
      </w:r>
      <w:r>
        <w:t xml:space="preserve"> </w:t>
      </w:r>
      <w:r>
        <w:t xml:space="preserve">Bactéricide</w:t>
      </w:r>
      <w:r>
        <w:t xml:space="preserve"> </w:t>
      </w:r>
      <w:r>
        <w:rPr>
          <w:b/>
          <w:bCs/>
        </w:rPr>
        <w:t xml:space="preserve">concentration-dépendant</w:t>
      </w:r>
      <w:r>
        <w:t xml:space="preserve"> </w:t>
      </w:r>
      <w:r>
        <w:t xml:space="preserve">(index PK/PD prédictif : ASC₀₋₂₄/CMI et Cmax/CMI). Inhibition de l’</w:t>
      </w:r>
      <w:r>
        <w:rPr>
          <w:b/>
          <w:bCs/>
        </w:rPr>
        <w:t xml:space="preserve">ADN gyrase</w:t>
      </w:r>
      <w:r>
        <w:t xml:space="preserve"> </w:t>
      </w:r>
      <w:r>
        <w:t xml:space="preserve">(sous-unités GyrA — site de fixation du quinolone resistance-determining region, QRDR — et GyrB, cible primaire chez les Gram négatifs) et, à concentration plus élevée, de la</w:t>
      </w:r>
      <w:r>
        <w:t xml:space="preserve"> </w:t>
      </w:r>
      <w:r>
        <w:rPr>
          <w:b/>
          <w:bCs/>
        </w:rPr>
        <w:t xml:space="preserve">topoisomérase IV</w:t>
      </w:r>
      <w:r>
        <w:t xml:space="preserve"> </w:t>
      </w:r>
      <w:r>
        <w:t xml:space="preserve">(ParC/ParE, cible primaire chez les Gram positifs). Stabilisation du complexe clivable ADN-gyrase-quinolone → blocage de la réligation → cassures double-brin de l’ADN → arrêt de la fourche de réplication → activation du système SOS → mort bactérienne. Le fluor en C6 augmente l’affinité pour la gyrase ; la pipérazine en C7 élargit le spectre aux Gram négatifs et au</w:t>
      </w:r>
      <w:r>
        <w:t xml:space="preserve"> </w:t>
      </w:r>
      <w:r>
        <w:rPr>
          <w:i/>
          <w:iCs/>
        </w:rPr>
        <w:t xml:space="preserve">Pseudomonas</w:t>
      </w:r>
      <w:r>
        <w:t xml:space="preserve">.</w:t>
      </w:r>
    </w:p>
    <w:p>
      <w:pPr>
        <w:pStyle w:val="BodyText"/>
      </w:pPr>
      <w:r>
        <w:rPr>
          <w:b/>
          <w:bCs/>
        </w:rPr>
        <w:t xml:space="preserve">Profil Pharmacologique :</w:t>
      </w:r>
      <w:r>
        <w:t xml:space="preserve"> </w:t>
      </w:r>
      <w:r>
        <w:t xml:space="preserve">-</w:t>
      </w:r>
      <w:r>
        <w:t xml:space="preserve"> </w:t>
      </w:r>
      <w:r>
        <w:rPr>
          <w:b/>
          <w:bCs/>
        </w:rPr>
        <w:t xml:space="preserve">Indications :</w:t>
      </w:r>
      <w:r>
        <w:t xml:space="preserve"> </w:t>
      </w:r>
      <w:r>
        <w:t xml:space="preserve">Infections urinaires basses et hautes (cystite compliquée, pyélonéphrite aiguë), prostatites bactériennes, infections digestives (diarrhée du voyageur, fièvre typhoïde, shigellose, infection à</w:t>
      </w:r>
      <w:r>
        <w:t xml:space="preserve"> </w:t>
      </w:r>
      <w:r>
        <w:rPr>
          <w:i/>
          <w:iCs/>
        </w:rPr>
        <w:t xml:space="preserve">Campylobacter</w:t>
      </w:r>
      <w:r>
        <w:t xml:space="preserve">), infections ostéo-articulaires à</w:t>
      </w:r>
      <w:r>
        <w:t xml:space="preserve"> </w:t>
      </w:r>
      <w:r>
        <w:rPr>
          <w:i/>
          <w:iCs/>
        </w:rPr>
        <w:t xml:space="preserve">Pseudomonas</w:t>
      </w:r>
      <w:r>
        <w:t xml:space="preserve"> </w:t>
      </w:r>
      <w:r>
        <w:t xml:space="preserve">ou entérobactéries, infections sévères à</w:t>
      </w:r>
      <w:r>
        <w:t xml:space="preserve"> </w:t>
      </w:r>
      <w:r>
        <w:rPr>
          <w:i/>
          <w:iCs/>
        </w:rPr>
        <w:t xml:space="preserve">Pseudomonas</w:t>
      </w:r>
      <w:r>
        <w:t xml:space="preserve"> </w:t>
      </w:r>
      <w:r>
        <w:t xml:space="preserve">(mucoviscidose, surinfection bronchectasies), infections cutanées surinfectées, anthrax (prophylaxie post-exposition), infections ORL (otite externe maligne, otite chronique), conjonctivites bactériennes et ulcères de cornée (voie locale), surinfections bronchiques.</w:t>
      </w:r>
      <w:r>
        <w:t xml:space="preserve"> </w:t>
      </w:r>
      <w:r>
        <w:rPr>
          <w:b/>
          <w:bCs/>
        </w:rPr>
        <w:t xml:space="preserve">Désormais réservée</w:t>
      </w:r>
      <w:r>
        <w:t xml:space="preserve"> </w:t>
      </w:r>
      <w:r>
        <w:t xml:space="preserve">selon ANSM aux infections documentées à germes résistants ou en cas d’échec/contre-indication des bêta-lactamines.</w:t>
      </w:r>
      <w:r>
        <w:t xml:space="preserve"> </w:t>
      </w:r>
      <w:r>
        <w:t xml:space="preserve">-</w:t>
      </w:r>
      <w:r>
        <w:t xml:space="preserve"> </w:t>
      </w:r>
      <w:r>
        <w:rPr>
          <w:b/>
          <w:bCs/>
        </w:rPr>
        <w:t xml:space="preserve">Contre-indications :</w:t>
      </w:r>
      <w:r>
        <w:t xml:space="preserve"> </w:t>
      </w:r>
      <w:r>
        <w:t xml:space="preserve">Antécédent de</w:t>
      </w:r>
      <w:r>
        <w:t xml:space="preserve"> </w:t>
      </w:r>
      <w:r>
        <w:rPr>
          <w:b/>
          <w:bCs/>
        </w:rPr>
        <w:t xml:space="preserve">tendinopathie ou rupture tendineuse sous FQ</w:t>
      </w:r>
      <w:r>
        <w:t xml:space="preserve"> </w:t>
      </w:r>
      <w:r>
        <w:t xml:space="preserve">;</w:t>
      </w:r>
      <w:r>
        <w:t xml:space="preserve"> </w:t>
      </w:r>
      <w:r>
        <w:rPr>
          <w:b/>
          <w:bCs/>
        </w:rPr>
        <w:t xml:space="preserve">myasthénie</w:t>
      </w:r>
      <w:r>
        <w:t xml:space="preserve"> </w:t>
      </w:r>
      <w:r>
        <w:t xml:space="preserve">(aggrave la faiblesse musculaire — encadré noir FDA) ; hypersensibilité aux quinolones ; enfant et adolescent en croissance sauf exceptions codifiées (mucoviscidose, infection urinaire compliquée, prophylaxie post-anthrax) ; grossesse et allaitement ; allongement congital ou acquis du QTc ; association avec d’autres allongeant le QT (antiarythmiques Ia/III, neuroleptiques, macrolides, azoles) ; épilepsie non contrôlée.</w:t>
      </w:r>
      <w:r>
        <w:t xml:space="preserve"> </w:t>
      </w:r>
      <w:r>
        <w:t xml:space="preserve">-</w:t>
      </w:r>
      <w:r>
        <w:t xml:space="preserve"> </w:t>
      </w:r>
      <w:r>
        <w:rPr>
          <w:b/>
          <w:bCs/>
        </w:rPr>
        <w:t xml:space="preserve">Effets Indésirables :</w:t>
      </w:r>
      <w:r>
        <w:t xml:space="preserve"> </w:t>
      </w:r>
      <w:r>
        <w:t xml:space="preserve">Tendinopathie (incidence 0,1–1 %, risque x3–4 chez &gt; 60 ans et sous corticoïdes) avec rupture du tendon d’Achille possible dès 48 h ; neuropathie périphérique axonale parfois irréversible ; allongement QTc (torsades rares) ; convulsions (effet GABA-antagoniste de la molécule) ; dysglycémies (hypo- et hyperglycémie) ; photosensibilité (éruptions photo-toxiques) ; diarrhée à</w:t>
      </w:r>
      <w:r>
        <w:t xml:space="preserve"> </w:t>
      </w:r>
      <w:r>
        <w:rPr>
          <w:i/>
          <w:iCs/>
        </w:rPr>
        <w:t xml:space="preserve">C. difficile</w:t>
      </w:r>
      <w:r>
        <w:t xml:space="preserve"> </w:t>
      </w:r>
      <w:r>
        <w:t xml:space="preserve">; colite pseudo-membraneuse ; céphalées, insomnie, agitation, confusion (sujet âgé) ; rash, prurit, rarement Stevens-Johnson/Lyell/DRESS ; hépatite cytolytique cholestatique ; cristallurie en cas d’hydratation insuffisante et urine alcaline ; arthralgies ; élévation transitoire créatinine (inhibition sécrétion tubulaire).</w:t>
      </w:r>
    </w:p>
    <w:p>
      <w:pPr>
        <w:pStyle w:val="BodyText"/>
      </w:pPr>
      <w:r>
        <w:rPr>
          <w:b/>
          <w:bCs/>
        </w:rPr>
        <w:t xml:space="preserve">Prévention et Gestion des Effets Indésirables :</w:t>
      </w:r>
      <w:r>
        <w:t xml:space="preserve"> </w:t>
      </w:r>
      <w:r>
        <w:t xml:space="preserve">-</w:t>
      </w:r>
      <w:r>
        <w:t xml:space="preserve"> </w:t>
      </w:r>
      <w:r>
        <w:rPr>
          <w:b/>
          <w:bCs/>
        </w:rPr>
        <w:t xml:space="preserve">Mesures Préventives :</w:t>
      </w:r>
      <w:r>
        <w:t xml:space="preserve"> </w:t>
      </w:r>
      <w:r>
        <w:t xml:space="preserve">Hydratation abondante (≥ 2 L/j) pour prévenir cristallurie ; éviter exposition solaire (photoprotection UV) ; surveillance glycémique chez diabétique ; éviter prescription chez sportif intensif, sujet âgé fragilisé, patient sous corticothérapie systémique au long cours ; contrôle ECG si terrain à risque cardiaque ; arrêt des IPP et antiacides cationiques 2 h avant/6 h après ; éviter usage prolongé &gt; 14 j.</w:t>
      </w:r>
      <w:r>
        <w:t xml:space="preserve"> </w:t>
      </w:r>
      <w:r>
        <w:t xml:space="preserve">-</w:t>
      </w:r>
      <w:r>
        <w:t xml:space="preserve"> </w:t>
      </w:r>
      <w:r>
        <w:rPr>
          <w:b/>
          <w:bCs/>
        </w:rPr>
        <w:t xml:space="preserve">Conduite à Tenir :</w:t>
      </w:r>
      <w:r>
        <w:t xml:space="preserve"> </w:t>
      </w:r>
      <w:r>
        <w:rPr>
          <w:b/>
          <w:bCs/>
        </w:rPr>
        <w:t xml:space="preserve">Arrêt IMMÉDIAT de la ciprofloxacine à la moindre douleur tendineuse</w:t>
      </w:r>
      <w:r>
        <w:t xml:space="preserve"> </w:t>
      </w:r>
      <w:r>
        <w:t xml:space="preserve">(talon, épaule, genou) → consultation urgente, mise au repos strict, échographie ; arrêt et avis neurologue en cas de paresthésies/douleurs neuropathiques ; arrêt et ECG en cas de palpitations/syncope ; arrêt en cas de diarrhée sanglante (suspicion</w:t>
      </w:r>
      <w:r>
        <w:t xml:space="preserve"> </w:t>
      </w:r>
      <w:r>
        <w:rPr>
          <w:i/>
          <w:iCs/>
        </w:rPr>
        <w:t xml:space="preserve">C. difficile</w:t>
      </w:r>
      <w:r>
        <w:t xml:space="preserve">, arrêter FQ, démarrer métronidazole ou vancomycine PO) ; arrêt en cas d’éruption cutanée fébrile.</w:t>
      </w:r>
    </w:p>
    <w:p>
      <w:pPr>
        <w:pStyle w:val="BodyText"/>
      </w:pPr>
      <w:r>
        <w:rPr>
          <w:b/>
          <w:bCs/>
        </w:rPr>
        <w:t xml:space="preserve">Interactions Importantes :</w:t>
      </w:r>
      <w:r>
        <w:t xml:space="preserve"> </w:t>
      </w:r>
      <w:r>
        <w:t xml:space="preserve">-</w:t>
      </w:r>
      <w:r>
        <w:t xml:space="preserve"> </w:t>
      </w:r>
      <w:r>
        <w:rPr>
          <w:b/>
          <w:bCs/>
        </w:rPr>
        <w:t xml:space="preserve">Sels cationiques polyvalents (Al³⁺, Mg²⁺, Ca²⁺, Fe²⁺, Zn²⁺)</w:t>
      </w:r>
      <w:r>
        <w:t xml:space="preserve"> </w:t>
      </w:r>
      <w:r>
        <w:t xml:space="preserve">: antiacides, sucralfate, sels de fer, didanosine, suppléments vitaminiques → chélation complexe insoluble dans le tube digestif → baisse d’absorption de la ciprofloxacine jusqu’à 90 % → échec thérapeutique.</w:t>
      </w:r>
      <w:r>
        <w:t xml:space="preserve"> </w:t>
      </w:r>
      <w:r>
        <w:rPr>
          <w:b/>
          <w:bCs/>
        </w:rPr>
        <w:t xml:space="preserve">Espacer de 2 h avant ou 6 h après la prise de FQ</w:t>
      </w:r>
      <w:r>
        <w:t xml:space="preserve"> </w:t>
      </w:r>
      <w:r>
        <w:t xml:space="preserve">(règle d’or du comptoir).</w:t>
      </w:r>
      <w:r>
        <w:t xml:space="preserve"> </w:t>
      </w:r>
      <w:r>
        <w:t xml:space="preserve">-</w:t>
      </w:r>
      <w:r>
        <w:t xml:space="preserve"> </w:t>
      </w:r>
      <w:r>
        <w:rPr>
          <w:b/>
          <w:bCs/>
        </w:rPr>
        <w:t xml:space="preserve">Théophylline et caféine</w:t>
      </w:r>
      <w:r>
        <w:t xml:space="preserve"> </w:t>
      </w:r>
      <w:r>
        <w:t xml:space="preserve">: la ciprofloxacine inhibe le</w:t>
      </w:r>
      <w:r>
        <w:t xml:space="preserve"> </w:t>
      </w:r>
      <w:r>
        <w:rPr>
          <w:b/>
          <w:bCs/>
        </w:rPr>
        <w:t xml:space="preserve">CYP1A2</w:t>
      </w:r>
      <w:r>
        <w:t xml:space="preserve"> </w:t>
      </w:r>
      <w:r>
        <w:t xml:space="preserve">(diminution clairance de 30–60 %) → surdosage en théophylline (nausées, convulsions, arythmies) → surveiller taux, réduire dose de 1/3 à 1/2 ; surveillance caféine (insomnie, tachycardie).</w:t>
      </w:r>
      <w:r>
        <w:t xml:space="preserve"> </w:t>
      </w:r>
      <w:r>
        <w:t xml:space="preserve">-</w:t>
      </w:r>
      <w:r>
        <w:t xml:space="preserve"> </w:t>
      </w:r>
      <w:r>
        <w:rPr>
          <w:b/>
          <w:bCs/>
        </w:rPr>
        <w:t xml:space="preserve">AVK (warfarine, acénocoumarol)</w:t>
      </w:r>
      <w:r>
        <w:t xml:space="preserve"> </w:t>
      </w:r>
      <w:r>
        <w:t xml:space="preserve">: potentialisation de l’effet anticoagulant (dysbiose intestinale + inhibition métabolisme) → surveillance INR rapprochée (risque hémorragique).</w:t>
      </w:r>
      <w:r>
        <w:t xml:space="preserve"> </w:t>
      </w:r>
      <w:r>
        <w:t xml:space="preserve">-</w:t>
      </w:r>
      <w:r>
        <w:t xml:space="preserve"> </w:t>
      </w:r>
      <w:r>
        <w:rPr>
          <w:b/>
          <w:bCs/>
        </w:rPr>
        <w:t xml:space="preserve">Ciclosporine, tacrolimus</w:t>
      </w:r>
      <w:r>
        <w:t xml:space="preserve"> </w:t>
      </w:r>
      <w:r>
        <w:t xml:space="preserve">: majoration néphrotoxicité → surveiller créatinine et taux résiduels.</w:t>
      </w:r>
      <w:r>
        <w:t xml:space="preserve"> </w:t>
      </w:r>
      <w:r>
        <w:t xml:space="preserve">-</w:t>
      </w:r>
      <w:r>
        <w:t xml:space="preserve"> </w:t>
      </w:r>
      <w:r>
        <w:rPr>
          <w:b/>
          <w:bCs/>
        </w:rPr>
        <w:t xml:space="preserve">Méthotrexate</w:t>
      </w:r>
      <w:r>
        <w:t xml:space="preserve"> </w:t>
      </w:r>
      <w:r>
        <w:t xml:space="preserve">: diminution excrétion tubulaire → toxicité médullaire.</w:t>
      </w:r>
      <w:r>
        <w:t xml:space="preserve"> </w:t>
      </w:r>
      <w:r>
        <w:t xml:space="preserve">-</w:t>
      </w:r>
      <w:r>
        <w:t xml:space="preserve"> </w:t>
      </w:r>
      <w:r>
        <w:rPr>
          <w:b/>
          <w:bCs/>
        </w:rPr>
        <w:t xml:space="preserve">Clozapine, olanzapine</w:t>
      </w:r>
      <w:r>
        <w:t xml:space="preserve"> </w:t>
      </w:r>
      <w:r>
        <w:t xml:space="preserve">: inhibition CYP1A2 → surdosage neuroleptique.</w:t>
      </w:r>
      <w:r>
        <w:t xml:space="preserve"> </w:t>
      </w:r>
      <w:r>
        <w:t xml:space="preserve">-</w:t>
      </w:r>
      <w:r>
        <w:t xml:space="preserve"> </w:t>
      </w:r>
      <w:r>
        <w:rPr>
          <w:b/>
          <w:bCs/>
        </w:rPr>
        <w:t xml:space="preserve">Sildénafil, tadalafil</w:t>
      </w:r>
      <w:r>
        <w:t xml:space="preserve"> </w:t>
      </w:r>
      <w:r>
        <w:t xml:space="preserve">: augmentation concentrations plasmatiques.</w:t>
      </w:r>
      <w:r>
        <w:t xml:space="preserve"> </w:t>
      </w:r>
      <w:r>
        <w:t xml:space="preserve">-</w:t>
      </w:r>
      <w:r>
        <w:t xml:space="preserve"> </w:t>
      </w:r>
      <w:r>
        <w:rPr>
          <w:b/>
          <w:bCs/>
        </w:rPr>
        <w:t xml:space="preserve">Probenécide</w:t>
      </w:r>
      <w:r>
        <w:t xml:space="preserve"> </w:t>
      </w:r>
      <w:r>
        <w:t xml:space="preserve">: diminue sécrétion tubulaire de la ciprofloxacine → augmente ASC (peut être exploitée).</w:t>
      </w:r>
      <w:r>
        <w:t xml:space="preserve"> </w:t>
      </w:r>
      <w:r>
        <w:t xml:space="preserve">-</w:t>
      </w:r>
      <w:r>
        <w:t xml:space="preserve"> </w:t>
      </w:r>
      <w:r>
        <w:rPr>
          <w:b/>
          <w:bCs/>
        </w:rPr>
        <w:t xml:space="preserve">Duloxétine</w:t>
      </w:r>
      <w:r>
        <w:t xml:space="preserve"> </w:t>
      </w:r>
      <w:r>
        <w:t xml:space="preserve">: CYP1A2 → augmentation exposition.</w:t>
      </w:r>
    </w:p>
    <w:p>
      <w:pPr>
        <w:pStyle w:val="BodyText"/>
      </w:pPr>
      <w:r>
        <w:rPr>
          <w:b/>
          <w:bCs/>
        </w:rPr>
        <w:t xml:space="preserve">Grossesse et Allaitement :</w:t>
      </w:r>
      <w:r>
        <w:t xml:space="preserve"> </w:t>
      </w:r>
      <w:r>
        <w:t xml:space="preserve">-</w:t>
      </w:r>
      <w:r>
        <w:t xml:space="preserve"> </w:t>
      </w:r>
      <w:r>
        <w:rPr>
          <w:b/>
          <w:bCs/>
        </w:rPr>
        <w:t xml:space="preserve">Grossesse :</w:t>
      </w:r>
      <w:r>
        <w:t xml:space="preserve"> </w:t>
      </w:r>
      <w:r>
        <w:rPr>
          <w:b/>
          <w:bCs/>
        </w:rPr>
        <w:t xml:space="preserve">CI formelle</w:t>
      </w:r>
      <w:r>
        <w:t xml:space="preserve"> </w:t>
      </w:r>
      <w:r>
        <w:t xml:space="preserve">(CRAT : à éviter quel que soit le trimestre) en raison du risque d’arthropathie observé chez l’animal juvénile (lésions cartilagineuses des grosses articulations). Pour les administrations locales (collyre), le passage systémique est minime, le rapport bénéfice/risque reste favorable en l’absence d’alternative.</w:t>
      </w:r>
      <w:r>
        <w:t xml:space="preserve"> </w:t>
      </w:r>
      <w:r>
        <w:t xml:space="preserve">-</w:t>
      </w:r>
      <w:r>
        <w:t xml:space="preserve"> </w:t>
      </w:r>
      <w:r>
        <w:rPr>
          <w:b/>
          <w:bCs/>
        </w:rPr>
        <w:t xml:space="preserve">Allaitement :</w:t>
      </w:r>
      <w:r>
        <w:t xml:space="preserve"> </w:t>
      </w:r>
      <w:r>
        <w:t xml:space="preserve">CI par voie systémique (passage dans le lait, accumulation dans le cartilage de croissance de l’enfant). Pour les collyres : compatible (passage systémique négligeable).</w:t>
      </w:r>
      <w:r>
        <w:t xml:space="preserve"> </w:t>
      </w:r>
      <w:r>
        <w:t xml:space="preserve">-</w:t>
      </w:r>
      <w:r>
        <w:t xml:space="preserve"> </w:t>
      </w:r>
      <w:r>
        <w:rPr>
          <w:b/>
          <w:bCs/>
        </w:rPr>
        <w:t xml:space="preserve">Précisions :</w:t>
      </w:r>
      <w:r>
        <w:t xml:space="preserve"> </w:t>
      </w:r>
      <w:r>
        <w:t xml:space="preserve">Le risque articulaire juvénile, observé chez le chiot et le jeune rat, n’a jamais été confirmé chez l’homme mais constitue le principe de précaution justifiant la CI chez l’enfant et la femme enceinte/allaitante.</w:t>
      </w:r>
    </w:p>
    <w:p>
      <w:pPr>
        <w:pStyle w:val="BodyText"/>
      </w:pPr>
      <w:r>
        <w:rPr>
          <w:b/>
          <w:bCs/>
        </w:rPr>
        <w:t xml:space="preserve">Posologie et Mode d’administration (Standard) :</w:t>
      </w:r>
      <w:r>
        <w:t xml:space="preserve"> </w:t>
      </w:r>
      <w:r>
        <w:t xml:space="preserve">-</w:t>
      </w:r>
      <w:r>
        <w:t xml:space="preserve"> </w:t>
      </w:r>
      <w:r>
        <w:rPr>
          <w:b/>
          <w:bCs/>
        </w:rPr>
        <w:t xml:space="preserve">Adulte :</w:t>
      </w:r>
      <w:r>
        <w:t xml:space="preserve"> </w:t>
      </w:r>
      <w:r>
        <w:t xml:space="preserve">500 mg × 2/j per os (infections modérées), 750 mg × 2/j (infections sévères, pyélonéphrite, prostatite, infections osseuses). Schéma court cystite non compliquée chez la femme : 500 mg en</w:t>
      </w:r>
      <w:r>
        <w:t xml:space="preserve"> </w:t>
      </w:r>
      <w:r>
        <w:rPr>
          <w:b/>
          <w:bCs/>
        </w:rPr>
        <w:t xml:space="preserve">monodose</w:t>
      </w:r>
      <w:r>
        <w:t xml:space="preserve"> </w:t>
      </w:r>
      <w:r>
        <w:t xml:space="preserve">(hors AMM Algérie) ou 250 mg × 2/j × 3 jours. Forme LP</w:t>
      </w:r>
      <w:r>
        <w:t xml:space="preserve"> </w:t>
      </w:r>
      <w:r>
        <w:rPr>
          <w:b/>
          <w:bCs/>
        </w:rPr>
        <w:t xml:space="preserve">QUINOX LP 1 g : 1 cp/j</w:t>
      </w:r>
      <w:r>
        <w:t xml:space="preserve"> </w:t>
      </w:r>
      <w:r>
        <w:t xml:space="preserve">(cystite non compliquée). IV : 400 mg × 2–3/j (même ASC que 500–750 mg PO, relais oral précoce).</w:t>
      </w:r>
      <w:r>
        <w:t xml:space="preserve"> </w:t>
      </w:r>
      <w:r>
        <w:t xml:space="preserve">-</w:t>
      </w:r>
      <w:r>
        <w:t xml:space="preserve"> </w:t>
      </w:r>
      <w:r>
        <w:rPr>
          <w:b/>
          <w:bCs/>
        </w:rPr>
        <w:t xml:space="preserve">Enfant :</w:t>
      </w:r>
      <w:r>
        <w:t xml:space="preserve"> </w:t>
      </w:r>
      <w:r>
        <w:t xml:space="preserve">CI sauf trois situations : mucoviscidose (10–20 mg/kg × 2/j, max 750 mg/dose, à partir de 5 ans selon HAS), infection urinaire compliquée (4–8 mg/kg × 2/j), prophylaxie post-exposition à</w:t>
      </w:r>
      <w:r>
        <w:t xml:space="preserve"> </w:t>
      </w:r>
      <w:r>
        <w:rPr>
          <w:i/>
          <w:iCs/>
        </w:rPr>
        <w:t xml:space="preserve">Bacillus anthracis</w:t>
      </w:r>
      <w:r>
        <w:t xml:space="preserve">.</w:t>
      </w:r>
      <w:r>
        <w:t xml:space="preserve"> </w:t>
      </w:r>
      <w:r>
        <w:t xml:space="preserve">-</w:t>
      </w:r>
      <w:r>
        <w:t xml:space="preserve"> </w:t>
      </w:r>
      <w:r>
        <w:rPr>
          <w:b/>
          <w:bCs/>
        </w:rPr>
        <w:t xml:space="preserve">Durée :</w:t>
      </w:r>
      <w:r>
        <w:t xml:space="preserve"> </w:t>
      </w:r>
      <w:r>
        <w:t xml:space="preserve">Cystite simple 3 j ; pyélonéphrite 7–10 j (IV→PO) ; prostatite 2–4 semaines ; infections osseuses 6 semaines ; diarrhée bactérienne 3–5 j.</w:t>
      </w:r>
      <w:r>
        <w:t xml:space="preserve"> </w:t>
      </w:r>
      <w:r>
        <w:t xml:space="preserve">-</w:t>
      </w:r>
      <w:r>
        <w:t xml:space="preserve"> </w:t>
      </w:r>
      <w:r>
        <w:rPr>
          <w:b/>
          <w:bCs/>
        </w:rPr>
        <w:t xml:space="preserve">Moment de prise :</w:t>
      </w:r>
      <w:r>
        <w:t xml:space="preserve"> </w:t>
      </w:r>
      <w:r>
        <w:t xml:space="preserve">À distance des cations (règle 2 h avant / 6 h après) ; peut être pris pendant un repas (légère diminution d’absorption non cliniquement significative, sauf laitagescalcium en quantité massive à éviter) ; hydratation abondante.</w:t>
      </w:r>
    </w:p>
    <w:p>
      <w:pPr>
        <w:pStyle w:val="BodyText"/>
      </w:pPr>
      <w:r>
        <w:rPr>
          <w:b/>
          <w:bCs/>
        </w:rPr>
        <w:t xml:space="preserve">Arbitrage et Bénéfices des Formes Galéniques :</w:t>
      </w:r>
      <w:r>
        <w:t xml:space="preserve"> </w:t>
      </w:r>
      <w:r>
        <w:t xml:space="preserve">La ciprofloxacine illustre parfaitement l’arbitrage oral/IV des FQ : biodisponibilité orale de 70 % autorisant un relais oral précoce (au bout de 2–3 jours d’apyrexie), avec économie d’hospitalisation et de matériel. La forme LP à 1 g (QUINOX LP) simplifie l’observance dans la cystite non compliquée et améliore la compliance. Les collyres 0,3 % offrent une excellente diffusion cornéenne avec passage minimal systémique ; la pommade ophtalmique prolonge le contact cornéen (administration nocturne). La solution auriculaire (OTOCINE, OTOFLOX) doit être</w:t>
      </w:r>
      <w:r>
        <w:t xml:space="preserve"> </w:t>
      </w:r>
      <w:r>
        <w:rPr>
          <w:b/>
          <w:bCs/>
        </w:rPr>
        <w:t xml:space="preserve">proscrite en cas de perforation tympanique</w:t>
      </w:r>
      <w:r>
        <w:t xml:space="preserve"> </w:t>
      </w:r>
      <w:r>
        <w:t xml:space="preserve">car l’ototoxicité cochléaire des FQ est documentée. La perfusion IV est réservée aux formes sévères, au patient à jeun ou incapable d’absorption digestive, et impose une administration lente (60 min pour 400 mg) pour éviter des pics toxiques.</w:t>
      </w:r>
    </w:p>
    <w:p>
      <w:pPr>
        <w:pStyle w:val="BodyText"/>
      </w:pPr>
      <w:r>
        <w:rPr>
          <w:b/>
          <w:bCs/>
        </w:rPr>
        <w:t xml:space="preserve">Instructions et Conseils au Patient :</w:t>
      </w:r>
      <w:r>
        <w:t xml:space="preserve"> </w:t>
      </w:r>
      <w:r>
        <w:t xml:space="preserve">-</w:t>
      </w:r>
      <w:r>
        <w:t xml:space="preserve"> </w:t>
      </w:r>
      <w:r>
        <w:rPr>
          <w:b/>
          <w:bCs/>
        </w:rPr>
        <w:t xml:space="preserve">Communication au comptoir :</w:t>
      </w:r>
      <w:r>
        <w:t xml:space="preserve"> </w:t>
      </w:r>
      <w:r>
        <w:t xml:space="preserve">« Ce médicament est un antibiotique puissant.</w:t>
      </w:r>
      <w:r>
        <w:t xml:space="preserve"> </w:t>
      </w:r>
      <w:r>
        <w:rPr>
          <w:b/>
          <w:bCs/>
        </w:rPr>
        <w:t xml:space="preserve">Arrêtez-le immédiatement et consultez en urgence si vous ressentez une douleur au talon, à l’épaule ou dans un tendon</w:t>
      </w:r>
      <w:r>
        <w:t xml:space="preserve"> </w:t>
      </w:r>
      <w:r>
        <w:t xml:space="preserve">— le tendon peut se rompre. Évitez le sport intense pendant le traitement et 1 mois après. Évitez le soleil (écran solaire). Ne prenez pas d’antiacide (Maalox®, Gaviscon®), de fer ou de calcium dans les 2 heures avant et 6 heures après. Buvez beaucoup d’eau. »</w:t>
      </w:r>
      <w:r>
        <w:t xml:space="preserve"> </w:t>
      </w:r>
      <w:r>
        <w:t xml:space="preserve">-</w:t>
      </w:r>
      <w:r>
        <w:t xml:space="preserve"> </w:t>
      </w:r>
      <w:r>
        <w:rPr>
          <w:b/>
          <w:bCs/>
        </w:rPr>
        <w:t xml:space="preserve">Mode d’utilisation pratique :</w:t>
      </w:r>
      <w:r>
        <w:t xml:space="preserve"> </w:t>
      </w:r>
      <w:r>
        <w:t xml:space="preserve">Avalez le comprimé avec un grand verre d’eau, debout ou assis (ne pas s’allonger dans l’heure qui suit pour éviter l’œsophagite). En cas d’oubli &lt; 4 h, prenez la dose ; si &gt; 4 h, sautez et reprenez l’horaire habituel (ne pas doubler). Pour le collyre : 1 goutte × 4–6/j dans l’œil atteint, ne pas toucher l’embout, se laver les mains. Pour l’oreille : tiédir la solution en la tenant quelques minutes en main, 2–3 gouttes × 2/j, masser le tragus (tympan NON perforé, vérifier avant prescription).</w:t>
      </w:r>
    </w:p>
    <w:p>
      <w:pPr>
        <w:pStyle w:val="BodyText"/>
      </w:pPr>
      <w:r>
        <w:rPr>
          <w:b/>
          <w:bCs/>
        </w:rPr>
        <w:t xml:space="preserve">Notes, Règles d’Or &amp; Pièges au Comptoir :</w:t>
      </w:r>
      <w:r>
        <w:t xml:space="preserve"> </w:t>
      </w:r>
      <w:r>
        <w:t xml:space="preserve">-</w:t>
      </w:r>
      <w:r>
        <w:t xml:space="preserve"> </w:t>
      </w:r>
      <w:r>
        <w:rPr>
          <w:b/>
          <w:bCs/>
        </w:rPr>
        <w:t xml:space="preserve">Piège classique n°1 :</w:t>
      </w:r>
      <w:r>
        <w:t xml:space="preserve"> </w:t>
      </w:r>
      <w:r>
        <w:t xml:space="preserve">Prescription simultanée ciprofloxacine + antiacide (Maalox®) → échec antibiotique par chélation. Toujours demander au patient s’il prend un antiacide, un supplément de fer ou de calcium.</w:t>
      </w:r>
      <w:r>
        <w:t xml:space="preserve"> </w:t>
      </w:r>
      <w:r>
        <w:t xml:space="preserve">-</w:t>
      </w:r>
      <w:r>
        <w:t xml:space="preserve"> </w:t>
      </w:r>
      <w:r>
        <w:rPr>
          <w:b/>
          <w:bCs/>
        </w:rPr>
        <w:t xml:space="preserve">Piège classique n°2 :</w:t>
      </w:r>
      <w:r>
        <w:t xml:space="preserve"> </w:t>
      </w:r>
      <w:r>
        <w:t xml:space="preserve">Sportif ou patient sous corticoïde → risque accru de rupture achilléenne. Déconseiller la pratique sportive et informer sur le signe d’alerte (douleur talon).</w:t>
      </w:r>
      <w:r>
        <w:t xml:space="preserve"> </w:t>
      </w:r>
      <w:r>
        <w:t xml:space="preserve">-</w:t>
      </w:r>
      <w:r>
        <w:t xml:space="preserve"> </w:t>
      </w:r>
      <w:r>
        <w:rPr>
          <w:b/>
          <w:bCs/>
        </w:rPr>
        <w:t xml:space="preserve">Piège classique n°3 :</w:t>
      </w:r>
      <w:r>
        <w:t xml:space="preserve"> </w:t>
      </w:r>
      <w:r>
        <w:t xml:space="preserve">Collyre prescrit chez un patient porteur de lentilles → retirer les lentilles pendant la durée du traitement (conservateur chlorure de benzalkonium).</w:t>
      </w:r>
      <w:r>
        <w:t xml:space="preserve"> </w:t>
      </w:r>
      <w:r>
        <w:t xml:space="preserve">-</w:t>
      </w:r>
      <w:r>
        <w:t xml:space="preserve"> </w:t>
      </w:r>
      <w:r>
        <w:rPr>
          <w:b/>
          <w:bCs/>
        </w:rPr>
        <w:t xml:space="preserve">Piège classique n°4 :</w:t>
      </w:r>
      <w:r>
        <w:t xml:space="preserve"> </w:t>
      </w:r>
      <w:r>
        <w:t xml:space="preserve">Gouttes auriculaires prescrites sans vérification otoscopique → risque d’ototoxicité si tympan perforé.</w:t>
      </w:r>
      <w:r>
        <w:t xml:space="preserve"> </w:t>
      </w:r>
      <w:r>
        <w:t xml:space="preserve">-</w:t>
      </w:r>
      <w:r>
        <w:t xml:space="preserve"> </w:t>
      </w:r>
      <w:r>
        <w:rPr>
          <w:b/>
          <w:bCs/>
        </w:rPr>
        <w:t xml:space="preserve">Règle de prise :</w:t>
      </w:r>
      <w:r>
        <w:t xml:space="preserve"> </w:t>
      </w:r>
      <w:r>
        <w:t xml:space="preserve">2 h avant ou 6 h après tout cation polyvalent (Al, Mg, Ca, Fe, Zn).</w:t>
      </w:r>
      <w:r>
        <w:t xml:space="preserve"> </w:t>
      </w:r>
      <w:r>
        <w:t xml:space="preserve">-</w:t>
      </w:r>
      <w:r>
        <w:t xml:space="preserve"> </w:t>
      </w:r>
      <w:r>
        <w:rPr>
          <w:b/>
          <w:bCs/>
        </w:rPr>
        <w:t xml:space="preserve">Préparation et Conservation :</w:t>
      </w:r>
      <w:r>
        <w:t xml:space="preserve"> </w:t>
      </w:r>
      <w:r>
        <w:t xml:space="preserve">Pas de reconstitution pour les comprimés ; la suspension CIPROCINE (NR) se conserve 14 j après reconstitution au réfrigérateur. Collyre : jeter 15 j après ouverture. Pommade ophtalmique : 1 mois après ouverture.</w:t>
      </w:r>
      <w:r>
        <w:t xml:space="preserve"> </w:t>
      </w:r>
      <w:r>
        <w:t xml:space="preserve">-</w:t>
      </w:r>
      <w:r>
        <w:t xml:space="preserve"> </w:t>
      </w:r>
      <w:r>
        <w:rPr>
          <w:b/>
          <w:bCs/>
        </w:rPr>
        <w:t xml:space="preserve">Piège du surdosage / Substitution :</w:t>
      </w:r>
      <w:r>
        <w:t xml:space="preserve"> </w:t>
      </w:r>
      <w:r>
        <w:t xml:space="preserve">La substitution d’une marque par une autre est acceptable (même DCI, même dosage), mais attention à ne pas substituer une forme LP par une forme classique (risque de sous-dosage ou surdosage). Signaler systématiquement au prescripteur toute prescription de ciprofloxacine IV chez un sujet âgé fragile ou insuffisant rénal (adaptation : eGFR 30–50 = dose normale × 2/j ; eGFR &lt; 30 = 250–500 mg × 1/j ou moitié dose × 2/j).</w:t>
      </w:r>
    </w:p>
    <w:p>
      <w:r>
        <w:pict>
          <v:rect style="width:0;height:1.5pt" o:hralign="center" o:hrstd="t" o:hr="t"/>
        </w:pict>
      </w:r>
    </w:p>
    <w:bookmarkEnd w:id="154"/>
    <w:bookmarkStart w:id="155" w:name="dci-lévofloxacine-seule"/>
    <w:p>
      <w:pPr>
        <w:pStyle w:val="Heading2"/>
      </w:pPr>
      <w:r>
        <w:t xml:space="preserve">2. DCI : Lévofloxacine (Seule)</w:t>
      </w:r>
    </w:p>
    <w:p>
      <w:pPr>
        <w:pStyle w:val="FirstParagraph"/>
      </w:pPr>
      <w:r>
        <w:rPr>
          <w:b/>
          <w:bCs/>
        </w:rPr>
        <w:t xml:space="preserve">Liste des Catégories :</w:t>
      </w:r>
      <w:r>
        <w:t xml:space="preserve"> </w:t>
      </w:r>
      <w:r>
        <w:t xml:space="preserve">Antibactérien systémique, Fluoroquinolone de 3e génération (respiratoire, antipseudomonal résiduel) ; formes orales comprimés 250/500/750 mg, solution pour perfusion IV 5 mg/mL, collyre et gouttes oculaires/auriculaires 5 mg/mL.</w:t>
      </w:r>
    </w:p>
    <w:p>
      <w:pPr>
        <w:pStyle w:val="BodyText"/>
      </w:pPr>
      <w:r>
        <w:t xml:space="preserve">La lévofloxacine, isomère</w:t>
      </w:r>
      <w:r>
        <w:t xml:space="preserve"> </w:t>
      </w:r>
      <w:r>
        <w:rPr>
          <w:b/>
          <w:bCs/>
        </w:rPr>
        <w:t xml:space="preserve">S-(−)</w:t>
      </w:r>
      <w:r>
        <w:t xml:space="preserve"> </w:t>
      </w:r>
      <w:r>
        <w:t xml:space="preserve">de la ofloxacine (elle-même mélange racémique R+S), a été développée pour amplifier l’activité antibactérienne de la ofloxacine (l’isomère S est 8 à 128 fois plus actif que le R) tout en améliorant la couverture du pneumocoque. En Algérie, elle occupe la seconde place des FQ systémiques avec 18 spécialités recensées (MATADOR, LEVOFLOX, LEVOQUIN, LOXAMOX pour les formes orales ; LEVOFLOXACINE RAZES, LEVOQUIN pour la perfusion ; LEVOWORLD, VIVAXIN pour le collyre). La moxifloxacine lui est parfois préférée pour l’activité anaérobie, mais la lévofloxacine conserve une activité antipseudomonal résiduelle utile dans les pneumonies nosocomiales.</w:t>
      </w:r>
    </w:p>
    <w:p>
      <w:pPr>
        <w:pStyle w:val="BodyText"/>
      </w:pPr>
      <w:r>
        <w:rPr>
          <w:b/>
          <w:bCs/>
        </w:rPr>
        <w:t xml:space="preserve">Médicaments disponibles en Algérie (Marques, Laboratoires, Formes et Dosages) :</w:t>
      </w:r>
    </w:p>
    <w:p>
      <w:pPr>
        <w:pStyle w:val="BodyText"/>
      </w:pPr>
      <w:r>
        <w:rPr>
          <w:i/>
          <w:iCs/>
        </w:rPr>
        <w:t xml:space="preserve">Formes orales :</w:t>
      </w:r>
      <w:r>
        <w:t xml:space="preserve"> </w:t>
      </w:r>
      <w:r>
        <w:t xml:space="preserve">-</w:t>
      </w:r>
      <w:r>
        <w:t xml:space="preserve"> </w:t>
      </w:r>
      <w:r>
        <w:rPr>
          <w:b/>
          <w:bCs/>
        </w:rPr>
        <w:t xml:space="preserve">MATADOR 250</w:t>
      </w:r>
      <w:r>
        <w:t xml:space="preserve"> </w:t>
      </w:r>
      <w:r>
        <w:t xml:space="preserve">(DAR AL DAWA) — cp 250 mg, B/07 — Actif</w:t>
      </w:r>
      <w:r>
        <w:t xml:space="preserve"> </w:t>
      </w:r>
      <w:r>
        <w:t xml:space="preserve">-</w:t>
      </w:r>
      <w:r>
        <w:t xml:space="preserve"> </w:t>
      </w:r>
      <w:r>
        <w:rPr>
          <w:b/>
          <w:bCs/>
        </w:rPr>
        <w:t xml:space="preserve">MATADOR 500</w:t>
      </w:r>
      <w:r>
        <w:t xml:space="preserve"> </w:t>
      </w:r>
      <w:r>
        <w:t xml:space="preserve">(DAR AL DAWA) — cp 500 mg, B/07 — Actif</w:t>
      </w:r>
      <w:r>
        <w:t xml:space="preserve"> </w:t>
      </w:r>
      <w:r>
        <w:t xml:space="preserve">-</w:t>
      </w:r>
      <w:r>
        <w:t xml:space="preserve"> </w:t>
      </w:r>
      <w:r>
        <w:rPr>
          <w:b/>
          <w:bCs/>
        </w:rPr>
        <w:t xml:space="preserve">MATADOR 750</w:t>
      </w:r>
      <w:r>
        <w:t xml:space="preserve"> </w:t>
      </w:r>
      <w:r>
        <w:t xml:space="preserve">(DAR AL DAWA) — cp 750 mg, B/05 — Actif</w:t>
      </w:r>
      <w:r>
        <w:t xml:space="preserve"> </w:t>
      </w:r>
      <w:r>
        <w:t xml:space="preserve">-</w:t>
      </w:r>
      <w:r>
        <w:t xml:space="preserve"> </w:t>
      </w:r>
      <w:r>
        <w:rPr>
          <w:b/>
          <w:bCs/>
        </w:rPr>
        <w:t xml:space="preserve">LEVOFLOX</w:t>
      </w:r>
      <w:r>
        <w:t xml:space="preserve"> </w:t>
      </w:r>
      <w:r>
        <w:t xml:space="preserve">(INPHA-MEDIS) — cp sécable 500 mg, B/05 et B/10 — Actif</w:t>
      </w:r>
      <w:r>
        <w:t xml:space="preserve"> </w:t>
      </w:r>
      <w:r>
        <w:t xml:space="preserve">-</w:t>
      </w:r>
      <w:r>
        <w:t xml:space="preserve"> </w:t>
      </w:r>
      <w:r>
        <w:rPr>
          <w:b/>
          <w:bCs/>
        </w:rPr>
        <w:t xml:space="preserve">LEVOQUIN</w:t>
      </w:r>
      <w:r>
        <w:t xml:space="preserve"> </w:t>
      </w:r>
      <w:r>
        <w:t xml:space="preserve">(HUPP PHARMA) — cp sécable 500 mg, B/10 — Actif</w:t>
      </w:r>
      <w:r>
        <w:t xml:space="preserve"> </w:t>
      </w:r>
      <w:r>
        <w:t xml:space="preserve">-</w:t>
      </w:r>
      <w:r>
        <w:t xml:space="preserve"> </w:t>
      </w:r>
      <w:r>
        <w:rPr>
          <w:b/>
          <w:bCs/>
        </w:rPr>
        <w:t xml:space="preserve">LOXAMOX</w:t>
      </w:r>
      <w:r>
        <w:t xml:space="preserve"> </w:t>
      </w:r>
      <w:r>
        <w:t xml:space="preserve">(EL KENDI) — cp sécable 500 mg, B/05 — Actif</w:t>
      </w:r>
      <w:r>
        <w:t xml:space="preserve"> </w:t>
      </w:r>
      <w:r>
        <w:t xml:space="preserve">-</w:t>
      </w:r>
      <w:r>
        <w:t xml:space="preserve"> </w:t>
      </w:r>
      <w:r>
        <w:rPr>
          <w:b/>
          <w:bCs/>
        </w:rPr>
        <w:t xml:space="preserve">LOXAMOX</w:t>
      </w:r>
      <w:r>
        <w:t xml:space="preserve"> </w:t>
      </w:r>
      <w:r>
        <w:t xml:space="preserve">(EL KENDI) — cp 750 mg, B/05 — Actif</w:t>
      </w:r>
      <w:r>
        <w:t xml:space="preserve"> </w:t>
      </w:r>
      <w:r>
        <w:t xml:space="preserve">-</w:t>
      </w:r>
      <w:r>
        <w:t xml:space="preserve"> </w:t>
      </w:r>
      <w:r>
        <w:rPr>
          <w:b/>
          <w:bCs/>
        </w:rPr>
        <w:t xml:space="preserve">TAVANIC</w:t>
      </w:r>
      <w:r>
        <w:t xml:space="preserve"> </w:t>
      </w:r>
      <w:r>
        <w:t xml:space="preserve">(SANOFI AVENTIS DEUTSCHLAND) — cp sécable 250 mg, B/05 — Non Renouvelable</w:t>
      </w:r>
      <w:r>
        <w:t xml:space="preserve"> </w:t>
      </w:r>
      <w:r>
        <w:t xml:space="preserve">-</w:t>
      </w:r>
      <w:r>
        <w:t xml:space="preserve"> </w:t>
      </w:r>
      <w:r>
        <w:rPr>
          <w:b/>
          <w:bCs/>
        </w:rPr>
        <w:t xml:space="preserve">TAVANIC</w:t>
      </w:r>
      <w:r>
        <w:t xml:space="preserve"> </w:t>
      </w:r>
      <w:r>
        <w:t xml:space="preserve">(SANOFI AVENTIS DEUTSCHLAND) — cp sécable 500 mg, B/05 — Non Renouvelable</w:t>
      </w:r>
      <w:r>
        <w:t xml:space="preserve"> </w:t>
      </w:r>
      <w:r>
        <w:t xml:space="preserve">-</w:t>
      </w:r>
      <w:r>
        <w:t xml:space="preserve"> </w:t>
      </w:r>
      <w:r>
        <w:rPr>
          <w:b/>
          <w:bCs/>
        </w:rPr>
        <w:t xml:space="preserve">TAVANIC</w:t>
      </w:r>
      <w:r>
        <w:t xml:space="preserve"> </w:t>
      </w:r>
      <w:r>
        <w:t xml:space="preserve">(SANOFI AVENTIS DEUTSCHLAND) — cp sécable 250 mg, B/05 — Retiré (R)</w:t>
      </w:r>
      <w:r>
        <w:t xml:space="preserve"> </w:t>
      </w:r>
      <w:r>
        <w:t xml:space="preserve">-</w:t>
      </w:r>
      <w:r>
        <w:t xml:space="preserve"> </w:t>
      </w:r>
      <w:r>
        <w:rPr>
          <w:b/>
          <w:bCs/>
        </w:rPr>
        <w:t xml:space="preserve">TAVANIC</w:t>
      </w:r>
      <w:r>
        <w:t xml:space="preserve"> </w:t>
      </w:r>
      <w:r>
        <w:t xml:space="preserve">(SANOFI AVENTIS DEUTSCHLAND) — cp sécable 500 mg, B/05 — Retiré (R)</w:t>
      </w:r>
    </w:p>
    <w:p>
      <w:pPr>
        <w:pStyle w:val="BodyText"/>
      </w:pPr>
      <w:r>
        <w:rPr>
          <w:i/>
          <w:iCs/>
        </w:rPr>
        <w:t xml:space="preserve">Forme injectable IV :</w:t>
      </w:r>
      <w:r>
        <w:t xml:space="preserve"> </w:t>
      </w:r>
      <w:r>
        <w:t xml:space="preserve">-</w:t>
      </w:r>
      <w:r>
        <w:t xml:space="preserve"> </w:t>
      </w:r>
      <w:r>
        <w:rPr>
          <w:b/>
          <w:bCs/>
        </w:rPr>
        <w:t xml:space="preserve">LEVOFLOXACINE RAZES</w:t>
      </w:r>
      <w:r>
        <w:t xml:space="preserve"> </w:t>
      </w:r>
      <w:r>
        <w:t xml:space="preserve">(LES LABORATOIRES FRATER RAZES) — sol pour perfusion 5 mg/mL, fl/100 mL — Actif</w:t>
      </w:r>
      <w:r>
        <w:t xml:space="preserve"> </w:t>
      </w:r>
      <w:r>
        <w:t xml:space="preserve">-</w:t>
      </w:r>
      <w:r>
        <w:t xml:space="preserve"> </w:t>
      </w:r>
      <w:r>
        <w:rPr>
          <w:b/>
          <w:bCs/>
        </w:rPr>
        <w:t xml:space="preserve">LEVOQUIN</w:t>
      </w:r>
      <w:r>
        <w:t xml:space="preserve"> </w:t>
      </w:r>
      <w:r>
        <w:t xml:space="preserve">(HUPP PHARMA) — sol pour perfusion 5 mg/mL, fl/100 mL — Actif</w:t>
      </w:r>
      <w:r>
        <w:t xml:space="preserve"> </w:t>
      </w:r>
      <w:r>
        <w:t xml:space="preserve">-</w:t>
      </w:r>
      <w:r>
        <w:t xml:space="preserve"> </w:t>
      </w:r>
      <w:r>
        <w:rPr>
          <w:b/>
          <w:bCs/>
        </w:rPr>
        <w:t xml:space="preserve">LEVOFLOXACINE PHARMAGHREB 500</w:t>
      </w:r>
      <w:r>
        <w:t xml:space="preserve"> </w:t>
      </w:r>
      <w:r>
        <w:t xml:space="preserve">(PHARMAGHREB) — sol inj perf IV 5 mg/mL, fl/100 mL — Retiré (R)</w:t>
      </w:r>
      <w:r>
        <w:t xml:space="preserve"> </w:t>
      </w:r>
      <w:r>
        <w:t xml:space="preserve">-</w:t>
      </w:r>
      <w:r>
        <w:t xml:space="preserve"> </w:t>
      </w:r>
      <w:r>
        <w:rPr>
          <w:b/>
          <w:bCs/>
        </w:rPr>
        <w:t xml:space="preserve">TAVANIC</w:t>
      </w:r>
      <w:r>
        <w:t xml:space="preserve"> </w:t>
      </w:r>
      <w:r>
        <w:t xml:space="preserve">(AVENTIS PHARMA DEUTSCHLAND) — sol perf IV 5 mg/mL, fl/100 mL — Retiré (R)</w:t>
      </w:r>
    </w:p>
    <w:p>
      <w:pPr>
        <w:pStyle w:val="BodyText"/>
      </w:pPr>
      <w:r>
        <w:rPr>
          <w:i/>
          <w:iCs/>
        </w:rPr>
        <w:t xml:space="preserve">Formes ophtalmologiques / auriculaires :</w:t>
      </w:r>
      <w:r>
        <w:t xml:space="preserve"> </w:t>
      </w:r>
      <w:r>
        <w:t xml:space="preserve">-</w:t>
      </w:r>
      <w:r>
        <w:t xml:space="preserve"> </w:t>
      </w:r>
      <w:r>
        <w:rPr>
          <w:b/>
          <w:bCs/>
        </w:rPr>
        <w:t xml:space="preserve">LEVOWORLD</w:t>
      </w:r>
      <w:r>
        <w:t xml:space="preserve"> </w:t>
      </w:r>
      <w:r>
        <w:t xml:space="preserve">(WORLD MEDICINE) — gouttes oculaires et auriculaires 5 mg/mL, fl/5 mL — Actif</w:t>
      </w:r>
      <w:r>
        <w:t xml:space="preserve"> </w:t>
      </w:r>
      <w:r>
        <w:t xml:space="preserve">-</w:t>
      </w:r>
      <w:r>
        <w:t xml:space="preserve"> </w:t>
      </w:r>
      <w:r>
        <w:rPr>
          <w:b/>
          <w:bCs/>
        </w:rPr>
        <w:t xml:space="preserve">LEVOWORLD</w:t>
      </w:r>
      <w:r>
        <w:t xml:space="preserve"> </w:t>
      </w:r>
      <w:r>
        <w:t xml:space="preserve">(WORLD MEDICINE) — collyre 5 mg/mL, fl/5 mL — Actif</w:t>
      </w:r>
      <w:r>
        <w:t xml:space="preserve"> </w:t>
      </w:r>
      <w:r>
        <w:t xml:space="preserve">-</w:t>
      </w:r>
      <w:r>
        <w:t xml:space="preserve"> </w:t>
      </w:r>
      <w:r>
        <w:rPr>
          <w:b/>
          <w:bCs/>
        </w:rPr>
        <w:t xml:space="preserve">VIVAXIN</w:t>
      </w:r>
      <w:r>
        <w:t xml:space="preserve"> </w:t>
      </w:r>
      <w:r>
        <w:t xml:space="preserve">(BEIT JALA PHARMACEUTICALS) — collyre 5 mg/mL, fl/5 mL — Actif</w:t>
      </w:r>
    </w:p>
    <w:p>
      <w:pPr>
        <w:pStyle w:val="BodyText"/>
      </w:pPr>
      <w:r>
        <w:rPr>
          <w:b/>
          <w:bCs/>
        </w:rPr>
        <w:t xml:space="preserve">Sous-classe et Mécanisme d’action :</w:t>
      </w:r>
      <w:r>
        <w:t xml:space="preserve"> </w:t>
      </w:r>
      <w:r>
        <w:t xml:space="preserve">-</w:t>
      </w:r>
      <w:r>
        <w:t xml:space="preserve"> </w:t>
      </w:r>
      <w:r>
        <w:rPr>
          <w:b/>
          <w:bCs/>
        </w:rPr>
        <w:t xml:space="preserve">Sous-classe :</w:t>
      </w:r>
      <w:r>
        <w:t xml:space="preserve"> </w:t>
      </w:r>
      <w:r>
        <w:t xml:space="preserve">Fluoroquinolone de 3e génération dite</w:t>
      </w:r>
      <w:r>
        <w:t xml:space="preserve"> </w:t>
      </w:r>
      <w:r>
        <w:rPr>
          <w:b/>
          <w:bCs/>
        </w:rPr>
        <w:t xml:space="preserve">« respiratoire »</w:t>
      </w:r>
      <w:r>
        <w:t xml:space="preserve"> </w:t>
      </w:r>
      <w:r>
        <w:t xml:space="preserve">(activité renforcée sur</w:t>
      </w:r>
      <w:r>
        <w:t xml:space="preserve"> </w:t>
      </w:r>
      <w:r>
        <w:rPr>
          <w:i/>
          <w:iCs/>
        </w:rPr>
        <w:t xml:space="preserve">Streptococcus pneumoniae</w:t>
      </w:r>
      <w:r>
        <w:t xml:space="preserve">, y compris pénicillino-résistant,</w:t>
      </w:r>
      <w:r>
        <w:t xml:space="preserve"> </w:t>
      </w:r>
      <w:r>
        <w:rPr>
          <w:i/>
          <w:iCs/>
        </w:rPr>
        <w:t xml:space="preserve">Haemophilus influenzae</w:t>
      </w:r>
      <w:r>
        <w:t xml:space="preserve">,</w:t>
      </w:r>
      <w:r>
        <w:t xml:space="preserve"> </w:t>
      </w:r>
      <w:r>
        <w:rPr>
          <w:i/>
          <w:iCs/>
        </w:rPr>
        <w:t xml:space="preserve">Moraxella catarrhalis</w:t>
      </w:r>
      <w:r>
        <w:t xml:space="preserve">,</w:t>
      </w:r>
      <w:r>
        <w:t xml:space="preserve"> </w:t>
      </w:r>
      <w:r>
        <w:rPr>
          <w:i/>
          <w:iCs/>
        </w:rPr>
        <w:t xml:space="preserve">Chlamydophila pneumoniae</w:t>
      </w:r>
      <w:r>
        <w:t xml:space="preserve">,</w:t>
      </w:r>
      <w:r>
        <w:t xml:space="preserve"> </w:t>
      </w:r>
      <w:r>
        <w:rPr>
          <w:i/>
          <w:iCs/>
        </w:rPr>
        <w:t xml:space="preserve">Mycoplasma pneumoniae</w:t>
      </w:r>
      <w:r>
        <w:t xml:space="preserve">,</w:t>
      </w:r>
      <w:r>
        <w:t xml:space="preserve"> </w:t>
      </w:r>
      <w:r>
        <w:rPr>
          <w:i/>
          <w:iCs/>
        </w:rPr>
        <w:t xml:space="preserve">Legionella pneumophila</w:t>
      </w:r>
      <w:r>
        <w:t xml:space="preserve">). Conservation d’une activité antipseudomonal modérée.</w:t>
      </w:r>
      <w:r>
        <w:t xml:space="preserve"> </w:t>
      </w:r>
      <w:r>
        <w:t xml:space="preserve">-</w:t>
      </w:r>
      <w:r>
        <w:t xml:space="preserve"> </w:t>
      </w:r>
      <w:r>
        <w:rPr>
          <w:b/>
          <w:bCs/>
        </w:rPr>
        <w:t xml:space="preserve">Mécanisme d’action :</w:t>
      </w:r>
      <w:r>
        <w:t xml:space="preserve"> </w:t>
      </w:r>
      <w:r>
        <w:t xml:space="preserve">Identique à celui des autres FQ — bactéricide concentration-dépendant, inhibition de l’ADN gyrase (GyrA/GyrB) et de la topoisomérase IV (ParC/ParE), formation du complexe clivable, cassures double-brin de l’ADN, blocage de la réplication. La cible préférentielle dépend de l’espèce : GyrA chez le pneumocoque et les Gram positifs, ParC chez les Gram négatifs. L’isomérie S augmente l’affinité moléculaire pour la gyrase et la topo IV.</w:t>
      </w:r>
    </w:p>
    <w:p>
      <w:pPr>
        <w:pStyle w:val="BodyText"/>
      </w:pPr>
      <w:r>
        <w:rPr>
          <w:b/>
          <w:bCs/>
        </w:rPr>
        <w:t xml:space="preserve">Profil Pharmacologique :</w:t>
      </w:r>
      <w:r>
        <w:t xml:space="preserve"> </w:t>
      </w:r>
      <w:r>
        <w:t xml:space="preserve">-</w:t>
      </w:r>
      <w:r>
        <w:t xml:space="preserve"> </w:t>
      </w:r>
      <w:r>
        <w:rPr>
          <w:b/>
          <w:bCs/>
        </w:rPr>
        <w:t xml:space="preserve">Indications :</w:t>
      </w:r>
      <w:r>
        <w:t xml:space="preserve"> </w:t>
      </w:r>
      <w:r>
        <w:t xml:space="preserve">Pneumopathies aiguës communautaires (PAC) de l’adulte, y compris formes sévères (en association selon les recommandations SPILF/SPLF) ; exacerbations de BPCO surinfectées ; sinusites bactériennes aiguës ; pneumonies nosocomiales (alternative) ; infections urinaires compliquées (pyélonéphrite, PNA) ; prostatites bactériennes chroniques ; infections cutanées ; anthrax (prophylaxie post-exposition) ; forme locale : conjonctivites bactériennes et prophylaxie ophtalmologique.</w:t>
      </w:r>
      <w:r>
        <w:t xml:space="preserve"> </w:t>
      </w:r>
      <w:r>
        <w:t xml:space="preserve">-</w:t>
      </w:r>
      <w:r>
        <w:t xml:space="preserve"> </w:t>
      </w:r>
      <w:r>
        <w:rPr>
          <w:b/>
          <w:bCs/>
        </w:rPr>
        <w:t xml:space="preserve">Contre-indications :</w:t>
      </w:r>
      <w:r>
        <w:t xml:space="preserve"> </w:t>
      </w:r>
      <w:r>
        <w:t xml:space="preserve">Épilepsie non équilibrée ; allongement du QTc ; myasthénie ; ATCD de tendinopathie sous FQ ; grossesse ; allaitement ; enfant/adolescent en croissance (sauf exceptions) ; hypersensibilité FQ ; association avec antiarythmiques Ia/III, neuroleptiques allongeant le QT.</w:t>
      </w:r>
      <w:r>
        <w:t xml:space="preserve"> </w:t>
      </w:r>
      <w:r>
        <w:t xml:space="preserve">-</w:t>
      </w:r>
      <w:r>
        <w:t xml:space="preserve"> </w:t>
      </w:r>
      <w:r>
        <w:rPr>
          <w:b/>
          <w:bCs/>
        </w:rPr>
        <w:t xml:space="preserve">Effets Indésirables :</w:t>
      </w:r>
      <w:r>
        <w:t xml:space="preserve"> </w:t>
      </w:r>
      <w:r>
        <w:t xml:space="preserve">Profil comparable à la ciprofloxacine, mais allongement du QTc plus marqué et dysglycémies plus fréquentes (signal EMA 2017) ; tendinopathies (achilléenne surtout) ; NAO ; neuropathies ; photosensibilité ; diarrhée à</w:t>
      </w:r>
      <w:r>
        <w:t xml:space="preserve"> </w:t>
      </w:r>
      <w:r>
        <w:rPr>
          <w:i/>
          <w:iCs/>
        </w:rPr>
        <w:t xml:space="preserve">C. difficile</w:t>
      </w:r>
      <w:r>
        <w:t xml:space="preserve"> </w:t>
      </w:r>
      <w:r>
        <w:t xml:space="preserve">; hépatites ; rash cutané ; hypoglycémies (en particulier chez diabétique sous sulfamides/insuline) ; arthralgies ; troubles du sommeil, anxiété, agitation ; rarement aortopathie et dissection aortique (alerte FDA 2018).</w:t>
      </w:r>
    </w:p>
    <w:p>
      <w:pPr>
        <w:pStyle w:val="BodyText"/>
      </w:pPr>
      <w:r>
        <w:rPr>
          <w:b/>
          <w:bCs/>
        </w:rPr>
        <w:t xml:space="preserve">Prévention et Gestion des Effets Indésirables :</w:t>
      </w:r>
      <w:r>
        <w:t xml:space="preserve"> </w:t>
      </w:r>
      <w:r>
        <w:t xml:space="preserve">-</w:t>
      </w:r>
      <w:r>
        <w:t xml:space="preserve"> </w:t>
      </w:r>
      <w:r>
        <w:rPr>
          <w:b/>
          <w:bCs/>
        </w:rPr>
        <w:t xml:space="preserve">Mesures Préventives :</w:t>
      </w:r>
      <w:r>
        <w:t xml:space="preserve"> </w:t>
      </w:r>
      <w:r>
        <w:t xml:space="preserve">Idem ciprofloxacine — hydratation, photoprotection, surveillance glycémique chez diabétique, contrôle ECG si terrain cardiaque ou association allongeant le QT, évaluation du risque tendineux (âge, corticothérapie, sport).</w:t>
      </w:r>
      <w:r>
        <w:t xml:space="preserve"> </w:t>
      </w:r>
      <w:r>
        <w:t xml:space="preserve">-</w:t>
      </w:r>
      <w:r>
        <w:t xml:space="preserve"> </w:t>
      </w:r>
      <w:r>
        <w:rPr>
          <w:b/>
          <w:bCs/>
        </w:rPr>
        <w:t xml:space="preserve">Conduite à Tenir :</w:t>
      </w:r>
      <w:r>
        <w:t xml:space="preserve"> </w:t>
      </w:r>
      <w:r>
        <w:t xml:space="preserve">Arrêt immédiat en cas de douleur tendineuse, paresthésies, palpitations, éruption fébrile, diarrhée sanglante ; dosage glycémique en cas de sueurs/tremblements/confusion.</w:t>
      </w:r>
    </w:p>
    <w:p>
      <w:pPr>
        <w:pStyle w:val="BodyText"/>
      </w:pPr>
      <w:r>
        <w:rPr>
          <w:b/>
          <w:bCs/>
        </w:rPr>
        <w:t xml:space="preserve">Interactions Importantes :</w:t>
      </w:r>
      <w:r>
        <w:t xml:space="preserve"> </w:t>
      </w:r>
      <w:r>
        <w:t xml:space="preserve">-</w:t>
      </w:r>
      <w:r>
        <w:t xml:space="preserve"> </w:t>
      </w:r>
      <w:r>
        <w:rPr>
          <w:b/>
          <w:bCs/>
        </w:rPr>
        <w:t xml:space="preserve">Sels cationiques polyvalents</w:t>
      </w:r>
      <w:r>
        <w:t xml:space="preserve"> </w:t>
      </w:r>
      <w:r>
        <w:t xml:space="preserve">: chélation → espacer 2 h avant / 6 h après.</w:t>
      </w:r>
      <w:r>
        <w:t xml:space="preserve"> </w:t>
      </w:r>
      <w:r>
        <w:t xml:space="preserve">-</w:t>
      </w:r>
      <w:r>
        <w:t xml:space="preserve"> </w:t>
      </w:r>
      <w:r>
        <w:rPr>
          <w:b/>
          <w:bCs/>
        </w:rPr>
        <w:t xml:space="preserve">Théophylline</w:t>
      </w:r>
      <w:r>
        <w:t xml:space="preserve"> </w:t>
      </w:r>
      <w:r>
        <w:t xml:space="preserve">: peu d’effet (la lévofloxacine n’inhibe pas significativement le CYP1A2, contrairement à la ciprofloxacine) — avantage notable.</w:t>
      </w:r>
      <w:r>
        <w:t xml:space="preserve"> </w:t>
      </w:r>
      <w:r>
        <w:t xml:space="preserve">-</w:t>
      </w:r>
      <w:r>
        <w:t xml:space="preserve"> </w:t>
      </w:r>
      <w:r>
        <w:rPr>
          <w:b/>
          <w:bCs/>
        </w:rPr>
        <w:t xml:space="preserve">Warfarine</w:t>
      </w:r>
      <w:r>
        <w:t xml:space="preserve"> </w:t>
      </w:r>
      <w:r>
        <w:t xml:space="preserve">: surveillance INR (effet variable, dysbiose).</w:t>
      </w:r>
      <w:r>
        <w:t xml:space="preserve"> </w:t>
      </w:r>
      <w:r>
        <w:t xml:space="preserve">-</w:t>
      </w:r>
      <w:r>
        <w:t xml:space="preserve"> </w:t>
      </w:r>
      <w:r>
        <w:rPr>
          <w:b/>
          <w:bCs/>
        </w:rPr>
        <w:t xml:space="preserve">Antiarythmiques Ia/III (amiodarone, sotalol, quinidine)</w:t>
      </w:r>
      <w:r>
        <w:t xml:space="preserve"> </w:t>
      </w:r>
      <w:r>
        <w:t xml:space="preserve">: majoration allongement QT → à éviter.</w:t>
      </w:r>
      <w:r>
        <w:t xml:space="preserve"> </w:t>
      </w:r>
      <w:r>
        <w:t xml:space="preserve">-</w:t>
      </w:r>
      <w:r>
        <w:t xml:space="preserve"> </w:t>
      </w:r>
      <w:r>
        <w:rPr>
          <w:b/>
          <w:bCs/>
        </w:rPr>
        <w:t xml:space="preserve">Ciclosporine</w:t>
      </w:r>
      <w:r>
        <w:t xml:space="preserve"> </w:t>
      </w:r>
      <w:r>
        <w:t xml:space="preserve">: surveillance rénale.</w:t>
      </w:r>
      <w:r>
        <w:t xml:space="preserve"> </w:t>
      </w:r>
      <w:r>
        <w:t xml:space="preserve">-</w:t>
      </w:r>
      <w:r>
        <w:t xml:space="preserve"> </w:t>
      </w:r>
      <w:r>
        <w:rPr>
          <w:b/>
          <w:bCs/>
        </w:rPr>
        <w:t xml:space="preserve">Insuline/Sulfamides hypoglycémiants</w:t>
      </w:r>
      <w:r>
        <w:t xml:space="preserve"> </w:t>
      </w:r>
      <w:r>
        <w:t xml:space="preserve">: potentialisation hypoglycémie — surveillance glycémique renforcée.</w:t>
      </w:r>
    </w:p>
    <w:p>
      <w:pPr>
        <w:pStyle w:val="BodyText"/>
      </w:pPr>
      <w:r>
        <w:rPr>
          <w:b/>
          <w:bCs/>
        </w:rPr>
        <w:t xml:space="preserve">Grossesse et Allaitement :</w:t>
      </w:r>
      <w:r>
        <w:t xml:space="preserve"> </w:t>
      </w:r>
      <w:r>
        <w:t xml:space="preserve">-</w:t>
      </w:r>
      <w:r>
        <w:t xml:space="preserve"> </w:t>
      </w:r>
      <w:r>
        <w:rPr>
          <w:b/>
          <w:bCs/>
        </w:rPr>
        <w:t xml:space="preserve">Grossesse :</w:t>
      </w:r>
      <w:r>
        <w:t xml:space="preserve"> </w:t>
      </w:r>
      <w:r>
        <w:t xml:space="preserve">CI formelle (CRAT) — à éviter quel que soit le trimestre (arthropathie animale).</w:t>
      </w:r>
      <w:r>
        <w:t xml:space="preserve"> </w:t>
      </w:r>
      <w:r>
        <w:t xml:space="preserve">-</w:t>
      </w:r>
      <w:r>
        <w:t xml:space="preserve"> </w:t>
      </w:r>
      <w:r>
        <w:rPr>
          <w:b/>
          <w:bCs/>
        </w:rPr>
        <w:t xml:space="preserve">Allaitement :</w:t>
      </w:r>
      <w:r>
        <w:t xml:space="preserve"> </w:t>
      </w:r>
      <w:r>
        <w:t xml:space="preserve">CI par voie systémique (passage lacté). Collyre compatible (passage minime).</w:t>
      </w:r>
      <w:r>
        <w:t xml:space="preserve"> </w:t>
      </w:r>
      <w:r>
        <w:t xml:space="preserve">-</w:t>
      </w:r>
      <w:r>
        <w:t xml:space="preserve"> </w:t>
      </w:r>
      <w:r>
        <w:rPr>
          <w:b/>
          <w:bCs/>
        </w:rPr>
        <w:t xml:space="preserve">Précisions :</w:t>
      </w:r>
      <w:r>
        <w:t xml:space="preserve"> </w:t>
      </w:r>
      <w:r>
        <w:t xml:space="preserve">Mêmes principes que la ciprofloxacine.</w:t>
      </w:r>
    </w:p>
    <w:p>
      <w:pPr>
        <w:pStyle w:val="BodyText"/>
      </w:pPr>
      <w:r>
        <w:rPr>
          <w:b/>
          <w:bCs/>
        </w:rPr>
        <w:t xml:space="preserve">Posologie et Mode d’administration (Standard) :</w:t>
      </w:r>
      <w:r>
        <w:t xml:space="preserve"> </w:t>
      </w:r>
      <w:r>
        <w:t xml:space="preserve">-</w:t>
      </w:r>
      <w:r>
        <w:t xml:space="preserve"> </w:t>
      </w:r>
      <w:r>
        <w:rPr>
          <w:b/>
          <w:bCs/>
        </w:rPr>
        <w:t xml:space="preserve">Adulte :</w:t>
      </w:r>
      <w:r>
        <w:t xml:space="preserve"> </w:t>
      </w:r>
      <w:r>
        <w:t xml:space="preserve">500 mg × 1/j per os (PAC, sinusite, exacerbation BPCO, pyélonéphrite, prostatite) ; 750 mg × 1/j pour PAC sévère, pneumonie nosocomiale, infections sévères ; IV = per os à ASC équivalente (500 mg IV = 500 mg PO). Adaptation à l’insuffisance rénale : ClCr 20–49 → 250 mg/j (si dose initiale 500) ou 750 mg toutes les 48 h ; ClCr 10–19 → 250 mg toutes les 48 h.</w:t>
      </w:r>
      <w:r>
        <w:t xml:space="preserve"> </w:t>
      </w:r>
      <w:r>
        <w:t xml:space="preserve">-</w:t>
      </w:r>
      <w:r>
        <w:t xml:space="preserve"> </w:t>
      </w:r>
      <w:r>
        <w:rPr>
          <w:b/>
          <w:bCs/>
        </w:rPr>
        <w:t xml:space="preserve">Enfant :</w:t>
      </w:r>
      <w:r>
        <w:t xml:space="preserve"> </w:t>
      </w:r>
      <w:r>
        <w:t xml:space="preserve">CI sauf : traitement des infections urinaires compliquées (≥ 6 mois, 10 mg/kg × 2/j), prophylaxie anthrax, mucoviscidose (selon AMM locale).</w:t>
      </w:r>
      <w:r>
        <w:t xml:space="preserve"> </w:t>
      </w:r>
      <w:r>
        <w:t xml:space="preserve">-</w:t>
      </w:r>
      <w:r>
        <w:t xml:space="preserve"> </w:t>
      </w:r>
      <w:r>
        <w:rPr>
          <w:b/>
          <w:bCs/>
        </w:rPr>
        <w:t xml:space="preserve">Durée :</w:t>
      </w:r>
      <w:r>
        <w:t xml:space="preserve"> </w:t>
      </w:r>
      <w:r>
        <w:t xml:space="preserve">PAC 5–7 j ; sinusite 5–7 j ; exacerbation BPCO 5 j ; pyélonéphrite 5–10 j ; prostatite 2–4 sem ; infections osseuses 6 sem.</w:t>
      </w:r>
      <w:r>
        <w:t xml:space="preserve"> </w:t>
      </w:r>
      <w:r>
        <w:t xml:space="preserve">-</w:t>
      </w:r>
      <w:r>
        <w:t xml:space="preserve"> </w:t>
      </w:r>
      <w:r>
        <w:rPr>
          <w:b/>
          <w:bCs/>
        </w:rPr>
        <w:t xml:space="preserve">Moment de prise :</w:t>
      </w:r>
      <w:r>
        <w:t xml:space="preserve"> </w:t>
      </w:r>
      <w:r>
        <w:t xml:space="preserve">À distance des cations (2 h avant / 6 h après), à heure fixe (mono-quotidienne), indépendamment des repas.</w:t>
      </w:r>
    </w:p>
    <w:p>
      <w:pPr>
        <w:pStyle w:val="BodyText"/>
      </w:pPr>
      <w:r>
        <w:rPr>
          <w:b/>
          <w:bCs/>
        </w:rPr>
        <w:t xml:space="preserve">Arbitrage et Bénéfices des Formes Galéniques :</w:t>
      </w:r>
      <w:r>
        <w:t xml:space="preserve"> </w:t>
      </w:r>
      <w:r>
        <w:t xml:space="preserve">La lévofloxacine offre une biodisponibilité orale quasi totale (</w:t>
      </w:r>
      <w:r>
        <w:rPr>
          <w:b/>
          <w:bCs/>
        </w:rPr>
        <w:t xml:space="preserve">99 %</w:t>
      </w:r>
      <w:r>
        <w:t xml:space="preserve">), ce qui autorise un relais oral précoce (parfois dès J2) et explique la dominance des formes orales dans la nomenclature algérienne. La mono-quotidienne simplifie l’observance. Les dosages 250/500/750 mg permettent une titration progressive. La forme IV (RAZES, LEVOQUIN) est réservée aux formes sévères, au patient incapable de prise PO, et permet une transition douce. Le collyre LEVOWORLD, VIVAXIN à 5 mg/mL est une concentration supérieure à celle de la ciprofloxacine (3 mg/mL) — excellente diffusion cornéenne, mais contre-indiqué si port de lentilles (conservateur).</w:t>
      </w:r>
    </w:p>
    <w:p>
      <w:pPr>
        <w:pStyle w:val="BodyText"/>
      </w:pPr>
      <w:r>
        <w:rPr>
          <w:b/>
          <w:bCs/>
        </w:rPr>
        <w:t xml:space="preserve">Instructions et Conseils au Patient :</w:t>
      </w:r>
      <w:r>
        <w:t xml:space="preserve"> </w:t>
      </w:r>
      <w:r>
        <w:t xml:space="preserve">-</w:t>
      </w:r>
      <w:r>
        <w:t xml:space="preserve"> </w:t>
      </w:r>
      <w:r>
        <w:rPr>
          <w:b/>
          <w:bCs/>
        </w:rPr>
        <w:t xml:space="preserve">Communication au comptoir :</w:t>
      </w:r>
      <w:r>
        <w:t xml:space="preserve"> </w:t>
      </w:r>
      <w:r>
        <w:t xml:space="preserve">« Antibiotique à prendre</w:t>
      </w:r>
      <w:r>
        <w:t xml:space="preserve"> </w:t>
      </w:r>
      <w:r>
        <w:rPr>
          <w:b/>
          <w:bCs/>
        </w:rPr>
        <w:t xml:space="preserve">une fois par jour</w:t>
      </w:r>
      <w:r>
        <w:t xml:space="preserve">, toujours à la même heure. Évitez le soleil. Prévenez immédiatement votre médecin si vous avez une douleur au talon, des fourmillements, des palpitations. Éloignez-le de 2 heures des antiacides et du fer. Buvez beaucoup d’eau. »</w:t>
      </w:r>
      <w:r>
        <w:t xml:space="preserve"> </w:t>
      </w:r>
      <w:r>
        <w:t xml:space="preserve">-</w:t>
      </w:r>
      <w:r>
        <w:t xml:space="preserve"> </w:t>
      </w:r>
      <w:r>
        <w:rPr>
          <w:b/>
          <w:bCs/>
        </w:rPr>
        <w:t xml:space="preserve">Mode d’utilisation pratique :</w:t>
      </w:r>
      <w:r>
        <w:t xml:space="preserve"> </w:t>
      </w:r>
      <w:r>
        <w:t xml:space="preserve">Compri avalé avec grand verre d’eau, debout/assis, ne pas s’allonger dans l’heure. Oubli &lt; 12 h : prendre ; &gt; 12 h : sauter. Collyre : 1 goutte × 3–6/j dans l’œil atteint.</w:t>
      </w:r>
    </w:p>
    <w:p>
      <w:pPr>
        <w:pStyle w:val="BodyText"/>
      </w:pPr>
      <w:r>
        <w:rPr>
          <w:b/>
          <w:bCs/>
        </w:rPr>
        <w:t xml:space="preserve">Notes, Règles d’Or &amp; Pièges au Comptoir :</w:t>
      </w:r>
      <w:r>
        <w:t xml:space="preserve"> </w:t>
      </w:r>
      <w:r>
        <w:t xml:space="preserve">-</w:t>
      </w:r>
      <w:r>
        <w:t xml:space="preserve"> </w:t>
      </w:r>
      <w:r>
        <w:rPr>
          <w:b/>
          <w:bCs/>
        </w:rPr>
        <w:t xml:space="preserve">Piège classique n°1 :</w:t>
      </w:r>
      <w:r>
        <w:t xml:space="preserve"> </w:t>
      </w:r>
      <w:r>
        <w:t xml:space="preserve">Lévofloxacine + antidiabétique → hypoglycémie sévère chez le sujet âgé diabétique. Toujours demander « Êtes-vous diabétique ? » et signaler la nécessité d’autosurveillance accrue.</w:t>
      </w:r>
      <w:r>
        <w:t xml:space="preserve"> </w:t>
      </w:r>
      <w:r>
        <w:t xml:space="preserve">-</w:t>
      </w:r>
      <w:r>
        <w:t xml:space="preserve"> </w:t>
      </w:r>
      <w:r>
        <w:rPr>
          <w:b/>
          <w:bCs/>
        </w:rPr>
        <w:t xml:space="preserve">Piège classique n°2 :</w:t>
      </w:r>
      <w:r>
        <w:t xml:space="preserve"> </w:t>
      </w:r>
      <w:r>
        <w:t xml:space="preserve">Patient sous amiodarone ou neuroleptique (prolongation QT additive) → appeler le prescripteur.</w:t>
      </w:r>
      <w:r>
        <w:t xml:space="preserve"> </w:t>
      </w:r>
      <w:r>
        <w:t xml:space="preserve">-</w:t>
      </w:r>
      <w:r>
        <w:t xml:space="preserve"> </w:t>
      </w:r>
      <w:r>
        <w:rPr>
          <w:b/>
          <w:bCs/>
        </w:rPr>
        <w:t xml:space="preserve">Piège classique n°3 :</w:t>
      </w:r>
      <w:r>
        <w:t xml:space="preserve"> </w:t>
      </w:r>
      <w:r>
        <w:t xml:space="preserve">Forme IV substituée par forme PO sans ajustement (équivalence 1:1 — mais vérifier la dose totale quotidienne).</w:t>
      </w:r>
      <w:r>
        <w:t xml:space="preserve"> </w:t>
      </w:r>
      <w:r>
        <w:t xml:space="preserve">-</w:t>
      </w:r>
      <w:r>
        <w:t xml:space="preserve"> </w:t>
      </w:r>
      <w:r>
        <w:rPr>
          <w:b/>
          <w:bCs/>
        </w:rPr>
        <w:t xml:space="preserve">Règle de prise :</w:t>
      </w:r>
      <w:r>
        <w:t xml:space="preserve"> </w:t>
      </w:r>
      <w:r>
        <w:t xml:space="preserve">2 h avant ou 6 h après les cations ; heure fixe ; hydratation ≥ 1,5 L.</w:t>
      </w:r>
      <w:r>
        <w:t xml:space="preserve"> </w:t>
      </w:r>
      <w:r>
        <w:t xml:space="preserve">-</w:t>
      </w:r>
      <w:r>
        <w:t xml:space="preserve"> </w:t>
      </w:r>
      <w:r>
        <w:rPr>
          <w:b/>
          <w:bCs/>
        </w:rPr>
        <w:t xml:space="preserve">Préparation et Conservation :</w:t>
      </w:r>
      <w:r>
        <w:t xml:space="preserve"> </w:t>
      </w:r>
      <w:r>
        <w:t xml:space="preserve">Comprimés à température ambiante. Solution pour perfusion : à conserver à l’abri de la lumière, perfusion lente sur 60–90 min (rapidité excessive → phlébite). Collyre : jeter 15 j après ouverture.</w:t>
      </w:r>
      <w:r>
        <w:t xml:space="preserve"> </w:t>
      </w:r>
      <w:r>
        <w:t xml:space="preserve">-</w:t>
      </w:r>
      <w:r>
        <w:t xml:space="preserve"> </w:t>
      </w:r>
      <w:r>
        <w:rPr>
          <w:b/>
          <w:bCs/>
        </w:rPr>
        <w:t xml:space="preserve">Piège du surdosage / Substitution :</w:t>
      </w:r>
      <w:r>
        <w:t xml:space="preserve"> </w:t>
      </w:r>
      <w:r>
        <w:t xml:space="preserve">Substitution acceptable au sein des formes orales (MATADOR, LEVOFLOX, LEVOQUIN, LOXAMOX, TAVANIC NR/R). Ne pas substituer une forme IV par une forme PO sans l’avis du prescripteur en milieu hospitalier. Attention à l’adaptation rénale chez le sujet âgé (formule Cockcroft et non MDRD pour adapter correctement).</w:t>
      </w:r>
    </w:p>
    <w:p>
      <w:r>
        <w:pict>
          <v:rect style="width:0;height:1.5pt" o:hralign="center" o:hrstd="t" o:hr="t"/>
        </w:pict>
      </w:r>
    </w:p>
    <w:bookmarkEnd w:id="155"/>
    <w:bookmarkStart w:id="156" w:name="dci-moxifloxacine-seule"/>
    <w:p>
      <w:pPr>
        <w:pStyle w:val="Heading2"/>
      </w:pPr>
      <w:r>
        <w:t xml:space="preserve">3. DCI : Moxifloxacine (Seule)</w:t>
      </w:r>
    </w:p>
    <w:p>
      <w:pPr>
        <w:pStyle w:val="FirstParagraph"/>
      </w:pPr>
      <w:r>
        <w:rPr>
          <w:b/>
          <w:bCs/>
        </w:rPr>
        <w:t xml:space="preserve">Liste des Catégories :</w:t>
      </w:r>
      <w:r>
        <w:t xml:space="preserve"> </w:t>
      </w:r>
      <w:r>
        <w:t xml:space="preserve">Antibactérien systémique, Fluoroquinolone de 4e génération (respiratoire, anti-anaérobie).</w:t>
      </w:r>
    </w:p>
    <w:p>
      <w:pPr>
        <w:pStyle w:val="BodyText"/>
      </w:pPr>
      <w:r>
        <w:t xml:space="preserve">La moxifloxacine, introduite en 1999, est la FQ de 4e génération la plus aboutie sur le plan pharmacodynamique : sa structure chimique (groupement 8-méthoxy et C7 bulky) lui confère une activité remarquable sur le pneumocoque y compris pénicillino-résistant et une couverture anaérobie unique parmi les FQ systémiques. En revanche, son activité sur</w:t>
      </w:r>
      <w:r>
        <w:t xml:space="preserve"> </w:t>
      </w:r>
      <w:r>
        <w:rPr>
          <w:i/>
          <w:iCs/>
        </w:rPr>
        <w:t xml:space="preserve">Pseudomonas aeruginosa</w:t>
      </w:r>
      <w:r>
        <w:t xml:space="preserve"> </w:t>
      </w:r>
      <w:r>
        <w:t xml:space="preserve">est</w:t>
      </w:r>
      <w:r>
        <w:t xml:space="preserve"> </w:t>
      </w:r>
      <w:r>
        <w:rPr>
          <w:b/>
          <w:bCs/>
        </w:rPr>
        <w:t xml:space="preserve">nulle</w:t>
      </w:r>
      <w:r>
        <w:t xml:space="preserve"> </w:t>
      </w:r>
      <w:r>
        <w:t xml:space="preserve">et doit être proscrite en cas de suspicion d’infection à</w:t>
      </w:r>
      <w:r>
        <w:t xml:space="preserve"> </w:t>
      </w:r>
      <w:r>
        <w:rPr>
          <w:i/>
          <w:iCs/>
        </w:rPr>
        <w:t xml:space="preserve">Pseudomonas</w:t>
      </w:r>
      <w:r>
        <w:t xml:space="preserve">. En Algérie, seule la spécialité</w:t>
      </w:r>
      <w:r>
        <w:t xml:space="preserve"> </w:t>
      </w:r>
      <w:r>
        <w:rPr>
          <w:b/>
          <w:bCs/>
        </w:rPr>
        <w:t xml:space="preserve">AVELOX 400 mg</w:t>
      </w:r>
      <w:r>
        <w:t xml:space="preserve"> </w:t>
      </w:r>
      <w:r>
        <w:t xml:space="preserve">(BAYER) est commercialisée, actuellement en statut</w:t>
      </w:r>
      <w:r>
        <w:t xml:space="preserve"> </w:t>
      </w:r>
      <w:r>
        <w:rPr>
          <w:b/>
          <w:bCs/>
        </w:rPr>
        <w:t xml:space="preserve">Non Renouvelable</w:t>
      </w:r>
      <w:r>
        <w:t xml:space="preserve"> </w:t>
      </w:r>
      <w:r>
        <w:t xml:space="preserve">— ce qui pose un problème d’accès pour les patients algériens nécessitant une FQ respiratoire de 4e génération ; la lévofloxacine constitue l’alternative de choix.</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AVELOX</w:t>
      </w:r>
      <w:r>
        <w:t xml:space="preserve"> </w:t>
      </w:r>
      <w:r>
        <w:t xml:space="preserve">(BAYER SCHERING PHARMA AG) — comprimé pelliculé 400 mg, B/05 et B/07 — Non Renouvelable</w:t>
      </w:r>
    </w:p>
    <w:p>
      <w:pPr>
        <w:pStyle w:val="BodyText"/>
      </w:pPr>
      <w:r>
        <w:rPr>
          <w:i/>
          <w:iCs/>
        </w:rPr>
        <w:t xml:space="preserve">Aucune autre marque disponible à ce jour dans la nomenclature algérienne (avril 2026).</w:t>
      </w:r>
    </w:p>
    <w:p>
      <w:pPr>
        <w:pStyle w:val="BodyText"/>
      </w:pPr>
      <w:r>
        <w:rPr>
          <w:b/>
          <w:bCs/>
        </w:rPr>
        <w:t xml:space="preserve">Sous-classe et Mécanisme d’action :</w:t>
      </w:r>
      <w:r>
        <w:t xml:space="preserve"> </w:t>
      </w:r>
      <w:r>
        <w:t xml:space="preserve">-</w:t>
      </w:r>
      <w:r>
        <w:t xml:space="preserve"> </w:t>
      </w:r>
      <w:r>
        <w:rPr>
          <w:b/>
          <w:bCs/>
        </w:rPr>
        <w:t xml:space="preserve">Sous-classe :</w:t>
      </w:r>
      <w:r>
        <w:t xml:space="preserve"> </w:t>
      </w:r>
      <w:r>
        <w:t xml:space="preserve">Fluoroquinolone de 4e génération,</w:t>
      </w:r>
      <w:r>
        <w:t xml:space="preserve"> </w:t>
      </w:r>
      <w:r>
        <w:rPr>
          <w:b/>
          <w:bCs/>
        </w:rPr>
        <w:t xml:space="preserve">respiratoire</w:t>
      </w:r>
      <w:r>
        <w:t xml:space="preserve">, avec activité anti-anaérobie. Pas d’activité antipseudomonal.</w:t>
      </w:r>
      <w:r>
        <w:t xml:space="preserve"> </w:t>
      </w:r>
      <w:r>
        <w:t xml:space="preserve">-</w:t>
      </w:r>
      <w:r>
        <w:t xml:space="preserve"> </w:t>
      </w:r>
      <w:r>
        <w:rPr>
          <w:b/>
          <w:bCs/>
        </w:rPr>
        <w:t xml:space="preserve">Mécanisme d’action :</w:t>
      </w:r>
      <w:r>
        <w:t xml:space="preserve"> </w:t>
      </w:r>
      <w:r>
        <w:t xml:space="preserve">Bactéricide concentration-dépendant. Inhibition de l’</w:t>
      </w:r>
      <w:r>
        <w:rPr>
          <w:b/>
          <w:bCs/>
        </w:rPr>
        <w:t xml:space="preserve">ADN gyrase</w:t>
      </w:r>
      <w:r>
        <w:t xml:space="preserve"> </w:t>
      </w:r>
      <w:r>
        <w:t xml:space="preserve">(GyrA/GyrB) et de la</w:t>
      </w:r>
      <w:r>
        <w:t xml:space="preserve"> </w:t>
      </w:r>
      <w:r>
        <w:rPr>
          <w:b/>
          <w:bCs/>
        </w:rPr>
        <w:t xml:space="preserve">topoisomérase IV</w:t>
      </w:r>
      <w:r>
        <w:t xml:space="preserve"> </w:t>
      </w:r>
      <w:r>
        <w:t xml:space="preserve">(ParC/ParE). Le groupement</w:t>
      </w:r>
      <w:r>
        <w:t xml:space="preserve"> </w:t>
      </w:r>
      <w:r>
        <w:rPr>
          <w:b/>
          <w:bCs/>
        </w:rPr>
        <w:t xml:space="preserve">8-méthoxy</w:t>
      </w:r>
      <w:r>
        <w:t xml:space="preserve"> </w:t>
      </w:r>
      <w:r>
        <w:t xml:space="preserve">améliore l’activité contre les Gram positifs et diminue la sélection de mutants résistants ; le groupement bulky en C7 (octahydropyrrolo-pyrimidine) élargit le spectre aux anaérobies. La cible primaire chez le pneumocoque est GyrA (et non ParC comme pour la ciprofloxacine), ce qui explique la conservation d’activité malgré les mutations ParC. La moxifloxacine présente une</w:t>
      </w:r>
      <w:r>
        <w:t xml:space="preserve"> </w:t>
      </w:r>
      <w:r>
        <w:rPr>
          <w:b/>
          <w:bCs/>
        </w:rPr>
        <w:t xml:space="preserve">affinité équilibrée pour les deux enzymes</w:t>
      </w:r>
      <w:r>
        <w:t xml:space="preserve">, ce qui limite l’émergence de résistance par mutation unique.</w:t>
      </w:r>
    </w:p>
    <w:p>
      <w:pPr>
        <w:pStyle w:val="BodyText"/>
      </w:pPr>
      <w:r>
        <w:rPr>
          <w:b/>
          <w:bCs/>
        </w:rPr>
        <w:t xml:space="preserve">Profil Pharmacologique :</w:t>
      </w:r>
      <w:r>
        <w:t xml:space="preserve"> </w:t>
      </w:r>
      <w:r>
        <w:t xml:space="preserve">-</w:t>
      </w:r>
      <w:r>
        <w:t xml:space="preserve"> </w:t>
      </w:r>
      <w:r>
        <w:rPr>
          <w:b/>
          <w:bCs/>
        </w:rPr>
        <w:t xml:space="preserve">Indications :</w:t>
      </w:r>
      <w:r>
        <w:t xml:space="preserve"> </w:t>
      </w:r>
      <w:r>
        <w:t xml:space="preserve">Pneumopathies aiguës communautaires de l’adulte (en monothérapie selon SPILF/SPLF 2006, en alternative aux bêta-lactamines + macrolides) ; exacerbations aiguës de BPCO ; sinusites bactériennes aiguës ; infections cutanées non compliquées ; tuberculose ultra-résistante (XDR-TB) en association (deuxième ligne, OMS).</w:t>
      </w:r>
      <w:r>
        <w:t xml:space="preserve"> </w:t>
      </w:r>
      <w:r>
        <w:rPr>
          <w:b/>
          <w:bCs/>
        </w:rPr>
        <w:t xml:space="preserve">À réserver</w:t>
      </w:r>
      <w:r>
        <w:t xml:space="preserve"> </w:t>
      </w:r>
      <w:r>
        <w:t xml:space="preserve">selon ANSM aux situations où les bêta-lactamines et macrolides sont inefficaces ou contre-indiqués.</w:t>
      </w:r>
      <w:r>
        <w:t xml:space="preserve"> </w:t>
      </w:r>
      <w:r>
        <w:t xml:space="preserve">-</w:t>
      </w:r>
      <w:r>
        <w:t xml:space="preserve"> </w:t>
      </w:r>
      <w:r>
        <w:rPr>
          <w:b/>
          <w:bCs/>
        </w:rPr>
        <w:t xml:space="preserve">Contre-indications :</w:t>
      </w:r>
      <w:r>
        <w:t xml:space="preserve"> </w:t>
      </w:r>
      <w:r>
        <w:t xml:space="preserve">Allongement du QTc congénital ou acquis ; troubles électrolytiques non corrigés (hypokaliémie, hypomagnésémie) ; bradycardie sinusale cliniquement significative ; insuffisance cardiaque décompensée ; ATCD d’arythmie ventriculaire ; association avec antiarythmiques Ia/III et autres allongeant le QT ; ATCD de tendinopathie FQ ; myasthénie ; épilepsie ; grossesse/allaitement ; enfant/adolescent ; insuffisance hépatique sévère (Child-Pugh C) car élimination biliaire exclusive ; hypersensibilité FQ.</w:t>
      </w:r>
      <w:r>
        <w:t xml:space="preserve"> </w:t>
      </w:r>
      <w:r>
        <w:t xml:space="preserve">-</w:t>
      </w:r>
      <w:r>
        <w:t xml:space="preserve"> </w:t>
      </w:r>
      <w:r>
        <w:rPr>
          <w:b/>
          <w:bCs/>
        </w:rPr>
        <w:t xml:space="preserve">Effets Indésirables :</w:t>
      </w:r>
      <w:r>
        <w:t xml:space="preserve"> </w:t>
      </w:r>
      <w:r>
        <w:rPr>
          <w:b/>
          <w:bCs/>
        </w:rPr>
        <w:t xml:space="preserve">Allongement du QTc marqué (max 6–10 ms en moyenne)</w:t>
      </w:r>
      <w:r>
        <w:t xml:space="preserve"> </w:t>
      </w:r>
      <w:r>
        <w:t xml:space="preserve">— risque de torsades de pointe surtout en association ; tendinopathies et ruptures ; NAO ; dysglycémies (signal plus marqué que lévofloxacine) ;</w:t>
      </w:r>
      <w:r>
        <w:t xml:space="preserve"> </w:t>
      </w:r>
      <w:r>
        <w:rPr>
          <w:b/>
          <w:bCs/>
        </w:rPr>
        <w:t xml:space="preserve">hépatites graves</w:t>
      </w:r>
      <w:r>
        <w:t xml:space="preserve"> </w:t>
      </w:r>
      <w:r>
        <w:t xml:space="preserve">(alerte EMA 2008 — rares cas d’insuffisance hépatique fulminante, justifiant l’arrêt en cas d’ictère ou ASAT/ALAT &gt; 3 LSN) ; diarrhée à</w:t>
      </w:r>
      <w:r>
        <w:t xml:space="preserve"> </w:t>
      </w:r>
      <w:r>
        <w:rPr>
          <w:i/>
          <w:iCs/>
        </w:rPr>
        <w:t xml:space="preserve">C. difficile</w:t>
      </w:r>
      <w:r>
        <w:t xml:space="preserve"> </w:t>
      </w:r>
      <w:r>
        <w:t xml:space="preserve">; réactions cutanées sévères ; colite pseudo-membraneuse ; risque accru d’</w:t>
      </w:r>
      <w:r>
        <w:rPr>
          <w:b/>
          <w:bCs/>
        </w:rPr>
        <w:t xml:space="preserve">aortopathie et dissection aortique</w:t>
      </w:r>
      <w:r>
        <w:t xml:space="preserve"> </w:t>
      </w:r>
      <w:r>
        <w:t xml:space="preserve">(FDA 2018) ; photosensibilité moindre que les autres FQ.</w:t>
      </w:r>
    </w:p>
    <w:p>
      <w:pPr>
        <w:pStyle w:val="BodyText"/>
      </w:pPr>
      <w:r>
        <w:rPr>
          <w:b/>
          <w:bCs/>
        </w:rPr>
        <w:t xml:space="preserve">Prévention et Gestion des Effets Indésirables :</w:t>
      </w:r>
      <w:r>
        <w:t xml:space="preserve"> </w:t>
      </w:r>
      <w:r>
        <w:t xml:space="preserve">-</w:t>
      </w:r>
      <w:r>
        <w:t xml:space="preserve"> </w:t>
      </w:r>
      <w:r>
        <w:rPr>
          <w:b/>
          <w:bCs/>
        </w:rPr>
        <w:t xml:space="preserve">Mesures Préventives :</w:t>
      </w:r>
      <w:r>
        <w:t xml:space="preserve"> </w:t>
      </w:r>
      <w:r>
        <w:t xml:space="preserve">ECG pré-thérapeutique et surveillance (QTc corrigé selon Fredericia) chez tout patient à risque ; bilan hépatique préalable et hebdomadaire ; évaluation du risque tendineux ; surveillance glycémique chez diabétique ; arrêt des IPP et antiacides 2 h avant/6 h après.</w:t>
      </w:r>
      <w:r>
        <w:t xml:space="preserve"> </w:t>
      </w:r>
      <w:r>
        <w:t xml:space="preserve">-</w:t>
      </w:r>
      <w:r>
        <w:t xml:space="preserve"> </w:t>
      </w:r>
      <w:r>
        <w:rPr>
          <w:b/>
          <w:bCs/>
        </w:rPr>
        <w:t xml:space="preserve">Conduite à Tenir :</w:t>
      </w:r>
      <w:r>
        <w:t xml:space="preserve"> </w:t>
      </w:r>
      <w:r>
        <w:t xml:space="preserve">Arrêt immédiat en cas d’élévation ALAT &gt; 3 LSN avec ictère, en cas de douleur tendineuse, de paresthésies, de syncope/palpitations (ECG urgent), de diarrhée sanglante, d’éruption cutanée fébrile.</w:t>
      </w:r>
    </w:p>
    <w:p>
      <w:pPr>
        <w:pStyle w:val="BodyText"/>
      </w:pPr>
      <w:r>
        <w:rPr>
          <w:b/>
          <w:bCs/>
        </w:rPr>
        <w:t xml:space="preserve">Interactions Importantes :</w:t>
      </w:r>
      <w:r>
        <w:t xml:space="preserve"> </w:t>
      </w:r>
      <w:r>
        <w:t xml:space="preserve">-</w:t>
      </w:r>
      <w:r>
        <w:t xml:space="preserve"> </w:t>
      </w:r>
      <w:r>
        <w:rPr>
          <w:b/>
          <w:bCs/>
        </w:rPr>
        <w:t xml:space="preserve">Sels cationiques polyvalents</w:t>
      </w:r>
      <w:r>
        <w:t xml:space="preserve"> </w:t>
      </w:r>
      <w:r>
        <w:t xml:space="preserve">: chélation → espacer 2 h avant / 6 h après.</w:t>
      </w:r>
      <w:r>
        <w:t xml:space="preserve"> </w:t>
      </w:r>
      <w:r>
        <w:t xml:space="preserve">-</w:t>
      </w:r>
      <w:r>
        <w:t xml:space="preserve"> </w:t>
      </w:r>
      <w:r>
        <w:rPr>
          <w:b/>
          <w:bCs/>
        </w:rPr>
        <w:t xml:space="preserve">Antiarythmiques Ia (quinidine, procainamide) et III (amiodarone, sotalol, ibutilide, dofétilide)</w:t>
      </w:r>
      <w:r>
        <w:t xml:space="preserve"> </w:t>
      </w:r>
      <w:r>
        <w:t xml:space="preserve">: allongement QT additif →</w:t>
      </w:r>
      <w:r>
        <w:t xml:space="preserve"> </w:t>
      </w:r>
      <w:r>
        <w:rPr>
          <w:b/>
          <w:bCs/>
        </w:rPr>
        <w:t xml:space="preserve">association déconseillée/CI</w:t>
      </w:r>
      <w:r>
        <w:t xml:space="preserve">.</w:t>
      </w:r>
      <w:r>
        <w:t xml:space="preserve"> </w:t>
      </w:r>
      <w:r>
        <w:t xml:space="preserve">-</w:t>
      </w:r>
      <w:r>
        <w:t xml:space="preserve"> </w:t>
      </w:r>
      <w:r>
        <w:rPr>
          <w:b/>
          <w:bCs/>
        </w:rPr>
        <w:t xml:space="preserve">Neuroleptiques (phénothiazines, butyrophénones, pipampérone, tiapride)</w:t>
      </w:r>
      <w:r>
        <w:t xml:space="preserve"> </w:t>
      </w:r>
      <w:r>
        <w:t xml:space="preserve">: idem.</w:t>
      </w:r>
      <w:r>
        <w:t xml:space="preserve"> </w:t>
      </w:r>
      <w:r>
        <w:t xml:space="preserve">-</w:t>
      </w:r>
      <w:r>
        <w:t xml:space="preserve"> </w:t>
      </w:r>
      <w:r>
        <w:rPr>
          <w:b/>
          <w:bCs/>
        </w:rPr>
        <w:t xml:space="preserve">Macrolides (érythromycine, clarithromycine)</w:t>
      </w:r>
      <w:r>
        <w:t xml:space="preserve"> </w:t>
      </w:r>
      <w:r>
        <w:t xml:space="preserve">: idem.</w:t>
      </w:r>
      <w:r>
        <w:t xml:space="preserve"> </w:t>
      </w:r>
      <w:r>
        <w:t xml:space="preserve">-</w:t>
      </w:r>
      <w:r>
        <w:t xml:space="preserve"> </w:t>
      </w:r>
      <w:r>
        <w:rPr>
          <w:b/>
          <w:bCs/>
        </w:rPr>
        <w:t xml:space="preserve">Antifongiques azolés (fluconazole, itraconazole)</w:t>
      </w:r>
      <w:r>
        <w:t xml:space="preserve"> </w:t>
      </w:r>
      <w:r>
        <w:t xml:space="preserve">: idem.</w:t>
      </w:r>
      <w:r>
        <w:t xml:space="preserve"> </w:t>
      </w:r>
      <w:r>
        <w:t xml:space="preserve">-</w:t>
      </w:r>
      <w:r>
        <w:t xml:space="preserve"> </w:t>
      </w:r>
      <w:r>
        <w:rPr>
          <w:b/>
          <w:bCs/>
        </w:rPr>
        <w:t xml:space="preserve">Antidépresseurs tricycliques et ISRS</w:t>
      </w:r>
      <w:r>
        <w:t xml:space="preserve"> </w:t>
      </w:r>
      <w:r>
        <w:t xml:space="preserve">: surveillance.</w:t>
      </w:r>
      <w:r>
        <w:t xml:space="preserve"> </w:t>
      </w:r>
      <w:r>
        <w:t xml:space="preserve">-</w:t>
      </w:r>
      <w:r>
        <w:t xml:space="preserve"> </w:t>
      </w:r>
      <w:r>
        <w:rPr>
          <w:b/>
          <w:bCs/>
        </w:rPr>
        <w:t xml:space="preserve">Méthadone</w:t>
      </w:r>
      <w:r>
        <w:t xml:space="preserve"> </w:t>
      </w:r>
      <w:r>
        <w:t xml:space="preserve">: allongement QT.</w:t>
      </w:r>
      <w:r>
        <w:t xml:space="preserve"> </w:t>
      </w:r>
      <w:r>
        <w:t xml:space="preserve">-</w:t>
      </w:r>
      <w:r>
        <w:t xml:space="preserve"> </w:t>
      </w:r>
      <w:r>
        <w:rPr>
          <w:b/>
          <w:bCs/>
        </w:rPr>
        <w:t xml:space="preserve">AVK</w:t>
      </w:r>
      <w:r>
        <w:t xml:space="preserve"> </w:t>
      </w:r>
      <w:r>
        <w:t xml:space="preserve">: surveillance INR.</w:t>
      </w:r>
      <w:r>
        <w:t xml:space="preserve"> </w:t>
      </w:r>
      <w:r>
        <w:t xml:space="preserve">-</w:t>
      </w:r>
      <w:r>
        <w:t xml:space="preserve"> </w:t>
      </w:r>
      <w:r>
        <w:rPr>
          <w:b/>
          <w:bCs/>
        </w:rPr>
        <w:t xml:space="preserve">Ciclosporine</w:t>
      </w:r>
      <w:r>
        <w:t xml:space="preserve"> </w:t>
      </w:r>
      <w:r>
        <w:t xml:space="preserve">: surveillance rénale.</w:t>
      </w:r>
      <w:r>
        <w:t xml:space="preserve"> </w:t>
      </w:r>
      <w:r>
        <w:t xml:space="preserve">-</w:t>
      </w:r>
      <w:r>
        <w:t xml:space="preserve"> </w:t>
      </w:r>
      <w:r>
        <w:rPr>
          <w:b/>
          <w:bCs/>
        </w:rPr>
        <w:t xml:space="preserve">Charbon activé</w:t>
      </w:r>
      <w:r>
        <w:t xml:space="preserve"> </w:t>
      </w:r>
      <w:r>
        <w:t xml:space="preserve">: réduit l’absorption (espacer ≥ 2 h).</w:t>
      </w:r>
      <w:r>
        <w:t xml:space="preserve"> </w:t>
      </w:r>
      <w:r>
        <w:t xml:space="preserve">-</w:t>
      </w:r>
      <w:r>
        <w:t xml:space="preserve"> </w:t>
      </w:r>
      <w:r>
        <w:rPr>
          <w:i/>
          <w:iCs/>
        </w:rPr>
        <w:t xml:space="preserve">Note : La moxifloxacine n’est pas métabolisée par le CYP450 (sulfate- et glucurono-conjugaison) — peu d’interactions enzymatiques.</w:t>
      </w:r>
    </w:p>
    <w:p>
      <w:pPr>
        <w:pStyle w:val="BodyText"/>
      </w:pPr>
      <w:r>
        <w:rPr>
          <w:b/>
          <w:bCs/>
        </w:rPr>
        <w:t xml:space="preserve">Grossesse et Allaitement :</w:t>
      </w:r>
      <w:r>
        <w:t xml:space="preserve"> </w:t>
      </w:r>
      <w:r>
        <w:t xml:space="preserve">-</w:t>
      </w:r>
      <w:r>
        <w:t xml:space="preserve"> </w:t>
      </w:r>
      <w:r>
        <w:rPr>
          <w:b/>
          <w:bCs/>
        </w:rPr>
        <w:t xml:space="preserve">Grossesse :</w:t>
      </w:r>
      <w:r>
        <w:t xml:space="preserve"> </w:t>
      </w:r>
      <w:r>
        <w:t xml:space="preserve">CI formelle (CRAT) — à éviter quel que soit le trimestre.</w:t>
      </w:r>
      <w:r>
        <w:t xml:space="preserve"> </w:t>
      </w:r>
      <w:r>
        <w:t xml:space="preserve">-</w:t>
      </w:r>
      <w:r>
        <w:t xml:space="preserve"> </w:t>
      </w:r>
      <w:r>
        <w:rPr>
          <w:b/>
          <w:bCs/>
        </w:rPr>
        <w:t xml:space="preserve">Allaitement :</w:t>
      </w:r>
      <w:r>
        <w:t xml:space="preserve"> </w:t>
      </w:r>
      <w:r>
        <w:t xml:space="preserve">CI par voie systémique (passage lacté, accumulation cartilage).</w:t>
      </w:r>
      <w:r>
        <w:t xml:space="preserve"> </w:t>
      </w:r>
      <w:r>
        <w:t xml:space="preserve">-</w:t>
      </w:r>
      <w:r>
        <w:t xml:space="preserve"> </w:t>
      </w:r>
      <w:r>
        <w:rPr>
          <w:b/>
          <w:bCs/>
        </w:rPr>
        <w:t xml:space="preserve">Précisions :</w:t>
      </w:r>
      <w:r>
        <w:t xml:space="preserve"> </w:t>
      </w:r>
      <w:r>
        <w:t xml:space="preserve">Le risque d’aortopathie fœtale ne peut être exclu.</w:t>
      </w:r>
    </w:p>
    <w:p>
      <w:pPr>
        <w:pStyle w:val="BodyText"/>
      </w:pPr>
      <w:r>
        <w:rPr>
          <w:b/>
          <w:bCs/>
        </w:rPr>
        <w:t xml:space="preserve">Posologie et Mode d’administration (Standard) :</w:t>
      </w:r>
      <w:r>
        <w:t xml:space="preserve"> </w:t>
      </w:r>
      <w:r>
        <w:t xml:space="preserve">-</w:t>
      </w:r>
      <w:r>
        <w:t xml:space="preserve"> </w:t>
      </w:r>
      <w:r>
        <w:rPr>
          <w:b/>
          <w:bCs/>
        </w:rPr>
        <w:t xml:space="preserve">Adulte :</w:t>
      </w:r>
      <w:r>
        <w:t xml:space="preserve"> </w:t>
      </w:r>
      <w:r>
        <w:t xml:space="preserve">400 mg × 1/j per os (monothérapie PAC, sinusite, exacerbation BPCO, infections cutanées). IV = per os (ASC équivalente).</w:t>
      </w:r>
      <w:r>
        <w:t xml:space="preserve"> </w:t>
      </w:r>
      <w:r>
        <w:rPr>
          <w:b/>
          <w:bCs/>
        </w:rPr>
        <w:t xml:space="preserve">Pas d’adaptation rénale nécessaire</w:t>
      </w:r>
      <w:r>
        <w:t xml:space="preserve"> </w:t>
      </w:r>
      <w:r>
        <w:t xml:space="preserve">(élimination biliaire prédominante à 80 %). Adaptation hépatique : CI si insuffisance hépatique sévère.</w:t>
      </w:r>
      <w:r>
        <w:t xml:space="preserve"> </w:t>
      </w:r>
      <w:r>
        <w:t xml:space="preserve">-</w:t>
      </w:r>
      <w:r>
        <w:t xml:space="preserve"> </w:t>
      </w:r>
      <w:r>
        <w:rPr>
          <w:b/>
          <w:bCs/>
        </w:rPr>
        <w:t xml:space="preserve">Enfant :</w:t>
      </w:r>
      <w:r>
        <w:t xml:space="preserve"> </w:t>
      </w:r>
      <w:r>
        <w:t xml:space="preserve">CI.</w:t>
      </w:r>
      <w:r>
        <w:t xml:space="preserve"> </w:t>
      </w:r>
      <w:r>
        <w:t xml:space="preserve">-</w:t>
      </w:r>
      <w:r>
        <w:t xml:space="preserve"> </w:t>
      </w:r>
      <w:r>
        <w:rPr>
          <w:b/>
          <w:bCs/>
        </w:rPr>
        <w:t xml:space="preserve">Durée :</w:t>
      </w:r>
      <w:r>
        <w:t xml:space="preserve"> </w:t>
      </w:r>
      <w:r>
        <w:t xml:space="preserve">PAC 5–7 j (parfois 10 j) ; sinusite 7 j ; exacerbation BPCO 5 j ; infections cutanées 7 j ; tuberculose MDR/XDR : 6–20 mois selon protocole OMS.</w:t>
      </w:r>
      <w:r>
        <w:t xml:space="preserve"> </w:t>
      </w:r>
      <w:r>
        <w:t xml:space="preserve">-</w:t>
      </w:r>
      <w:r>
        <w:t xml:space="preserve"> </w:t>
      </w:r>
      <w:r>
        <w:rPr>
          <w:b/>
          <w:bCs/>
        </w:rPr>
        <w:t xml:space="preserve">Moment de prise :</w:t>
      </w:r>
      <w:r>
        <w:t xml:space="preserve"> </w:t>
      </w:r>
      <w:r>
        <w:t xml:space="preserve">À distance des cations (2 h avant / 6 h après), à heure fixe, indépendamment des repas.</w:t>
      </w:r>
    </w:p>
    <w:p>
      <w:pPr>
        <w:pStyle w:val="BodyText"/>
      </w:pPr>
      <w:r>
        <w:rPr>
          <w:b/>
          <w:bCs/>
        </w:rPr>
        <w:t xml:space="preserve">Arbitrage et Bénéfices des Formes Galéniques :</w:t>
      </w:r>
      <w:r>
        <w:t xml:space="preserve"> </w:t>
      </w:r>
      <w:r>
        <w:t xml:space="preserve">La moxifloxacine se distingue par une biodisponibilité orale de</w:t>
      </w:r>
      <w:r>
        <w:t xml:space="preserve"> </w:t>
      </w:r>
      <w:r>
        <w:rPr>
          <w:b/>
          <w:bCs/>
        </w:rPr>
        <w:t xml:space="preserve">91 %</w:t>
      </w:r>
      <w:r>
        <w:t xml:space="preserve"> </w:t>
      </w:r>
      <w:r>
        <w:t xml:space="preserve">(équivalente à la voie IV), une élimination biliaire et fécale à 80 % (ce qui la rend précieuse en cas d’insuffisance rénale où d’autres FQ nécessitent adaptation), une demi-vie longue de 12 h (mono-quotidienne), une excellente diffusion pulmonaire (concentrations épithéliales et macrophagiques &gt; CMI pneumocoque) et une activité anti-anaérobie unique permettant une couverture polyvalente. Sa forme unique en comprimé 400 mg simplifie la prescription. L’indisponibilité actuelle (statut Non Renouvelable) impose de proposer la lévofloxacine comme alternative en Algérie.</w:t>
      </w:r>
    </w:p>
    <w:p>
      <w:pPr>
        <w:pStyle w:val="BodyText"/>
      </w:pPr>
      <w:r>
        <w:rPr>
          <w:b/>
          <w:bCs/>
        </w:rPr>
        <w:t xml:space="preserve">Instructions et Conseils au Patient :</w:t>
      </w:r>
      <w:r>
        <w:t xml:space="preserve"> </w:t>
      </w:r>
      <w:r>
        <w:t xml:space="preserve">-</w:t>
      </w:r>
      <w:r>
        <w:t xml:space="preserve"> </w:t>
      </w:r>
      <w:r>
        <w:rPr>
          <w:b/>
          <w:bCs/>
        </w:rPr>
        <w:t xml:space="preserve">Communication au comptoir :</w:t>
      </w:r>
      <w:r>
        <w:t xml:space="preserve"> </w:t>
      </w:r>
      <w:r>
        <w:t xml:space="preserve">« Antibiotique à</w:t>
      </w:r>
      <w:r>
        <w:t xml:space="preserve"> </w:t>
      </w:r>
      <w:r>
        <w:rPr>
          <w:b/>
          <w:bCs/>
        </w:rPr>
        <w:t xml:space="preserve">une prise par jour</w:t>
      </w:r>
      <w:r>
        <w:t xml:space="preserve">. Évitez le soleil. Prévenez votre médecin si vous avez des palpitations, des vertiges, des douleurs au tendon, des fourmillements, ou si votre peau ou vos yeux jaunissent. Éloignez-le des antiacides et du fer. »</w:t>
      </w:r>
      <w:r>
        <w:t xml:space="preserve"> </w:t>
      </w:r>
      <w:r>
        <w:t xml:space="preserve">-</w:t>
      </w:r>
      <w:r>
        <w:t xml:space="preserve"> </w:t>
      </w:r>
      <w:r>
        <w:rPr>
          <w:b/>
          <w:bCs/>
        </w:rPr>
        <w:t xml:space="preserve">Mode d’utilisation pratique :</w:t>
      </w:r>
      <w:r>
        <w:t xml:space="preserve"> </w:t>
      </w:r>
      <w:r>
        <w:t xml:space="preserve">Comprimé à avaler entier avec un grand verre d’eau, à heure fixe. Oubli &lt; 8 h : prendre ; &gt; 8 h : sauter.</w:t>
      </w:r>
    </w:p>
    <w:p>
      <w:pPr>
        <w:pStyle w:val="BodyText"/>
      </w:pPr>
      <w:r>
        <w:rPr>
          <w:b/>
          <w:bCs/>
        </w:rPr>
        <w:t xml:space="preserve">Notes, Règles d’Or &amp; Pièges au Comptoir :</w:t>
      </w:r>
      <w:r>
        <w:t xml:space="preserve"> </w:t>
      </w:r>
      <w:r>
        <w:t xml:space="preserve">-</w:t>
      </w:r>
      <w:r>
        <w:t xml:space="preserve"> </w:t>
      </w:r>
      <w:r>
        <w:rPr>
          <w:b/>
          <w:bCs/>
        </w:rPr>
        <w:t xml:space="preserve">Piège classique n°1 :</w:t>
      </w:r>
      <w:r>
        <w:t xml:space="preserve"> </w:t>
      </w:r>
      <w:r>
        <w:t xml:space="preserve">Moxifloxacine prescrite chez un patient sous amiodarone ou avec QT long → appeler le prescripteur (risque de torsades).</w:t>
      </w:r>
      <w:r>
        <w:t xml:space="preserve"> </w:t>
      </w:r>
      <w:r>
        <w:t xml:space="preserve">-</w:t>
      </w:r>
      <w:r>
        <w:t xml:space="preserve"> </w:t>
      </w:r>
      <w:r>
        <w:rPr>
          <w:b/>
          <w:bCs/>
        </w:rPr>
        <w:t xml:space="preserve">Piège classique n°2 :</w:t>
      </w:r>
      <w:r>
        <w:t xml:space="preserve"> </w:t>
      </w:r>
      <w:r>
        <w:t xml:space="preserve">Moxifloxacine pour infection urinaire —</w:t>
      </w:r>
      <w:r>
        <w:t xml:space="preserve"> </w:t>
      </w:r>
      <w:r>
        <w:rPr>
          <w:b/>
          <w:bCs/>
        </w:rPr>
        <w:t xml:space="preserve">mauvais choix</w:t>
      </w:r>
      <w:r>
        <w:t xml:space="preserve"> </w:t>
      </w:r>
      <w:r>
        <w:t xml:space="preserve">(élimination biliaire, faible concentration urinaire) ; préférer ciprofloxacine, norfloxacine ou ofloxacine.</w:t>
      </w:r>
      <w:r>
        <w:t xml:space="preserve"> </w:t>
      </w:r>
      <w:r>
        <w:t xml:space="preserve">-</w:t>
      </w:r>
      <w:r>
        <w:t xml:space="preserve"> </w:t>
      </w:r>
      <w:r>
        <w:rPr>
          <w:b/>
          <w:bCs/>
        </w:rPr>
        <w:t xml:space="preserve">Piège classique n°3 :</w:t>
      </w:r>
      <w:r>
        <w:t xml:space="preserve"> </w:t>
      </w:r>
      <w:r>
        <w:t xml:space="preserve">Moxifloxacine pour suspicion d’infection à</w:t>
      </w:r>
      <w:r>
        <w:t xml:space="preserve"> </w:t>
      </w:r>
      <w:r>
        <w:rPr>
          <w:i/>
          <w:iCs/>
        </w:rPr>
        <w:t xml:space="preserve">Pseudomonas</w:t>
      </w:r>
      <w:r>
        <w:t xml:space="preserve"> </w:t>
      </w:r>
      <w:r>
        <w:t xml:space="preserve">—</w:t>
      </w:r>
      <w:r>
        <w:t xml:space="preserve"> </w:t>
      </w:r>
      <w:r>
        <w:rPr>
          <w:b/>
          <w:bCs/>
        </w:rPr>
        <w:t xml:space="preserve">mauvais choix</w:t>
      </w:r>
      <w:r>
        <w:t xml:space="preserve"> </w:t>
      </w:r>
      <w:r>
        <w:t xml:space="preserve">(inactif).</w:t>
      </w:r>
      <w:r>
        <w:t xml:space="preserve"> </w:t>
      </w:r>
      <w:r>
        <w:t xml:space="preserve">-</w:t>
      </w:r>
      <w:r>
        <w:t xml:space="preserve"> </w:t>
      </w:r>
      <w:r>
        <w:rPr>
          <w:b/>
          <w:bCs/>
        </w:rPr>
        <w:t xml:space="preserve">Piège classique n°4 :</w:t>
      </w:r>
      <w:r>
        <w:t xml:space="preserve"> </w:t>
      </w:r>
      <w:r>
        <w:t xml:space="preserve">Moxifloxacine + IPP systématique (le patient prend son IPP et sa FQ ensemble) → chélation.</w:t>
      </w:r>
      <w:r>
        <w:t xml:space="preserve"> </w:t>
      </w:r>
      <w:r>
        <w:t xml:space="preserve">-</w:t>
      </w:r>
      <w:r>
        <w:t xml:space="preserve"> </w:t>
      </w:r>
      <w:r>
        <w:rPr>
          <w:b/>
          <w:bCs/>
        </w:rPr>
        <w:t xml:space="preserve">Règle de prise :</w:t>
      </w:r>
      <w:r>
        <w:t xml:space="preserve"> </w:t>
      </w:r>
      <w:r>
        <w:t xml:space="preserve">2 h avant ou 6 h après les cations ; heure fixe ; hydratation.</w:t>
      </w:r>
      <w:r>
        <w:t xml:space="preserve"> </w:t>
      </w:r>
      <w:r>
        <w:t xml:space="preserve">-</w:t>
      </w:r>
      <w:r>
        <w:t xml:space="preserve"> </w:t>
      </w:r>
      <w:r>
        <w:rPr>
          <w:b/>
          <w:bCs/>
        </w:rPr>
        <w:t xml:space="preserve">Préparation et Conservation :</w:t>
      </w:r>
      <w:r>
        <w:t xml:space="preserve"> </w:t>
      </w:r>
      <w:r>
        <w:t xml:space="preserve">Comprimé à température ambiante &lt; 25 °C, à l’abri de l’humidité.</w:t>
      </w:r>
      <w:r>
        <w:t xml:space="preserve"> </w:t>
      </w:r>
      <w:r>
        <w:t xml:space="preserve">-</w:t>
      </w:r>
      <w:r>
        <w:t xml:space="preserve"> </w:t>
      </w:r>
      <w:r>
        <w:rPr>
          <w:b/>
          <w:bCs/>
        </w:rPr>
        <w:t xml:space="preserve">Piège du surdosage / Substitution :</w:t>
      </w:r>
      <w:r>
        <w:t xml:space="preserve"> </w:t>
      </w:r>
      <w:r>
        <w:t xml:space="preserve">Aucune alternative en Algérie (mono-spécialité AVELOX NR). En cas d’indisponibilité, proposer lévofloxacine 500 mg × 1/j (sans couverture anaérobie mais avec couverture respiratoire et urinaire). Surdosage : symptômes neurologiques (confusion, convulsions), allongement QT — traitement symptomatique, ECG continu.</w:t>
      </w:r>
    </w:p>
    <w:p>
      <w:r>
        <w:pict>
          <v:rect style="width:0;height:1.5pt" o:hralign="center" o:hrstd="t" o:hr="t"/>
        </w:pict>
      </w:r>
    </w:p>
    <w:bookmarkEnd w:id="156"/>
    <w:bookmarkStart w:id="157" w:name="dci-norfloxacine-seule"/>
    <w:p>
      <w:pPr>
        <w:pStyle w:val="Heading2"/>
      </w:pPr>
      <w:r>
        <w:t xml:space="preserve">4. DCI : Norfloxacine (Seule)</w:t>
      </w:r>
    </w:p>
    <w:p>
      <w:pPr>
        <w:pStyle w:val="FirstParagraph"/>
      </w:pPr>
      <w:r>
        <w:rPr>
          <w:b/>
          <w:bCs/>
        </w:rPr>
        <w:t xml:space="preserve">Liste des Catégories :</w:t>
      </w:r>
      <w:r>
        <w:t xml:space="preserve"> </w:t>
      </w:r>
      <w:r>
        <w:t xml:space="preserve">Antibactérien systémique, Fluoroquinolone de 2e génération (urinaire exclusif) ; formes orales comprimés 400 mg, collyre 0,3 %.</w:t>
      </w:r>
    </w:p>
    <w:p>
      <w:pPr>
        <w:pStyle w:val="BodyText"/>
      </w:pPr>
      <w:r>
        <w:t xml:space="preserve">La norfloxacine, première FQ fluorée « moderne » introduite en 1980, se caractérise par une excellente concentration urinaire mais une</w:t>
      </w:r>
      <w:r>
        <w:t xml:space="preserve"> </w:t>
      </w:r>
      <w:r>
        <w:rPr>
          <w:b/>
          <w:bCs/>
        </w:rPr>
        <w:t xml:space="preserve">biodisponibilité orale faible (30–40 %)</w:t>
      </w:r>
      <w:r>
        <w:t xml:space="preserve"> </w:t>
      </w:r>
      <w:r>
        <w:t xml:space="preserve">qui la réserve presque exclusivement aux</w:t>
      </w:r>
      <w:r>
        <w:t xml:space="preserve"> </w:t>
      </w:r>
      <w:r>
        <w:rPr>
          <w:b/>
          <w:bCs/>
        </w:rPr>
        <w:t xml:space="preserve">infections urinaires basses non compliquées</w:t>
      </w:r>
      <w:r>
        <w:t xml:space="preserve">. En Algérie, elle est largement prescrite dans les cystites simples de la femme, sous les marques NORFLOXAL (SOPHAL), NOROFLOX (HUPP PHARMA), UROBACID (SANDOZ, NR). Les formes ophtalmologiques (APIFLOX, CHIBROXINE, CHIBROGEN, NORFLOTEK, OPRELEX, FLOXAMED NR) sont également très utilisées.</w:t>
      </w:r>
    </w:p>
    <w:p>
      <w:pPr>
        <w:pStyle w:val="BodyText"/>
      </w:pPr>
      <w:r>
        <w:rPr>
          <w:b/>
          <w:bCs/>
        </w:rPr>
        <w:t xml:space="preserve">Médicaments disponibles en Algérie (Marques, Laboratoires, Formes et Dosages) :</w:t>
      </w:r>
    </w:p>
    <w:p>
      <w:pPr>
        <w:pStyle w:val="BodyText"/>
      </w:pPr>
      <w:r>
        <w:rPr>
          <w:i/>
          <w:iCs/>
        </w:rPr>
        <w:t xml:space="preserve">Formes orales :</w:t>
      </w:r>
      <w:r>
        <w:t xml:space="preserve"> </w:t>
      </w:r>
      <w:r>
        <w:t xml:space="preserve">-</w:t>
      </w:r>
      <w:r>
        <w:t xml:space="preserve"> </w:t>
      </w:r>
      <w:r>
        <w:rPr>
          <w:b/>
          <w:bCs/>
        </w:rPr>
        <w:t xml:space="preserve">NORFLOXAL</w:t>
      </w:r>
      <w:r>
        <w:t xml:space="preserve"> </w:t>
      </w:r>
      <w:r>
        <w:t xml:space="preserve">(SOPHAL) — cp 400 mg, B/16 — Actif</w:t>
      </w:r>
      <w:r>
        <w:t xml:space="preserve"> </w:t>
      </w:r>
      <w:r>
        <w:t xml:space="preserve">-</w:t>
      </w:r>
      <w:r>
        <w:t xml:space="preserve"> </w:t>
      </w:r>
      <w:r>
        <w:rPr>
          <w:b/>
          <w:bCs/>
        </w:rPr>
        <w:t xml:space="preserve">NOROFLOX</w:t>
      </w:r>
      <w:r>
        <w:t xml:space="preserve"> </w:t>
      </w:r>
      <w:r>
        <w:t xml:space="preserve">(HUPP PHARMA) — cp 400 mg, B/16 — Actif</w:t>
      </w:r>
      <w:r>
        <w:t xml:space="preserve"> </w:t>
      </w:r>
      <w:r>
        <w:t xml:space="preserve">-</w:t>
      </w:r>
      <w:r>
        <w:t xml:space="preserve"> </w:t>
      </w:r>
      <w:r>
        <w:rPr>
          <w:b/>
          <w:bCs/>
        </w:rPr>
        <w:t xml:space="preserve">UROBACID</w:t>
      </w:r>
      <w:r>
        <w:t xml:space="preserve"> </w:t>
      </w:r>
      <w:r>
        <w:t xml:space="preserve">(SANDOZ) — cp 400 mg, B/14 — Non Renouvelable</w:t>
      </w:r>
      <w:r>
        <w:t xml:space="preserve"> </w:t>
      </w:r>
      <w:r>
        <w:t xml:space="preserve">-</w:t>
      </w:r>
      <w:r>
        <w:t xml:space="preserve"> </w:t>
      </w:r>
      <w:r>
        <w:rPr>
          <w:b/>
          <w:bCs/>
        </w:rPr>
        <w:t xml:space="preserve">NORFLOX-HISPAL</w:t>
      </w:r>
      <w:r>
        <w:t xml:space="preserve"> </w:t>
      </w:r>
      <w:r>
        <w:t xml:space="preserve">(HISPAL PHARMA) — cp 400 mg, B/10 — Retiré (R)</w:t>
      </w:r>
    </w:p>
    <w:p>
      <w:pPr>
        <w:pStyle w:val="BodyText"/>
      </w:pPr>
      <w:r>
        <w:rPr>
          <w:i/>
          <w:iCs/>
        </w:rPr>
        <w:t xml:space="preserve">Formes ophtalmologiques :</w:t>
      </w:r>
      <w:r>
        <w:t xml:space="preserve"> </w:t>
      </w:r>
      <w:r>
        <w:t xml:space="preserve">-</w:t>
      </w:r>
      <w:r>
        <w:t xml:space="preserve"> </w:t>
      </w:r>
      <w:r>
        <w:rPr>
          <w:b/>
          <w:bCs/>
        </w:rPr>
        <w:t xml:space="preserve">APIFLOX</w:t>
      </w:r>
      <w:r>
        <w:t xml:space="preserve"> </w:t>
      </w:r>
      <w:r>
        <w:t xml:space="preserve">(AMMAN PHARMACEUTICAL) — collyre 0,3 % (3 mg/mL), fl/10 mL — Actif</w:t>
      </w:r>
      <w:r>
        <w:t xml:space="preserve"> </w:t>
      </w:r>
      <w:r>
        <w:t xml:space="preserve">-</w:t>
      </w:r>
      <w:r>
        <w:t xml:space="preserve"> </w:t>
      </w:r>
      <w:r>
        <w:rPr>
          <w:b/>
          <w:bCs/>
        </w:rPr>
        <w:t xml:space="preserve">CHIBROGEN</w:t>
      </w:r>
      <w:r>
        <w:t xml:space="preserve"> </w:t>
      </w:r>
      <w:r>
        <w:t xml:space="preserve">(GENERIC LAB) — collyre 0,3 % (3 mg/mL), fl/5 mL — Actif</w:t>
      </w:r>
      <w:r>
        <w:t xml:space="preserve"> </w:t>
      </w:r>
      <w:r>
        <w:t xml:space="preserve">-</w:t>
      </w:r>
      <w:r>
        <w:t xml:space="preserve"> </w:t>
      </w:r>
      <w:r>
        <w:rPr>
          <w:b/>
          <w:bCs/>
        </w:rPr>
        <w:t xml:space="preserve">CHIBROXINE</w:t>
      </w:r>
      <w:r>
        <w:t xml:space="preserve"> </w:t>
      </w:r>
      <w:r>
        <w:t xml:space="preserve">(THEA) — collyre 0,3 % (3 mg/mL), fl/5 mL — Actif</w:t>
      </w:r>
      <w:r>
        <w:t xml:space="preserve"> </w:t>
      </w:r>
      <w:r>
        <w:t xml:space="preserve">-</w:t>
      </w:r>
      <w:r>
        <w:t xml:space="preserve"> </w:t>
      </w:r>
      <w:r>
        <w:rPr>
          <w:b/>
          <w:bCs/>
        </w:rPr>
        <w:t xml:space="preserve">NORFLOTEK</w:t>
      </w:r>
      <w:r>
        <w:t xml:space="preserve"> </w:t>
      </w:r>
      <w:r>
        <w:t xml:space="preserve">(BIOTHERA) — collyre 0,3 % (3 mg/mL), fl/5 mL — Actif</w:t>
      </w:r>
      <w:r>
        <w:t xml:space="preserve"> </w:t>
      </w:r>
      <w:r>
        <w:t xml:space="preserve">-</w:t>
      </w:r>
      <w:r>
        <w:t xml:space="preserve"> </w:t>
      </w:r>
      <w:r>
        <w:rPr>
          <w:b/>
          <w:bCs/>
        </w:rPr>
        <w:t xml:space="preserve">NOROFLOX</w:t>
      </w:r>
      <w:r>
        <w:t xml:space="preserve"> </w:t>
      </w:r>
      <w:r>
        <w:t xml:space="preserve">(HUPP PHARMA) — collyre 0,3 % (3 mg/mL), fl/5 mL — Actif</w:t>
      </w:r>
      <w:r>
        <w:t xml:space="preserve"> </w:t>
      </w:r>
      <w:r>
        <w:t xml:space="preserve">-</w:t>
      </w:r>
      <w:r>
        <w:t xml:space="preserve"> </w:t>
      </w:r>
      <w:r>
        <w:rPr>
          <w:b/>
          <w:bCs/>
        </w:rPr>
        <w:t xml:space="preserve">OPRELEX</w:t>
      </w:r>
      <w:r>
        <w:t xml:space="preserve"> </w:t>
      </w:r>
      <w:r>
        <w:t xml:space="preserve">(DAR AL DAWA) — collyre 0,3 % (3 mg/mL), fl/5 mL — Actif</w:t>
      </w:r>
      <w:r>
        <w:t xml:space="preserve"> </w:t>
      </w:r>
      <w:r>
        <w:t xml:space="preserve">-</w:t>
      </w:r>
      <w:r>
        <w:t xml:space="preserve"> </w:t>
      </w:r>
      <w:r>
        <w:rPr>
          <w:b/>
          <w:bCs/>
        </w:rPr>
        <w:t xml:space="preserve">FLOXAMED</w:t>
      </w:r>
      <w:r>
        <w:t xml:space="preserve"> </w:t>
      </w:r>
      <w:r>
        <w:t xml:space="preserve">(UNIMED) — collyre 0,3 % (3 mg/mL), fl/5 mL — Non Renouvelable</w:t>
      </w:r>
      <w:r>
        <w:t xml:space="preserve"> </w:t>
      </w:r>
      <w:r>
        <w:t xml:space="preserve">-</w:t>
      </w:r>
      <w:r>
        <w:t xml:space="preserve"> </w:t>
      </w:r>
      <w:r>
        <w:rPr>
          <w:b/>
          <w:bCs/>
        </w:rPr>
        <w:t xml:space="preserve">NORFLOX</w:t>
      </w:r>
      <w:r>
        <w:t xml:space="preserve"> </w:t>
      </w:r>
      <w:r>
        <w:t xml:space="preserve">(CIPLA) — gouttes opht. 0,3 % (3 mg/mL), fl/10 mL — Retiré (R)</w:t>
      </w:r>
    </w:p>
    <w:p>
      <w:pPr>
        <w:pStyle w:val="BodyText"/>
      </w:pPr>
      <w:r>
        <w:rPr>
          <w:b/>
          <w:bCs/>
        </w:rPr>
        <w:t xml:space="preserve">Sous-classe et Mécanisme d’action :</w:t>
      </w:r>
      <w:r>
        <w:t xml:space="preserve"> </w:t>
      </w:r>
      <w:r>
        <w:t xml:space="preserve">-</w:t>
      </w:r>
      <w:r>
        <w:t xml:space="preserve"> </w:t>
      </w:r>
      <w:r>
        <w:rPr>
          <w:b/>
          <w:bCs/>
        </w:rPr>
        <w:t xml:space="preserve">Sous-classe :</w:t>
      </w:r>
      <w:r>
        <w:t xml:space="preserve"> </w:t>
      </w:r>
      <w:r>
        <w:t xml:space="preserve">Fluoroquinolone de 2e génération, à visée</w:t>
      </w:r>
      <w:r>
        <w:t xml:space="preserve"> </w:t>
      </w:r>
      <w:r>
        <w:rPr>
          <w:b/>
          <w:bCs/>
        </w:rPr>
        <w:t xml:space="preserve">urinaire préférentielle</w:t>
      </w:r>
      <w:r>
        <w:t xml:space="preserve"> </w:t>
      </w:r>
      <w:r>
        <w:t xml:space="preserve">(faible biodisponibilité systémique mais concentrations urinaires élevées 50–100× la CMI des uropathogènes).</w:t>
      </w:r>
      <w:r>
        <w:t xml:space="preserve"> </w:t>
      </w:r>
      <w:r>
        <w:t xml:space="preserve">-</w:t>
      </w:r>
      <w:r>
        <w:t xml:space="preserve"> </w:t>
      </w:r>
      <w:r>
        <w:rPr>
          <w:b/>
          <w:bCs/>
        </w:rPr>
        <w:t xml:space="preserve">Mécanisme d’action :</w:t>
      </w:r>
      <w:r>
        <w:t xml:space="preserve"> </w:t>
      </w:r>
      <w:r>
        <w:t xml:space="preserve">Identique aux autres FQ — bactéricide concentration-dépendant, inhibition de l’ADN gyrase (GyrA/GyrB) et topoisomérase IV (ParC/ParE), formation du complexe clivable, cassures double-brin de l’ADN. Cible primaire : GyrA chez les Gram négatifs urinaires (</w:t>
      </w:r>
      <w:r>
        <w:rPr>
          <w:i/>
          <w:iCs/>
        </w:rPr>
        <w:t xml:space="preserve">E. coli</w:t>
      </w:r>
      <w:r>
        <w:t xml:space="preserve">,</w:t>
      </w:r>
      <w:r>
        <w:t xml:space="preserve"> </w:t>
      </w:r>
      <w:r>
        <w:rPr>
          <w:i/>
          <w:iCs/>
        </w:rPr>
        <w:t xml:space="preserve">Klebsiella</w:t>
      </w:r>
      <w:r>
        <w:t xml:space="preserve">,</w:t>
      </w:r>
      <w:r>
        <w:t xml:space="preserve"> </w:t>
      </w:r>
      <w:r>
        <w:rPr>
          <w:i/>
          <w:iCs/>
        </w:rPr>
        <w:t xml:space="preserve">Proteus</w:t>
      </w:r>
      <w:r>
        <w:t xml:space="preserve">,</w:t>
      </w:r>
      <w:r>
        <w:t xml:space="preserve"> </w:t>
      </w:r>
      <w:r>
        <w:rPr>
          <w:i/>
          <w:iCs/>
        </w:rPr>
        <w:t xml:space="preserve">Enterobacter</w:t>
      </w:r>
      <w:r>
        <w:t xml:space="preserve">,</w:t>
      </w:r>
      <w:r>
        <w:t xml:space="preserve"> </w:t>
      </w:r>
      <w:r>
        <w:rPr>
          <w:i/>
          <w:iCs/>
        </w:rPr>
        <w:t xml:space="preserve">Serratia</w:t>
      </w:r>
      <w:r>
        <w:t xml:space="preserve">).</w:t>
      </w:r>
    </w:p>
    <w:p>
      <w:pPr>
        <w:pStyle w:val="BodyText"/>
      </w:pPr>
      <w:r>
        <w:rPr>
          <w:b/>
          <w:bCs/>
        </w:rPr>
        <w:t xml:space="preserve">Profil Pharmacologique :</w:t>
      </w:r>
      <w:r>
        <w:t xml:space="preserve"> </w:t>
      </w:r>
      <w:r>
        <w:t xml:space="preserve">-</w:t>
      </w:r>
      <w:r>
        <w:t xml:space="preserve"> </w:t>
      </w:r>
      <w:r>
        <w:rPr>
          <w:b/>
          <w:bCs/>
        </w:rPr>
        <w:t xml:space="preserve">Indications :</w:t>
      </w:r>
      <w:r>
        <w:t xml:space="preserve"> </w:t>
      </w:r>
      <w:r>
        <w:t xml:space="preserve">Cystite aiguë non compliquée de la femme (3 j) ; prophylaxie des infections urinaires récidivantes de la femme (faible dose au long cours) ; prostatite aiguë (alternative à la ciprofloxacine, concentrations prostatiques modérées) ; formes locales : conjonctivites bactériennes, blépharites, kératites superficielles, prophylaxie pré- et post-opératoire ophtalmologique.</w:t>
      </w:r>
      <w:r>
        <w:t xml:space="preserve"> </w:t>
      </w:r>
      <w:r>
        <w:t xml:space="preserve">-</w:t>
      </w:r>
      <w:r>
        <w:t xml:space="preserve"> </w:t>
      </w:r>
      <w:r>
        <w:rPr>
          <w:b/>
          <w:bCs/>
        </w:rPr>
        <w:t xml:space="preserve">Contre-indications :</w:t>
      </w:r>
      <w:r>
        <w:t xml:space="preserve"> </w:t>
      </w:r>
      <w:r>
        <w:t xml:space="preserve">Myasthénie ; ATCD de tendinopathie FQ ; épilepsie non contrôlée ; allongement QT ; grossesse/allaitement ; enfant/adolescent en croissance ; hypersensibilité FQ ; porphyrie.</w:t>
      </w:r>
      <w:r>
        <w:t xml:space="preserve"> </w:t>
      </w:r>
      <w:r>
        <w:t xml:space="preserve">-</w:t>
      </w:r>
      <w:r>
        <w:t xml:space="preserve"> </w:t>
      </w:r>
      <w:r>
        <w:rPr>
          <w:b/>
          <w:bCs/>
        </w:rPr>
        <w:t xml:space="preserve">Effets Indésirables :</w:t>
      </w:r>
      <w:r>
        <w:t xml:space="preserve"> </w:t>
      </w:r>
      <w:r>
        <w:t xml:space="preserve">Profil comparable aux autres FQ, mais effet systémique atténué par la faible biodisponibilité (donc EI systémiques moins fréquents) ; troubles digestifs (nausées, diarrhée) ; céphalées ; photosensibilité ; rarement tendinopathie ; NAO rare ; diarrhée à</w:t>
      </w:r>
      <w:r>
        <w:t xml:space="preserve"> </w:t>
      </w:r>
      <w:r>
        <w:rPr>
          <w:i/>
          <w:iCs/>
        </w:rPr>
        <w:t xml:space="preserve">C. difficile</w:t>
      </w:r>
      <w:r>
        <w:t xml:space="preserve">. Pour les collyres : picotements locaux transitoires, allergie de contact, kératopathie avec usage prolongé.</w:t>
      </w:r>
    </w:p>
    <w:p>
      <w:pPr>
        <w:pStyle w:val="BodyText"/>
      </w:pPr>
      <w:r>
        <w:rPr>
          <w:b/>
          <w:bCs/>
        </w:rPr>
        <w:t xml:space="preserve">Prévention et Gestion des Effets Indésirables :</w:t>
      </w:r>
      <w:r>
        <w:t xml:space="preserve"> </w:t>
      </w:r>
      <w:r>
        <w:t xml:space="preserve">-</w:t>
      </w:r>
      <w:r>
        <w:t xml:space="preserve"> </w:t>
      </w:r>
      <w:r>
        <w:rPr>
          <w:b/>
          <w:bCs/>
        </w:rPr>
        <w:t xml:space="preserve">Mesures Préventives :</w:t>
      </w:r>
      <w:r>
        <w:t xml:space="preserve"> </w:t>
      </w:r>
      <w:r>
        <w:t xml:space="preserve">Hydratation abondante (concentration urinaire optimale) ; photoprotection ; éviter prescription prolongée au-delà de l’indication (cystite = 3 j, pas d’entretien sauf récidive documentée) ; arrêt des antiacides 2 h avant/6 h après.</w:t>
      </w:r>
      <w:r>
        <w:t xml:space="preserve"> </w:t>
      </w:r>
      <w:r>
        <w:t xml:space="preserve">-</w:t>
      </w:r>
      <w:r>
        <w:t xml:space="preserve"> </w:t>
      </w:r>
      <w:r>
        <w:rPr>
          <w:b/>
          <w:bCs/>
        </w:rPr>
        <w:t xml:space="preserve">Conduite à Tenir :</w:t>
      </w:r>
      <w:r>
        <w:t xml:space="preserve"> </w:t>
      </w:r>
      <w:r>
        <w:t xml:space="preserve">Arrêt en cas de douleur tendineuse, paresthésies, éruption fébrile, diarrhée sanglante.</w:t>
      </w:r>
    </w:p>
    <w:p>
      <w:pPr>
        <w:pStyle w:val="BodyText"/>
      </w:pPr>
      <w:r>
        <w:rPr>
          <w:b/>
          <w:bCs/>
        </w:rPr>
        <w:t xml:space="preserve">Interactions Importantes :</w:t>
      </w:r>
      <w:r>
        <w:t xml:space="preserve"> </w:t>
      </w:r>
      <w:r>
        <w:t xml:space="preserve">-</w:t>
      </w:r>
      <w:r>
        <w:t xml:space="preserve"> </w:t>
      </w:r>
      <w:r>
        <w:rPr>
          <w:b/>
          <w:bCs/>
        </w:rPr>
        <w:t xml:space="preserve">Sels cationiques polyvalents (Al, Mg, Ca, Fe, Zn)</w:t>
      </w:r>
      <w:r>
        <w:t xml:space="preserve"> </w:t>
      </w:r>
      <w:r>
        <w:t xml:space="preserve">: chélation majeure (réduction d’absorption &gt; 90 %) → espacer 2 h avant / 6 h après.</w:t>
      </w:r>
      <w:r>
        <w:t xml:space="preserve"> </w:t>
      </w:r>
      <w:r>
        <w:t xml:space="preserve">-</w:t>
      </w:r>
      <w:r>
        <w:t xml:space="preserve"> </w:t>
      </w:r>
      <w:r>
        <w:rPr>
          <w:b/>
          <w:bCs/>
        </w:rPr>
        <w:t xml:space="preserve">Théophylline</w:t>
      </w:r>
      <w:r>
        <w:t xml:space="preserve"> </w:t>
      </w:r>
      <w:r>
        <w:t xml:space="preserve">: inhibition modérée du CYP1A2 → surveillance.</w:t>
      </w:r>
      <w:r>
        <w:t xml:space="preserve"> </w:t>
      </w:r>
      <w:r>
        <w:t xml:space="preserve">-</w:t>
      </w:r>
      <w:r>
        <w:t xml:space="preserve"> </w:t>
      </w:r>
      <w:r>
        <w:rPr>
          <w:b/>
          <w:bCs/>
        </w:rPr>
        <w:t xml:space="preserve">Caféine</w:t>
      </w:r>
      <w:r>
        <w:t xml:space="preserve"> </w:t>
      </w:r>
      <w:r>
        <w:t xml:space="preserve">: diminution clairance → agitation, insomnie.</w:t>
      </w:r>
      <w:r>
        <w:t xml:space="preserve"> </w:t>
      </w:r>
      <w:r>
        <w:t xml:space="preserve">-</w:t>
      </w:r>
      <w:r>
        <w:t xml:space="preserve"> </w:t>
      </w:r>
      <w:r>
        <w:rPr>
          <w:b/>
          <w:bCs/>
        </w:rPr>
        <w:t xml:space="preserve">Warfarine</w:t>
      </w:r>
      <w:r>
        <w:t xml:space="preserve"> </w:t>
      </w:r>
      <w:r>
        <w:t xml:space="preserve">: surveillance INR.</w:t>
      </w:r>
      <w:r>
        <w:t xml:space="preserve"> </w:t>
      </w:r>
      <w:r>
        <w:t xml:space="preserve">-</w:t>
      </w:r>
      <w:r>
        <w:t xml:space="preserve"> </w:t>
      </w:r>
      <w:r>
        <w:rPr>
          <w:b/>
          <w:bCs/>
        </w:rPr>
        <w:t xml:space="preserve">Ciclosporine</w:t>
      </w:r>
      <w:r>
        <w:t xml:space="preserve"> </w:t>
      </w:r>
      <w:r>
        <w:t xml:space="preserve">: surveillance rénale.</w:t>
      </w:r>
      <w:r>
        <w:t xml:space="preserve"> </w:t>
      </w:r>
      <w:r>
        <w:t xml:space="preserve">-</w:t>
      </w:r>
      <w:r>
        <w:t xml:space="preserve"> </w:t>
      </w:r>
      <w:r>
        <w:rPr>
          <w:b/>
          <w:bCs/>
        </w:rPr>
        <w:t xml:space="preserve">Nitrofurantoïne</w:t>
      </w:r>
      <w:r>
        <w:t xml:space="preserve"> </w:t>
      </w:r>
      <w:r>
        <w:t xml:space="preserve">: antagonisme in vitro (à éviter en association).</w:t>
      </w:r>
    </w:p>
    <w:p>
      <w:pPr>
        <w:pStyle w:val="BodyText"/>
      </w:pPr>
      <w:r>
        <w:rPr>
          <w:b/>
          <w:bCs/>
        </w:rPr>
        <w:t xml:space="preserve">Grossesse et Allaitement :</w:t>
      </w:r>
      <w:r>
        <w:t xml:space="preserve"> </w:t>
      </w:r>
      <w:r>
        <w:t xml:space="preserve">-</w:t>
      </w:r>
      <w:r>
        <w:t xml:space="preserve"> </w:t>
      </w:r>
      <w:r>
        <w:rPr>
          <w:b/>
          <w:bCs/>
        </w:rPr>
        <w:t xml:space="preserve">Grossesse :</w:t>
      </w:r>
      <w:r>
        <w:t xml:space="preserve"> </w:t>
      </w:r>
      <w:r>
        <w:t xml:space="preserve">CI formelle (CRAT) — à éviter quel que soit le trimestre. Pour les cystites de la femme enceinte, préférer</w:t>
      </w:r>
      <w:r>
        <w:t xml:space="preserve"> </w:t>
      </w:r>
      <w:r>
        <w:rPr>
          <w:b/>
          <w:bCs/>
        </w:rPr>
        <w:t xml:space="preserve">fosfomycine trométamol monodose</w:t>
      </w:r>
      <w:r>
        <w:t xml:space="preserve"> </w:t>
      </w:r>
      <w:r>
        <w:t xml:space="preserve">ou céphalosporine (céfuroxime).</w:t>
      </w:r>
      <w:r>
        <w:t xml:space="preserve"> </w:t>
      </w:r>
      <w:r>
        <w:t xml:space="preserve">-</w:t>
      </w:r>
      <w:r>
        <w:t xml:space="preserve"> </w:t>
      </w:r>
      <w:r>
        <w:rPr>
          <w:b/>
          <w:bCs/>
        </w:rPr>
        <w:t xml:space="preserve">Allaitement :</w:t>
      </w:r>
      <w:r>
        <w:t xml:space="preserve"> </w:t>
      </w:r>
      <w:r>
        <w:t xml:space="preserve">CI par voie systémique (passage lacté, accumulation cartilage enfant). Collyre compatible.</w:t>
      </w:r>
      <w:r>
        <w:t xml:space="preserve"> </w:t>
      </w:r>
      <w:r>
        <w:t xml:space="preserve">-</w:t>
      </w:r>
      <w:r>
        <w:t xml:space="preserve"> </w:t>
      </w:r>
      <w:r>
        <w:rPr>
          <w:b/>
          <w:bCs/>
        </w:rPr>
        <w:t xml:space="preserve">Précisions :</w:t>
      </w:r>
      <w:r>
        <w:t xml:space="preserve"> </w:t>
      </w:r>
      <w:r>
        <w:t xml:space="preserve">Même principe de précaution (arthropathie animale juvénile).</w:t>
      </w:r>
    </w:p>
    <w:p>
      <w:pPr>
        <w:pStyle w:val="BodyText"/>
      </w:pPr>
      <w:r>
        <w:rPr>
          <w:b/>
          <w:bCs/>
        </w:rPr>
        <w:t xml:space="preserve">Posologie et Mode d’administration (Standard) :</w:t>
      </w:r>
      <w:r>
        <w:t xml:space="preserve"> </w:t>
      </w:r>
      <w:r>
        <w:t xml:space="preserve">-</w:t>
      </w:r>
      <w:r>
        <w:t xml:space="preserve"> </w:t>
      </w:r>
      <w:r>
        <w:rPr>
          <w:b/>
          <w:bCs/>
        </w:rPr>
        <w:t xml:space="preserve">Adulte :</w:t>
      </w:r>
      <w:r>
        <w:t xml:space="preserve"> </w:t>
      </w:r>
      <w:r>
        <w:t xml:space="preserve">400 mg × 2/j per os (cystite aiguë 3 j, prostatite 2–4 sem) ; prophylaxie récidive : 200 mg × 1/j au coucher (long terme sous surveillance bactériologique). Adaptation rénale : ClCr &lt; 30 → 400 mg × 1/j.</w:t>
      </w:r>
      <w:r>
        <w:t xml:space="preserve"> </w:t>
      </w:r>
      <w:r>
        <w:t xml:space="preserve">-</w:t>
      </w:r>
      <w:r>
        <w:t xml:space="preserve"> </w:t>
      </w:r>
      <w:r>
        <w:rPr>
          <w:b/>
          <w:bCs/>
        </w:rPr>
        <w:t xml:space="preserve">Enfant :</w:t>
      </w:r>
      <w:r>
        <w:t xml:space="preserve"> </w:t>
      </w:r>
      <w:r>
        <w:t xml:space="preserve">CI.</w:t>
      </w:r>
      <w:r>
        <w:t xml:space="preserve"> </w:t>
      </w:r>
      <w:r>
        <w:t xml:space="preserve">-</w:t>
      </w:r>
      <w:r>
        <w:t xml:space="preserve"> </w:t>
      </w:r>
      <w:r>
        <w:rPr>
          <w:b/>
          <w:bCs/>
        </w:rPr>
        <w:t xml:space="preserve">Durée :</w:t>
      </w:r>
      <w:r>
        <w:t xml:space="preserve"> </w:t>
      </w:r>
      <w:r>
        <w:t xml:space="preserve">Cystite simple : 3 j (femme non ménopausée, non enceinte) ; cystite compliquée : 7–10 j ; prostatite : 2–4 semaines ; collyre : 7 j max.</w:t>
      </w:r>
      <w:r>
        <w:t xml:space="preserve"> </w:t>
      </w:r>
      <w:r>
        <w:t xml:space="preserve">-</w:t>
      </w:r>
      <w:r>
        <w:t xml:space="preserve"> </w:t>
      </w:r>
      <w:r>
        <w:rPr>
          <w:b/>
          <w:bCs/>
        </w:rPr>
        <w:t xml:space="preserve">Moment de prise :</w:t>
      </w:r>
      <w:r>
        <w:t xml:space="preserve"> </w:t>
      </w:r>
      <w:r>
        <w:t xml:space="preserve">À jeun 1 h avant ou 2 h après le repas (améliore l’absorption déjà faible) ; à distance des cations (2 h avant / 6 h après) ; hydratation abondante.</w:t>
      </w:r>
    </w:p>
    <w:p>
      <w:pPr>
        <w:pStyle w:val="BodyText"/>
      </w:pPr>
      <w:r>
        <w:rPr>
          <w:b/>
          <w:bCs/>
        </w:rPr>
        <w:t xml:space="preserve">Arbitrage et Bénéfices des Formes Galéniques :</w:t>
      </w:r>
      <w:r>
        <w:t xml:space="preserve"> </w:t>
      </w:r>
      <w:r>
        <w:t xml:space="preserve">La norfloxacine illustre l’arbitrage « concentration systémique vs concentration locale » : sa faible biodisponibilité orale (30–40 %) la rend moins efficace que la ciprofloxacine pour les infections systémiques, mais les concentrations urinaires atteignent 100–500 mg/L — soit 50 à 100 fois la CMI des uropathogènes usuels — ce qui en fait un excellent traitement de la cystite simple. La prise à jeun améliore l’absorption (rare cas de FQ où la prise alimentaire diminue significativement la biodisponibilité). Les collyres 0,3 % offrent une excellente diffusion cornéenne avec passage systémique négligeable.</w:t>
      </w:r>
    </w:p>
    <w:p>
      <w:pPr>
        <w:pStyle w:val="BodyText"/>
      </w:pPr>
      <w:r>
        <w:rPr>
          <w:b/>
          <w:bCs/>
        </w:rPr>
        <w:t xml:space="preserve">Instructions et Conseils au Patient :</w:t>
      </w:r>
      <w:r>
        <w:t xml:space="preserve"> </w:t>
      </w:r>
      <w:r>
        <w:t xml:space="preserve">-</w:t>
      </w:r>
      <w:r>
        <w:t xml:space="preserve"> </w:t>
      </w:r>
      <w:r>
        <w:rPr>
          <w:b/>
          <w:bCs/>
        </w:rPr>
        <w:t xml:space="preserve">Communication au comptoir :</w:t>
      </w:r>
      <w:r>
        <w:t xml:space="preserve"> </w:t>
      </w:r>
      <w:r>
        <w:t xml:space="preserve">« Antibiotique pour l’infection urinaire.</w:t>
      </w:r>
      <w:r>
        <w:t xml:space="preserve"> </w:t>
      </w:r>
      <w:r>
        <w:rPr>
          <w:b/>
          <w:bCs/>
        </w:rPr>
        <w:t xml:space="preserve">Prenez-le à jeun</w:t>
      </w:r>
      <w:r>
        <w:t xml:space="preserve">, 1 heure avant ou 2 heures après le repas. Éloignez-le des antiacides (Maalox®) et du fer de 2 heures. Buvez beaucoup d’eau. Évitez le soleil. Cours court de 3 jours, terminez-le même si vous allez mieux. »</w:t>
      </w:r>
      <w:r>
        <w:t xml:space="preserve"> </w:t>
      </w:r>
      <w:r>
        <w:t xml:space="preserve">-</w:t>
      </w:r>
      <w:r>
        <w:t xml:space="preserve"> </w:t>
      </w:r>
      <w:r>
        <w:rPr>
          <w:b/>
          <w:bCs/>
        </w:rPr>
        <w:t xml:space="preserve">Mode d’utilisation pratique :</w:t>
      </w:r>
      <w:r>
        <w:t xml:space="preserve"> </w:t>
      </w:r>
      <w:r>
        <w:t xml:space="preserve">Comprimé à avaler entier avec un grand verre d’eau. Pour le collyre : 1 goutte × 4–6/j dans l’œil atteint, ne pas toucher l’embout.</w:t>
      </w:r>
    </w:p>
    <w:p>
      <w:pPr>
        <w:pStyle w:val="BodyText"/>
      </w:pPr>
      <w:r>
        <w:rPr>
          <w:b/>
          <w:bCs/>
        </w:rPr>
        <w:t xml:space="preserve">Notes, Règles d’Or &amp; Pièges au Comptoir :</w:t>
      </w:r>
      <w:r>
        <w:t xml:space="preserve"> </w:t>
      </w:r>
      <w:r>
        <w:t xml:space="preserve">-</w:t>
      </w:r>
      <w:r>
        <w:t xml:space="preserve"> </w:t>
      </w:r>
      <w:r>
        <w:rPr>
          <w:b/>
          <w:bCs/>
        </w:rPr>
        <w:t xml:space="preserve">Piège classique n°1 :</w:t>
      </w:r>
      <w:r>
        <w:t xml:space="preserve"> </w:t>
      </w:r>
      <w:r>
        <w:t xml:space="preserve">Norfloxacine prise avec un yaourt ou du lait → diminution d’absorption (calcium) ; idéalement à jeun.</w:t>
      </w:r>
      <w:r>
        <w:t xml:space="preserve"> </w:t>
      </w:r>
      <w:r>
        <w:t xml:space="preserve">-</w:t>
      </w:r>
      <w:r>
        <w:t xml:space="preserve"> </w:t>
      </w:r>
      <w:r>
        <w:rPr>
          <w:b/>
          <w:bCs/>
        </w:rPr>
        <w:t xml:space="preserve">Piège classique n°2 :</w:t>
      </w:r>
      <w:r>
        <w:t xml:space="preserve"> </w:t>
      </w:r>
      <w:r>
        <w:t xml:space="preserve">Norfloxacine prescrite pour pyélonéphrite —</w:t>
      </w:r>
      <w:r>
        <w:t xml:space="preserve"> </w:t>
      </w:r>
      <w:r>
        <w:rPr>
          <w:b/>
          <w:bCs/>
        </w:rPr>
        <w:t xml:space="preserve">mauvais choix</w:t>
      </w:r>
      <w:r>
        <w:t xml:space="preserve"> </w:t>
      </w:r>
      <w:r>
        <w:t xml:space="preserve">(biodisponibilité trop faible pour atteindre le parenchyme rénal) ; préférer ciprofloxacine ou lévofloxacine.</w:t>
      </w:r>
      <w:r>
        <w:t xml:space="preserve"> </w:t>
      </w:r>
      <w:r>
        <w:t xml:space="preserve">-</w:t>
      </w:r>
      <w:r>
        <w:t xml:space="preserve"> </w:t>
      </w:r>
      <w:r>
        <w:rPr>
          <w:b/>
          <w:bCs/>
        </w:rPr>
        <w:t xml:space="preserve">Piège classique n°3 :</w:t>
      </w:r>
      <w:r>
        <w:t xml:space="preserve"> </w:t>
      </w:r>
      <w:r>
        <w:t xml:space="preserve">Norfloxacine + antiacide → échec cystite.</w:t>
      </w:r>
      <w:r>
        <w:t xml:space="preserve"> </w:t>
      </w:r>
      <w:r>
        <w:t xml:space="preserve">-</w:t>
      </w:r>
      <w:r>
        <w:t xml:space="preserve"> </w:t>
      </w:r>
      <w:r>
        <w:rPr>
          <w:b/>
          <w:bCs/>
        </w:rPr>
        <w:t xml:space="preserve">Règle de prise :</w:t>
      </w:r>
      <w:r>
        <w:t xml:space="preserve"> </w:t>
      </w:r>
      <w:r>
        <w:t xml:space="preserve">À jeun ; 2 h avant ou 6 h après les cations ; hydratation.</w:t>
      </w:r>
      <w:r>
        <w:t xml:space="preserve"> </w:t>
      </w:r>
      <w:r>
        <w:t xml:space="preserve">-</w:t>
      </w:r>
      <w:r>
        <w:t xml:space="preserve"> </w:t>
      </w:r>
      <w:r>
        <w:rPr>
          <w:b/>
          <w:bCs/>
        </w:rPr>
        <w:t xml:space="preserve">Préparation et Conservation :</w:t>
      </w:r>
      <w:r>
        <w:t xml:space="preserve"> </w:t>
      </w:r>
      <w:r>
        <w:t xml:space="preserve">Comprimés à température ambiante. Collyre : jeter 15 j après ouverture, ne pas toucher l’embout.</w:t>
      </w:r>
      <w:r>
        <w:t xml:space="preserve"> </w:t>
      </w:r>
      <w:r>
        <w:t xml:space="preserve">-</w:t>
      </w:r>
      <w:r>
        <w:t xml:space="preserve"> </w:t>
      </w:r>
      <w:r>
        <w:rPr>
          <w:b/>
          <w:bCs/>
        </w:rPr>
        <w:t xml:space="preserve">Piège du surdosage / Substitution :</w:t>
      </w:r>
      <w:r>
        <w:t xml:space="preserve"> </w:t>
      </w:r>
      <w:r>
        <w:t xml:space="preserve">Substitution entre NORFLOXAL et NOROFLOX acceptable (même DCI, même dosage 400 mg). En cas de cystite récidivante, ne pas poursuivre l’antibio-prophylaxie au-delà de 6 mois sans réévaluation (résistance, sélection de souches). La norfloxacine n’a pas de forme injectable — pour les infections sévères, basculer vers ciprofloxacine IV.</w:t>
      </w:r>
    </w:p>
    <w:p>
      <w:r>
        <w:pict>
          <v:rect style="width:0;height:1.5pt" o:hralign="center" o:hrstd="t" o:hr="t"/>
        </w:pict>
      </w:r>
    </w:p>
    <w:bookmarkEnd w:id="157"/>
    <w:bookmarkStart w:id="158" w:name="dci-ofloxacine-seule"/>
    <w:p>
      <w:pPr>
        <w:pStyle w:val="Heading2"/>
      </w:pPr>
      <w:r>
        <w:t xml:space="preserve">5. DCI : Ofloxacine (Seule)</w:t>
      </w:r>
    </w:p>
    <w:p>
      <w:pPr>
        <w:pStyle w:val="FirstParagraph"/>
      </w:pPr>
      <w:r>
        <w:rPr>
          <w:b/>
          <w:bCs/>
        </w:rPr>
        <w:t xml:space="preserve">Liste des Catégories :</w:t>
      </w:r>
      <w:r>
        <w:t xml:space="preserve"> </w:t>
      </w:r>
      <w:r>
        <w:t xml:space="preserve">Antibactérien systémique, Fluoroquinolone de 2e génération (racémique) ; formes orales comprimés 200/400 mg, solution injectable IV 5 mg/mL, collyre 0,3 %, gel ophtalmique 3 mg/mL.</w:t>
      </w:r>
    </w:p>
    <w:p>
      <w:pPr>
        <w:pStyle w:val="BodyText"/>
      </w:pPr>
      <w:r>
        <w:t xml:space="preserve">L’ofloxacine, racémique R+S commercialisée depuis 1985, a été le précurseur de la lévofloxacine (qui n’est que son isomère actif S). Son activité est voisine de celle de la ciprofloxacine sur le plan qualitatif mais avec une activité antipseudomonal moitié moindre. En Algérie, les formes systémiques (comprimés 200/400 mg et solution IV) sont actuellement</w:t>
      </w:r>
      <w:r>
        <w:t xml:space="preserve"> </w:t>
      </w:r>
      <w:r>
        <w:rPr>
          <w:b/>
          <w:bCs/>
        </w:rPr>
        <w:t xml:space="preserve">essentiellement Non Renouvelables</w:t>
      </w:r>
      <w:r>
        <w:t xml:space="preserve">, alors que les formes ophtalmologiques (CORONOL, OFLOTEK, OFLOXINE, OPTIFLOX, FLOXEDOL gel) restent largement disponibles. Ce basculement vers l’usage ophtalmologique reflète la préférence clinique pour la lévofloxacine en systémique (activité supérieure à dose équivalente).</w:t>
      </w:r>
    </w:p>
    <w:p>
      <w:pPr>
        <w:pStyle w:val="BodyText"/>
      </w:pPr>
      <w:r>
        <w:rPr>
          <w:b/>
          <w:bCs/>
        </w:rPr>
        <w:t xml:space="preserve">Médicaments disponibles en Algérie (Marques, Laboratoires, Formes et Dosages) :</w:t>
      </w:r>
    </w:p>
    <w:p>
      <w:pPr>
        <w:pStyle w:val="BodyText"/>
      </w:pPr>
      <w:r>
        <w:rPr>
          <w:i/>
          <w:iCs/>
        </w:rPr>
        <w:t xml:space="preserve">Formes ophtalmologiques (largement disponibles) :</w:t>
      </w:r>
      <w:r>
        <w:t xml:space="preserve"> </w:t>
      </w:r>
      <w:r>
        <w:t xml:space="preserve">-</w:t>
      </w:r>
      <w:r>
        <w:t xml:space="preserve"> </w:t>
      </w:r>
      <w:r>
        <w:rPr>
          <w:b/>
          <w:bCs/>
        </w:rPr>
        <w:t xml:space="preserve">CORONOL FREE</w:t>
      </w:r>
      <w:r>
        <w:t xml:space="preserve"> </w:t>
      </w:r>
      <w:r>
        <w:t xml:space="preserve">(GENERIC LAB) — solution stérile pour instillation oculaire et auriculaire 0,3 % (3 mg/mL), fl 10 mL contenant 5 mL muni aéro-pompe — Actif</w:t>
      </w:r>
      <w:r>
        <w:t xml:space="preserve"> </w:t>
      </w:r>
      <w:r>
        <w:t xml:space="preserve">-</w:t>
      </w:r>
      <w:r>
        <w:t xml:space="preserve"> </w:t>
      </w:r>
      <w:r>
        <w:rPr>
          <w:b/>
          <w:bCs/>
        </w:rPr>
        <w:t xml:space="preserve">CORONOL</w:t>
      </w:r>
      <w:r>
        <w:t xml:space="preserve"> </w:t>
      </w:r>
      <w:r>
        <w:t xml:space="preserve">(GENERIC LAB) — collyre 0,3 % (3 mg/mL), fl/5 mL — Actif</w:t>
      </w:r>
      <w:r>
        <w:t xml:space="preserve"> </w:t>
      </w:r>
      <w:r>
        <w:t xml:space="preserve">-</w:t>
      </w:r>
      <w:r>
        <w:t xml:space="preserve"> </w:t>
      </w:r>
      <w:r>
        <w:rPr>
          <w:b/>
          <w:bCs/>
        </w:rPr>
        <w:t xml:space="preserve">OFLOTEK</w:t>
      </w:r>
      <w:r>
        <w:t xml:space="preserve"> </w:t>
      </w:r>
      <w:r>
        <w:t xml:space="preserve">(BIOTHERA) — collyre 0,3 % (3 mg/mL), fl/5 mL — Actif</w:t>
      </w:r>
      <w:r>
        <w:t xml:space="preserve"> </w:t>
      </w:r>
      <w:r>
        <w:t xml:space="preserve">-</w:t>
      </w:r>
      <w:r>
        <w:t xml:space="preserve"> </w:t>
      </w:r>
      <w:r>
        <w:rPr>
          <w:b/>
          <w:bCs/>
        </w:rPr>
        <w:t xml:space="preserve">OFLOXINE</w:t>
      </w:r>
      <w:r>
        <w:t xml:space="preserve"> </w:t>
      </w:r>
      <w:r>
        <w:t xml:space="preserve">(HUPP PHARMA) — collyre 0,3 % (3 mg/mL), fl/5 mL — Actif</w:t>
      </w:r>
      <w:r>
        <w:t xml:space="preserve"> </w:t>
      </w:r>
      <w:r>
        <w:t xml:space="preserve">-</w:t>
      </w:r>
      <w:r>
        <w:t xml:space="preserve"> </w:t>
      </w:r>
      <w:r>
        <w:rPr>
          <w:b/>
          <w:bCs/>
        </w:rPr>
        <w:t xml:space="preserve">OPTIFLOX</w:t>
      </w:r>
      <w:r>
        <w:t xml:space="preserve"> </w:t>
      </w:r>
      <w:r>
        <w:t xml:space="preserve">(JAMJOOM ALGERIA) — collyre 0,3 % (3 mg/mL), fl/5 mL — Actif</w:t>
      </w:r>
      <w:r>
        <w:t xml:space="preserve"> </w:t>
      </w:r>
      <w:r>
        <w:t xml:space="preserve">-</w:t>
      </w:r>
      <w:r>
        <w:t xml:space="preserve"> </w:t>
      </w:r>
      <w:r>
        <w:rPr>
          <w:b/>
          <w:bCs/>
        </w:rPr>
        <w:t xml:space="preserve">FLOXEDOL</w:t>
      </w:r>
      <w:r>
        <w:t xml:space="preserve"> </w:t>
      </w:r>
      <w:r>
        <w:t xml:space="preserve">(GPA) — gel ophtalmique 3 mg/mL, fl 10 mL — Actif</w:t>
      </w:r>
      <w:r>
        <w:t xml:space="preserve"> </w:t>
      </w:r>
      <w:r>
        <w:t xml:space="preserve">-</w:t>
      </w:r>
      <w:r>
        <w:t xml:space="preserve"> </w:t>
      </w:r>
      <w:r>
        <w:rPr>
          <w:b/>
          <w:bCs/>
        </w:rPr>
        <w:t xml:space="preserve">OFLOX</w:t>
      </w:r>
      <w:r>
        <w:t xml:space="preserve"> </w:t>
      </w:r>
      <w:r>
        <w:t xml:space="preserve">(CIPLA) — collyre 0,3 % (3 mg/mL), fl/5 mL — Retiré (R)</w:t>
      </w:r>
    </w:p>
    <w:p>
      <w:pPr>
        <w:pStyle w:val="BodyText"/>
      </w:pPr>
      <w:r>
        <w:rPr>
          <w:i/>
          <w:iCs/>
        </w:rPr>
        <w:t xml:space="preserve">Formes orales comprimés (essentiellement Non Renouvelables) :</w:t>
      </w:r>
      <w:r>
        <w:t xml:space="preserve"> </w:t>
      </w:r>
      <w:r>
        <w:t xml:space="preserve">-</w:t>
      </w:r>
      <w:r>
        <w:t xml:space="preserve"> </w:t>
      </w:r>
      <w:r>
        <w:rPr>
          <w:b/>
          <w:bCs/>
        </w:rPr>
        <w:t xml:space="preserve">MENEFLOKS</w:t>
      </w:r>
      <w:r>
        <w:t xml:space="preserve"> </w:t>
      </w:r>
      <w:r>
        <w:t xml:space="preserve">(MUSTAFA NEVZAT) — cp 200 mg, B/10 — Non Renouvelable</w:t>
      </w:r>
      <w:r>
        <w:t xml:space="preserve"> </w:t>
      </w:r>
      <w:r>
        <w:t xml:space="preserve">-</w:t>
      </w:r>
      <w:r>
        <w:t xml:space="preserve"> </w:t>
      </w:r>
      <w:r>
        <w:rPr>
          <w:b/>
          <w:bCs/>
        </w:rPr>
        <w:t xml:space="preserve">NOVECIN</w:t>
      </w:r>
      <w:r>
        <w:t xml:space="preserve"> </w:t>
      </w:r>
      <w:r>
        <w:t xml:space="preserve">(UPM) — cp 200 mg, B/10 — Non Renouvelable</w:t>
      </w:r>
      <w:r>
        <w:t xml:space="preserve"> </w:t>
      </w:r>
      <w:r>
        <w:t xml:space="preserve">-</w:t>
      </w:r>
      <w:r>
        <w:t xml:space="preserve"> </w:t>
      </w:r>
      <w:r>
        <w:rPr>
          <w:b/>
          <w:bCs/>
        </w:rPr>
        <w:t xml:space="preserve">OFLACIN</w:t>
      </w:r>
      <w:r>
        <w:t xml:space="preserve"> </w:t>
      </w:r>
      <w:r>
        <w:t xml:space="preserve">(RAM PHARMACEUTICAL) — cp 200 mg, B/20 — Non Renouvelable</w:t>
      </w:r>
      <w:r>
        <w:t xml:space="preserve"> </w:t>
      </w:r>
      <w:r>
        <w:t xml:space="preserve">-</w:t>
      </w:r>
      <w:r>
        <w:t xml:space="preserve"> </w:t>
      </w:r>
      <w:r>
        <w:rPr>
          <w:b/>
          <w:bCs/>
        </w:rPr>
        <w:t xml:space="preserve">OFLAX</w:t>
      </w:r>
      <w:r>
        <w:t xml:space="preserve"> </w:t>
      </w:r>
      <w:r>
        <w:t xml:space="preserve">(BIOVITAL) — cp sécable 200 mg, B/10 — Non Renouvelable</w:t>
      </w:r>
      <w:r>
        <w:t xml:space="preserve"> </w:t>
      </w:r>
      <w:r>
        <w:t xml:space="preserve">-</w:t>
      </w:r>
      <w:r>
        <w:t xml:space="preserve"> </w:t>
      </w:r>
      <w:r>
        <w:rPr>
          <w:b/>
          <w:bCs/>
        </w:rPr>
        <w:t xml:space="preserve">ZANOCIN</w:t>
      </w:r>
      <w:r>
        <w:t xml:space="preserve"> </w:t>
      </w:r>
      <w:r>
        <w:t xml:space="preserve">(RANBAXY) — cp 200 mg, B/10 — Non Renouvelable</w:t>
      </w:r>
      <w:r>
        <w:t xml:space="preserve"> </w:t>
      </w:r>
      <w:r>
        <w:t xml:space="preserve">-</w:t>
      </w:r>
      <w:r>
        <w:t xml:space="preserve"> </w:t>
      </w:r>
      <w:r>
        <w:rPr>
          <w:b/>
          <w:bCs/>
        </w:rPr>
        <w:t xml:space="preserve">OFLAX</w:t>
      </w:r>
      <w:r>
        <w:t xml:space="preserve"> </w:t>
      </w:r>
      <w:r>
        <w:t xml:space="preserve">(BIOVITAL) — cp 400 mg, B/10 — Non Renouvelable</w:t>
      </w:r>
      <w:r>
        <w:t xml:space="preserve"> </w:t>
      </w:r>
      <w:r>
        <w:t xml:space="preserve">-</w:t>
      </w:r>
      <w:r>
        <w:t xml:space="preserve"> </w:t>
      </w:r>
      <w:r>
        <w:rPr>
          <w:b/>
          <w:bCs/>
        </w:rPr>
        <w:t xml:space="preserve">OFLOCET</w:t>
      </w:r>
      <w:r>
        <w:t xml:space="preserve"> </w:t>
      </w:r>
      <w:r>
        <w:t xml:space="preserve">(ROUSSEL) — cp 200 mg, B/10 — Retiré (R)</w:t>
      </w:r>
      <w:r>
        <w:t xml:space="preserve"> </w:t>
      </w:r>
      <w:r>
        <w:t xml:space="preserve">-</w:t>
      </w:r>
      <w:r>
        <w:t xml:space="preserve"> </w:t>
      </w:r>
      <w:r>
        <w:rPr>
          <w:b/>
          <w:bCs/>
        </w:rPr>
        <w:t xml:space="preserve">QUINOLOX</w:t>
      </w:r>
      <w:r>
        <w:t xml:space="preserve"> </w:t>
      </w:r>
      <w:r>
        <w:t xml:space="preserve">(PHARMA 5) — cp enrobé 200 mg, B/10 — Retiré (R)</w:t>
      </w:r>
      <w:r>
        <w:t xml:space="preserve"> </w:t>
      </w:r>
      <w:r>
        <w:t xml:space="preserve">-</w:t>
      </w:r>
      <w:r>
        <w:t xml:space="preserve"> </w:t>
      </w:r>
      <w:r>
        <w:rPr>
          <w:b/>
          <w:bCs/>
        </w:rPr>
        <w:t xml:space="preserve">KIROLL</w:t>
      </w:r>
      <w:r>
        <w:t xml:space="preserve"> </w:t>
      </w:r>
      <w:r>
        <w:t xml:space="preserve">(GLAXO WELLCOME) — cp 200 mg, B/10 — Retiré (R)</w:t>
      </w:r>
    </w:p>
    <w:p>
      <w:pPr>
        <w:pStyle w:val="BodyText"/>
      </w:pPr>
      <w:r>
        <w:rPr>
          <w:i/>
          <w:iCs/>
        </w:rPr>
        <w:t xml:space="preserve">Formes injectables IV (Non Renouvelables) :</w:t>
      </w:r>
      <w:r>
        <w:t xml:space="preserve"> </w:t>
      </w:r>
      <w:r>
        <w:t xml:space="preserve">-</w:t>
      </w:r>
      <w:r>
        <w:t xml:space="preserve"> </w:t>
      </w:r>
      <w:r>
        <w:rPr>
          <w:b/>
          <w:bCs/>
        </w:rPr>
        <w:t xml:space="preserve">OFLO 200</w:t>
      </w:r>
      <w:r>
        <w:t xml:space="preserve"> </w:t>
      </w:r>
      <w:r>
        <w:t xml:space="preserve">(INPHA-MEDIS) — sol inj perf IV 5 mg/mL (200 mg/40 mL), fl/40 mL — Non Renouvelable</w:t>
      </w:r>
      <w:r>
        <w:t xml:space="preserve"> </w:t>
      </w:r>
      <w:r>
        <w:t xml:space="preserve">-</w:t>
      </w:r>
      <w:r>
        <w:t xml:space="preserve"> </w:t>
      </w:r>
      <w:r>
        <w:rPr>
          <w:b/>
          <w:bCs/>
        </w:rPr>
        <w:t xml:space="preserve">OFLOCET</w:t>
      </w:r>
      <w:r>
        <w:t xml:space="preserve"> </w:t>
      </w:r>
      <w:r>
        <w:t xml:space="preserve">(AVENTIS) — sol inj 200 mg/40 mL, fl/40 mL — Non Renouvelable</w:t>
      </w:r>
      <w:r>
        <w:t xml:space="preserve"> </w:t>
      </w:r>
      <w:r>
        <w:t xml:space="preserve">-</w:t>
      </w:r>
      <w:r>
        <w:t xml:space="preserve"> </w:t>
      </w:r>
      <w:r>
        <w:rPr>
          <w:b/>
          <w:bCs/>
        </w:rPr>
        <w:t xml:space="preserve">OFLOXACINE MYLAN</w:t>
      </w:r>
      <w:r>
        <w:t xml:space="preserve"> </w:t>
      </w:r>
      <w:r>
        <w:t xml:space="preserve">(MYLAN) — sol inj perf IV 5 mg/mL (200 mg/40 mL), B/20 poches PVC 40 mL — Non Renouvelable</w:t>
      </w:r>
    </w:p>
    <w:p>
      <w:pPr>
        <w:pStyle w:val="BodyText"/>
      </w:pPr>
      <w:r>
        <w:rPr>
          <w:b/>
          <w:bCs/>
        </w:rPr>
        <w:t xml:space="preserve">Sous-classe et Mécanisme d’action :</w:t>
      </w:r>
      <w:r>
        <w:t xml:space="preserve"> </w:t>
      </w:r>
      <w:r>
        <w:t xml:space="preserve">-</w:t>
      </w:r>
      <w:r>
        <w:t xml:space="preserve"> </w:t>
      </w:r>
      <w:r>
        <w:rPr>
          <w:b/>
          <w:bCs/>
        </w:rPr>
        <w:t xml:space="preserve">Sous-classe :</w:t>
      </w:r>
      <w:r>
        <w:t xml:space="preserve"> </w:t>
      </w:r>
      <w:r>
        <w:t xml:space="preserve">Fluoroquinolone de 2e génération, racémique R+S. Activité comparable à la ciprofloxacine mais antipseudomonal atténué (CMI</w:t>
      </w:r>
      <w:r>
        <w:t xml:space="preserve"> </w:t>
      </w:r>
      <w:r>
        <w:rPr>
          <w:i/>
          <w:iCs/>
        </w:rPr>
        <w:t xml:space="preserve">P. aeruginosa</w:t>
      </w:r>
      <w:r>
        <w:t xml:space="preserve"> </w:t>
      </w:r>
      <w:r>
        <w:t xml:space="preserve">2–4× plus élevée). Activité anti-pneumococcque faible.</w:t>
      </w:r>
      <w:r>
        <w:t xml:space="preserve"> </w:t>
      </w:r>
      <w:r>
        <w:t xml:space="preserve">-</w:t>
      </w:r>
      <w:r>
        <w:t xml:space="preserve"> </w:t>
      </w:r>
      <w:r>
        <w:rPr>
          <w:b/>
          <w:bCs/>
        </w:rPr>
        <w:t xml:space="preserve">Mécanisme d’action :</w:t>
      </w:r>
      <w:r>
        <w:t xml:space="preserve"> </w:t>
      </w:r>
      <w:r>
        <w:t xml:space="preserve">Identique aux autres FQ — bactéricide concentration-dépendant, inhibition ADN gyrase (GyrA/GyrB) et topo IV (ParC/ParE), complexe clivable, cassures double-brin. L’isomère S (lévofloxacine) est 8–128× plus actif que le R, ce qui explique la supériorité de la lévofloxacine à dose équivalente et justifie la supplantation progressive de l’ofloxacine systémique.</w:t>
      </w:r>
    </w:p>
    <w:p>
      <w:pPr>
        <w:pStyle w:val="BodyText"/>
      </w:pPr>
      <w:r>
        <w:rPr>
          <w:b/>
          <w:bCs/>
        </w:rPr>
        <w:t xml:space="preserve">Profil Pharmacologique :</w:t>
      </w:r>
      <w:r>
        <w:t xml:space="preserve"> </w:t>
      </w:r>
      <w:r>
        <w:t xml:space="preserve">-</w:t>
      </w:r>
      <w:r>
        <w:t xml:space="preserve"> </w:t>
      </w:r>
      <w:r>
        <w:rPr>
          <w:b/>
          <w:bCs/>
        </w:rPr>
        <w:t xml:space="preserve">Indications :</w:t>
      </w:r>
      <w:r>
        <w:t xml:space="preserve"> </w:t>
      </w:r>
      <w:r>
        <w:t xml:space="preserve">Infections urinaires basses et hautes, infections ORL et respiratoires basses, infections ostéo-articulaires, infections cutanées, infections génitales (urétrite gonococcique, chlamydiose), prostatites, infections digestives, septicémies à Gram négatif. Formes locales : conjonctivites bactériennes, kératites, ulcères de cornée, blépharites, prophylaxie pré- et post-opératoire ophtalmologique ; otites externes (CORONOL FREE dual).</w:t>
      </w:r>
      <w:r>
        <w:t xml:space="preserve"> </w:t>
      </w:r>
      <w:r>
        <w:t xml:space="preserve">-</w:t>
      </w:r>
      <w:r>
        <w:t xml:space="preserve"> </w:t>
      </w:r>
      <w:r>
        <w:rPr>
          <w:b/>
          <w:bCs/>
        </w:rPr>
        <w:t xml:space="preserve">Contre-indications :</w:t>
      </w:r>
      <w:r>
        <w:t xml:space="preserve"> </w:t>
      </w:r>
      <w:r>
        <w:t xml:space="preserve">Épilepsie non contrôlée ; ATCD de tendinopathie FQ ; myasthénie ; allongement QT ; grossesse/allaitement ; enfant/adolescent en croissance ; hypersensibilité FQ ; association avec d’autres allongeant le QT.</w:t>
      </w:r>
      <w:r>
        <w:t xml:space="preserve"> </w:t>
      </w:r>
      <w:r>
        <w:t xml:space="preserve">-</w:t>
      </w:r>
      <w:r>
        <w:t xml:space="preserve"> </w:t>
      </w:r>
      <w:r>
        <w:rPr>
          <w:b/>
          <w:bCs/>
        </w:rPr>
        <w:t xml:space="preserve">Effets Indésirables :</w:t>
      </w:r>
      <w:r>
        <w:t xml:space="preserve"> </w:t>
      </w:r>
      <w:r>
        <w:t xml:space="preserve">Profil identique à la ciprofloxacine — tendinopathies, NAO, allongement QT, dysglycémies, photosensibilité, diarrhée à</w:t>
      </w:r>
      <w:r>
        <w:t xml:space="preserve"> </w:t>
      </w:r>
      <w:r>
        <w:rPr>
          <w:i/>
          <w:iCs/>
        </w:rPr>
        <w:t xml:space="preserve">C. difficile</w:t>
      </w:r>
      <w:r>
        <w:t xml:space="preserve">, troubles neuropsychiatriques (insomnie, agitation, rarement convulsions), rash, hépatites, cristallurie, arthralgies. Pour les collyres : picotements, allergie de contact, kératopathie en cas d’usage prolongé.</w:t>
      </w:r>
    </w:p>
    <w:p>
      <w:pPr>
        <w:pStyle w:val="BodyText"/>
      </w:pPr>
      <w:r>
        <w:rPr>
          <w:b/>
          <w:bCs/>
        </w:rPr>
        <w:t xml:space="preserve">Prévention et Gestion des Effets Indésirables :</w:t>
      </w:r>
      <w:r>
        <w:t xml:space="preserve"> </w:t>
      </w:r>
      <w:r>
        <w:t xml:space="preserve">-</w:t>
      </w:r>
      <w:r>
        <w:t xml:space="preserve"> </w:t>
      </w:r>
      <w:r>
        <w:rPr>
          <w:b/>
          <w:bCs/>
        </w:rPr>
        <w:t xml:space="preserve">Mesures Préventives :</w:t>
      </w:r>
      <w:r>
        <w:t xml:space="preserve"> </w:t>
      </w:r>
      <w:r>
        <w:t xml:space="preserve">Idem ciprofloxacine — hydratation, photoprotection, surveillance glycémique chez diabétique, évaluation risque tendineux, contrôle ECG si terrain cardiaque, arrêt des antiacides 2 h avant/6 h après.</w:t>
      </w:r>
      <w:r>
        <w:t xml:space="preserve"> </w:t>
      </w:r>
      <w:r>
        <w:t xml:space="preserve">-</w:t>
      </w:r>
      <w:r>
        <w:t xml:space="preserve"> </w:t>
      </w:r>
      <w:r>
        <w:rPr>
          <w:b/>
          <w:bCs/>
        </w:rPr>
        <w:t xml:space="preserve">Conduite à Tenir :</w:t>
      </w:r>
      <w:r>
        <w:t xml:space="preserve"> </w:t>
      </w:r>
      <w:r>
        <w:t xml:space="preserve">Arrêt immédiat en cas de douleur tendineuse, paresthésies, palpitations, diarrhée sanglante, éruption fébrile.</w:t>
      </w:r>
    </w:p>
    <w:p>
      <w:pPr>
        <w:pStyle w:val="BodyText"/>
      </w:pPr>
      <w:r>
        <w:rPr>
          <w:b/>
          <w:bCs/>
        </w:rPr>
        <w:t xml:space="preserve">Interactions Importantes :</w:t>
      </w:r>
      <w:r>
        <w:t xml:space="preserve"> </w:t>
      </w:r>
      <w:r>
        <w:t xml:space="preserve">-</w:t>
      </w:r>
      <w:r>
        <w:t xml:space="preserve"> </w:t>
      </w:r>
      <w:r>
        <w:rPr>
          <w:b/>
          <w:bCs/>
        </w:rPr>
        <w:t xml:space="preserve">Sels cationiques polyvalents</w:t>
      </w:r>
      <w:r>
        <w:t xml:space="preserve"> </w:t>
      </w:r>
      <w:r>
        <w:t xml:space="preserve">: chélation → espacer 2 h avant / 6 h après.</w:t>
      </w:r>
      <w:r>
        <w:t xml:space="preserve"> </w:t>
      </w:r>
      <w:r>
        <w:t xml:space="preserve">-</w:t>
      </w:r>
      <w:r>
        <w:t xml:space="preserve"> </w:t>
      </w:r>
      <w:r>
        <w:rPr>
          <w:b/>
          <w:bCs/>
        </w:rPr>
        <w:t xml:space="preserve">Théophylline</w:t>
      </w:r>
      <w:r>
        <w:t xml:space="preserve"> </w:t>
      </w:r>
      <w:r>
        <w:t xml:space="preserve">: inhibition modérée du CYP1A2 (inférieure à la ciprofloxacine) → surveillance.</w:t>
      </w:r>
      <w:r>
        <w:t xml:space="preserve"> </w:t>
      </w:r>
      <w:r>
        <w:t xml:space="preserve">-</w:t>
      </w:r>
      <w:r>
        <w:t xml:space="preserve"> </w:t>
      </w:r>
      <w:r>
        <w:rPr>
          <w:b/>
          <w:bCs/>
        </w:rPr>
        <w:t xml:space="preserve">AVK</w:t>
      </w:r>
      <w:r>
        <w:t xml:space="preserve"> </w:t>
      </w:r>
      <w:r>
        <w:t xml:space="preserve">: surveillance INR.</w:t>
      </w:r>
      <w:r>
        <w:t xml:space="preserve"> </w:t>
      </w:r>
      <w:r>
        <w:t xml:space="preserve">-</w:t>
      </w:r>
      <w:r>
        <w:t xml:space="preserve"> </w:t>
      </w:r>
      <w:r>
        <w:rPr>
          <w:b/>
          <w:bCs/>
        </w:rPr>
        <w:t xml:space="preserve">Ciclosporine</w:t>
      </w:r>
      <w:r>
        <w:t xml:space="preserve"> </w:t>
      </w:r>
      <w:r>
        <w:t xml:space="preserve">: surveillance rénale.</w:t>
      </w:r>
      <w:r>
        <w:t xml:space="preserve"> </w:t>
      </w:r>
      <w:r>
        <w:t xml:space="preserve">-</w:t>
      </w:r>
      <w:r>
        <w:t xml:space="preserve"> </w:t>
      </w:r>
      <w:r>
        <w:rPr>
          <w:b/>
          <w:bCs/>
        </w:rPr>
        <w:t xml:space="preserve">AINS</w:t>
      </w:r>
      <w:r>
        <w:t xml:space="preserve"> </w:t>
      </w:r>
      <w:r>
        <w:t xml:space="preserve">: augmentation risque convulsif (effet GABA-antagoniste additif).</w:t>
      </w:r>
      <w:r>
        <w:t xml:space="preserve"> </w:t>
      </w:r>
      <w:r>
        <w:t xml:space="preserve">-</w:t>
      </w:r>
      <w:r>
        <w:t xml:space="preserve"> </w:t>
      </w:r>
      <w:r>
        <w:rPr>
          <w:b/>
          <w:bCs/>
        </w:rPr>
        <w:t xml:space="preserve">Antiarythmiques allongeant le QT</w:t>
      </w:r>
      <w:r>
        <w:t xml:space="preserve"> </w:t>
      </w:r>
      <w:r>
        <w:t xml:space="preserve">: à éviter.</w:t>
      </w:r>
    </w:p>
    <w:p>
      <w:pPr>
        <w:pStyle w:val="BodyText"/>
      </w:pPr>
      <w:r>
        <w:rPr>
          <w:b/>
          <w:bCs/>
        </w:rPr>
        <w:t xml:space="preserve">Grossesse et Allaitement :</w:t>
      </w:r>
      <w:r>
        <w:t xml:space="preserve"> </w:t>
      </w:r>
      <w:r>
        <w:t xml:space="preserve">-</w:t>
      </w:r>
      <w:r>
        <w:t xml:space="preserve"> </w:t>
      </w:r>
      <w:r>
        <w:rPr>
          <w:b/>
          <w:bCs/>
        </w:rPr>
        <w:t xml:space="preserve">Grossesse :</w:t>
      </w:r>
      <w:r>
        <w:t xml:space="preserve"> </w:t>
      </w:r>
      <w:r>
        <w:t xml:space="preserve">CI formelle (CRAT) — à éviter quel que soit le trimestre.</w:t>
      </w:r>
      <w:r>
        <w:t xml:space="preserve"> </w:t>
      </w:r>
      <w:r>
        <w:t xml:space="preserve">-</w:t>
      </w:r>
      <w:r>
        <w:t xml:space="preserve"> </w:t>
      </w:r>
      <w:r>
        <w:rPr>
          <w:b/>
          <w:bCs/>
        </w:rPr>
        <w:t xml:space="preserve">Allaitement :</w:t>
      </w:r>
      <w:r>
        <w:t xml:space="preserve"> </w:t>
      </w:r>
      <w:r>
        <w:t xml:space="preserve">CI par voie systémique (passage lacté). Collyre compatible.</w:t>
      </w:r>
      <w:r>
        <w:t xml:space="preserve"> </w:t>
      </w:r>
      <w:r>
        <w:t xml:space="preserve">-</w:t>
      </w:r>
      <w:r>
        <w:t xml:space="preserve"> </w:t>
      </w:r>
      <w:r>
        <w:rPr>
          <w:b/>
          <w:bCs/>
        </w:rPr>
        <w:t xml:space="preserve">Précisions :</w:t>
      </w:r>
      <w:r>
        <w:t xml:space="preserve"> </w:t>
      </w:r>
      <w:r>
        <w:t xml:space="preserve">L’ofloxacine a été étudiée dans la lèpre en association (multibacillaire), mais son usage systémique est désormais supplanté.</w:t>
      </w:r>
    </w:p>
    <w:p>
      <w:pPr>
        <w:pStyle w:val="BodyText"/>
      </w:pPr>
      <w:r>
        <w:rPr>
          <w:b/>
          <w:bCs/>
        </w:rPr>
        <w:t xml:space="preserve">Posologie et Mode d’administration (Standard) :</w:t>
      </w:r>
      <w:r>
        <w:t xml:space="preserve"> </w:t>
      </w:r>
      <w:r>
        <w:t xml:space="preserve">-</w:t>
      </w:r>
      <w:r>
        <w:t xml:space="preserve"> </w:t>
      </w:r>
      <w:r>
        <w:rPr>
          <w:b/>
          <w:bCs/>
        </w:rPr>
        <w:t xml:space="preserve">Adulte :</w:t>
      </w:r>
      <w:r>
        <w:t xml:space="preserve"> </w:t>
      </w:r>
      <w:r>
        <w:t xml:space="preserve">200 mg × 2/j per os (infections modérées) ; 400 mg × 2/j (infections sévères) ; 400 mg × 1/j (entretien prostatite) ; IV : 200 mg × 2/j (ASC équivalent à 200 mg PO). Adaptation rénale : ClCr 20–50 → 200 mg × 1/j ; ClCr 10–19 → 200 mg toutes les 48 h.</w:t>
      </w:r>
      <w:r>
        <w:t xml:space="preserve"> </w:t>
      </w:r>
      <w:r>
        <w:t xml:space="preserve">-</w:t>
      </w:r>
      <w:r>
        <w:t xml:space="preserve"> </w:t>
      </w:r>
      <w:r>
        <w:rPr>
          <w:b/>
          <w:bCs/>
        </w:rPr>
        <w:t xml:space="preserve">Enfant :</w:t>
      </w:r>
      <w:r>
        <w:t xml:space="preserve"> </w:t>
      </w:r>
      <w:r>
        <w:t xml:space="preserve">CI.</w:t>
      </w:r>
      <w:r>
        <w:t xml:space="preserve"> </w:t>
      </w:r>
      <w:r>
        <w:t xml:space="preserve">-</w:t>
      </w:r>
      <w:r>
        <w:t xml:space="preserve"> </w:t>
      </w:r>
      <w:r>
        <w:rPr>
          <w:b/>
          <w:bCs/>
        </w:rPr>
        <w:t xml:space="preserve">Durée :</w:t>
      </w:r>
      <w:r>
        <w:t xml:space="preserve"> </w:t>
      </w:r>
      <w:r>
        <w:t xml:space="preserve">Cystite simple 3 j ; pyélonéphrite 10 j ; prostatite 4 sem ; infections osseuses 6 sem ; gonococcie : 400 mg monodose ; collyre : 7 j max.</w:t>
      </w:r>
      <w:r>
        <w:t xml:space="preserve"> </w:t>
      </w:r>
      <w:r>
        <w:t xml:space="preserve">-</w:t>
      </w:r>
      <w:r>
        <w:t xml:space="preserve"> </w:t>
      </w:r>
      <w:r>
        <w:rPr>
          <w:b/>
          <w:bCs/>
        </w:rPr>
        <w:t xml:space="preserve">Moment de prise :</w:t>
      </w:r>
      <w:r>
        <w:t xml:space="preserve"> </w:t>
      </w:r>
      <w:r>
        <w:t xml:space="preserve">À distance des cations (2 h avant / 6 h après), indépendamment des repas (biodisponibilité 95 %, peu influencée par alimentation).</w:t>
      </w:r>
    </w:p>
    <w:p>
      <w:pPr>
        <w:pStyle w:val="BodyText"/>
      </w:pPr>
      <w:r>
        <w:rPr>
          <w:b/>
          <w:bCs/>
        </w:rPr>
        <w:t xml:space="preserve">Arbitrage et Bénéfices des Formes Galéniques :</w:t>
      </w:r>
      <w:r>
        <w:t xml:space="preserve"> </w:t>
      </w:r>
      <w:r>
        <w:t xml:space="preserve">L’ofloxacine a une</w:t>
      </w:r>
      <w:r>
        <w:t xml:space="preserve"> </w:t>
      </w:r>
      <w:r>
        <w:rPr>
          <w:b/>
          <w:bCs/>
        </w:rPr>
        <w:t xml:space="preserve">biodisponibilité orale de 95 %</w:t>
      </w:r>
      <w:r>
        <w:t xml:space="preserve">, parmi les plus élevées des FQ, autorisant un relais oral précoce et expliquant la dominance historique des formes orales. Le gel ophtalmique FLOXEDOL offre une diffusion cornéenne prolongée (administration biquotidienne au lieu de 4–6/j pour le collyre), améliorant l’observance. La solution CORONOL FREE « oculaire et auriculaire » illustre une forme polyvalente mais</w:t>
      </w:r>
      <w:r>
        <w:t xml:space="preserve"> </w:t>
      </w:r>
      <w:r>
        <w:rPr>
          <w:b/>
          <w:bCs/>
        </w:rPr>
        <w:t xml:space="preserve">ne doit pas être mise dans l’oreille si le tympan est perforé</w:t>
      </w:r>
      <w:r>
        <w:t xml:space="preserve"> </w:t>
      </w:r>
      <w:r>
        <w:t xml:space="preserve">(ototoxicité des FQ). La supplantation par la lévofloxacine pour les usages systémiques reflète l’évolution rationnelle vers l’isomère actif pur.</w:t>
      </w:r>
    </w:p>
    <w:p>
      <w:pPr>
        <w:pStyle w:val="BodyText"/>
      </w:pPr>
      <w:r>
        <w:rPr>
          <w:b/>
          <w:bCs/>
        </w:rPr>
        <w:t xml:space="preserve">Instructions et Conseils au Patient :</w:t>
      </w:r>
      <w:r>
        <w:t xml:space="preserve"> </w:t>
      </w:r>
      <w:r>
        <w:t xml:space="preserve">-</w:t>
      </w:r>
      <w:r>
        <w:t xml:space="preserve"> </w:t>
      </w:r>
      <w:r>
        <w:rPr>
          <w:b/>
          <w:bCs/>
        </w:rPr>
        <w:t xml:space="preserve">Communication au comptoir :</w:t>
      </w:r>
      <w:r>
        <w:t xml:space="preserve"> </w:t>
      </w:r>
      <w:r>
        <w:t xml:space="preserve">« Antibiotique. Éloignez-le des antiacides et du fer de 2 heures. Buvez beaucoup d’eau. Évitez le soleil. Prévenez votre médecin si vous avez une douleur au tendon, des fourmillements, des palpitations. Pour le collyre : 1 goutte × 4 à 6 fois par jour pendant 7 jours maximum. »</w:t>
      </w:r>
      <w:r>
        <w:t xml:space="preserve"> </w:t>
      </w:r>
      <w:r>
        <w:t xml:space="preserve">-</w:t>
      </w:r>
      <w:r>
        <w:t xml:space="preserve"> </w:t>
      </w:r>
      <w:r>
        <w:rPr>
          <w:b/>
          <w:bCs/>
        </w:rPr>
        <w:t xml:space="preserve">Mode d’utilisation pratique :</w:t>
      </w:r>
      <w:r>
        <w:t xml:space="preserve"> </w:t>
      </w:r>
      <w:r>
        <w:t xml:space="preserve">Comprimé avalé entier avec un grand verre d’eau, debout/assis. Collyre : ne pas toucher l’embout, se laver les mains, retirer les lentilles. Gel ophtalmique : 1 goutte × 2/j (matin et soir).</w:t>
      </w:r>
    </w:p>
    <w:p>
      <w:pPr>
        <w:pStyle w:val="BodyText"/>
      </w:pPr>
      <w:r>
        <w:rPr>
          <w:b/>
          <w:bCs/>
        </w:rPr>
        <w:t xml:space="preserve">Notes, Règles d’Or &amp; Pièges au Comptoir :</w:t>
      </w:r>
      <w:r>
        <w:t xml:space="preserve"> </w:t>
      </w:r>
      <w:r>
        <w:t xml:space="preserve">-</w:t>
      </w:r>
      <w:r>
        <w:t xml:space="preserve"> </w:t>
      </w:r>
      <w:r>
        <w:rPr>
          <w:b/>
          <w:bCs/>
        </w:rPr>
        <w:t xml:space="preserve">Piège classique n°1 :</w:t>
      </w:r>
      <w:r>
        <w:t xml:space="preserve"> </w:t>
      </w:r>
      <w:r>
        <w:t xml:space="preserve">Ofloxacine systémique prescrite alors que les formes sont Non Renouvelables → proposer substitution par lévofloxacine (isomère actif) à dose adaptée (500 mg lévofloxacine ≈ 400 mg ofloxacine).</w:t>
      </w:r>
      <w:r>
        <w:t xml:space="preserve"> </w:t>
      </w:r>
      <w:r>
        <w:t xml:space="preserve">-</w:t>
      </w:r>
      <w:r>
        <w:t xml:space="preserve"> </w:t>
      </w:r>
      <w:r>
        <w:rPr>
          <w:b/>
          <w:bCs/>
        </w:rPr>
        <w:t xml:space="preserve">Piège classique n°2 :</w:t>
      </w:r>
      <w:r>
        <w:t xml:space="preserve"> </w:t>
      </w:r>
      <w:r>
        <w:t xml:space="preserve">Collyre ofloxacine chez un patient porteur de lentilles → retirer les lentilles.</w:t>
      </w:r>
      <w:r>
        <w:t xml:space="preserve"> </w:t>
      </w:r>
      <w:r>
        <w:t xml:space="preserve">-</w:t>
      </w:r>
      <w:r>
        <w:t xml:space="preserve"> </w:t>
      </w:r>
      <w:r>
        <w:rPr>
          <w:b/>
          <w:bCs/>
        </w:rPr>
        <w:t xml:space="preserve">Piège classique n°3 :</w:t>
      </w:r>
      <w:r>
        <w:t xml:space="preserve"> </w:t>
      </w:r>
      <w:r>
        <w:t xml:space="preserve">CORONOL FREE prescrit dans une otite avec tympan perforé → ototoxicité (vérifier otoscopie).</w:t>
      </w:r>
      <w:r>
        <w:t xml:space="preserve"> </w:t>
      </w:r>
      <w:r>
        <w:t xml:space="preserve">-</w:t>
      </w:r>
      <w:r>
        <w:t xml:space="preserve"> </w:t>
      </w:r>
      <w:r>
        <w:rPr>
          <w:b/>
          <w:bCs/>
        </w:rPr>
        <w:t xml:space="preserve">Piège classique n°4 :</w:t>
      </w:r>
      <w:r>
        <w:t xml:space="preserve"> </w:t>
      </w:r>
      <w:r>
        <w:t xml:space="preserve">Ofloxacine + théophylline → surveillance taux théophylline.</w:t>
      </w:r>
      <w:r>
        <w:t xml:space="preserve"> </w:t>
      </w:r>
      <w:r>
        <w:t xml:space="preserve">-</w:t>
      </w:r>
      <w:r>
        <w:t xml:space="preserve"> </w:t>
      </w:r>
      <w:r>
        <w:rPr>
          <w:b/>
          <w:bCs/>
        </w:rPr>
        <w:t xml:space="preserve">Règle de prise :</w:t>
      </w:r>
      <w:r>
        <w:t xml:space="preserve"> </w:t>
      </w:r>
      <w:r>
        <w:t xml:space="preserve">2 h avant ou 6 h après les cations ; hydratation ; heure fixe.</w:t>
      </w:r>
      <w:r>
        <w:t xml:space="preserve"> </w:t>
      </w:r>
      <w:r>
        <w:t xml:space="preserve">-</w:t>
      </w:r>
      <w:r>
        <w:t xml:space="preserve"> </w:t>
      </w:r>
      <w:r>
        <w:rPr>
          <w:b/>
          <w:bCs/>
        </w:rPr>
        <w:t xml:space="preserve">Préparation et Conservation :</w:t>
      </w:r>
      <w:r>
        <w:t xml:space="preserve"> </w:t>
      </w:r>
      <w:r>
        <w:t xml:space="preserve">Comprimés à température ambiante. Collyre : jeter 15 j après ouverture. Gel ophtalmique : 1 mois après ouverture. Solution IV : conserver à l’abri de la lumière, perfuser sur 30–60 min.</w:t>
      </w:r>
      <w:r>
        <w:t xml:space="preserve"> </w:t>
      </w:r>
      <w:r>
        <w:t xml:space="preserve">-</w:t>
      </w:r>
      <w:r>
        <w:t xml:space="preserve"> </w:t>
      </w:r>
      <w:r>
        <w:rPr>
          <w:b/>
          <w:bCs/>
        </w:rPr>
        <w:t xml:space="preserve">Piège du surdosage / Substitution :</w:t>
      </w:r>
      <w:r>
        <w:t xml:space="preserve"> </w:t>
      </w:r>
      <w:r>
        <w:t xml:space="preserve">Substitution des formes orales entre marques possible (MENEFLOKS, NOVECIN, ZANOCIN) — mais en pratique, choisir directement la lévofloxacine pour les nouvelles prescriptions. Pour les collyres, substitution entre CORONOL, OFLOTEK, OFLOXINE, OPTIFLOX acceptable. Surdosage : symptômes neurologiques + allongement QT — traitement symptomatique.</w:t>
      </w:r>
    </w:p>
    <w:p>
      <w:r>
        <w:pict>
          <v:rect style="width:0;height:1.5pt" o:hralign="center" o:hrstd="t" o:hr="t"/>
        </w:pict>
      </w:r>
    </w:p>
    <w:bookmarkEnd w:id="158"/>
    <w:bookmarkStart w:id="159" w:name="dci-péfloxacine-seule"/>
    <w:p>
      <w:pPr>
        <w:pStyle w:val="Heading2"/>
      </w:pPr>
      <w:r>
        <w:t xml:space="preserve">6. DCI : Péfloxacine (Seule)</w:t>
      </w:r>
    </w:p>
    <w:p>
      <w:pPr>
        <w:pStyle w:val="FirstParagraph"/>
      </w:pPr>
      <w:r>
        <w:rPr>
          <w:b/>
          <w:bCs/>
        </w:rPr>
        <w:t xml:space="preserve">Liste des Catégories :</w:t>
      </w:r>
      <w:r>
        <w:t xml:space="preserve"> </w:t>
      </w:r>
      <w:r>
        <w:t xml:space="preserve">Antibactérien systémique, Fluoroquinolone de 2e génération (métabolisée en norfloxacine).</w:t>
      </w:r>
    </w:p>
    <w:p>
      <w:pPr>
        <w:pStyle w:val="BodyText"/>
      </w:pPr>
      <w:r>
        <w:t xml:space="preserve">La péfloxacine, FQ de 2e génération introduite en 1985, se distingue par son métabolisme hépatique significatif (conversion en norfloxacine active) et son élimination biliaire et rénale, ce qui lui confère des concentrations élevées dans la bile, le liquide prostatique et le LCR. En Algérie, deux marques historiques subsistent : PEFLOQUIN (HAYAT PHARMACEUTICAL) et PEFLOX (RAM PHARMACEUTICAL), toutes deux en statut</w:t>
      </w:r>
      <w:r>
        <w:t xml:space="preserve"> </w:t>
      </w:r>
      <w:r>
        <w:rPr>
          <w:b/>
          <w:bCs/>
        </w:rPr>
        <w:t xml:space="preserve">Non Renouvelable</w:t>
      </w:r>
      <w:r>
        <w:t xml:space="preserve">, témoignant du déclin de son usage clinique au profit de la ciprofloxacine et de la lévofloxacine. La péfloxacine reste mentionnée dans les recommandations pour certaines infections digestives et neuroméningées.</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PEFLOQUIN</w:t>
      </w:r>
      <w:r>
        <w:t xml:space="preserve"> </w:t>
      </w:r>
      <w:r>
        <w:t xml:space="preserve">(HAYAT PHARMACEUTICAL INDUSTRIES) — comprimé 400 mg, B/02 et B/10 — Non Renouvelable</w:t>
      </w:r>
      <w:r>
        <w:t xml:space="preserve"> </w:t>
      </w:r>
      <w:r>
        <w:t xml:space="preserve">-</w:t>
      </w:r>
      <w:r>
        <w:t xml:space="preserve"> </w:t>
      </w:r>
      <w:r>
        <w:rPr>
          <w:b/>
          <w:bCs/>
        </w:rPr>
        <w:t xml:space="preserve">PEFLOX</w:t>
      </w:r>
      <w:r>
        <w:t xml:space="preserve"> </w:t>
      </w:r>
      <w:r>
        <w:t xml:space="preserve">(RAM PHARMACEUTICAL INDUSTRIES) — comprimé 400 mg, B/10 — Non Renouvelable</w:t>
      </w:r>
    </w:p>
    <w:p>
      <w:pPr>
        <w:pStyle w:val="BodyText"/>
      </w:pPr>
      <w:r>
        <w:rPr>
          <w:i/>
          <w:iCs/>
        </w:rPr>
        <w:t xml:space="preserve">Aucune forme injectable ni collyre de péfloxacine actuellement disponible dans la nomenclature algérienne (avril 2026).</w:t>
      </w:r>
    </w:p>
    <w:p>
      <w:pPr>
        <w:pStyle w:val="BodyText"/>
      </w:pPr>
      <w:r>
        <w:rPr>
          <w:b/>
          <w:bCs/>
        </w:rPr>
        <w:t xml:space="preserve">Sous-classe et Mécanisme d’action :</w:t>
      </w:r>
      <w:r>
        <w:t xml:space="preserve"> </w:t>
      </w:r>
      <w:r>
        <w:t xml:space="preserve">-</w:t>
      </w:r>
      <w:r>
        <w:t xml:space="preserve"> </w:t>
      </w:r>
      <w:r>
        <w:rPr>
          <w:b/>
          <w:bCs/>
        </w:rPr>
        <w:t xml:space="preserve">Sous-classe :</w:t>
      </w:r>
      <w:r>
        <w:t xml:space="preserve"> </w:t>
      </w:r>
      <w:r>
        <w:t xml:space="preserve">Fluoroquinolone de 2e génération, proche parente de la norfloxacine dont elle est la</w:t>
      </w:r>
      <w:r>
        <w:t xml:space="preserve"> </w:t>
      </w:r>
      <w:r>
        <w:rPr>
          <w:b/>
          <w:bCs/>
        </w:rPr>
        <w:t xml:space="preserve">prodrogue métabolique</w:t>
      </w:r>
      <w:r>
        <w:t xml:space="preserve"> </w:t>
      </w:r>
      <w:r>
        <w:t xml:space="preserve">(N-déméthylation hépatique). Spectre proche de la norfloxacine (Gram négatif urinaire, entérobactéries,</w:t>
      </w:r>
      <w:r>
        <w:t xml:space="preserve"> </w:t>
      </w:r>
      <w:r>
        <w:rPr>
          <w:i/>
          <w:iCs/>
        </w:rPr>
        <w:t xml:space="preserve">Haemophilus</w:t>
      </w:r>
      <w:r>
        <w:t xml:space="preserve">,</w:t>
      </w:r>
      <w:r>
        <w:t xml:space="preserve"> </w:t>
      </w:r>
      <w:r>
        <w:rPr>
          <w:i/>
          <w:iCs/>
        </w:rPr>
        <w:t xml:space="preserve">Neisseria</w:t>
      </w:r>
      <w:r>
        <w:t xml:space="preserve">), avec une bonne diffusion biliaire, prostatique et méningée.</w:t>
      </w:r>
      <w:r>
        <w:t xml:space="preserve"> </w:t>
      </w:r>
      <w:r>
        <w:t xml:space="preserve">-</w:t>
      </w:r>
      <w:r>
        <w:t xml:space="preserve"> </w:t>
      </w:r>
      <w:r>
        <w:rPr>
          <w:b/>
          <w:bCs/>
        </w:rPr>
        <w:t xml:space="preserve">Mécanisme d’action :</w:t>
      </w:r>
      <w:r>
        <w:t xml:space="preserve"> </w:t>
      </w:r>
      <w:r>
        <w:t xml:space="preserve">Bactéricide concentration-dépendant, inhibition ADN gyrase (GyrA/GyrB) et topo IV (ParC/ParE), formation du complexe clivable, cassures double-brin. Le métabolite norfloxacine est actif.</w:t>
      </w:r>
    </w:p>
    <w:p>
      <w:pPr>
        <w:pStyle w:val="BodyText"/>
      </w:pPr>
      <w:r>
        <w:rPr>
          <w:b/>
          <w:bCs/>
        </w:rPr>
        <w:t xml:space="preserve">Profil Pharmacologique :</w:t>
      </w:r>
      <w:r>
        <w:t xml:space="preserve"> </w:t>
      </w:r>
      <w:r>
        <w:t xml:space="preserve">-</w:t>
      </w:r>
      <w:r>
        <w:t xml:space="preserve"> </w:t>
      </w:r>
      <w:r>
        <w:rPr>
          <w:b/>
          <w:bCs/>
        </w:rPr>
        <w:t xml:space="preserve">Indications :</w:t>
      </w:r>
      <w:r>
        <w:t xml:space="preserve"> </w:t>
      </w:r>
      <w:r>
        <w:t xml:space="preserve">Infections urinaires basses et compliquées ; prostatites bactériennes ; infections digestives et biliaires ; infections ostéo-articulaires ; infections génitales (gonococcie) ; méningites à Gram négatif en alternative (bonne diffusion méningée) ; septicémies.</w:t>
      </w:r>
      <w:r>
        <w:t xml:space="preserve"> </w:t>
      </w:r>
      <w:r>
        <w:t xml:space="preserve">-</w:t>
      </w:r>
      <w:r>
        <w:t xml:space="preserve"> </w:t>
      </w:r>
      <w:r>
        <w:rPr>
          <w:b/>
          <w:bCs/>
        </w:rPr>
        <w:t xml:space="preserve">Contre-indications :</w:t>
      </w:r>
      <w:r>
        <w:t xml:space="preserve"> </w:t>
      </w:r>
      <w:r>
        <w:t xml:space="preserve">Déficit en G6PD (risque d’hémolyse — alerte spécifique à la péfloxacine) ; ATCD de tendinopathie FQ ; myasthénie ; épilepsie ; grossesse/allaitement ; enfant/adolescent en croissance ; hypersensibilité FQ ; allongement QT.</w:t>
      </w:r>
      <w:r>
        <w:t xml:space="preserve"> </w:t>
      </w:r>
      <w:r>
        <w:t xml:space="preserve">-</w:t>
      </w:r>
      <w:r>
        <w:t xml:space="preserve"> </w:t>
      </w:r>
      <w:r>
        <w:rPr>
          <w:b/>
          <w:bCs/>
        </w:rPr>
        <w:t xml:space="preserve">Effets Indésirables :</w:t>
      </w:r>
      <w:r>
        <w:t xml:space="preserve"> </w:t>
      </w:r>
      <w:r>
        <w:t xml:space="preserve">Profil comparable aux autres FQ, avec une</w:t>
      </w:r>
      <w:r>
        <w:t xml:space="preserve"> </w:t>
      </w:r>
      <w:r>
        <w:rPr>
          <w:b/>
          <w:bCs/>
        </w:rPr>
        <w:t xml:space="preserve">photosensibilité marquée</w:t>
      </w:r>
      <w:r>
        <w:t xml:space="preserve"> </w:t>
      </w:r>
      <w:r>
        <w:t xml:space="preserve">(la plus élevée des FQ avec la loméfloxacine) ; tendinopathies ; NAO ; rash ; arthralgies ; troubles digestifs ; céphalées ; insomnie ; allongement QT ; cas exceptionnels d’</w:t>
      </w:r>
      <w:r>
        <w:rPr>
          <w:b/>
          <w:bCs/>
        </w:rPr>
        <w:t xml:space="preserve">hémolyse chez déficitaires G6PD</w:t>
      </w:r>
      <w:r>
        <w:t xml:space="preserve">.</w:t>
      </w:r>
    </w:p>
    <w:p>
      <w:pPr>
        <w:pStyle w:val="BodyText"/>
      </w:pPr>
      <w:r>
        <w:rPr>
          <w:b/>
          <w:bCs/>
        </w:rPr>
        <w:t xml:space="preserve">Prévention et Gestion des Effets Indésirables :</w:t>
      </w:r>
      <w:r>
        <w:t xml:space="preserve"> </w:t>
      </w:r>
      <w:r>
        <w:t xml:space="preserve">-</w:t>
      </w:r>
      <w:r>
        <w:t xml:space="preserve"> </w:t>
      </w:r>
      <w:r>
        <w:rPr>
          <w:b/>
          <w:bCs/>
        </w:rPr>
        <w:t xml:space="preserve">Mesures Préventives :</w:t>
      </w:r>
      <w:r>
        <w:t xml:space="preserve"> </w:t>
      </w:r>
      <w:r>
        <w:t xml:space="preserve">Dépistage du déficit en G6PD avant prescription si patient originaire du bassin méditerranéen, d’Afrique subsaharienne ou d’Asie du Sud-Est ; photoprotection stricte (la photosensibilité est majeure) ; hydratation ; arrêt des antiacides 2 h avant/6 h après.</w:t>
      </w:r>
      <w:r>
        <w:t xml:space="preserve"> </w:t>
      </w:r>
      <w:r>
        <w:t xml:space="preserve">-</w:t>
      </w:r>
      <w:r>
        <w:t xml:space="preserve"> </w:t>
      </w:r>
      <w:r>
        <w:rPr>
          <w:b/>
          <w:bCs/>
        </w:rPr>
        <w:t xml:space="preserve">Conduite à Tenir :</w:t>
      </w:r>
      <w:r>
        <w:t xml:space="preserve"> </w:t>
      </w:r>
      <w:r>
        <w:t xml:space="preserve">Arrêt immédiat en cas d’ictère, de douleur tendineuse, de paresthésies, d’éruption photo-induite sévère.</w:t>
      </w:r>
    </w:p>
    <w:p>
      <w:pPr>
        <w:pStyle w:val="BodyText"/>
      </w:pPr>
      <w:r>
        <w:rPr>
          <w:b/>
          <w:bCs/>
        </w:rPr>
        <w:t xml:space="preserve">Interactions Importantes :</w:t>
      </w:r>
      <w:r>
        <w:t xml:space="preserve"> </w:t>
      </w:r>
      <w:r>
        <w:t xml:space="preserve">-</w:t>
      </w:r>
      <w:r>
        <w:t xml:space="preserve"> </w:t>
      </w:r>
      <w:r>
        <w:rPr>
          <w:b/>
          <w:bCs/>
        </w:rPr>
        <w:t xml:space="preserve">Sels cationiques polyvalents</w:t>
      </w:r>
      <w:r>
        <w:t xml:space="preserve"> </w:t>
      </w:r>
      <w:r>
        <w:t xml:space="preserve">: chélation → espacer 2 h avant / 6 h après.</w:t>
      </w:r>
      <w:r>
        <w:t xml:space="preserve"> </w:t>
      </w:r>
      <w:r>
        <w:t xml:space="preserve">-</w:t>
      </w:r>
      <w:r>
        <w:t xml:space="preserve"> </w:t>
      </w:r>
      <w:r>
        <w:rPr>
          <w:b/>
          <w:bCs/>
        </w:rPr>
        <w:t xml:space="preserve">Théophylline</w:t>
      </w:r>
      <w:r>
        <w:t xml:space="preserve"> </w:t>
      </w:r>
      <w:r>
        <w:t xml:space="preserve">: inhibition CYP1A2 (légèrement inférieure à la ciprofloxacine) → surveillance.</w:t>
      </w:r>
      <w:r>
        <w:t xml:space="preserve"> </w:t>
      </w:r>
      <w:r>
        <w:t xml:space="preserve">-</w:t>
      </w:r>
      <w:r>
        <w:t xml:space="preserve"> </w:t>
      </w:r>
      <w:r>
        <w:rPr>
          <w:b/>
          <w:bCs/>
        </w:rPr>
        <w:t xml:space="preserve">Caféine</w:t>
      </w:r>
      <w:r>
        <w:t xml:space="preserve"> </w:t>
      </w:r>
      <w:r>
        <w:t xml:space="preserve">: diminution clairance (insomnie, agitation).</w:t>
      </w:r>
      <w:r>
        <w:t xml:space="preserve"> </w:t>
      </w:r>
      <w:r>
        <w:t xml:space="preserve">-</w:t>
      </w:r>
      <w:r>
        <w:t xml:space="preserve"> </w:t>
      </w:r>
      <w:r>
        <w:rPr>
          <w:b/>
          <w:bCs/>
        </w:rPr>
        <w:t xml:space="preserve">AVK</w:t>
      </w:r>
      <w:r>
        <w:t xml:space="preserve"> </w:t>
      </w:r>
      <w:r>
        <w:t xml:space="preserve">: surveillance INR.</w:t>
      </w:r>
      <w:r>
        <w:t xml:space="preserve"> </w:t>
      </w:r>
      <w:r>
        <w:t xml:space="preserve">-</w:t>
      </w:r>
      <w:r>
        <w:t xml:space="preserve"> </w:t>
      </w:r>
      <w:r>
        <w:rPr>
          <w:b/>
          <w:bCs/>
        </w:rPr>
        <w:t xml:space="preserve">Ciclosporine</w:t>
      </w:r>
      <w:r>
        <w:t xml:space="preserve"> </w:t>
      </w:r>
      <w:r>
        <w:t xml:space="preserve">: surveillance rénale.</w:t>
      </w:r>
    </w:p>
    <w:p>
      <w:pPr>
        <w:pStyle w:val="BodyText"/>
      </w:pPr>
      <w:r>
        <w:rPr>
          <w:b/>
          <w:bCs/>
        </w:rPr>
        <w:t xml:space="preserve">Grossesse et Allaitement :</w:t>
      </w:r>
      <w:r>
        <w:t xml:space="preserve"> </w:t>
      </w:r>
      <w:r>
        <w:t xml:space="preserve">-</w:t>
      </w:r>
      <w:r>
        <w:t xml:space="preserve"> </w:t>
      </w:r>
      <w:r>
        <w:rPr>
          <w:b/>
          <w:bCs/>
        </w:rPr>
        <w:t xml:space="preserve">Grossesse :</w:t>
      </w:r>
      <w:r>
        <w:t xml:space="preserve"> </w:t>
      </w:r>
      <w:r>
        <w:t xml:space="preserve">CI formelle (CRAT) — à éviter quel que soit le trimestre.</w:t>
      </w:r>
      <w:r>
        <w:t xml:space="preserve"> </w:t>
      </w:r>
      <w:r>
        <w:t xml:space="preserve">-</w:t>
      </w:r>
      <w:r>
        <w:t xml:space="preserve"> </w:t>
      </w:r>
      <w:r>
        <w:rPr>
          <w:b/>
          <w:bCs/>
        </w:rPr>
        <w:t xml:space="preserve">Allaitement :</w:t>
      </w:r>
      <w:r>
        <w:t xml:space="preserve"> </w:t>
      </w:r>
      <w:r>
        <w:t xml:space="preserve">CI par voie systémique.</w:t>
      </w:r>
      <w:r>
        <w:t xml:space="preserve"> </w:t>
      </w:r>
      <w:r>
        <w:t xml:space="preserve">-</w:t>
      </w:r>
      <w:r>
        <w:t xml:space="preserve"> </w:t>
      </w:r>
      <w:r>
        <w:rPr>
          <w:b/>
          <w:bCs/>
        </w:rPr>
        <w:t xml:space="preserve">Précisions :</w:t>
      </w:r>
      <w:r>
        <w:t xml:space="preserve"> </w:t>
      </w:r>
      <w:r>
        <w:t xml:space="preserve">Le passage transplacentaire et lacté est significatif.</w:t>
      </w:r>
    </w:p>
    <w:p>
      <w:pPr>
        <w:pStyle w:val="BodyText"/>
      </w:pPr>
      <w:r>
        <w:rPr>
          <w:b/>
          <w:bCs/>
        </w:rPr>
        <w:t xml:space="preserve">Posologie et Mode d’administration (Standard) :</w:t>
      </w:r>
      <w:r>
        <w:t xml:space="preserve"> </w:t>
      </w:r>
      <w:r>
        <w:t xml:space="preserve">-</w:t>
      </w:r>
      <w:r>
        <w:t xml:space="preserve"> </w:t>
      </w:r>
      <w:r>
        <w:rPr>
          <w:b/>
          <w:bCs/>
        </w:rPr>
        <w:t xml:space="preserve">Adulte :</w:t>
      </w:r>
      <w:r>
        <w:t xml:space="preserve"> </w:t>
      </w:r>
      <w:r>
        <w:t xml:space="preserve">400 mg × 2/j per os (dose de charge éventuelle 800 mg en 1 prise le jour 1) ; ensuite 400 mg × 1/j ou × 2/j selon la sévérité. Adaptation rénale : ClCr 20–50 → 400 mg × 1/j ; ClCr &lt; 20 → 400 mg toutes les 48 h. Adaptation hépatique : réduire (métabolisme hépatique).</w:t>
      </w:r>
      <w:r>
        <w:t xml:space="preserve"> </w:t>
      </w:r>
      <w:r>
        <w:t xml:space="preserve">-</w:t>
      </w:r>
      <w:r>
        <w:t xml:space="preserve"> </w:t>
      </w:r>
      <w:r>
        <w:rPr>
          <w:b/>
          <w:bCs/>
        </w:rPr>
        <w:t xml:space="preserve">Enfant :</w:t>
      </w:r>
      <w:r>
        <w:t xml:space="preserve"> </w:t>
      </w:r>
      <w:r>
        <w:t xml:space="preserve">CI.</w:t>
      </w:r>
      <w:r>
        <w:t xml:space="preserve"> </w:t>
      </w:r>
      <w:r>
        <w:t xml:space="preserve">-</w:t>
      </w:r>
      <w:r>
        <w:t xml:space="preserve"> </w:t>
      </w:r>
      <w:r>
        <w:rPr>
          <w:b/>
          <w:bCs/>
        </w:rPr>
        <w:t xml:space="preserve">Durée :</w:t>
      </w:r>
      <w:r>
        <w:t xml:space="preserve"> </w:t>
      </w:r>
      <w:r>
        <w:t xml:space="preserve">Cystite simple 3 j ; pyélonéphrite 10 j ; prostatite 4 sem ; infections osseuses 6 sem.</w:t>
      </w:r>
      <w:r>
        <w:t xml:space="preserve"> </w:t>
      </w:r>
      <w:r>
        <w:t xml:space="preserve">-</w:t>
      </w:r>
      <w:r>
        <w:t xml:space="preserve"> </w:t>
      </w:r>
      <w:r>
        <w:rPr>
          <w:b/>
          <w:bCs/>
        </w:rPr>
        <w:t xml:space="preserve">Moment de prise :</w:t>
      </w:r>
      <w:r>
        <w:t xml:space="preserve"> </w:t>
      </w:r>
      <w:r>
        <w:t xml:space="preserve">À distance des cations (2 h avant / 6 h après), indépendamment des repas.</w:t>
      </w:r>
    </w:p>
    <w:p>
      <w:pPr>
        <w:pStyle w:val="BodyText"/>
      </w:pPr>
      <w:r>
        <w:rPr>
          <w:b/>
          <w:bCs/>
        </w:rPr>
        <w:t xml:space="preserve">Arbitrage et Bénéfices des Formes Galéniques :</w:t>
      </w:r>
      <w:r>
        <w:t xml:space="preserve"> </w:t>
      </w:r>
      <w:r>
        <w:t xml:space="preserve">La péfloxacine se distingue par une</w:t>
      </w:r>
      <w:r>
        <w:t xml:space="preserve"> </w:t>
      </w:r>
      <w:r>
        <w:rPr>
          <w:b/>
          <w:bCs/>
        </w:rPr>
        <w:t xml:space="preserve">biodisponibilité orale élevée (90–100 %)</w:t>
      </w:r>
      <w:r>
        <w:t xml:space="preserve">, une</w:t>
      </w:r>
      <w:r>
        <w:t xml:space="preserve"> </w:t>
      </w:r>
      <w:r>
        <w:rPr>
          <w:b/>
          <w:bCs/>
        </w:rPr>
        <w:t xml:space="preserve">demi-vie longue (8–12 h)</w:t>
      </w:r>
      <w:r>
        <w:t xml:space="preserve"> </w:t>
      </w:r>
      <w:r>
        <w:t xml:space="preserve">autorisant une mono- ou bi-quotidienne, une</w:t>
      </w:r>
      <w:r>
        <w:t xml:space="preserve"> </w:t>
      </w:r>
      <w:r>
        <w:rPr>
          <w:b/>
          <w:bCs/>
        </w:rPr>
        <w:t xml:space="preserve">diffusion méningée remarquable</w:t>
      </w:r>
      <w:r>
        <w:t xml:space="preserve"> </w:t>
      </w:r>
      <w:r>
        <w:t xml:space="preserve">(concentrations LCR = 40–90 % des concentrations plasmatiques), une</w:t>
      </w:r>
      <w:r>
        <w:t xml:space="preserve"> </w:t>
      </w:r>
      <w:r>
        <w:rPr>
          <w:b/>
          <w:bCs/>
        </w:rPr>
        <w:t xml:space="preserve">diffusion biliaire</w:t>
      </w:r>
      <w:r>
        <w:t xml:space="preserve"> </w:t>
      </w:r>
      <w:r>
        <w:t xml:space="preserve">(concentrations biliaires 10× plasmatiques) et prostatique. Son métabolisme hépatique en norfloxacine active prolonge l’effet. Ces propriétés auraient dû en faire un excellent choix pour les infections neuroméningées et biliaires, mais l’incidence accrue de photosensibilité et l’arrêt commercial en Algérie en limite l’usage.</w:t>
      </w:r>
    </w:p>
    <w:p>
      <w:pPr>
        <w:pStyle w:val="BodyText"/>
      </w:pPr>
      <w:r>
        <w:rPr>
          <w:b/>
          <w:bCs/>
        </w:rPr>
        <w:t xml:space="preserve">Instructions et Conseils au Patient :</w:t>
      </w:r>
      <w:r>
        <w:t xml:space="preserve"> </w:t>
      </w:r>
      <w:r>
        <w:t xml:space="preserve">-</w:t>
      </w:r>
      <w:r>
        <w:t xml:space="preserve"> </w:t>
      </w:r>
      <w:r>
        <w:rPr>
          <w:b/>
          <w:bCs/>
        </w:rPr>
        <w:t xml:space="preserve">Communication au comptoir :</w:t>
      </w:r>
      <w:r>
        <w:t xml:space="preserve"> </w:t>
      </w:r>
      <w:r>
        <w:t xml:space="preserve">« Antibiotique.</w:t>
      </w:r>
      <w:r>
        <w:t xml:space="preserve"> </w:t>
      </w:r>
      <w:r>
        <w:rPr>
          <w:b/>
          <w:bCs/>
        </w:rPr>
        <w:t xml:space="preserve">Évitez absolument le soleil</w:t>
      </w:r>
      <w:r>
        <w:t xml:space="preserve"> </w:t>
      </w:r>
      <w:r>
        <w:t xml:space="preserve">pendant le traitement et 4 jours après (écran solaire, vêtements couvrants). Buvez beaucoup d’eau. Éloignez-le des antiacides et du fer. Prévenez votre médecin si vous avez une douleur au tendon, des fourmillements, une éruption cutanée au soleil. »</w:t>
      </w:r>
      <w:r>
        <w:t xml:space="preserve"> </w:t>
      </w:r>
      <w:r>
        <w:t xml:space="preserve">-</w:t>
      </w:r>
      <w:r>
        <w:t xml:space="preserve"> </w:t>
      </w:r>
      <w:r>
        <w:rPr>
          <w:b/>
          <w:bCs/>
        </w:rPr>
        <w:t xml:space="preserve">Mode d’utilisation pratique :</w:t>
      </w:r>
      <w:r>
        <w:t xml:space="preserve"> </w:t>
      </w:r>
      <w:r>
        <w:t xml:space="preserve">Comprimé à avaler avec un grand verre d’eau, à heure fixe, debout/assis.</w:t>
      </w:r>
    </w:p>
    <w:p>
      <w:pPr>
        <w:pStyle w:val="BodyText"/>
      </w:pPr>
      <w:r>
        <w:rPr>
          <w:b/>
          <w:bCs/>
        </w:rPr>
        <w:t xml:space="preserve">Notes, Règles d’Or &amp; Pièges au Comptoir :</w:t>
      </w:r>
      <w:r>
        <w:t xml:space="preserve"> </w:t>
      </w:r>
      <w:r>
        <w:t xml:space="preserve">-</w:t>
      </w:r>
      <w:r>
        <w:t xml:space="preserve"> </w:t>
      </w:r>
      <w:r>
        <w:rPr>
          <w:b/>
          <w:bCs/>
        </w:rPr>
        <w:t xml:space="preserve">Piège classique n°1 :</w:t>
      </w:r>
      <w:r>
        <w:t xml:space="preserve"> </w:t>
      </w:r>
      <w:r>
        <w:t xml:space="preserve">Péfloxacine + exposition solaire (vacances au soleil) → phototoxicité sévère (érythème, bulles).</w:t>
      </w:r>
      <w:r>
        <w:t xml:space="preserve"> </w:t>
      </w:r>
      <w:r>
        <w:t xml:space="preserve">-</w:t>
      </w:r>
      <w:r>
        <w:t xml:space="preserve"> </w:t>
      </w:r>
      <w:r>
        <w:rPr>
          <w:b/>
          <w:bCs/>
        </w:rPr>
        <w:t xml:space="preserve">Piège classique n°2 :</w:t>
      </w:r>
      <w:r>
        <w:t xml:space="preserve"> </w:t>
      </w:r>
      <w:r>
        <w:t xml:space="preserve">Péfloxacine prescrite à un patient déficitaire en G6PD → risque d’hémolyse.</w:t>
      </w:r>
      <w:r>
        <w:t xml:space="preserve"> </w:t>
      </w:r>
      <w:r>
        <w:t xml:space="preserve">-</w:t>
      </w:r>
      <w:r>
        <w:t xml:space="preserve"> </w:t>
      </w:r>
      <w:r>
        <w:rPr>
          <w:b/>
          <w:bCs/>
        </w:rPr>
        <w:t xml:space="preserve">Piège classique n°3 :</w:t>
      </w:r>
      <w:r>
        <w:t xml:space="preserve"> </w:t>
      </w:r>
      <w:r>
        <w:t xml:space="preserve">Péfloxacine + théophylline chez l’asthmatique → surdosage.</w:t>
      </w:r>
      <w:r>
        <w:t xml:space="preserve"> </w:t>
      </w:r>
      <w:r>
        <w:t xml:space="preserve">-</w:t>
      </w:r>
      <w:r>
        <w:t xml:space="preserve"> </w:t>
      </w:r>
      <w:r>
        <w:rPr>
          <w:b/>
          <w:bCs/>
        </w:rPr>
        <w:t xml:space="preserve">Piège classique n°4 :</w:t>
      </w:r>
      <w:r>
        <w:t xml:space="preserve"> </w:t>
      </w:r>
      <w:r>
        <w:t xml:space="preserve">Péfloxacine NR → substitution par ciprofloxacine 500 mg × 2/j (alternative de choix).</w:t>
      </w:r>
      <w:r>
        <w:t xml:space="preserve"> </w:t>
      </w:r>
      <w:r>
        <w:t xml:space="preserve">-</w:t>
      </w:r>
      <w:r>
        <w:t xml:space="preserve"> </w:t>
      </w:r>
      <w:r>
        <w:rPr>
          <w:b/>
          <w:bCs/>
        </w:rPr>
        <w:t xml:space="preserve">Règle de prise :</w:t>
      </w:r>
      <w:r>
        <w:t xml:space="preserve"> </w:t>
      </w:r>
      <w:r>
        <w:t xml:space="preserve">2 h avant ou 6 h après les cations ; photoprotection stricte.</w:t>
      </w:r>
      <w:r>
        <w:t xml:space="preserve"> </w:t>
      </w:r>
      <w:r>
        <w:t xml:space="preserve">-</w:t>
      </w:r>
      <w:r>
        <w:t xml:space="preserve"> </w:t>
      </w:r>
      <w:r>
        <w:rPr>
          <w:b/>
          <w:bCs/>
        </w:rPr>
        <w:t xml:space="preserve">Préparation et Conservation :</w:t>
      </w:r>
      <w:r>
        <w:t xml:space="preserve"> </w:t>
      </w:r>
      <w:r>
        <w:t xml:space="preserve">Comprimés à température ambiante, à l’abri de la lumière.</w:t>
      </w:r>
      <w:r>
        <w:t xml:space="preserve"> </w:t>
      </w:r>
      <w:r>
        <w:t xml:space="preserve">-</w:t>
      </w:r>
      <w:r>
        <w:t xml:space="preserve"> </w:t>
      </w:r>
      <w:r>
        <w:rPr>
          <w:b/>
          <w:bCs/>
        </w:rPr>
        <w:t xml:space="preserve">Piège du surdosage / Substitution :</w:t>
      </w:r>
      <w:r>
        <w:t xml:space="preserve"> </w:t>
      </w:r>
      <w:r>
        <w:t xml:space="preserve">Substitution acceptable par ciprofloxacine en cas d’indisponibilité (PEFLOQUIN et PEFLOX étant Non Renouvelables). Ne pas substituer par norfloxacine car cette dernière n’a pas la diffusion systémique de la péfloxacine.</w:t>
      </w:r>
    </w:p>
    <w:p>
      <w:r>
        <w:pict>
          <v:rect style="width:0;height:1.5pt" o:hralign="center" o:hrstd="t" o:hr="t"/>
        </w:pict>
      </w:r>
    </w:p>
    <w:bookmarkEnd w:id="159"/>
    <w:bookmarkStart w:id="160" w:name="dci-gatifloxacine-seule"/>
    <w:p>
      <w:pPr>
        <w:pStyle w:val="Heading2"/>
      </w:pPr>
      <w:r>
        <w:t xml:space="preserve">7. DCI : Gatifloxacine (Seule)</w:t>
      </w:r>
    </w:p>
    <w:p>
      <w:pPr>
        <w:pStyle w:val="FirstParagraph"/>
      </w:pPr>
      <w:r>
        <w:rPr>
          <w:b/>
          <w:bCs/>
        </w:rPr>
        <w:t xml:space="preserve">Liste des Catégories :</w:t>
      </w:r>
      <w:r>
        <w:t xml:space="preserve"> </w:t>
      </w:r>
      <w:r>
        <w:t xml:space="preserve">Antibactérien à usage ophtalmologique, Fluoroquinolone de 3e/4e génération (collyre exclusif en Algérie).</w:t>
      </w:r>
    </w:p>
    <w:p>
      <w:pPr>
        <w:pStyle w:val="BodyText"/>
      </w:pPr>
      <w:r>
        <w:t xml:space="preserve">La gatifloxacine, FQ de 3e génération « respiratoire » avec un groupement 3-méthylpipérazine, a été</w:t>
      </w:r>
      <w:r>
        <w:t xml:space="preserve"> </w:t>
      </w:r>
      <w:r>
        <w:rPr>
          <w:b/>
          <w:bCs/>
        </w:rPr>
        <w:t xml:space="preserve">retirée du marché systémique</w:t>
      </w:r>
      <w:r>
        <w:t xml:space="preserve"> </w:t>
      </w:r>
      <w:r>
        <w:t xml:space="preserve">en 2006 (États-Unis) et progressivement en Europe après la mise en évidence de</w:t>
      </w:r>
      <w:r>
        <w:t xml:space="preserve"> </w:t>
      </w:r>
      <w:r>
        <w:rPr>
          <w:b/>
          <w:bCs/>
        </w:rPr>
        <w:t xml:space="preserve">dysglycémies sévères</w:t>
      </w:r>
      <w:r>
        <w:t xml:space="preserve"> </w:t>
      </w:r>
      <w:r>
        <w:t xml:space="preserve">(hypoglycémies et hyperglycémies parfois mortelles, en particulier chez le diabétique âgé). Elle subsiste exclusivement sous forme de</w:t>
      </w:r>
      <w:r>
        <w:t xml:space="preserve"> </w:t>
      </w:r>
      <w:r>
        <w:rPr>
          <w:b/>
          <w:bCs/>
        </w:rPr>
        <w:t xml:space="preserve">collyre ophtalmologique</w:t>
      </w:r>
      <w:r>
        <w:t xml:space="preserve">, où le passage systémique est négligeable et le rapport bénéfice/risque favorable. En Algérie, deux marques sont disponibles : GATIFLOXACINE GL (GENERIC LAB) et TYMER (JAMJOOM).</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GATIFLOXACINE GL</w:t>
      </w:r>
      <w:r>
        <w:t xml:space="preserve"> </w:t>
      </w:r>
      <w:r>
        <w:t xml:space="preserve">(GENERIC LAB) — collyre en solution 0,3 % (3 mg/mL), fl/5 mL — Actif</w:t>
      </w:r>
      <w:r>
        <w:t xml:space="preserve"> </w:t>
      </w:r>
      <w:r>
        <w:t xml:space="preserve">-</w:t>
      </w:r>
      <w:r>
        <w:t xml:space="preserve"> </w:t>
      </w:r>
      <w:r>
        <w:rPr>
          <w:b/>
          <w:bCs/>
        </w:rPr>
        <w:t xml:space="preserve">TYMER</w:t>
      </w:r>
      <w:r>
        <w:t xml:space="preserve"> </w:t>
      </w:r>
      <w:r>
        <w:t xml:space="preserve">(JAMJOOM PHARMACEUTICAL INDUSTRY) — collyre en solution 0,3 % (3 mg/mL), fl/5 mL — Actif</w:t>
      </w:r>
    </w:p>
    <w:p>
      <w:pPr>
        <w:pStyle w:val="BodyText"/>
      </w:pPr>
      <w:r>
        <w:rPr>
          <w:i/>
          <w:iCs/>
        </w:rPr>
        <w:t xml:space="preserve">Aucune forme systémique disponible — retirées du marché mondial.</w:t>
      </w:r>
    </w:p>
    <w:p>
      <w:pPr>
        <w:pStyle w:val="BodyText"/>
      </w:pPr>
      <w:r>
        <w:rPr>
          <w:b/>
          <w:bCs/>
        </w:rPr>
        <w:t xml:space="preserve">Sous-classe et Mécanisme d’action :</w:t>
      </w:r>
      <w:r>
        <w:t xml:space="preserve"> </w:t>
      </w:r>
      <w:r>
        <w:t xml:space="preserve">-</w:t>
      </w:r>
      <w:r>
        <w:t xml:space="preserve"> </w:t>
      </w:r>
      <w:r>
        <w:rPr>
          <w:b/>
          <w:bCs/>
        </w:rPr>
        <w:t xml:space="preserve">Sous-classe :</w:t>
      </w:r>
      <w:r>
        <w:t xml:space="preserve"> </w:t>
      </w:r>
      <w:r>
        <w:t xml:space="preserve">Fluoroquinolone de 3e génération « respiratoire » (au niveau moléculaire), à usage ophtalmologique exclusif en Algérie. Spectre large couvrant les pathogènes oculaires :</w:t>
      </w:r>
      <w:r>
        <w:t xml:space="preserve"> </w:t>
      </w:r>
      <w:r>
        <w:rPr>
          <w:i/>
          <w:iCs/>
        </w:rPr>
        <w:t xml:space="preserve">S. aureus</w:t>
      </w:r>
      <w:r>
        <w:t xml:space="preserve"> </w:t>
      </w:r>
      <w:r>
        <w:t xml:space="preserve">(y compris méthicillino-sensible),</w:t>
      </w:r>
      <w:r>
        <w:t xml:space="preserve"> </w:t>
      </w:r>
      <w:r>
        <w:rPr>
          <w:i/>
          <w:iCs/>
        </w:rPr>
        <w:t xml:space="preserve">S. pneumoniae</w:t>
      </w:r>
      <w:r>
        <w:t xml:space="preserve">,</w:t>
      </w:r>
      <w:r>
        <w:t xml:space="preserve"> </w:t>
      </w:r>
      <w:r>
        <w:rPr>
          <w:i/>
          <w:iCs/>
        </w:rPr>
        <w:t xml:space="preserve">S. epidermidis</w:t>
      </w:r>
      <w:r>
        <w:t xml:space="preserve">,</w:t>
      </w:r>
      <w:r>
        <w:t xml:space="preserve"> </w:t>
      </w:r>
      <w:r>
        <w:rPr>
          <w:i/>
          <w:iCs/>
        </w:rPr>
        <w:t xml:space="preserve">H. influenzae</w:t>
      </w:r>
      <w:r>
        <w:t xml:space="preserve">,</w:t>
      </w:r>
      <w:r>
        <w:t xml:space="preserve"> </w:t>
      </w:r>
      <w:r>
        <w:rPr>
          <w:i/>
          <w:iCs/>
        </w:rPr>
        <w:t xml:space="preserve">H. parainfluenzae</w:t>
      </w:r>
      <w:r>
        <w:t xml:space="preserve">,</w:t>
      </w:r>
      <w:r>
        <w:t xml:space="preserve"> </w:t>
      </w:r>
      <w:r>
        <w:rPr>
          <w:i/>
          <w:iCs/>
        </w:rPr>
        <w:t xml:space="preserve">Escherichia coli</w:t>
      </w:r>
      <w:r>
        <w:t xml:space="preserve">,</w:t>
      </w:r>
      <w:r>
        <w:t xml:space="preserve"> </w:t>
      </w:r>
      <w:r>
        <w:rPr>
          <w:i/>
          <w:iCs/>
        </w:rPr>
        <w:t xml:space="preserve">Pseudomonas aeruginosa</w:t>
      </w:r>
      <w:r>
        <w:t xml:space="preserve">,</w:t>
      </w:r>
      <w:r>
        <w:t xml:space="preserve"> </w:t>
      </w:r>
      <w:r>
        <w:rPr>
          <w:i/>
          <w:iCs/>
        </w:rPr>
        <w:t xml:space="preserve">Serratia marcescens</w:t>
      </w:r>
      <w:r>
        <w:t xml:space="preserve">,</w:t>
      </w:r>
      <w:r>
        <w:t xml:space="preserve"> </w:t>
      </w:r>
      <w:r>
        <w:rPr>
          <w:i/>
          <w:iCs/>
        </w:rPr>
        <w:t xml:space="preserve">Propionibacterium acnes</w:t>
      </w:r>
      <w:r>
        <w:t xml:space="preserve">,</w:t>
      </w:r>
      <w:r>
        <w:t xml:space="preserve"> </w:t>
      </w:r>
      <w:r>
        <w:rPr>
          <w:i/>
          <w:iCs/>
        </w:rPr>
        <w:t xml:space="preserve">Chlamydia trachomatis</w:t>
      </w:r>
      <w:r>
        <w:t xml:space="preserve">.</w:t>
      </w:r>
      <w:r>
        <w:t xml:space="preserve"> </w:t>
      </w:r>
      <w:r>
        <w:t xml:space="preserve">-</w:t>
      </w:r>
      <w:r>
        <w:t xml:space="preserve"> </w:t>
      </w:r>
      <w:r>
        <w:rPr>
          <w:b/>
          <w:bCs/>
        </w:rPr>
        <w:t xml:space="preserve">Mécanisme d’action :</w:t>
      </w:r>
      <w:r>
        <w:t xml:space="preserve"> </w:t>
      </w:r>
      <w:r>
        <w:t xml:space="preserve">Bactéricide concentration-dépendant, inhibition ADN gyrase (GyrA/GyrB) et topo IV (ParC/ParE), formation du complexe clivable, cassures double-brin. Le groupement 3-méthylpipérazine en C7 améliore l’activité contre les Gram positifs (pneumocoque, staphylocoque).</w:t>
      </w:r>
    </w:p>
    <w:p>
      <w:pPr>
        <w:pStyle w:val="BodyText"/>
      </w:pPr>
      <w:r>
        <w:rPr>
          <w:b/>
          <w:bCs/>
        </w:rPr>
        <w:t xml:space="preserve">Profil Pharmacologique :</w:t>
      </w:r>
      <w:r>
        <w:t xml:space="preserve"> </w:t>
      </w:r>
      <w:r>
        <w:t xml:space="preserve">-</w:t>
      </w:r>
      <w:r>
        <w:t xml:space="preserve"> </w:t>
      </w:r>
      <w:r>
        <w:rPr>
          <w:b/>
          <w:bCs/>
        </w:rPr>
        <w:t xml:space="preserve">Indications :</w:t>
      </w:r>
      <w:r>
        <w:t xml:space="preserve"> </w:t>
      </w:r>
      <w:r>
        <w:t xml:space="preserve">Conjonctivites bactériennes aiguës ; kératites bactériennes ; ulcères de cornée ; blépharites ; prophylaxie pré- et post-opératoire en chirurgie oculaire (cataracte, vitrectomie, LASIK) ; traitement des infections à</w:t>
      </w:r>
      <w:r>
        <w:t xml:space="preserve"> </w:t>
      </w:r>
      <w:r>
        <w:rPr>
          <w:i/>
          <w:iCs/>
        </w:rPr>
        <w:t xml:space="preserve">Chlamydia trachomatis</w:t>
      </w:r>
      <w:r>
        <w:t xml:space="preserve"> </w:t>
      </w:r>
      <w:r>
        <w:t xml:space="preserve">du nouveau-né (ophtalmie néonatale en alternative).</w:t>
      </w:r>
      <w:r>
        <w:t xml:space="preserve"> </w:t>
      </w:r>
      <w:r>
        <w:t xml:space="preserve">-</w:t>
      </w:r>
      <w:r>
        <w:t xml:space="preserve"> </w:t>
      </w:r>
      <w:r>
        <w:rPr>
          <w:b/>
          <w:bCs/>
        </w:rPr>
        <w:t xml:space="preserve">Contre-indications :</w:t>
      </w:r>
      <w:r>
        <w:t xml:space="preserve"> </w:t>
      </w:r>
      <w:r>
        <w:t xml:space="preserve">Hypersensibilité aux FQ ; enfant &lt; 1 an (selon AMM).</w:t>
      </w:r>
      <w:r>
        <w:t xml:space="preserve"> </w:t>
      </w:r>
      <w:r>
        <w:t xml:space="preserve">-</w:t>
      </w:r>
      <w:r>
        <w:t xml:space="preserve"> </w:t>
      </w:r>
      <w:r>
        <w:rPr>
          <w:b/>
          <w:bCs/>
        </w:rPr>
        <w:t xml:space="preserve">Effets Indésirables :</w:t>
      </w:r>
      <w:r>
        <w:t xml:space="preserve"> </w:t>
      </w:r>
      <w:r>
        <w:t xml:space="preserve">Locaux : picotements transitoires, rougeur conjonctivale, prurit, sensation de corps étranger, goût métallique (drainage nasolacrymal), rarement kératopathie et allergie de contact en cas d’usage prolongé.</w:t>
      </w:r>
      <w:r>
        <w:t xml:space="preserve"> </w:t>
      </w:r>
      <w:r>
        <w:rPr>
          <w:b/>
          <w:bCs/>
        </w:rPr>
        <w:t xml:space="preserve">Pas de dysglycémie systémique aux posologies oculaires</w:t>
      </w:r>
      <w:r>
        <w:t xml:space="preserve"> </w:t>
      </w:r>
      <w:r>
        <w:t xml:space="preserve">(passage systémique &lt; 1 ng/mL).</w:t>
      </w:r>
    </w:p>
    <w:p>
      <w:pPr>
        <w:pStyle w:val="BodyText"/>
      </w:pPr>
      <w:r>
        <w:rPr>
          <w:b/>
          <w:bCs/>
        </w:rPr>
        <w:t xml:space="preserve">Prévention et Gestion des Effets Indésirables :</w:t>
      </w:r>
      <w:r>
        <w:t xml:space="preserve"> </w:t>
      </w:r>
      <w:r>
        <w:t xml:space="preserve">-</w:t>
      </w:r>
      <w:r>
        <w:t xml:space="preserve"> </w:t>
      </w:r>
      <w:r>
        <w:rPr>
          <w:b/>
          <w:bCs/>
        </w:rPr>
        <w:t xml:space="preserve">Mesures Préventives :</w:t>
      </w:r>
      <w:r>
        <w:t xml:space="preserve"> </w:t>
      </w:r>
      <w:r>
        <w:t xml:space="preserve">Ne pas dépasser 7 j de traitement ; retirer les lentilles de contact pendant la durée du traitement (conservateur chlorure de benzalkonium) ; respecter l’hygiène oculaire ; éviter le contact embout-paupière.</w:t>
      </w:r>
      <w:r>
        <w:t xml:space="preserve"> </w:t>
      </w:r>
      <w:r>
        <w:t xml:space="preserve">-</w:t>
      </w:r>
      <w:r>
        <w:t xml:space="preserve"> </w:t>
      </w:r>
      <w:r>
        <w:rPr>
          <w:b/>
          <w:bCs/>
        </w:rPr>
        <w:t xml:space="preserve">Conduite à Tenir :</w:t>
      </w:r>
      <w:r>
        <w:t xml:space="preserve"> </w:t>
      </w:r>
      <w:r>
        <w:t xml:space="preserve">Arrêt en cas d’œdème palpébral, de prurit intense, de rougeur persistante (allergie) ; consultation ophtalmo si aggravation à 48–72 h.</w:t>
      </w:r>
    </w:p>
    <w:p>
      <w:pPr>
        <w:pStyle w:val="BodyText"/>
      </w:pPr>
      <w:r>
        <w:rPr>
          <w:b/>
          <w:bCs/>
        </w:rPr>
        <w:t xml:space="preserve">Interactions Importantes :</w:t>
      </w:r>
      <w:r>
        <w:t xml:space="preserve"> </w:t>
      </w:r>
      <w:r>
        <w:t xml:space="preserve">-</w:t>
      </w:r>
      <w:r>
        <w:t xml:space="preserve"> </w:t>
      </w:r>
      <w:r>
        <w:rPr>
          <w:b/>
          <w:bCs/>
        </w:rPr>
        <w:t xml:space="preserve">Localement</w:t>
      </w:r>
      <w:r>
        <w:t xml:space="preserve"> </w:t>
      </w:r>
      <w:r>
        <w:t xml:space="preserve">: pas d’interaction systémique notable (passage minime).</w:t>
      </w:r>
      <w:r>
        <w:t xml:space="preserve"> </w:t>
      </w:r>
      <w:r>
        <w:t xml:space="preserve">- Si autre collyre concomitant : espacer de 5 min entre instillations ; appliquer la gatifloxacine avant les pommades ophtalmiques.</w:t>
      </w:r>
    </w:p>
    <w:p>
      <w:pPr>
        <w:pStyle w:val="BodyText"/>
      </w:pPr>
      <w:r>
        <w:rPr>
          <w:b/>
          <w:bCs/>
        </w:rPr>
        <w:t xml:space="preserve">Grossesse et Allaitement :</w:t>
      </w:r>
      <w:r>
        <w:t xml:space="preserve"> </w:t>
      </w:r>
      <w:r>
        <w:t xml:space="preserve">-</w:t>
      </w:r>
      <w:r>
        <w:t xml:space="preserve"> </w:t>
      </w:r>
      <w:r>
        <w:rPr>
          <w:b/>
          <w:bCs/>
        </w:rPr>
        <w:t xml:space="preserve">Grossesse :</w:t>
      </w:r>
      <w:r>
        <w:t xml:space="preserve"> </w:t>
      </w:r>
      <w:r>
        <w:t xml:space="preserve">Collyre compatible (CRAT) — passage systémique négligeable.</w:t>
      </w:r>
      <w:r>
        <w:t xml:space="preserve"> </w:t>
      </w:r>
      <w:r>
        <w:t xml:space="preserve">-</w:t>
      </w:r>
      <w:r>
        <w:t xml:space="preserve"> </w:t>
      </w:r>
      <w:r>
        <w:rPr>
          <w:b/>
          <w:bCs/>
        </w:rPr>
        <w:t xml:space="preserve">Allaitement :</w:t>
      </w:r>
      <w:r>
        <w:t xml:space="preserve"> </w:t>
      </w:r>
      <w:r>
        <w:t xml:space="preserve">Compatible (passage minime dans le lait).</w:t>
      </w:r>
      <w:r>
        <w:t xml:space="preserve"> </w:t>
      </w:r>
      <w:r>
        <w:t xml:space="preserve">-</w:t>
      </w:r>
      <w:r>
        <w:t xml:space="preserve"> </w:t>
      </w:r>
      <w:r>
        <w:rPr>
          <w:b/>
          <w:bCs/>
        </w:rPr>
        <w:t xml:space="preserve">Précisions :</w:t>
      </w:r>
      <w:r>
        <w:t xml:space="preserve"> </w:t>
      </w:r>
      <w:r>
        <w:t xml:space="preserve">L’interdiction d’usage systémique ne s’applique pas à la voie ophtalmologique.</w:t>
      </w:r>
    </w:p>
    <w:p>
      <w:pPr>
        <w:pStyle w:val="BodyText"/>
      </w:pPr>
      <w:r>
        <w:rPr>
          <w:b/>
          <w:bCs/>
        </w:rPr>
        <w:t xml:space="preserve">Posologie et Mode d’administration (Standard) :</w:t>
      </w:r>
      <w:r>
        <w:t xml:space="preserve"> </w:t>
      </w:r>
      <w:r>
        <w:t xml:space="preserve">-</w:t>
      </w:r>
      <w:r>
        <w:t xml:space="preserve"> </w:t>
      </w:r>
      <w:r>
        <w:rPr>
          <w:b/>
          <w:bCs/>
        </w:rPr>
        <w:t xml:space="preserve">Adulte et enfant &gt; 1 an :</w:t>
      </w:r>
      <w:r>
        <w:t xml:space="preserve"> </w:t>
      </w:r>
      <w:r>
        <w:t xml:space="preserve">Conjonctivite : 1 goutte × 3–4/j dans l’œil atteint pendant 5–7 j (parfois 1 goutte toutes les 2 h le jour 1, puis espacer). Kératite/ulcère : 1 goutte × 6–8/j voire plus initialement (selon protocole ophtalmo). Prophylaxie pré-op : 1 goutte × 3–4 dans l’heure précédant l’intervention ; post-op : 1 goutte × 4/j pendant 5–7 j.</w:t>
      </w:r>
      <w:r>
        <w:t xml:space="preserve"> </w:t>
      </w:r>
      <w:r>
        <w:t xml:space="preserve">-</w:t>
      </w:r>
      <w:r>
        <w:t xml:space="preserve"> </w:t>
      </w:r>
      <w:r>
        <w:rPr>
          <w:b/>
          <w:bCs/>
        </w:rPr>
        <w:t xml:space="preserve">Durée :</w:t>
      </w:r>
      <w:r>
        <w:t xml:space="preserve"> </w:t>
      </w:r>
      <w:r>
        <w:t xml:space="preserve">Conjonctivite : 5–7 j ; kératite : 7–14 j selon gravité ; prophylaxie : 5–7 j.</w:t>
      </w:r>
      <w:r>
        <w:t xml:space="preserve"> </w:t>
      </w:r>
      <w:r>
        <w:t xml:space="preserve">-</w:t>
      </w:r>
      <w:r>
        <w:t xml:space="preserve"> </w:t>
      </w:r>
      <w:r>
        <w:rPr>
          <w:b/>
          <w:bCs/>
        </w:rPr>
        <w:t xml:space="preserve">Moment de prise :</w:t>
      </w:r>
      <w:r>
        <w:t xml:space="preserve"> </w:t>
      </w:r>
      <w:r>
        <w:t xml:space="preserve">Hygiène des mains avant instillation ; ne pas toucher l’embout ; fermer l’œil 1 min et comprimer le canal lacrymal (réduit passage nasolacrymal et goût métallique) ; retirer les lentilles.</w:t>
      </w:r>
    </w:p>
    <w:p>
      <w:pPr>
        <w:pStyle w:val="BodyText"/>
      </w:pPr>
      <w:r>
        <w:rPr>
          <w:b/>
          <w:bCs/>
        </w:rPr>
        <w:t xml:space="preserve">Arbitrage et Bénéfices des Formes Galéniques :</w:t>
      </w:r>
      <w:r>
        <w:t xml:space="preserve"> </w:t>
      </w:r>
      <w:r>
        <w:t xml:space="preserve">La gatifloxacine collyre se positionne parmi les FQ ophtalmiques modernes avec la moxifloxacine et la bévifloxacine. Elle offre un spectre large incluant les Gram positifs (pneumocoque, staphylocoque) et les Gram négatifs (</w:t>
      </w:r>
      <w:r>
        <w:rPr>
          <w:i/>
          <w:iCs/>
        </w:rPr>
        <w:t xml:space="preserve">Pseudomonas</w:t>
      </w:r>
      <w:r>
        <w:t xml:space="preserve">), une excellente diffusion cornéenne (concentrations aqueuses &gt; CMI des pathogènes oculaires en 30 min), une activité contre</w:t>
      </w:r>
      <w:r>
        <w:t xml:space="preserve"> </w:t>
      </w:r>
      <w:r>
        <w:rPr>
          <w:i/>
          <w:iCs/>
        </w:rPr>
        <w:t xml:space="preserve">Chlamydia trachomatis</w:t>
      </w:r>
      <w:r>
        <w:t xml:space="preserve">. Comparée à la ciprofloxacine collyre (qui couvre moins bien le pneumocoque) et à la norfloxacine collyre (spectre plus étroit), la gatifloxacine est un excellent choix pour les conjonctivites bactériennes modérées à sévères et les kératites. Le retrait de la forme systémique ne doit pas inquiéter le patient : le collyre est sans risque glycémique.</w:t>
      </w:r>
    </w:p>
    <w:p>
      <w:pPr>
        <w:pStyle w:val="BodyText"/>
      </w:pPr>
      <w:r>
        <w:rPr>
          <w:b/>
          <w:bCs/>
        </w:rPr>
        <w:t xml:space="preserve">Instructions et Conseils au Patient :</w:t>
      </w:r>
      <w:r>
        <w:t xml:space="preserve"> </w:t>
      </w:r>
      <w:r>
        <w:t xml:space="preserve">-</w:t>
      </w:r>
      <w:r>
        <w:t xml:space="preserve"> </w:t>
      </w:r>
      <w:r>
        <w:rPr>
          <w:b/>
          <w:bCs/>
        </w:rPr>
        <w:t xml:space="preserve">Communication au comptoir :</w:t>
      </w:r>
      <w:r>
        <w:t xml:space="preserve"> </w:t>
      </w:r>
      <w:r>
        <w:t xml:space="preserve">« Collyre antibiotique pour l’œil. Lavez-vous les mains avant chaque instillation. 1 goutte 3 à 4 fois par jour dans l’œil atteint pendant 5 à 7 jours.</w:t>
      </w:r>
      <w:r>
        <w:t xml:space="preserve"> </w:t>
      </w:r>
      <w:r>
        <w:rPr>
          <w:b/>
          <w:bCs/>
        </w:rPr>
        <w:t xml:space="preserve">Ne touchez pas l’embout avec l’œil ou les doigts</w:t>
      </w:r>
      <w:r>
        <w:t xml:space="preserve">. Retirez vos lentilles pendant le traitement. Fermez l’œil 1 minute et appuyez sur le coin interne de l’œil (près du nez) pour éviter le goût métallique dans la bouche. Jetez le flacon 15 jours après ouverture. »</w:t>
      </w:r>
      <w:r>
        <w:t xml:space="preserve"> </w:t>
      </w:r>
      <w:r>
        <w:t xml:space="preserve">-</w:t>
      </w:r>
      <w:r>
        <w:t xml:space="preserve"> </w:t>
      </w:r>
      <w:r>
        <w:rPr>
          <w:b/>
          <w:bCs/>
        </w:rPr>
        <w:t xml:space="preserve">Mode d’utilisation pratique :</w:t>
      </w:r>
      <w:r>
        <w:t xml:space="preserve"> </w:t>
      </w:r>
      <w:r>
        <w:t xml:space="preserve">Hygiène → incliner la tête en arrière → tirer la paupière inférieure vers le bas → instiller 1 goutte dans le cul-de-sac conjonctival → fermer l’œil 1 min → comprimer le canal lacrymal. Oubli : prendre dès que possible, ne pas doubler.</w:t>
      </w:r>
    </w:p>
    <w:p>
      <w:pPr>
        <w:pStyle w:val="BodyText"/>
      </w:pPr>
      <w:r>
        <w:rPr>
          <w:b/>
          <w:bCs/>
        </w:rPr>
        <w:t xml:space="preserve">Notes, Règles d’Or &amp; Pièges au Comptoir :</w:t>
      </w:r>
      <w:r>
        <w:t xml:space="preserve"> </w:t>
      </w:r>
      <w:r>
        <w:t xml:space="preserve">-</w:t>
      </w:r>
      <w:r>
        <w:t xml:space="preserve"> </w:t>
      </w:r>
      <w:r>
        <w:rPr>
          <w:b/>
          <w:bCs/>
        </w:rPr>
        <w:t xml:space="preserve">Piège classique n°1 :</w:t>
      </w:r>
      <w:r>
        <w:t xml:space="preserve"> </w:t>
      </w:r>
      <w:r>
        <w:t xml:space="preserve">Patient inquiet après avoir lu sur Internet que la gatifloxacine est « retirée du marché pour diabète » → le rassurer : retrait uniquement de la forme systémique, le collyre est sûr.</w:t>
      </w:r>
      <w:r>
        <w:t xml:space="preserve"> </w:t>
      </w:r>
      <w:r>
        <w:t xml:space="preserve">-</w:t>
      </w:r>
      <w:r>
        <w:t xml:space="preserve"> </w:t>
      </w:r>
      <w:r>
        <w:rPr>
          <w:b/>
          <w:bCs/>
        </w:rPr>
        <w:t xml:space="preserve">Piège classique n°2 :</w:t>
      </w:r>
      <w:r>
        <w:t xml:space="preserve"> </w:t>
      </w:r>
      <w:r>
        <w:t xml:space="preserve">Patient porteur de lentilles et ne les retire pas → kératopathie, coloration, infection.</w:t>
      </w:r>
      <w:r>
        <w:t xml:space="preserve"> </w:t>
      </w:r>
      <w:r>
        <w:t xml:space="preserve">-</w:t>
      </w:r>
      <w:r>
        <w:t xml:space="preserve"> </w:t>
      </w:r>
      <w:r>
        <w:rPr>
          <w:b/>
          <w:bCs/>
        </w:rPr>
        <w:t xml:space="preserve">Piège classique n°3 :</w:t>
      </w:r>
      <w:r>
        <w:t xml:space="preserve"> </w:t>
      </w:r>
      <w:r>
        <w:t xml:space="preserve">Traitement prolongé &gt; 7 j sans réévaluation → risque de sélection de résistance et d’allergie.</w:t>
      </w:r>
      <w:r>
        <w:t xml:space="preserve"> </w:t>
      </w:r>
      <w:r>
        <w:t xml:space="preserve">-</w:t>
      </w:r>
      <w:r>
        <w:t xml:space="preserve"> </w:t>
      </w:r>
      <w:r>
        <w:rPr>
          <w:b/>
          <w:bCs/>
        </w:rPr>
        <w:t xml:space="preserve">Piège classique n°4 :</w:t>
      </w:r>
      <w:r>
        <w:t xml:space="preserve"> </w:t>
      </w:r>
      <w:r>
        <w:t xml:space="preserve">Collyre à conservation ouverte prolongée &gt; 15 j → contamination microbienne.</w:t>
      </w:r>
      <w:r>
        <w:t xml:space="preserve"> </w:t>
      </w:r>
      <w:r>
        <w:t xml:space="preserve">-</w:t>
      </w:r>
      <w:r>
        <w:t xml:space="preserve"> </w:t>
      </w:r>
      <w:r>
        <w:rPr>
          <w:b/>
          <w:bCs/>
        </w:rPr>
        <w:t xml:space="preserve">Règle de prise :</w:t>
      </w:r>
      <w:r>
        <w:t xml:space="preserve"> </w:t>
      </w:r>
      <w:r>
        <w:t xml:space="preserve">1 goutte × 3–4/j ; 5–7 j ; retrait des lentilles.</w:t>
      </w:r>
      <w:r>
        <w:t xml:space="preserve"> </w:t>
      </w:r>
      <w:r>
        <w:t xml:space="preserve">-</w:t>
      </w:r>
      <w:r>
        <w:t xml:space="preserve"> </w:t>
      </w:r>
      <w:r>
        <w:rPr>
          <w:b/>
          <w:bCs/>
        </w:rPr>
        <w:t xml:space="preserve">Préparation et Conservation :</w:t>
      </w:r>
      <w:r>
        <w:t xml:space="preserve"> </w:t>
      </w:r>
      <w:r>
        <w:t xml:space="preserve">Flacon fermé à température ambiante &lt; 25 °C ; jeter 15 j après ouverture ; ne pas congeler.</w:t>
      </w:r>
      <w:r>
        <w:t xml:space="preserve"> </w:t>
      </w:r>
      <w:r>
        <w:t xml:space="preserve">-</w:t>
      </w:r>
      <w:r>
        <w:t xml:space="preserve"> </w:t>
      </w:r>
      <w:r>
        <w:rPr>
          <w:b/>
          <w:bCs/>
        </w:rPr>
        <w:t xml:space="preserve">Piège du surdosage / Substitution :</w:t>
      </w:r>
      <w:r>
        <w:t xml:space="preserve"> </w:t>
      </w:r>
      <w:r>
        <w:t xml:space="preserve">Substitution entre GATIFLOXACINE GL et TYMER acceptable (même DCI, même dosage). En cas d’allergie, substituer par moxifloxacine collyre (VIGAMOX — non disponible en Algérie) ou ciprofloxacine collyre (spectre différent, moins bon sur pneumocoque) ou ofloxacine collyre.</w:t>
      </w:r>
    </w:p>
    <w:p>
      <w:r>
        <w:pict>
          <v:rect style="width:0;height:1.5pt" o:hralign="center" o:hrstd="t" o:hr="t"/>
        </w:pict>
      </w:r>
    </w:p>
    <w:bookmarkEnd w:id="160"/>
    <w:bookmarkStart w:id="161" w:name="dci-besifloxacine-seule"/>
    <w:p>
      <w:pPr>
        <w:pStyle w:val="Heading2"/>
      </w:pPr>
      <w:r>
        <w:t xml:space="preserve">8. DCI : Besifloxacine (Seule)</w:t>
      </w:r>
    </w:p>
    <w:p>
      <w:pPr>
        <w:pStyle w:val="FirstParagraph"/>
      </w:pPr>
      <w:r>
        <w:rPr>
          <w:b/>
          <w:bCs/>
        </w:rPr>
        <w:t xml:space="preserve">Liste des Catégories :</w:t>
      </w:r>
      <w:r>
        <w:t xml:space="preserve"> </w:t>
      </w:r>
      <w:r>
        <w:t xml:space="preserve">Antibactérien à usage ophtalmologique, Fluoroquinolone de 4e génération (collyre exclusif).</w:t>
      </w:r>
    </w:p>
    <w:p>
      <w:pPr>
        <w:pStyle w:val="BodyText"/>
      </w:pPr>
      <w:r>
        <w:t xml:space="preserve">La besifloxacine, FQ tricyclique de 4e génération développée spécifiquement pour l’usage ophtalmologique, présente un spectre élargi incluant les souches de</w:t>
      </w:r>
      <w:r>
        <w:t xml:space="preserve"> </w:t>
      </w:r>
      <w:r>
        <w:rPr>
          <w:i/>
          <w:iCs/>
        </w:rPr>
        <w:t xml:space="preserve">Staphylococcus</w:t>
      </w:r>
      <w:r>
        <w:t xml:space="preserve"> </w:t>
      </w:r>
      <w:r>
        <w:t xml:space="preserve">et</w:t>
      </w:r>
      <w:r>
        <w:t xml:space="preserve"> </w:t>
      </w:r>
      <w:r>
        <w:rPr>
          <w:i/>
          <w:iCs/>
        </w:rPr>
        <w:t xml:space="preserve">Streptococcus</w:t>
      </w:r>
      <w:r>
        <w:t xml:space="preserve"> </w:t>
      </w:r>
      <w:r>
        <w:t xml:space="preserve">résistantes aux autres FQ, ainsi qu’une excellente activité contre</w:t>
      </w:r>
      <w:r>
        <w:t xml:space="preserve"> </w:t>
      </w:r>
      <w:r>
        <w:rPr>
          <w:i/>
          <w:iCs/>
        </w:rPr>
        <w:t xml:space="preserve">Pseudomonas aeruginosa</w:t>
      </w:r>
      <w:r>
        <w:t xml:space="preserve"> </w:t>
      </w:r>
      <w:r>
        <w:t xml:space="preserve">et</w:t>
      </w:r>
      <w:r>
        <w:t xml:space="preserve"> </w:t>
      </w:r>
      <w:r>
        <w:rPr>
          <w:i/>
          <w:iCs/>
        </w:rPr>
        <w:t xml:space="preserve">Chlamydia trachomatis</w:t>
      </w:r>
      <w:r>
        <w:t xml:space="preserve">. Sa structure tricyclique (noyau pyrido-benzoxazine) améliore l’affinité pour les topoisomérases et limite l’efflux bactérien. En Algérie, une seule spécialité est disponible : BESIVANCE (BAUSCH &amp; LOMB) en suspension ophtalmique 0,6 %.</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BESIVANCE</w:t>
      </w:r>
      <w:r>
        <w:t xml:space="preserve"> </w:t>
      </w:r>
      <w:r>
        <w:t xml:space="preserve">(BAUSCH &amp; LOMB INCORPORATED) — suspension ophtalmique 0,6 % (0,6 mg/mL), flacon 5 mL — Actif</w:t>
      </w:r>
    </w:p>
    <w:p>
      <w:pPr>
        <w:pStyle w:val="BodyText"/>
      </w:pPr>
      <w:r>
        <w:rPr>
          <w:i/>
          <w:iCs/>
        </w:rPr>
        <w:t xml:space="preserve">Aucune forme systémique disponible — développement exclusif ophtalmologique.</w:t>
      </w:r>
    </w:p>
    <w:p>
      <w:pPr>
        <w:pStyle w:val="BodyText"/>
      </w:pPr>
      <w:r>
        <w:rPr>
          <w:b/>
          <w:bCs/>
        </w:rPr>
        <w:t xml:space="preserve">Sous-classe et Mécanisme d’action :</w:t>
      </w:r>
      <w:r>
        <w:t xml:space="preserve"> </w:t>
      </w:r>
      <w:r>
        <w:t xml:space="preserve">-</w:t>
      </w:r>
      <w:r>
        <w:t xml:space="preserve"> </w:t>
      </w:r>
      <w:r>
        <w:rPr>
          <w:b/>
          <w:bCs/>
        </w:rPr>
        <w:t xml:space="preserve">Sous-classe :</w:t>
      </w:r>
      <w:r>
        <w:t xml:space="preserve"> </w:t>
      </w:r>
      <w:r>
        <w:t xml:space="preserve">Fluoroquinolone tricyclique de 4e génération, à usage</w:t>
      </w:r>
      <w:r>
        <w:t xml:space="preserve"> </w:t>
      </w:r>
      <w:r>
        <w:rPr>
          <w:b/>
          <w:bCs/>
        </w:rPr>
        <w:t xml:space="preserve">ophtalmologique exclusif</w:t>
      </w:r>
      <w:r>
        <w:t xml:space="preserve">. Spectre large incluant</w:t>
      </w:r>
      <w:r>
        <w:t xml:space="preserve"> </w:t>
      </w:r>
      <w:r>
        <w:rPr>
          <w:i/>
          <w:iCs/>
        </w:rPr>
        <w:t xml:space="preserve">S. aureus</w:t>
      </w:r>
      <w:r>
        <w:t xml:space="preserve"> </w:t>
      </w:r>
      <w:r>
        <w:t xml:space="preserve">(y compris méthicillino-résistant MRSA),</w:t>
      </w:r>
      <w:r>
        <w:t xml:space="preserve"> </w:t>
      </w:r>
      <w:r>
        <w:rPr>
          <w:i/>
          <w:iCs/>
        </w:rPr>
        <w:t xml:space="preserve">S. pneumoniae</w:t>
      </w:r>
      <w:r>
        <w:t xml:space="preserve"> </w:t>
      </w:r>
      <w:r>
        <w:t xml:space="preserve">(y compris pénicillino-résistant),</w:t>
      </w:r>
      <w:r>
        <w:t xml:space="preserve"> </w:t>
      </w:r>
      <w:r>
        <w:rPr>
          <w:i/>
          <w:iCs/>
        </w:rPr>
        <w:t xml:space="preserve">S. epidermidis</w:t>
      </w:r>
      <w:r>
        <w:t xml:space="preserve">,</w:t>
      </w:r>
      <w:r>
        <w:t xml:space="preserve"> </w:t>
      </w:r>
      <w:r>
        <w:rPr>
          <w:i/>
          <w:iCs/>
        </w:rPr>
        <w:t xml:space="preserve">H. influenzae</w:t>
      </w:r>
      <w:r>
        <w:t xml:space="preserve">,</w:t>
      </w:r>
      <w:r>
        <w:t xml:space="preserve"> </w:t>
      </w:r>
      <w:r>
        <w:rPr>
          <w:i/>
          <w:iCs/>
        </w:rPr>
        <w:t xml:space="preserve">P. aeruginosa</w:t>
      </w:r>
      <w:r>
        <w:t xml:space="preserve">,</w:t>
      </w:r>
      <w:r>
        <w:t xml:space="preserve"> </w:t>
      </w:r>
      <w:r>
        <w:rPr>
          <w:i/>
          <w:iCs/>
        </w:rPr>
        <w:t xml:space="preserve">S. marcescens</w:t>
      </w:r>
      <w:r>
        <w:t xml:space="preserve">,</w:t>
      </w:r>
      <w:r>
        <w:t xml:space="preserve"> </w:t>
      </w:r>
      <w:r>
        <w:rPr>
          <w:i/>
          <w:iCs/>
        </w:rPr>
        <w:t xml:space="preserve">C. trachomatis</w:t>
      </w:r>
      <w:r>
        <w:t xml:space="preserve">.</w:t>
      </w:r>
      <w:r>
        <w:t xml:space="preserve"> </w:t>
      </w:r>
      <w:r>
        <w:t xml:space="preserve">-</w:t>
      </w:r>
      <w:r>
        <w:t xml:space="preserve"> </w:t>
      </w:r>
      <w:r>
        <w:rPr>
          <w:b/>
          <w:bCs/>
        </w:rPr>
        <w:t xml:space="preserve">Mécanisme d’action :</w:t>
      </w:r>
      <w:r>
        <w:t xml:space="preserve"> </w:t>
      </w:r>
      <w:r>
        <w:t xml:space="preserve">Bactéricide concentration-dépendant, inhibition de l’ADN gyrase (GyrA/GyrB) et de la topoisomérase IV (ParC/ParE), formation du complexe clivable, cassures double-brin. La structure tricyclique pyrido-benzoxazine améliore l’affinité pour les deux enzymes cibles et diminue la reconnaissance par les pompes d’efflux NorA, ce qui conserve l’activité contre les souches résistantes aux anciennes FQ.</w:t>
      </w:r>
    </w:p>
    <w:p>
      <w:pPr>
        <w:pStyle w:val="BodyText"/>
      </w:pPr>
      <w:r>
        <w:rPr>
          <w:b/>
          <w:bCs/>
        </w:rPr>
        <w:t xml:space="preserve">Profil Pharmacologique :</w:t>
      </w:r>
      <w:r>
        <w:t xml:space="preserve"> </w:t>
      </w:r>
      <w:r>
        <w:t xml:space="preserve">-</w:t>
      </w:r>
      <w:r>
        <w:t xml:space="preserve"> </w:t>
      </w:r>
      <w:r>
        <w:rPr>
          <w:b/>
          <w:bCs/>
        </w:rPr>
        <w:t xml:space="preserve">Indications :</w:t>
      </w:r>
      <w:r>
        <w:t xml:space="preserve"> </w:t>
      </w:r>
      <w:r>
        <w:t xml:space="preserve">Conjonctivites bactériennes aiguës (y compris formes modérées à sévères) ; kératites bactériennes ; prophylaxie pré- et post-opératoire en chirurgie oculaire ; conjonctivites récidivantes ou à germes résistants.</w:t>
      </w:r>
      <w:r>
        <w:t xml:space="preserve"> </w:t>
      </w:r>
      <w:r>
        <w:t xml:space="preserve">-</w:t>
      </w:r>
      <w:r>
        <w:t xml:space="preserve"> </w:t>
      </w:r>
      <w:r>
        <w:rPr>
          <w:b/>
          <w:bCs/>
        </w:rPr>
        <w:t xml:space="preserve">Contre-indications :</w:t>
      </w:r>
      <w:r>
        <w:t xml:space="preserve"> </w:t>
      </w:r>
      <w:r>
        <w:t xml:space="preserve">Hypersensibilité aux FQ ; enfant &lt; 1 an.</w:t>
      </w:r>
      <w:r>
        <w:t xml:space="preserve"> </w:t>
      </w:r>
      <w:r>
        <w:t xml:space="preserve">-</w:t>
      </w:r>
      <w:r>
        <w:t xml:space="preserve"> </w:t>
      </w:r>
      <w:r>
        <w:rPr>
          <w:b/>
          <w:bCs/>
        </w:rPr>
        <w:t xml:space="preserve">Effets Indésirables :</w:t>
      </w:r>
      <w:r>
        <w:t xml:space="preserve"> </w:t>
      </w:r>
      <w:r>
        <w:t xml:space="preserve">Locaux : picotements à l’instillation, rougeur conjonctivale, prurit, sensation de corps étranger, goût métallique, vision floue transitoire (suspension), rarement kératite et allergie de contact.</w:t>
      </w:r>
      <w:r>
        <w:t xml:space="preserve"> </w:t>
      </w:r>
      <w:r>
        <w:rPr>
          <w:b/>
          <w:bCs/>
        </w:rPr>
        <w:t xml:space="preserve">Aucun effet systémique notable</w:t>
      </w:r>
      <w:r>
        <w:t xml:space="preserve"> </w:t>
      </w:r>
      <w:r>
        <w:t xml:space="preserve">(passage &lt; 1 ng/mL).</w:t>
      </w:r>
    </w:p>
    <w:p>
      <w:pPr>
        <w:pStyle w:val="BodyText"/>
      </w:pPr>
      <w:r>
        <w:rPr>
          <w:b/>
          <w:bCs/>
        </w:rPr>
        <w:t xml:space="preserve">Prévention et Gestion des Effets Indésirables :</w:t>
      </w:r>
      <w:r>
        <w:t xml:space="preserve"> </w:t>
      </w:r>
      <w:r>
        <w:t xml:space="preserve">-</w:t>
      </w:r>
      <w:r>
        <w:t xml:space="preserve"> </w:t>
      </w:r>
      <w:r>
        <w:rPr>
          <w:b/>
          <w:bCs/>
        </w:rPr>
        <w:t xml:space="preserve">Mesures Préventives :</w:t>
      </w:r>
      <w:r>
        <w:t xml:space="preserve"> </w:t>
      </w:r>
      <w:r>
        <w:t xml:space="preserve">Bien agiter le flacon avant emploi (suspension) ; ne pas dépasser 7 j ; retirer les lentilles ; ne pas toucher l’embout ; respecter l’hygiène.</w:t>
      </w:r>
      <w:r>
        <w:t xml:space="preserve"> </w:t>
      </w:r>
      <w:r>
        <w:t xml:space="preserve">-</w:t>
      </w:r>
      <w:r>
        <w:t xml:space="preserve"> </w:t>
      </w:r>
      <w:r>
        <w:rPr>
          <w:b/>
          <w:bCs/>
        </w:rPr>
        <w:t xml:space="preserve">Conduite à Tenir :</w:t>
      </w:r>
      <w:r>
        <w:t xml:space="preserve"> </w:t>
      </w:r>
      <w:r>
        <w:t xml:space="preserve">Arrêt en cas d’œdème palpébral, prurit intense, rougeur persistante ; consultation si aggravation à 48–72 h.</w:t>
      </w:r>
    </w:p>
    <w:p>
      <w:pPr>
        <w:pStyle w:val="BodyText"/>
      </w:pPr>
      <w:r>
        <w:rPr>
          <w:b/>
          <w:bCs/>
        </w:rPr>
        <w:t xml:space="preserve">Interactions Importantes :</w:t>
      </w:r>
      <w:r>
        <w:t xml:space="preserve"> </w:t>
      </w:r>
      <w:r>
        <w:t xml:space="preserve">-</w:t>
      </w:r>
      <w:r>
        <w:t xml:space="preserve"> </w:t>
      </w:r>
      <w:r>
        <w:rPr>
          <w:b/>
          <w:bCs/>
        </w:rPr>
        <w:t xml:space="preserve">Localement</w:t>
      </w:r>
      <w:r>
        <w:t xml:space="preserve"> </w:t>
      </w:r>
      <w:r>
        <w:t xml:space="preserve">: pas d’interaction systémique notable.</w:t>
      </w:r>
      <w:r>
        <w:t xml:space="preserve"> </w:t>
      </w:r>
      <w:r>
        <w:t xml:space="preserve">- Si autre collyre concomitant : espacer de 5 min entre instillations ; appliquer la besifloxacine avant les pommades.</w:t>
      </w:r>
    </w:p>
    <w:p>
      <w:pPr>
        <w:pStyle w:val="BodyText"/>
      </w:pPr>
      <w:r>
        <w:rPr>
          <w:b/>
          <w:bCs/>
        </w:rPr>
        <w:t xml:space="preserve">Grossesse et Allaitement :</w:t>
      </w:r>
      <w:r>
        <w:t xml:space="preserve"> </w:t>
      </w:r>
      <w:r>
        <w:t xml:space="preserve">-</w:t>
      </w:r>
      <w:r>
        <w:t xml:space="preserve"> </w:t>
      </w:r>
      <w:r>
        <w:rPr>
          <w:b/>
          <w:bCs/>
        </w:rPr>
        <w:t xml:space="preserve">Grossesse :</w:t>
      </w:r>
      <w:r>
        <w:t xml:space="preserve"> </w:t>
      </w:r>
      <w:r>
        <w:t xml:space="preserve">Collyre compatible (CRAT) — passage systémique négligeable.</w:t>
      </w:r>
      <w:r>
        <w:t xml:space="preserve"> </w:t>
      </w:r>
      <w:r>
        <w:t xml:space="preserve">-</w:t>
      </w:r>
      <w:r>
        <w:t xml:space="preserve"> </w:t>
      </w:r>
      <w:r>
        <w:rPr>
          <w:b/>
          <w:bCs/>
        </w:rPr>
        <w:t xml:space="preserve">Allaitement :</w:t>
      </w:r>
      <w:r>
        <w:t xml:space="preserve"> </w:t>
      </w:r>
      <w:r>
        <w:t xml:space="preserve">Compatible.</w:t>
      </w:r>
      <w:r>
        <w:t xml:space="preserve"> </w:t>
      </w:r>
      <w:r>
        <w:t xml:space="preserve">-</w:t>
      </w:r>
      <w:r>
        <w:t xml:space="preserve"> </w:t>
      </w:r>
      <w:r>
        <w:rPr>
          <w:b/>
          <w:bCs/>
        </w:rPr>
        <w:t xml:space="preserve">Précisions :</w:t>
      </w:r>
      <w:r>
        <w:t xml:space="preserve"> </w:t>
      </w:r>
      <w:r>
        <w:t xml:space="preserve">Pas de données spécifiques tératogènes pour la forme collyre.</w:t>
      </w:r>
    </w:p>
    <w:p>
      <w:pPr>
        <w:pStyle w:val="BodyText"/>
      </w:pPr>
      <w:r>
        <w:rPr>
          <w:b/>
          <w:bCs/>
        </w:rPr>
        <w:t xml:space="preserve">Posologie et Mode d’administration (Standard) :</w:t>
      </w:r>
      <w:r>
        <w:t xml:space="preserve"> </w:t>
      </w:r>
      <w:r>
        <w:t xml:space="preserve">-</w:t>
      </w:r>
      <w:r>
        <w:t xml:space="preserve"> </w:t>
      </w:r>
      <w:r>
        <w:rPr>
          <w:b/>
          <w:bCs/>
        </w:rPr>
        <w:t xml:space="preserve">Adulte et enfant &gt; 1 an :</w:t>
      </w:r>
      <w:r>
        <w:t xml:space="preserve"> </w:t>
      </w:r>
      <w:r>
        <w:t xml:space="preserve">Conjonctivite : 1 goutte × 3/j dans l’œil atteint pendant 5–7 j (parfois 1 goutte × 2 le jour 1, puis × 3 à partir de J2). Kératite/ulcère : protocole ophtalmo (jusqu’à 1 goutte toutes les heures pendant 48 h, puis espacer).</w:t>
      </w:r>
      <w:r>
        <w:t xml:space="preserve"> </w:t>
      </w:r>
      <w:r>
        <w:t xml:space="preserve">-</w:t>
      </w:r>
      <w:r>
        <w:t xml:space="preserve"> </w:t>
      </w:r>
      <w:r>
        <w:rPr>
          <w:b/>
          <w:bCs/>
        </w:rPr>
        <w:t xml:space="preserve">Durée :</w:t>
      </w:r>
      <w:r>
        <w:t xml:space="preserve"> </w:t>
      </w:r>
      <w:r>
        <w:t xml:space="preserve">Conjonctivite : 5–7 j ; kératite : 7–14 j selon gravité.</w:t>
      </w:r>
      <w:r>
        <w:t xml:space="preserve"> </w:t>
      </w:r>
      <w:r>
        <w:t xml:space="preserve">-</w:t>
      </w:r>
      <w:r>
        <w:t xml:space="preserve"> </w:t>
      </w:r>
      <w:r>
        <w:rPr>
          <w:b/>
          <w:bCs/>
        </w:rPr>
        <w:t xml:space="preserve">Moment de prise :</w:t>
      </w:r>
      <w:r>
        <w:t xml:space="preserve"> </w:t>
      </w:r>
      <w:r>
        <w:rPr>
          <w:b/>
          <w:bCs/>
        </w:rPr>
        <w:t xml:space="preserve">Bien agiter le flacon avant chaque instillation</w:t>
      </w:r>
      <w:r>
        <w:t xml:space="preserve"> </w:t>
      </w:r>
      <w:r>
        <w:t xml:space="preserve">(suspension) ; se laver les mains ; ne pas toucher l’embout ; fermer l’œil 1 min et comprimer le canal lacrymal ; retirer les lentilles.</w:t>
      </w:r>
    </w:p>
    <w:p>
      <w:pPr>
        <w:pStyle w:val="BodyText"/>
      </w:pPr>
      <w:r>
        <w:rPr>
          <w:b/>
          <w:bCs/>
        </w:rPr>
        <w:t xml:space="preserve">Arbitrage et Bénéfices des Formes Galéniques :</w:t>
      </w:r>
      <w:r>
        <w:t xml:space="preserve"> </w:t>
      </w:r>
      <w:r>
        <w:t xml:space="preserve">La besifloxacine est la FQ ophtalmologique la plus puissante sur le spectre, supérieure à la gatifloxacine, la moxifloxacine et la ciprofloxacine sur les souches résistantes aux anciennes FQ (mutations ParC/GyrA). Son activité sur le</w:t>
      </w:r>
      <w:r>
        <w:t xml:space="preserve"> </w:t>
      </w:r>
      <w:r>
        <w:rPr>
          <w:b/>
          <w:bCs/>
        </w:rPr>
        <w:t xml:space="preserve">MRSA</w:t>
      </w:r>
      <w:r>
        <w:t xml:space="preserve"> </w:t>
      </w:r>
      <w:r>
        <w:t xml:space="preserve">(staphylocoque doré résistant à la méticilline) est unique parmi les FQ ophtalmiques disponibles en Algérie. La forme suspension garantit une concentration stable et une bonne tolérance, mais impose une agitation avant emploi. Le coût plus élevé (monopolistique) réserve son emploi aux infections sévères ou récidivantes.</w:t>
      </w:r>
    </w:p>
    <w:p>
      <w:pPr>
        <w:pStyle w:val="BodyText"/>
      </w:pPr>
      <w:r>
        <w:rPr>
          <w:b/>
          <w:bCs/>
        </w:rPr>
        <w:t xml:space="preserve">Instructions et Conseils au Patient :</w:t>
      </w:r>
      <w:r>
        <w:t xml:space="preserve"> </w:t>
      </w:r>
      <w:r>
        <w:t xml:space="preserve">-</w:t>
      </w:r>
      <w:r>
        <w:t xml:space="preserve"> </w:t>
      </w:r>
      <w:r>
        <w:rPr>
          <w:b/>
          <w:bCs/>
        </w:rPr>
        <w:t xml:space="preserve">Communication au comptoir :</w:t>
      </w:r>
      <w:r>
        <w:t xml:space="preserve"> </w:t>
      </w:r>
      <w:r>
        <w:t xml:space="preserve">« Collyre antibiotique de nouvelle génération.</w:t>
      </w:r>
      <w:r>
        <w:t xml:space="preserve"> </w:t>
      </w:r>
      <w:r>
        <w:rPr>
          <w:b/>
          <w:bCs/>
        </w:rPr>
        <w:t xml:space="preserve">Agitez bien le flacon avant chaque utilisation</w:t>
      </w:r>
      <w:r>
        <w:t xml:space="preserve"> </w:t>
      </w:r>
      <w:r>
        <w:t xml:space="preserve">(c’est une suspension). 1 goutte 3 fois par jour dans l’œil atteint pendant 5 à 7 jours. Lavez-vous les mains, ne touchez pas l’embout. Retirez vos lentilles. Fermez l’œil 1 minute et appuyez sur le coin interne (près du nez) pour éviter le goût dans la bouche. Vision floue transitoire possible juste après l’instillation — ne pas conduire immédiatement. Jetez le flacon 15 jours après ouverture. »</w:t>
      </w:r>
      <w:r>
        <w:t xml:space="preserve"> </w:t>
      </w:r>
      <w:r>
        <w:t xml:space="preserve">-</w:t>
      </w:r>
      <w:r>
        <w:t xml:space="preserve"> </w:t>
      </w:r>
      <w:r>
        <w:rPr>
          <w:b/>
          <w:bCs/>
        </w:rPr>
        <w:t xml:space="preserve">Mode d’utilisation pratique :</w:t>
      </w:r>
      <w:r>
        <w:t xml:space="preserve"> </w:t>
      </w:r>
      <w:r>
        <w:t xml:space="preserve">Agiter → hygiène → incliner tête → tirer paupière → 1 goutte → fermer 1 min → comprimer canal lacrymal. Oubli : prendre dès que possible, ne pas doubler.</w:t>
      </w:r>
    </w:p>
    <w:p>
      <w:pPr>
        <w:pStyle w:val="BodyText"/>
      </w:pPr>
      <w:r>
        <w:rPr>
          <w:b/>
          <w:bCs/>
        </w:rPr>
        <w:t xml:space="preserve">Notes, Règles d’Or &amp; Pièges au Comptoir :</w:t>
      </w:r>
      <w:r>
        <w:t xml:space="preserve"> </w:t>
      </w:r>
      <w:r>
        <w:t xml:space="preserve">-</w:t>
      </w:r>
      <w:r>
        <w:t xml:space="preserve"> </w:t>
      </w:r>
      <w:r>
        <w:rPr>
          <w:b/>
          <w:bCs/>
        </w:rPr>
        <w:t xml:space="preserve">Piège classique n°1 :</w:t>
      </w:r>
      <w:r>
        <w:t xml:space="preserve"> </w:t>
      </w:r>
      <w:r>
        <w:t xml:space="preserve">Patient qui n’agite pas le flacon → posologie inadéquate (suspension décantée).</w:t>
      </w:r>
      <w:r>
        <w:t xml:space="preserve"> </w:t>
      </w:r>
      <w:r>
        <w:t xml:space="preserve">-</w:t>
      </w:r>
      <w:r>
        <w:t xml:space="preserve"> </w:t>
      </w:r>
      <w:r>
        <w:rPr>
          <w:b/>
          <w:bCs/>
        </w:rPr>
        <w:t xml:space="preserve">Piège classique n°2 :</w:t>
      </w:r>
      <w:r>
        <w:t xml:space="preserve"> </w:t>
      </w:r>
      <w:r>
        <w:t xml:space="preserve">Patient qui conduit immédiatement après instillation → vision floue transitoire (prévoir 5 min d’attente).</w:t>
      </w:r>
      <w:r>
        <w:t xml:space="preserve"> </w:t>
      </w:r>
      <w:r>
        <w:t xml:space="preserve">-</w:t>
      </w:r>
      <w:r>
        <w:t xml:space="preserve"> </w:t>
      </w:r>
      <w:r>
        <w:rPr>
          <w:b/>
          <w:bCs/>
        </w:rPr>
        <w:t xml:space="preserve">Piège classique n°3 :</w:t>
      </w:r>
      <w:r>
        <w:t xml:space="preserve"> </w:t>
      </w:r>
      <w:r>
        <w:t xml:space="preserve">Utilisation prolongée &gt; 7 j sans réévaluation → sélection de résistance.</w:t>
      </w:r>
      <w:r>
        <w:t xml:space="preserve"> </w:t>
      </w:r>
      <w:r>
        <w:t xml:space="preserve">-</w:t>
      </w:r>
      <w:r>
        <w:t xml:space="preserve"> </w:t>
      </w:r>
      <w:r>
        <w:rPr>
          <w:b/>
          <w:bCs/>
        </w:rPr>
        <w:t xml:space="preserve">Piège classique n°4 :</w:t>
      </w:r>
      <w:r>
        <w:t xml:space="preserve"> </w:t>
      </w:r>
      <w:r>
        <w:t xml:space="preserve">Conservation ouverte &gt; 15 j → contamination.</w:t>
      </w:r>
      <w:r>
        <w:t xml:space="preserve"> </w:t>
      </w:r>
      <w:r>
        <w:t xml:space="preserve">-</w:t>
      </w:r>
      <w:r>
        <w:t xml:space="preserve"> </w:t>
      </w:r>
      <w:r>
        <w:rPr>
          <w:b/>
          <w:bCs/>
        </w:rPr>
        <w:t xml:space="preserve">Règle de prise :</w:t>
      </w:r>
      <w:r>
        <w:t xml:space="preserve"> </w:t>
      </w:r>
      <w:r>
        <w:t xml:space="preserve">Agiter ; 1 goutte × 3/j ; 5–7 j ; retrait des lentilles.</w:t>
      </w:r>
      <w:r>
        <w:t xml:space="preserve"> </w:t>
      </w:r>
      <w:r>
        <w:t xml:space="preserve">-</w:t>
      </w:r>
      <w:r>
        <w:t xml:space="preserve"> </w:t>
      </w:r>
      <w:r>
        <w:rPr>
          <w:b/>
          <w:bCs/>
        </w:rPr>
        <w:t xml:space="preserve">Préparation et Conservation :</w:t>
      </w:r>
      <w:r>
        <w:t xml:space="preserve"> </w:t>
      </w:r>
      <w:r>
        <w:t xml:space="preserve">Flacon fermé à température ambiante &lt; 25 °C ; ne pas congeler ; jeter 15 j après ouverture.</w:t>
      </w:r>
      <w:r>
        <w:t xml:space="preserve"> </w:t>
      </w:r>
      <w:r>
        <w:t xml:space="preserve">-</w:t>
      </w:r>
      <w:r>
        <w:t xml:space="preserve"> </w:t>
      </w:r>
      <w:r>
        <w:rPr>
          <w:b/>
          <w:bCs/>
        </w:rPr>
        <w:t xml:space="preserve">Piège du surdosage / Substitution :</w:t>
      </w:r>
      <w:r>
        <w:t xml:space="preserve"> </w:t>
      </w:r>
      <w:r>
        <w:t xml:space="preserve">Aucune substitution directe (monopolistique BESIVANCE). En cas d’indisponibilité, substituer par gatifloxacine collyre (spectre légèrement plus étroit, pas d’activité MRSA) ou moxifloxacine collyre (non disponible en Algérie). Surdosage local : rincer abondamment à l’eau physiologique.</w:t>
      </w:r>
    </w:p>
    <w:p>
      <w:r>
        <w:pict>
          <v:rect style="width:0;height:1.5pt" o:hralign="center" o:hrstd="t" o:hr="t"/>
        </w:pict>
      </w:r>
    </w:p>
    <w:bookmarkEnd w:id="161"/>
    <w:bookmarkStart w:id="162" w:name="dci-gémifloxacine-seule"/>
    <w:p>
      <w:pPr>
        <w:pStyle w:val="Heading2"/>
      </w:pPr>
      <w:r>
        <w:t xml:space="preserve">9. DCI : Gémifloxacine (Seule)</w:t>
      </w:r>
    </w:p>
    <w:p>
      <w:pPr>
        <w:pStyle w:val="FirstParagraph"/>
      </w:pPr>
      <w:r>
        <w:rPr>
          <w:b/>
          <w:bCs/>
        </w:rPr>
        <w:t xml:space="preserve">Liste des Catégories :</w:t>
      </w:r>
      <w:r>
        <w:t xml:space="preserve"> </w:t>
      </w:r>
      <w:r>
        <w:t xml:space="preserve">Antibactérien systémique, Fluoroquinolone de 4e génération (respiratoire, anti-pneumococcque renforcée).</w:t>
      </w:r>
    </w:p>
    <w:p>
      <w:pPr>
        <w:pStyle w:val="BodyText"/>
      </w:pPr>
      <w:r>
        <w:t xml:space="preserve">La gémifloxacine, FQ de 4e génération introduite en 2004, se distingue par sa structure chimique unique (groupement bicyclique en C7 — fused pyrrolidine) qui lui confère une</w:t>
      </w:r>
      <w:r>
        <w:t xml:space="preserve"> </w:t>
      </w:r>
      <w:r>
        <w:rPr>
          <w:b/>
          <w:bCs/>
        </w:rPr>
        <w:t xml:space="preserve">activité anti-pneumococcque exceptionnelle</w:t>
      </w:r>
      <w:r>
        <w:t xml:space="preserve"> </w:t>
      </w:r>
      <w:r>
        <w:t xml:space="preserve">(CMI 0,03–0,06 mg/L, soit 4–16× inférieure à la moxifloxacine), y compris contre les souches résistantes à la pénicilline et aux anciennes FQ. Elle conserve une activité contre</w:t>
      </w:r>
      <w:r>
        <w:t xml:space="preserve"> </w:t>
      </w:r>
      <w:r>
        <w:rPr>
          <w:i/>
          <w:iCs/>
        </w:rPr>
        <w:t xml:space="preserve">H. influenzae</w:t>
      </w:r>
      <w:r>
        <w:t xml:space="preserve">,</w:t>
      </w:r>
      <w:r>
        <w:t xml:space="preserve"> </w:t>
      </w:r>
      <w:r>
        <w:rPr>
          <w:i/>
          <w:iCs/>
        </w:rPr>
        <w:t xml:space="preserve">M. catarrhalis</w:t>
      </w:r>
      <w:r>
        <w:t xml:space="preserve">,</w:t>
      </w:r>
      <w:r>
        <w:t xml:space="preserve"> </w:t>
      </w:r>
      <w:r>
        <w:rPr>
          <w:i/>
          <w:iCs/>
        </w:rPr>
        <w:t xml:space="preserve">C. pneumoniae</w:t>
      </w:r>
      <w:r>
        <w:t xml:space="preserve">,</w:t>
      </w:r>
      <w:r>
        <w:t xml:space="preserve"> </w:t>
      </w:r>
      <w:r>
        <w:rPr>
          <w:i/>
          <w:iCs/>
        </w:rPr>
        <w:t xml:space="preserve">M. pneumoniae</w:t>
      </w:r>
      <w:r>
        <w:t xml:space="preserve"> </w:t>
      </w:r>
      <w:r>
        <w:t xml:space="preserve">et</w:t>
      </w:r>
      <w:r>
        <w:t xml:space="preserve"> </w:t>
      </w:r>
      <w:r>
        <w:rPr>
          <w:i/>
          <w:iCs/>
        </w:rPr>
        <w:t xml:space="preserve">L. pneumophila</w:t>
      </w:r>
      <w:r>
        <w:t xml:space="preserve">. En Algérie, deux spécialités sont disponibles : FACTIVE (HIKMA PHARMA) et GEMIXINE (EL KENDI).</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FACTIVE</w:t>
      </w:r>
      <w:r>
        <w:t xml:space="preserve"> </w:t>
      </w:r>
      <w:r>
        <w:t xml:space="preserve">(HIKMA PHARMA ALGERIA) — comprimé 320 mg, B/05 — Actif</w:t>
      </w:r>
      <w:r>
        <w:t xml:space="preserve"> </w:t>
      </w:r>
      <w:r>
        <w:t xml:space="preserve">-</w:t>
      </w:r>
      <w:r>
        <w:t xml:space="preserve"> </w:t>
      </w:r>
      <w:r>
        <w:rPr>
          <w:b/>
          <w:bCs/>
        </w:rPr>
        <w:t xml:space="preserve">GEMIXINE</w:t>
      </w:r>
      <w:r>
        <w:t xml:space="preserve"> </w:t>
      </w:r>
      <w:r>
        <w:t xml:space="preserve">(EL KENDI INDUSTRIE DU MEDICAMENT) — comprimé pelliculé 320 mg, B/10 — Actif</w:t>
      </w:r>
    </w:p>
    <w:p>
      <w:pPr>
        <w:pStyle w:val="BodyText"/>
      </w:pPr>
      <w:r>
        <w:rPr>
          <w:i/>
          <w:iCs/>
        </w:rPr>
        <w:t xml:space="preserve">Aucune forme injectable ni collyre disponible.</w:t>
      </w:r>
    </w:p>
    <w:p>
      <w:pPr>
        <w:pStyle w:val="BodyText"/>
      </w:pPr>
      <w:r>
        <w:rPr>
          <w:b/>
          <w:bCs/>
        </w:rPr>
        <w:t xml:space="preserve">Sous-classe et Mécanisme d’action :</w:t>
      </w:r>
      <w:r>
        <w:t xml:space="preserve"> </w:t>
      </w:r>
      <w:r>
        <w:t xml:space="preserve">-</w:t>
      </w:r>
      <w:r>
        <w:t xml:space="preserve"> </w:t>
      </w:r>
      <w:r>
        <w:rPr>
          <w:b/>
          <w:bCs/>
        </w:rPr>
        <w:t xml:space="preserve">Sous-classe :</w:t>
      </w:r>
      <w:r>
        <w:t xml:space="preserve"> </w:t>
      </w:r>
      <w:r>
        <w:t xml:space="preserve">Fluoroquinolone de 4e génération,</w:t>
      </w:r>
      <w:r>
        <w:t xml:space="preserve"> </w:t>
      </w:r>
      <w:r>
        <w:rPr>
          <w:b/>
          <w:bCs/>
        </w:rPr>
        <w:t xml:space="preserve">respiratoire</w:t>
      </w:r>
      <w:r>
        <w:t xml:space="preserve">, avec activité anti-pneumococcque renforcée (CMI la plus basse des FQ respiratoires sur</w:t>
      </w:r>
      <w:r>
        <w:t xml:space="preserve"> </w:t>
      </w:r>
      <w:r>
        <w:rPr>
          <w:i/>
          <w:iCs/>
        </w:rPr>
        <w:t xml:space="preserve">S. pneumoniae</w:t>
      </w:r>
      <w:r>
        <w:t xml:space="preserve">). Activité modérée sur</w:t>
      </w:r>
      <w:r>
        <w:t xml:space="preserve"> </w:t>
      </w:r>
      <w:r>
        <w:rPr>
          <w:i/>
          <w:iCs/>
        </w:rPr>
        <w:t xml:space="preserve">Pseudomonas aeruginosa</w:t>
      </w:r>
      <w:r>
        <w:t xml:space="preserve"> </w:t>
      </w:r>
      <w:r>
        <w:t xml:space="preserve">(en pratique insuffisante).</w:t>
      </w:r>
      <w:r>
        <w:t xml:space="preserve"> </w:t>
      </w:r>
      <w:r>
        <w:t xml:space="preserve">-</w:t>
      </w:r>
      <w:r>
        <w:t xml:space="preserve"> </w:t>
      </w:r>
      <w:r>
        <w:rPr>
          <w:b/>
          <w:bCs/>
        </w:rPr>
        <w:t xml:space="preserve">Mécanisme d’action :</w:t>
      </w:r>
      <w:r>
        <w:t xml:space="preserve"> </w:t>
      </w:r>
      <w:r>
        <w:t xml:space="preserve">Bactéricide concentration-dépendant, inhibition de l’ADN gyrase (GyrA/GyrB) et de la topoisomérase IV (ParC/ParE), formation du complexe clivable, cassures double-brin. Le groupement bicyclique en C7 augmente l’affinité pour la</w:t>
      </w:r>
      <w:r>
        <w:t xml:space="preserve"> </w:t>
      </w:r>
      <w:r>
        <w:rPr>
          <w:b/>
          <w:bCs/>
        </w:rPr>
        <w:t xml:space="preserve">topoisomérase IV du pneumocoque</w:t>
      </w:r>
      <w:r>
        <w:t xml:space="preserve"> </w:t>
      </w:r>
      <w:r>
        <w:t xml:space="preserve">(cible primaire chez cette espèce), ce qui explique la conservation d’activité contre les souches avec mutations ParC et GyrA qui rendent la ciprofloxacine inactive.</w:t>
      </w:r>
    </w:p>
    <w:p>
      <w:pPr>
        <w:pStyle w:val="BodyText"/>
      </w:pPr>
      <w:r>
        <w:rPr>
          <w:b/>
          <w:bCs/>
        </w:rPr>
        <w:t xml:space="preserve">Profil Pharmacologique :</w:t>
      </w:r>
      <w:r>
        <w:t xml:space="preserve"> </w:t>
      </w:r>
      <w:r>
        <w:t xml:space="preserve">-</w:t>
      </w:r>
      <w:r>
        <w:t xml:space="preserve"> </w:t>
      </w:r>
      <w:r>
        <w:rPr>
          <w:b/>
          <w:bCs/>
        </w:rPr>
        <w:t xml:space="preserve">Indications :</w:t>
      </w:r>
      <w:r>
        <w:t xml:space="preserve"> </w:t>
      </w:r>
      <w:r>
        <w:t xml:space="preserve">Pneumopathies aiguës communautaires de l’adulte (PAC) — typique et atypique ; exacerbations aiguës de BPCO surinfectées ; sinusites bactériennes aiguës.</w:t>
      </w:r>
      <w:r>
        <w:t xml:space="preserve"> </w:t>
      </w:r>
      <w:r>
        <w:rPr>
          <w:b/>
          <w:bCs/>
        </w:rPr>
        <w:t xml:space="preserve">À réserver</w:t>
      </w:r>
      <w:r>
        <w:t xml:space="preserve"> </w:t>
      </w:r>
      <w:r>
        <w:t xml:space="preserve">selon ANSM aux situations où bêta-lactamines et macrolides sont inefficaces ou contre-indiqués.</w:t>
      </w:r>
      <w:r>
        <w:t xml:space="preserve"> </w:t>
      </w:r>
      <w:r>
        <w:t xml:space="preserve">-</w:t>
      </w:r>
      <w:r>
        <w:t xml:space="preserve"> </w:t>
      </w:r>
      <w:r>
        <w:rPr>
          <w:b/>
          <w:bCs/>
        </w:rPr>
        <w:t xml:space="preserve">Contre-indications :</w:t>
      </w:r>
      <w:r>
        <w:t xml:space="preserve"> </w:t>
      </w:r>
      <w:r>
        <w:t xml:space="preserve">ATCD de tendinopathie FQ ; myasthénie ; allongement QTc ; épilepsie ; grossesse/allaitement ; enfant/adolescent en croissance ; hypersensibilité FQ.</w:t>
      </w:r>
      <w:r>
        <w:t xml:space="preserve"> </w:t>
      </w:r>
      <w:r>
        <w:t xml:space="preserve">-</w:t>
      </w:r>
      <w:r>
        <w:t xml:space="preserve"> </w:t>
      </w:r>
      <w:r>
        <w:rPr>
          <w:b/>
          <w:bCs/>
        </w:rPr>
        <w:t xml:space="preserve">Effets Indésirables :</w:t>
      </w:r>
      <w:r>
        <w:t xml:space="preserve"> </w:t>
      </w:r>
      <w:r>
        <w:t xml:space="preserve">Profil comparable aux autres FQ de 4e génération — tendinopathies ; NAO ; allongement QTc (modéré, inférieur à la moxifloxacine) ; dysglycémies (signal moins marqué que la gatifloxacine systémique) ; rash cutané (incidence un peu plus élevée que les autres FQ) ; diarrhée à</w:t>
      </w:r>
      <w:r>
        <w:t xml:space="preserve"> </w:t>
      </w:r>
      <w:r>
        <w:rPr>
          <w:i/>
          <w:iCs/>
        </w:rPr>
        <w:t xml:space="preserve">C. difficile</w:t>
      </w:r>
      <w:r>
        <w:t xml:space="preserve"> </w:t>
      </w:r>
      <w:r>
        <w:t xml:space="preserve">; troubles neuropsychiatriques ; photosensibilité modérée.</w:t>
      </w:r>
    </w:p>
    <w:p>
      <w:pPr>
        <w:pStyle w:val="BodyText"/>
      </w:pPr>
      <w:r>
        <w:rPr>
          <w:b/>
          <w:bCs/>
        </w:rPr>
        <w:t xml:space="preserve">Prévention et Gestion des Effets Indésirables :</w:t>
      </w:r>
      <w:r>
        <w:t xml:space="preserve"> </w:t>
      </w:r>
      <w:r>
        <w:t xml:space="preserve">-</w:t>
      </w:r>
      <w:r>
        <w:t xml:space="preserve"> </w:t>
      </w:r>
      <w:r>
        <w:rPr>
          <w:b/>
          <w:bCs/>
        </w:rPr>
        <w:t xml:space="preserve">Mesures Préventives :</w:t>
      </w:r>
      <w:r>
        <w:t xml:space="preserve"> </w:t>
      </w:r>
      <w:r>
        <w:t xml:space="preserve">Hydratation ; photoprotection ; surveillance glycémique chez diabétique ; contrôle ECG si terrain cardiaque ; arrêt des antiacides 2 h avant/6 h après.</w:t>
      </w:r>
      <w:r>
        <w:t xml:space="preserve"> </w:t>
      </w:r>
      <w:r>
        <w:t xml:space="preserve">-</w:t>
      </w:r>
      <w:r>
        <w:t xml:space="preserve"> </w:t>
      </w:r>
      <w:r>
        <w:rPr>
          <w:b/>
          <w:bCs/>
        </w:rPr>
        <w:t xml:space="preserve">Conduite à Tenir :</w:t>
      </w:r>
      <w:r>
        <w:t xml:space="preserve"> </w:t>
      </w:r>
      <w:r>
        <w:t xml:space="preserve">Arrêt immédiat en cas de douleur tendineuse, paresthésies, palpitations, diarrhée sanglante, éruption fébrile.</w:t>
      </w:r>
    </w:p>
    <w:p>
      <w:pPr>
        <w:pStyle w:val="BodyText"/>
      </w:pPr>
      <w:r>
        <w:rPr>
          <w:b/>
          <w:bCs/>
        </w:rPr>
        <w:t xml:space="preserve">Interactions Importantes :</w:t>
      </w:r>
      <w:r>
        <w:t xml:space="preserve"> </w:t>
      </w:r>
      <w:r>
        <w:t xml:space="preserve">-</w:t>
      </w:r>
      <w:r>
        <w:t xml:space="preserve"> </w:t>
      </w:r>
      <w:r>
        <w:rPr>
          <w:b/>
          <w:bCs/>
        </w:rPr>
        <w:t xml:space="preserve">Sels cationiques polyvalents</w:t>
      </w:r>
      <w:r>
        <w:t xml:space="preserve"> </w:t>
      </w:r>
      <w:r>
        <w:t xml:space="preserve">: chélation → espacer 2 h avant / 6 h après.</w:t>
      </w:r>
      <w:r>
        <w:t xml:space="preserve"> </w:t>
      </w:r>
      <w:r>
        <w:t xml:space="preserve">-</w:t>
      </w:r>
      <w:r>
        <w:t xml:space="preserve"> </w:t>
      </w:r>
      <w:r>
        <w:rPr>
          <w:b/>
          <w:bCs/>
        </w:rPr>
        <w:t xml:space="preserve">Antiarythmiques Ia/III, neuroleptiques, macrolides</w:t>
      </w:r>
      <w:r>
        <w:t xml:space="preserve"> </w:t>
      </w:r>
      <w:r>
        <w:t xml:space="preserve">: allongement QT additif → à éviter.</w:t>
      </w:r>
      <w:r>
        <w:t xml:space="preserve"> </w:t>
      </w:r>
      <w:r>
        <w:t xml:space="preserve">-</w:t>
      </w:r>
      <w:r>
        <w:t xml:space="preserve"> </w:t>
      </w:r>
      <w:r>
        <w:rPr>
          <w:b/>
          <w:bCs/>
        </w:rPr>
        <w:t xml:space="preserve">Warfarine</w:t>
      </w:r>
      <w:r>
        <w:t xml:space="preserve"> </w:t>
      </w:r>
      <w:r>
        <w:t xml:space="preserve">: surveillance INR.</w:t>
      </w:r>
      <w:r>
        <w:t xml:space="preserve"> </w:t>
      </w:r>
      <w:r>
        <w:t xml:space="preserve">-</w:t>
      </w:r>
      <w:r>
        <w:t xml:space="preserve"> </w:t>
      </w:r>
      <w:r>
        <w:rPr>
          <w:b/>
          <w:bCs/>
        </w:rPr>
        <w:t xml:space="preserve">Sucralfate</w:t>
      </w:r>
      <w:r>
        <w:t xml:space="preserve"> </w:t>
      </w:r>
      <w:r>
        <w:t xml:space="preserve">: espacer ≥ 2 h.</w:t>
      </w:r>
      <w:r>
        <w:t xml:space="preserve"> </w:t>
      </w:r>
      <w:r>
        <w:t xml:space="preserve">-</w:t>
      </w:r>
      <w:r>
        <w:t xml:space="preserve"> </w:t>
      </w:r>
      <w:r>
        <w:rPr>
          <w:i/>
          <w:iCs/>
        </w:rPr>
        <w:t xml:space="preserve">Note : La gémifloxacine n’est pas métabolisée par le CYP450 — peu d’interactions enzymatiques.</w:t>
      </w:r>
    </w:p>
    <w:p>
      <w:pPr>
        <w:pStyle w:val="BodyText"/>
      </w:pPr>
      <w:r>
        <w:rPr>
          <w:b/>
          <w:bCs/>
        </w:rPr>
        <w:t xml:space="preserve">Grossesse et Allaitement :</w:t>
      </w:r>
      <w:r>
        <w:t xml:space="preserve"> </w:t>
      </w:r>
      <w:r>
        <w:t xml:space="preserve">-</w:t>
      </w:r>
      <w:r>
        <w:t xml:space="preserve"> </w:t>
      </w:r>
      <w:r>
        <w:rPr>
          <w:b/>
          <w:bCs/>
        </w:rPr>
        <w:t xml:space="preserve">Grossesse :</w:t>
      </w:r>
      <w:r>
        <w:t xml:space="preserve"> </w:t>
      </w:r>
      <w:r>
        <w:t xml:space="preserve">CI formelle (CRAT) — à éviter quel que soit le trimestre.</w:t>
      </w:r>
      <w:r>
        <w:t xml:space="preserve"> </w:t>
      </w:r>
      <w:r>
        <w:t xml:space="preserve">-</w:t>
      </w:r>
      <w:r>
        <w:t xml:space="preserve"> </w:t>
      </w:r>
      <w:r>
        <w:rPr>
          <w:b/>
          <w:bCs/>
        </w:rPr>
        <w:t xml:space="preserve">Allaitement :</w:t>
      </w:r>
      <w:r>
        <w:t xml:space="preserve"> </w:t>
      </w:r>
      <w:r>
        <w:t xml:space="preserve">CI par voie systémique.</w:t>
      </w:r>
      <w:r>
        <w:t xml:space="preserve"> </w:t>
      </w:r>
      <w:r>
        <w:t xml:space="preserve">-</w:t>
      </w:r>
      <w:r>
        <w:t xml:space="preserve"> </w:t>
      </w:r>
      <w:r>
        <w:rPr>
          <w:b/>
          <w:bCs/>
        </w:rPr>
        <w:t xml:space="preserve">Précisions :</w:t>
      </w:r>
      <w:r>
        <w:t xml:space="preserve"> </w:t>
      </w:r>
      <w:r>
        <w:t xml:space="preserve">Pas de données humaines spécifiques mais principe de précaution.</w:t>
      </w:r>
    </w:p>
    <w:p>
      <w:pPr>
        <w:pStyle w:val="BodyText"/>
      </w:pPr>
      <w:r>
        <w:rPr>
          <w:b/>
          <w:bCs/>
        </w:rPr>
        <w:t xml:space="preserve">Posologie et Mode d’administration (Standard) :</w:t>
      </w:r>
      <w:r>
        <w:t xml:space="preserve"> </w:t>
      </w:r>
      <w:r>
        <w:t xml:space="preserve">-</w:t>
      </w:r>
      <w:r>
        <w:t xml:space="preserve"> </w:t>
      </w:r>
      <w:r>
        <w:rPr>
          <w:b/>
          <w:bCs/>
        </w:rPr>
        <w:t xml:space="preserve">Adulte :</w:t>
      </w:r>
      <w:r>
        <w:t xml:space="preserve"> </w:t>
      </w:r>
      <w:r>
        <w:t xml:space="preserve">320 mg × 1/j per os (PAC, sinusite, exacerbation BPCO). Adaptation rénale : ClCr 20–50 → 320 mg × 1/j (régime standard, ajustement non requis en pratique) ; ClCr &lt; 20 → 160 mg × 1/j.</w:t>
      </w:r>
      <w:r>
        <w:t xml:space="preserve"> </w:t>
      </w:r>
      <w:r>
        <w:t xml:space="preserve">-</w:t>
      </w:r>
      <w:r>
        <w:t xml:space="preserve"> </w:t>
      </w:r>
      <w:r>
        <w:rPr>
          <w:b/>
          <w:bCs/>
        </w:rPr>
        <w:t xml:space="preserve">Enfant :</w:t>
      </w:r>
      <w:r>
        <w:t xml:space="preserve"> </w:t>
      </w:r>
      <w:r>
        <w:t xml:space="preserve">CI.</w:t>
      </w:r>
      <w:r>
        <w:t xml:space="preserve"> </w:t>
      </w:r>
      <w:r>
        <w:t xml:space="preserve">-</w:t>
      </w:r>
      <w:r>
        <w:t xml:space="preserve"> </w:t>
      </w:r>
      <w:r>
        <w:rPr>
          <w:b/>
          <w:bCs/>
        </w:rPr>
        <w:t xml:space="preserve">Durée :</w:t>
      </w:r>
      <w:r>
        <w:t xml:space="preserve"> </w:t>
      </w:r>
      <w:r>
        <w:t xml:space="preserve">PAC 5–7 j ; sinusite 5 j ; exacerbation BPCO 5 j.</w:t>
      </w:r>
      <w:r>
        <w:t xml:space="preserve"> </w:t>
      </w:r>
      <w:r>
        <w:t xml:space="preserve">-</w:t>
      </w:r>
      <w:r>
        <w:t xml:space="preserve"> </w:t>
      </w:r>
      <w:r>
        <w:rPr>
          <w:b/>
          <w:bCs/>
        </w:rPr>
        <w:t xml:space="preserve">Moment de prise :</w:t>
      </w:r>
      <w:r>
        <w:t xml:space="preserve"> </w:t>
      </w:r>
      <w:r>
        <w:t xml:space="preserve">À distance des cations (2 h avant / 6 h après), à heure fixe, indépendamment des repas.</w:t>
      </w:r>
    </w:p>
    <w:p>
      <w:pPr>
        <w:pStyle w:val="BodyText"/>
      </w:pPr>
      <w:r>
        <w:rPr>
          <w:b/>
          <w:bCs/>
        </w:rPr>
        <w:t xml:space="preserve">Arbitrage et Bénéfices des Formes Galéniques :</w:t>
      </w:r>
      <w:r>
        <w:t xml:space="preserve"> </w:t>
      </w:r>
      <w:r>
        <w:t xml:space="preserve">La gémifloxacine offre une</w:t>
      </w:r>
      <w:r>
        <w:t xml:space="preserve"> </w:t>
      </w:r>
      <w:r>
        <w:rPr>
          <w:b/>
          <w:bCs/>
        </w:rPr>
        <w:t xml:space="preserve">biodisponibilité orale de 71 %</w:t>
      </w:r>
      <w:r>
        <w:t xml:space="preserve">, une</w:t>
      </w:r>
      <w:r>
        <w:t xml:space="preserve"> </w:t>
      </w:r>
      <w:r>
        <w:rPr>
          <w:b/>
          <w:bCs/>
        </w:rPr>
        <w:t xml:space="preserve">demi-vie de 7 h</w:t>
      </w:r>
      <w:r>
        <w:t xml:space="preserve"> </w:t>
      </w:r>
      <w:r>
        <w:t xml:space="preserve">(mono-quotidienne), une élimination mixte (rénale 50 % + fécale 50 %). Son atout majeur est l’activité anti-pneumococcque supérieure à toutes les autres FQ, y compris contre les souches résistantes à la pénicilline et aux macrolides. La forme unique en comprimé 320 mg simplifie la prescription. Sa disponibilité sous deux marques algériennes (FACTIVE et GEMIXINE) en fait une alternative accessible à la moxifloxacine (NR) pour les PAC de l’adulte.</w:t>
      </w:r>
    </w:p>
    <w:p>
      <w:pPr>
        <w:pStyle w:val="BodyText"/>
      </w:pPr>
      <w:r>
        <w:rPr>
          <w:b/>
          <w:bCs/>
        </w:rPr>
        <w:t xml:space="preserve">Instructions et Conseils au Patient :</w:t>
      </w:r>
      <w:r>
        <w:t xml:space="preserve"> </w:t>
      </w:r>
      <w:r>
        <w:t xml:space="preserve">-</w:t>
      </w:r>
      <w:r>
        <w:t xml:space="preserve"> </w:t>
      </w:r>
      <w:r>
        <w:rPr>
          <w:b/>
          <w:bCs/>
        </w:rPr>
        <w:t xml:space="preserve">Communication au comptoir :</w:t>
      </w:r>
      <w:r>
        <w:t xml:space="preserve"> </w:t>
      </w:r>
      <w:r>
        <w:t xml:space="preserve">« Antibiotique à</w:t>
      </w:r>
      <w:r>
        <w:t xml:space="preserve"> </w:t>
      </w:r>
      <w:r>
        <w:rPr>
          <w:b/>
          <w:bCs/>
        </w:rPr>
        <w:t xml:space="preserve">une prise par jour</w:t>
      </w:r>
      <w:r>
        <w:t xml:space="preserve">. Éloignez-le des antiacides et du fer de 2 heures. Buvez beaucoup d’eau. Évitez le soleil. Prévenez votre médecin si vous avez une douleur au tendon, des fourmillements, des palpitations, ou une éruption cutanée. »</w:t>
      </w:r>
      <w:r>
        <w:t xml:space="preserve"> </w:t>
      </w:r>
      <w:r>
        <w:t xml:space="preserve">-</w:t>
      </w:r>
      <w:r>
        <w:t xml:space="preserve"> </w:t>
      </w:r>
      <w:r>
        <w:rPr>
          <w:b/>
          <w:bCs/>
        </w:rPr>
        <w:t xml:space="preserve">Mode d’utilisation pratique :</w:t>
      </w:r>
      <w:r>
        <w:t xml:space="preserve"> </w:t>
      </w:r>
      <w:r>
        <w:t xml:space="preserve">Comprimé à avaler entier avec un grand verre d’eau, à heure fixe. Oubli &lt; 8 h : prendre ; &gt; 8 h : sauter.</w:t>
      </w:r>
    </w:p>
    <w:p>
      <w:pPr>
        <w:pStyle w:val="BodyText"/>
      </w:pPr>
      <w:r>
        <w:rPr>
          <w:b/>
          <w:bCs/>
        </w:rPr>
        <w:t xml:space="preserve">Notes, Règles d’Or &amp; Pièges au Comptoir :</w:t>
      </w:r>
      <w:r>
        <w:t xml:space="preserve"> </w:t>
      </w:r>
      <w:r>
        <w:t xml:space="preserve">-</w:t>
      </w:r>
      <w:r>
        <w:t xml:space="preserve"> </w:t>
      </w:r>
      <w:r>
        <w:rPr>
          <w:b/>
          <w:bCs/>
        </w:rPr>
        <w:t xml:space="preserve">Piège classique n°1 :</w:t>
      </w:r>
      <w:r>
        <w:t xml:space="preserve"> </w:t>
      </w:r>
      <w:r>
        <w:t xml:space="preserve">Gémifloxacine prescrite pour infection urinaire —</w:t>
      </w:r>
      <w:r>
        <w:t xml:space="preserve"> </w:t>
      </w:r>
      <w:r>
        <w:rPr>
          <w:b/>
          <w:bCs/>
        </w:rPr>
        <w:t xml:space="preserve">mauvais choix</w:t>
      </w:r>
      <w:r>
        <w:t xml:space="preserve"> </w:t>
      </w:r>
      <w:r>
        <w:t xml:space="preserve">(élimination mixte, concentration urinaire modérée) ; préférer ciprofloxacine, norfloxacine ou ofloxacine.</w:t>
      </w:r>
      <w:r>
        <w:t xml:space="preserve"> </w:t>
      </w:r>
      <w:r>
        <w:t xml:space="preserve">-</w:t>
      </w:r>
      <w:r>
        <w:t xml:space="preserve"> </w:t>
      </w:r>
      <w:r>
        <w:rPr>
          <w:b/>
          <w:bCs/>
        </w:rPr>
        <w:t xml:space="preserve">Piège classique n°2 :</w:t>
      </w:r>
      <w:r>
        <w:t xml:space="preserve"> </w:t>
      </w:r>
      <w:r>
        <w:t xml:space="preserve">Gémifloxacine pour suspicion d’infection à</w:t>
      </w:r>
      <w:r>
        <w:t xml:space="preserve"> </w:t>
      </w:r>
      <w:r>
        <w:rPr>
          <w:i/>
          <w:iCs/>
        </w:rPr>
        <w:t xml:space="preserve">Pseudomonas</w:t>
      </w:r>
      <w:r>
        <w:t xml:space="preserve"> </w:t>
      </w:r>
      <w:r>
        <w:t xml:space="preserve">—</w:t>
      </w:r>
      <w:r>
        <w:t xml:space="preserve"> </w:t>
      </w:r>
      <w:r>
        <w:rPr>
          <w:b/>
          <w:bCs/>
        </w:rPr>
        <w:t xml:space="preserve">mauvais choix</w:t>
      </w:r>
      <w:r>
        <w:t xml:space="preserve">.</w:t>
      </w:r>
      <w:r>
        <w:t xml:space="preserve"> </w:t>
      </w:r>
      <w:r>
        <w:t xml:space="preserve">-</w:t>
      </w:r>
      <w:r>
        <w:t xml:space="preserve"> </w:t>
      </w:r>
      <w:r>
        <w:rPr>
          <w:b/>
          <w:bCs/>
        </w:rPr>
        <w:t xml:space="preserve">Piège classique n°3 :</w:t>
      </w:r>
      <w:r>
        <w:t xml:space="preserve"> </w:t>
      </w:r>
      <w:r>
        <w:t xml:space="preserve">Gémifloxacine + antiacide → échec antibiotique.</w:t>
      </w:r>
      <w:r>
        <w:t xml:space="preserve"> </w:t>
      </w:r>
      <w:r>
        <w:t xml:space="preserve">-</w:t>
      </w:r>
      <w:r>
        <w:t xml:space="preserve"> </w:t>
      </w:r>
      <w:r>
        <w:rPr>
          <w:b/>
          <w:bCs/>
        </w:rPr>
        <w:t xml:space="preserve">Piège classique n°4 :</w:t>
      </w:r>
      <w:r>
        <w:t xml:space="preserve"> </w:t>
      </w:r>
      <w:r>
        <w:t xml:space="preserve">Patient sous amiodarone ou neuroleptique → appeler le prescripteur (QT additif).</w:t>
      </w:r>
      <w:r>
        <w:t xml:space="preserve"> </w:t>
      </w:r>
      <w:r>
        <w:t xml:space="preserve">-</w:t>
      </w:r>
      <w:r>
        <w:t xml:space="preserve"> </w:t>
      </w:r>
      <w:r>
        <w:rPr>
          <w:b/>
          <w:bCs/>
        </w:rPr>
        <w:t xml:space="preserve">Règle de prise :</w:t>
      </w:r>
      <w:r>
        <w:t xml:space="preserve"> </w:t>
      </w:r>
      <w:r>
        <w:t xml:space="preserve">2 h avant ou 6 h après les cations ; heure fixe ; hydratation.</w:t>
      </w:r>
      <w:r>
        <w:t xml:space="preserve"> </w:t>
      </w:r>
      <w:r>
        <w:t xml:space="preserve">-</w:t>
      </w:r>
      <w:r>
        <w:t xml:space="preserve"> </w:t>
      </w:r>
      <w:r>
        <w:rPr>
          <w:b/>
          <w:bCs/>
        </w:rPr>
        <w:t xml:space="preserve">Préparation et Conservation :</w:t>
      </w:r>
      <w:r>
        <w:t xml:space="preserve"> </w:t>
      </w:r>
      <w:r>
        <w:t xml:space="preserve">Comprimé à température ambiante &lt; 25 °C, à l’abri de l’humidité.</w:t>
      </w:r>
      <w:r>
        <w:t xml:space="preserve"> </w:t>
      </w:r>
      <w:r>
        <w:t xml:space="preserve">-</w:t>
      </w:r>
      <w:r>
        <w:t xml:space="preserve"> </w:t>
      </w:r>
      <w:r>
        <w:rPr>
          <w:b/>
          <w:bCs/>
        </w:rPr>
        <w:t xml:space="preserve">Piège du surdosage / Substitution :</w:t>
      </w:r>
      <w:r>
        <w:t xml:space="preserve"> </w:t>
      </w:r>
      <w:r>
        <w:t xml:space="preserve">Substitution entre FACTIVE et GEMIXINE acceptable (même DCI, même dosage). En cas d’indisponibilité, substituer par lévofloxacine 500 mg × 1/j ou moxifloxacine 400 mg × 1/j (si disponible). Surdosage : symptômes neurologiques + allongement QT — traitement symptomatique, ECG continu.</w:t>
      </w:r>
    </w:p>
    <w:p>
      <w:r>
        <w:pict>
          <v:rect style="width:0;height:1.5pt" o:hralign="center" o:hrstd="t" o:hr="t"/>
        </w:pict>
      </w:r>
    </w:p>
    <w:bookmarkEnd w:id="162"/>
    <w:bookmarkStart w:id="163" w:name="dci-nadifloxacine-seule"/>
    <w:p>
      <w:pPr>
        <w:pStyle w:val="Heading2"/>
      </w:pPr>
      <w:r>
        <w:t xml:space="preserve">10. DCI : Nadifloxacine (Seule)</w:t>
      </w:r>
    </w:p>
    <w:p>
      <w:pPr>
        <w:pStyle w:val="FirstParagraph"/>
      </w:pPr>
      <w:r>
        <w:rPr>
          <w:b/>
          <w:bCs/>
        </w:rPr>
        <w:t xml:space="preserve">Liste des Catégories :</w:t>
      </w:r>
      <w:r>
        <w:t xml:space="preserve"> </w:t>
      </w:r>
      <w:r>
        <w:t xml:space="preserve">Antibactérien à usage dermique, Fluoroquinolone topique (crème).</w:t>
      </w:r>
    </w:p>
    <w:p>
      <w:pPr>
        <w:pStyle w:val="BodyText"/>
      </w:pPr>
      <w:r>
        <w:t xml:space="preserve">La nadifloxacine, FQ topique développée spécifiquement pour l’usage dermatologique, présente une activité remarquable contre</w:t>
      </w:r>
      <w:r>
        <w:t xml:space="preserve"> </w:t>
      </w:r>
      <w:r>
        <w:rPr>
          <w:i/>
          <w:iCs/>
        </w:rPr>
        <w:t xml:space="preserve">Propionibacterium acnes</w:t>
      </w:r>
      <w:r>
        <w:t xml:space="preserve"> </w:t>
      </w:r>
      <w:r>
        <w:t xml:space="preserve">(responsable de l’acné),</w:t>
      </w:r>
      <w:r>
        <w:t xml:space="preserve"> </w:t>
      </w:r>
      <w:r>
        <w:rPr>
          <w:i/>
          <w:iCs/>
        </w:rPr>
        <w:t xml:space="preserve">Staphylococcus aureus</w:t>
      </w:r>
      <w:r>
        <w:t xml:space="preserve"> </w:t>
      </w:r>
      <w:r>
        <w:t xml:space="preserve">(y compris MRSA),</w:t>
      </w:r>
      <w:r>
        <w:t xml:space="preserve"> </w:t>
      </w:r>
      <w:r>
        <w:rPr>
          <w:i/>
          <w:iCs/>
        </w:rPr>
        <w:t xml:space="preserve">Staphylococcus epidermidis</w:t>
      </w:r>
      <w:r>
        <w:t xml:space="preserve">,</w:t>
      </w:r>
      <w:r>
        <w:t xml:space="preserve"> </w:t>
      </w:r>
      <w:r>
        <w:rPr>
          <w:i/>
          <w:iCs/>
        </w:rPr>
        <w:t xml:space="preserve">Streptococcus pyogenes</w:t>
      </w:r>
      <w:r>
        <w:t xml:space="preserve"> </w:t>
      </w:r>
      <w:r>
        <w:t xml:space="preserve">et les bactéries aérobies responsables des infections cutanées superficielles. Son développement exclusivement topique reflète la volonté d’éviter les effets systémiques des FQ tout en exploitant leur puissance antibactérienne sur la flore cutanée. En Algérie, une seule spécialité est disponible : NADIXA crème dermique 1 % (FERRER INTERNACIONAL).</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NADIXA</w:t>
      </w:r>
      <w:r>
        <w:t xml:space="preserve"> </w:t>
      </w:r>
      <w:r>
        <w:t xml:space="preserve">(FERRER INTERNACIONAL S,A) — crème dermique 1 % (10 mg/g, correspond au dosage « 0,01 » = 0,01 g/g de la nomenclature), tube 25 g — Actif</w:t>
      </w:r>
    </w:p>
    <w:p>
      <w:pPr>
        <w:pStyle w:val="BodyText"/>
      </w:pPr>
      <w:r>
        <w:rPr>
          <w:i/>
          <w:iCs/>
        </w:rPr>
        <w:t xml:space="preserve">Aucune forme systémique ni collyre disponible — développement exclusif dermique.</w:t>
      </w:r>
    </w:p>
    <w:p>
      <w:pPr>
        <w:pStyle w:val="BodyText"/>
      </w:pPr>
      <w:r>
        <w:rPr>
          <w:b/>
          <w:bCs/>
        </w:rPr>
        <w:t xml:space="preserve">Sous-classe et Mécanisme d’action :</w:t>
      </w:r>
      <w:r>
        <w:t xml:space="preserve"> </w:t>
      </w:r>
      <w:r>
        <w:t xml:space="preserve">-</w:t>
      </w:r>
      <w:r>
        <w:t xml:space="preserve"> </w:t>
      </w:r>
      <w:r>
        <w:rPr>
          <w:b/>
          <w:bCs/>
        </w:rPr>
        <w:t xml:space="preserve">Sous-classe :</w:t>
      </w:r>
      <w:r>
        <w:t xml:space="preserve"> </w:t>
      </w:r>
      <w:r>
        <w:t xml:space="preserve">Fluoroquinolone topique dermique, indiquée dans l’acné vulgaire et les infections cutanées superficielles. Activité anti-</w:t>
      </w:r>
      <w:r>
        <w:rPr>
          <w:i/>
          <w:iCs/>
        </w:rPr>
        <w:t xml:space="preserve">Propionibacterium acnes</w:t>
      </w:r>
      <w:r>
        <w:t xml:space="preserve"> </w:t>
      </w:r>
      <w:r>
        <w:t xml:space="preserve">particulièrement élevée.</w:t>
      </w:r>
      <w:r>
        <w:t xml:space="preserve"> </w:t>
      </w:r>
      <w:r>
        <w:t xml:space="preserve">-</w:t>
      </w:r>
      <w:r>
        <w:t xml:space="preserve"> </w:t>
      </w:r>
      <w:r>
        <w:rPr>
          <w:b/>
          <w:bCs/>
        </w:rPr>
        <w:t xml:space="preserve">Mécanisme d’action :</w:t>
      </w:r>
      <w:r>
        <w:t xml:space="preserve"> </w:t>
      </w:r>
      <w:r>
        <w:t xml:space="preserve">Bactéricide concentration-dépendant, inhibition de l’ADN gyrase (GyrA/GyrB) et de la topoisomérase IV (ParC/ParE), formation du complexe clivable, cassures double-brin. Spécifiquement active contre</w:t>
      </w:r>
      <w:r>
        <w:t xml:space="preserve"> </w:t>
      </w:r>
      <w:r>
        <w:rPr>
          <w:i/>
          <w:iCs/>
        </w:rPr>
        <w:t xml:space="preserve">P. acnes</w:t>
      </w:r>
      <w:r>
        <w:t xml:space="preserve"> </w:t>
      </w:r>
      <w:r>
        <w:t xml:space="preserve">(CMI 0,4 µg/mL), inférieure à celle de l’érythromycine et de la clindamycine (qui ont sélectionné des résistances massives dans l’acné).</w:t>
      </w:r>
    </w:p>
    <w:p>
      <w:pPr>
        <w:pStyle w:val="BodyText"/>
      </w:pPr>
      <w:r>
        <w:rPr>
          <w:b/>
          <w:bCs/>
        </w:rPr>
        <w:t xml:space="preserve">Profil Pharmacologique :</w:t>
      </w:r>
      <w:r>
        <w:t xml:space="preserve"> </w:t>
      </w:r>
      <w:r>
        <w:t xml:space="preserve">-</w:t>
      </w:r>
      <w:r>
        <w:t xml:space="preserve"> </w:t>
      </w:r>
      <w:r>
        <w:rPr>
          <w:b/>
          <w:bCs/>
        </w:rPr>
        <w:t xml:space="preserve">Indications :</w:t>
      </w:r>
      <w:r>
        <w:t xml:space="preserve"> </w:t>
      </w:r>
      <w:r>
        <w:t xml:space="preserve">Acné vulgaire modérée (comédons, papules, pustules) en monothérapie ou en association avec un rétinoïde topique ou un peroxyde de benzoyle ; folliculites superficielles ; impétigo localisé ; infections cutanées bactériennes superficielles à germes sensibles.</w:t>
      </w:r>
      <w:r>
        <w:t xml:space="preserve"> </w:t>
      </w:r>
      <w:r>
        <w:t xml:space="preserve">-</w:t>
      </w:r>
      <w:r>
        <w:t xml:space="preserve"> </w:t>
      </w:r>
      <w:r>
        <w:rPr>
          <w:b/>
          <w:bCs/>
        </w:rPr>
        <w:t xml:space="preserve">Contre-indications :</w:t>
      </w:r>
      <w:r>
        <w:t xml:space="preserve"> </w:t>
      </w:r>
      <w:r>
        <w:t xml:space="preserve">Hypersensibilité aux FQ ; enfant &lt; 1 an selon AMM ; application sur muqueuses ou plaies profondes.</w:t>
      </w:r>
      <w:r>
        <w:t xml:space="preserve"> </w:t>
      </w:r>
      <w:r>
        <w:t xml:space="preserve">-</w:t>
      </w:r>
      <w:r>
        <w:t xml:space="preserve"> </w:t>
      </w:r>
      <w:r>
        <w:rPr>
          <w:b/>
          <w:bCs/>
        </w:rPr>
        <w:t xml:space="preserve">Effets Indésirables :</w:t>
      </w:r>
      <w:r>
        <w:t xml:space="preserve"> </w:t>
      </w:r>
      <w:r>
        <w:t xml:space="preserve">Locaux : picotements transitoires, rougeur, sécheresse cutanée, prurit, rarement eczéma de contact, photosensibilité (modérée).</w:t>
      </w:r>
      <w:r>
        <w:t xml:space="preserve"> </w:t>
      </w:r>
      <w:r>
        <w:rPr>
          <w:b/>
          <w:bCs/>
        </w:rPr>
        <w:t xml:space="preserve">Aucun effet systémique</w:t>
      </w:r>
      <w:r>
        <w:t xml:space="preserve"> </w:t>
      </w:r>
      <w:r>
        <w:t xml:space="preserve">(passage percutané négligeable &lt; 1 %).</w:t>
      </w:r>
    </w:p>
    <w:p>
      <w:pPr>
        <w:pStyle w:val="BodyText"/>
      </w:pPr>
      <w:r>
        <w:rPr>
          <w:b/>
          <w:bCs/>
        </w:rPr>
        <w:t xml:space="preserve">Prévention et Gestion des Effets Indésirables :</w:t>
      </w:r>
      <w:r>
        <w:t xml:space="preserve"> </w:t>
      </w:r>
      <w:r>
        <w:t xml:space="preserve">-</w:t>
      </w:r>
      <w:r>
        <w:t xml:space="preserve"> </w:t>
      </w:r>
      <w:r>
        <w:rPr>
          <w:b/>
          <w:bCs/>
        </w:rPr>
        <w:t xml:space="preserve">Mesures Préventives :</w:t>
      </w:r>
      <w:r>
        <w:t xml:space="preserve"> </w:t>
      </w:r>
      <w:r>
        <w:t xml:space="preserve">Application en couche fine, 1 à 2 fois par jour, sur peau propre et sèche ; éviter le contour des yeux et des lèvres ; photoprotection modérée ; ne pas associer à d’autres topiques irritants (rétinoïdes, AHA) sans espacement ; ne pas appliquer sous pansement occlusif.</w:t>
      </w:r>
      <w:r>
        <w:t xml:space="preserve"> </w:t>
      </w:r>
      <w:r>
        <w:t xml:space="preserve">-</w:t>
      </w:r>
      <w:r>
        <w:t xml:space="preserve"> </w:t>
      </w:r>
      <w:r>
        <w:rPr>
          <w:b/>
          <w:bCs/>
        </w:rPr>
        <w:t xml:space="preserve">Conduite à Tenir :</w:t>
      </w:r>
      <w:r>
        <w:t xml:space="preserve"> </w:t>
      </w:r>
      <w:r>
        <w:t xml:space="preserve">Arrêt en cas d’eczéma de contact, de prurit intense, d’aggravation des lésions.</w:t>
      </w:r>
    </w:p>
    <w:p>
      <w:pPr>
        <w:pStyle w:val="BodyText"/>
      </w:pPr>
      <w:r>
        <w:rPr>
          <w:b/>
          <w:bCs/>
        </w:rPr>
        <w:t xml:space="preserve">Interactions Importantes :</w:t>
      </w:r>
      <w:r>
        <w:t xml:space="preserve"> </w:t>
      </w:r>
      <w:r>
        <w:t xml:space="preserve">-</w:t>
      </w:r>
      <w:r>
        <w:t xml:space="preserve"> </w:t>
      </w:r>
      <w:r>
        <w:rPr>
          <w:b/>
          <w:bCs/>
        </w:rPr>
        <w:t xml:space="preserve">Localement</w:t>
      </w:r>
      <w:r>
        <w:t xml:space="preserve"> </w:t>
      </w:r>
      <w:r>
        <w:t xml:space="preserve">: pas d’interaction systémique notable.</w:t>
      </w:r>
      <w:r>
        <w:t xml:space="preserve"> </w:t>
      </w:r>
      <w:r>
        <w:t xml:space="preserve">- Si autre topique dermique concomitant (rétinoïde, peroxyde de benzoyle) : appliquer à des moments différents (matin pour nadifloxacine, soir pour rétinoïde) pour éviter l’inactivation.</w:t>
      </w:r>
    </w:p>
    <w:p>
      <w:pPr>
        <w:pStyle w:val="BodyText"/>
      </w:pPr>
      <w:r>
        <w:rPr>
          <w:b/>
          <w:bCs/>
        </w:rPr>
        <w:t xml:space="preserve">Grossesse et Allaitement :</w:t>
      </w:r>
      <w:r>
        <w:t xml:space="preserve"> </w:t>
      </w:r>
      <w:r>
        <w:t xml:space="preserve">-</w:t>
      </w:r>
      <w:r>
        <w:t xml:space="preserve"> </w:t>
      </w:r>
      <w:r>
        <w:rPr>
          <w:b/>
          <w:bCs/>
        </w:rPr>
        <w:t xml:space="preserve">Grossesse :</w:t>
      </w:r>
      <w:r>
        <w:t xml:space="preserve"> </w:t>
      </w:r>
      <w:r>
        <w:t xml:space="preserve">Topique compatible (CRAT) — passage systémique négligeable, à éviter par principe au 1er trimestre.</w:t>
      </w:r>
      <w:r>
        <w:t xml:space="preserve"> </w:t>
      </w:r>
      <w:r>
        <w:t xml:space="preserve">-</w:t>
      </w:r>
      <w:r>
        <w:t xml:space="preserve"> </w:t>
      </w:r>
      <w:r>
        <w:rPr>
          <w:b/>
          <w:bCs/>
        </w:rPr>
        <w:t xml:space="preserve">Allaitement :</w:t>
      </w:r>
      <w:r>
        <w:t xml:space="preserve"> </w:t>
      </w:r>
      <w:r>
        <w:t xml:space="preserve">Compatible (ne pas appliquer sur le sein avant la tétée).</w:t>
      </w:r>
      <w:r>
        <w:t xml:space="preserve"> </w:t>
      </w:r>
      <w:r>
        <w:t xml:space="preserve">-</w:t>
      </w:r>
      <w:r>
        <w:t xml:space="preserve"> </w:t>
      </w:r>
      <w:r>
        <w:rPr>
          <w:b/>
          <w:bCs/>
        </w:rPr>
        <w:t xml:space="preserve">Précisions :</w:t>
      </w:r>
      <w:r>
        <w:t xml:space="preserve"> </w:t>
      </w:r>
      <w:r>
        <w:t xml:space="preserve">L’usage dermique est sans risque systémique.</w:t>
      </w:r>
    </w:p>
    <w:p>
      <w:pPr>
        <w:pStyle w:val="BodyText"/>
      </w:pPr>
      <w:r>
        <w:rPr>
          <w:b/>
          <w:bCs/>
        </w:rPr>
        <w:t xml:space="preserve">Posologie et Mode d’administration (Standard) :</w:t>
      </w:r>
      <w:r>
        <w:t xml:space="preserve"> </w:t>
      </w:r>
      <w:r>
        <w:t xml:space="preserve">-</w:t>
      </w:r>
      <w:r>
        <w:t xml:space="preserve"> </w:t>
      </w:r>
      <w:r>
        <w:rPr>
          <w:b/>
          <w:bCs/>
        </w:rPr>
        <w:t xml:space="preserve">Adulte et adolescent &gt; 12 ans :</w:t>
      </w:r>
      <w:r>
        <w:t xml:space="preserve"> </w:t>
      </w:r>
      <w:r>
        <w:t xml:space="preserve">Acné : 1 application × 2/j (matin et soir) sur l’ensemble des zones atteintes (visage, dos, épaules) après nettoyage et séchage de la peau, pendant 6–12 semaines selon la sévérité. Folliculite/impétigo : 1 application × 2/j pendant 7–10 j.</w:t>
      </w:r>
      <w:r>
        <w:t xml:space="preserve"> </w:t>
      </w:r>
      <w:r>
        <w:t xml:space="preserve">-</w:t>
      </w:r>
      <w:r>
        <w:t xml:space="preserve"> </w:t>
      </w:r>
      <w:r>
        <w:rPr>
          <w:b/>
          <w:bCs/>
        </w:rPr>
        <w:t xml:space="preserve">Enfant &lt; 12 ans :</w:t>
      </w:r>
      <w:r>
        <w:t xml:space="preserve"> </w:t>
      </w:r>
      <w:r>
        <w:t xml:space="preserve">À éviter par principe.</w:t>
      </w:r>
      <w:r>
        <w:t xml:space="preserve"> </w:t>
      </w:r>
      <w:r>
        <w:t xml:space="preserve">-</w:t>
      </w:r>
      <w:r>
        <w:t xml:space="preserve"> </w:t>
      </w:r>
      <w:r>
        <w:rPr>
          <w:b/>
          <w:bCs/>
        </w:rPr>
        <w:t xml:space="preserve">Durée :</w:t>
      </w:r>
      <w:r>
        <w:t xml:space="preserve"> </w:t>
      </w:r>
      <w:r>
        <w:t xml:space="preserve">Acné : 6–12 semaines (réévaluation à 8 sem) ; infections cutanées : 7–10 j.</w:t>
      </w:r>
      <w:r>
        <w:t xml:space="preserve"> </w:t>
      </w:r>
      <w:r>
        <w:t xml:space="preserve">-</w:t>
      </w:r>
      <w:r>
        <w:t xml:space="preserve"> </w:t>
      </w:r>
      <w:r>
        <w:rPr>
          <w:b/>
          <w:bCs/>
        </w:rPr>
        <w:t xml:space="preserve">Moment de prise :</w:t>
      </w:r>
      <w:r>
        <w:t xml:space="preserve"> </w:t>
      </w:r>
      <w:r>
        <w:t xml:space="preserve">Application sur peau propre et sèche ; couche fine ; masser légèrement ; se laver les mains après application ; éviter le contour des yeux, des lèvres et des muqueuses.</w:t>
      </w:r>
    </w:p>
    <w:p>
      <w:pPr>
        <w:pStyle w:val="BodyText"/>
      </w:pPr>
      <w:r>
        <w:rPr>
          <w:b/>
          <w:bCs/>
        </w:rPr>
        <w:t xml:space="preserve">Arbitrage et Bénéfices des Formes Galéniques :</w:t>
      </w:r>
      <w:r>
        <w:t xml:space="preserve"> </w:t>
      </w:r>
      <w:r>
        <w:t xml:space="preserve">La nadifloxacine se positionne comme une alternative aux antibiotiques topiques classiques de l’acné (érythromycine, clindamycine) dont l’usage massif a sélectionné des résistances chez</w:t>
      </w:r>
      <w:r>
        <w:t xml:space="preserve"> </w:t>
      </w:r>
      <w:r>
        <w:rPr>
          <w:i/>
          <w:iCs/>
        </w:rPr>
        <w:t xml:space="preserve">P. acnes</w:t>
      </w:r>
      <w:r>
        <w:t xml:space="preserve"> </w:t>
      </w:r>
      <w:r>
        <w:t xml:space="preserve">(résistance &gt; 60 % dans certaines régions). Sa structure de FQ échappe aux mécanismes de résistance aux macrolides et lincosamides (méthylation ribosomale erm), ce qui en fait un excellent choix de seconde intention ou de première intention dans les zones de forte prévalence de résistance aux macrolides. La crème à 1 % offre une tolérance cutanée supérieure à celle du peroxyde de benzoyle (moins irritante) et une commodité d’application biquotidienne. La galénique crème (vs gel) convient aux peaux sèches ou sensibles.</w:t>
      </w:r>
    </w:p>
    <w:p>
      <w:pPr>
        <w:pStyle w:val="BodyText"/>
      </w:pPr>
      <w:r>
        <w:rPr>
          <w:b/>
          <w:bCs/>
        </w:rPr>
        <w:t xml:space="preserve">Instructions et Conseils au Patient :</w:t>
      </w:r>
      <w:r>
        <w:t xml:space="preserve"> </w:t>
      </w:r>
      <w:r>
        <w:t xml:space="preserve">-</w:t>
      </w:r>
      <w:r>
        <w:t xml:space="preserve"> </w:t>
      </w:r>
      <w:r>
        <w:rPr>
          <w:b/>
          <w:bCs/>
        </w:rPr>
        <w:t xml:space="preserve">Communication au comptoir :</w:t>
      </w:r>
      <w:r>
        <w:t xml:space="preserve"> </w:t>
      </w:r>
      <w:r>
        <w:t xml:space="preserve">« Crème antibiotique pour l’acné.</w:t>
      </w:r>
      <w:r>
        <w:t xml:space="preserve"> </w:t>
      </w:r>
      <w:r>
        <w:rPr>
          <w:b/>
          <w:bCs/>
        </w:rPr>
        <w:t xml:space="preserve">Appliquez une fine couche 2 fois par jour, matin et soir, sur peau propre et sèche</w:t>
      </w:r>
      <w:r>
        <w:t xml:space="preserve">, sur toutes les zones à risque (visage, dos, épaules), pas seulement sur les boutons visibles. Lavez-vous les mains avant et après. Évitez le contour des yeux et des lèvres. Effet visible en 4 à 8 semaines — soyez patient. Ne combinez pas avec d’autres crèmes irritantes (rétinoïdes, peroxyde de benzoyle) au même moment — demandez à votre médecin l’ordre d’application. Évitez le soleil. »</w:t>
      </w:r>
      <w:r>
        <w:t xml:space="preserve"> </w:t>
      </w:r>
      <w:r>
        <w:t xml:space="preserve">-</w:t>
      </w:r>
      <w:r>
        <w:t xml:space="preserve"> </w:t>
      </w:r>
      <w:r>
        <w:rPr>
          <w:b/>
          <w:bCs/>
        </w:rPr>
        <w:t xml:space="preserve">Mode d’utilisation pratique :</w:t>
      </w:r>
      <w:r>
        <w:t xml:space="preserve"> </w:t>
      </w:r>
      <w:r>
        <w:t xml:space="preserve">Nettoyer → sécher → appliquer couche fine → masser → laisser pénétrer. Oubli : appliquer dès que possible, ne pas doubler.</w:t>
      </w:r>
    </w:p>
    <w:p>
      <w:pPr>
        <w:pStyle w:val="BodyText"/>
      </w:pPr>
      <w:r>
        <w:rPr>
          <w:b/>
          <w:bCs/>
        </w:rPr>
        <w:t xml:space="preserve">Notes, Règles d’Or &amp; Pièges au Comptoir :</w:t>
      </w:r>
      <w:r>
        <w:t xml:space="preserve"> </w:t>
      </w:r>
      <w:r>
        <w:t xml:space="preserve">-</w:t>
      </w:r>
      <w:r>
        <w:t xml:space="preserve"> </w:t>
      </w:r>
      <w:r>
        <w:rPr>
          <w:b/>
          <w:bCs/>
        </w:rPr>
        <w:t xml:space="preserve">Piège classique n°1 :</w:t>
      </w:r>
      <w:r>
        <w:t xml:space="preserve"> </w:t>
      </w:r>
      <w:r>
        <w:t xml:space="preserve">Patient qui applique seulement sur les boutons visibles (et non sur toute la zone à risque) → échec (les microcomédons évoluent en lésions actives).</w:t>
      </w:r>
      <w:r>
        <w:t xml:space="preserve"> </w:t>
      </w:r>
      <w:r>
        <w:t xml:space="preserve">-</w:t>
      </w:r>
      <w:r>
        <w:t xml:space="preserve"> </w:t>
      </w:r>
      <w:r>
        <w:rPr>
          <w:b/>
          <w:bCs/>
        </w:rPr>
        <w:t xml:space="preserve">Piège classique n°2 :</w:t>
      </w:r>
      <w:r>
        <w:t xml:space="preserve"> </w:t>
      </w:r>
      <w:r>
        <w:t xml:space="preserve">Patient qui arrête après 2 semaines (pas d’effet visible) — expliquer que l’effet est retardé (4–8 sem).</w:t>
      </w:r>
      <w:r>
        <w:t xml:space="preserve"> </w:t>
      </w:r>
      <w:r>
        <w:t xml:space="preserve">-</w:t>
      </w:r>
      <w:r>
        <w:t xml:space="preserve"> </w:t>
      </w:r>
      <w:r>
        <w:rPr>
          <w:b/>
          <w:bCs/>
        </w:rPr>
        <w:t xml:space="preserve">Piège classique n°3 :</w:t>
      </w:r>
      <w:r>
        <w:t xml:space="preserve"> </w:t>
      </w:r>
      <w:r>
        <w:t xml:space="preserve">Association nadifloxacine + peroxyde de benzoyle appliqués en même temps → inactivation possible de l’antibiotique par le peroxyde (espacer les applications).</w:t>
      </w:r>
      <w:r>
        <w:t xml:space="preserve"> </w:t>
      </w:r>
      <w:r>
        <w:t xml:space="preserve">-</w:t>
      </w:r>
      <w:r>
        <w:t xml:space="preserve"> </w:t>
      </w:r>
      <w:r>
        <w:rPr>
          <w:b/>
          <w:bCs/>
        </w:rPr>
        <w:t xml:space="preserve">Piège classique n°4 :</w:t>
      </w:r>
      <w:r>
        <w:t xml:space="preserve"> </w:t>
      </w:r>
      <w:r>
        <w:t xml:space="preserve">Application sous pansement occlusif → absorption systémique excessive et macération.</w:t>
      </w:r>
      <w:r>
        <w:t xml:space="preserve"> </w:t>
      </w:r>
      <w:r>
        <w:t xml:space="preserve">-</w:t>
      </w:r>
      <w:r>
        <w:t xml:space="preserve"> </w:t>
      </w:r>
      <w:r>
        <w:rPr>
          <w:b/>
          <w:bCs/>
        </w:rPr>
        <w:t xml:space="preserve">Règle de prise :</w:t>
      </w:r>
      <w:r>
        <w:t xml:space="preserve"> </w:t>
      </w:r>
      <w:r>
        <w:t xml:space="preserve">Couche fine × 2/j ; peau propre et sèche ; 6–12 semaines ; photoprotection.</w:t>
      </w:r>
      <w:r>
        <w:t xml:space="preserve"> </w:t>
      </w:r>
      <w:r>
        <w:t xml:space="preserve">-</w:t>
      </w:r>
      <w:r>
        <w:t xml:space="preserve"> </w:t>
      </w:r>
      <w:r>
        <w:rPr>
          <w:b/>
          <w:bCs/>
        </w:rPr>
        <w:t xml:space="preserve">Préparation et Conservation :</w:t>
      </w:r>
      <w:r>
        <w:t xml:space="preserve"> </w:t>
      </w:r>
      <w:r>
        <w:t xml:space="preserve">Tube fermé à température ambiante &lt; 25 °C ; ne pas congeler ; conservation 12 mois après ouverture.</w:t>
      </w:r>
      <w:r>
        <w:t xml:space="preserve"> </w:t>
      </w:r>
      <w:r>
        <w:t xml:space="preserve">-</w:t>
      </w:r>
      <w:r>
        <w:t xml:space="preserve"> </w:t>
      </w:r>
      <w:r>
        <w:rPr>
          <w:b/>
          <w:bCs/>
        </w:rPr>
        <w:t xml:space="preserve">Piège du surdosage / Substitution :</w:t>
      </w:r>
      <w:r>
        <w:t xml:space="preserve"> </w:t>
      </w:r>
      <w:r>
        <w:t xml:space="preserve">Aucune substitution directe (monopolistique NADIXA). En cas d’indisponibilité, substituer par érythromycine topique (ERYTHROGEL) ou clindamycine topique (DALACINE TOPIQUE) — mais risque de résistance accrue. Pour l’acné modérée à sévère, envisager une association avec un rétinoïde topique (adapalène) ou un traitement systémique (doxycycline, isotrétinoïne). Surdosage local : rincer abondamment à l’eau.</w:t>
      </w:r>
    </w:p>
    <w:p>
      <w:r>
        <w:pict>
          <v:rect style="width:0;height:1.5pt" o:hralign="center" o:hrstd="t" o:hr="t"/>
        </w:pict>
      </w:r>
    </w:p>
    <w:bookmarkEnd w:id="163"/>
    <w:bookmarkStart w:id="164" w:name="dci-ofloxacine-dexaméthasone-association"/>
    <w:p>
      <w:pPr>
        <w:pStyle w:val="Heading2"/>
      </w:pPr>
      <w:r>
        <w:t xml:space="preserve">11. DCI : Ofloxacine + Dexaméthasone (Association)</w:t>
      </w:r>
    </w:p>
    <w:p>
      <w:pPr>
        <w:pStyle w:val="FirstParagraph"/>
      </w:pPr>
      <w:r>
        <w:rPr>
          <w:b/>
          <w:bCs/>
        </w:rPr>
        <w:t xml:space="preserve">Liste des Catégories :</w:t>
      </w:r>
      <w:r>
        <w:t xml:space="preserve"> </w:t>
      </w:r>
      <w:r>
        <w:t xml:space="preserve">Antibactérien + anti-inflammatoire stéroïdien à usage ophtalmologique (association FQ + corticoïde).</w:t>
      </w:r>
    </w:p>
    <w:p>
      <w:pPr>
        <w:pStyle w:val="BodyText"/>
      </w:pPr>
      <w:r>
        <w:t xml:space="preserve">L’association ofloxacine (antibiotique bactéricide couvrant les principaux pathogènes oculaires) + dexaméthasone (corticoïde anti-inflammatoire puissant) répond à la logique thérapeutique des pathologies oculaires où coexistent une infection bactérienne et une inflammation marquée (chalazions surinfectés, blépharites, conjonctivites post-chirurgicales, kératites avec composante inflammatoire). En Algérie, une seule spécialité est disponible : CORONOL PLUS (GENERIC LAB) en collyre 3 mg/1 mg/mL.</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CORONOL PLUS</w:t>
      </w:r>
      <w:r>
        <w:t xml:space="preserve"> </w:t>
      </w:r>
      <w:r>
        <w:t xml:space="preserve">(GENERIC LAB) — collyre en solution ofloxacine 3 mg/mL + dexaméthasone 1 mg/mL (3 mg/1 mg/1 mL), flacon 10 mL contenant 5 mL de solution muni d’une aéro-pompe 3K — Actif</w:t>
      </w:r>
    </w:p>
    <w:p>
      <w:pPr>
        <w:pStyle w:val="BodyText"/>
      </w:pPr>
      <w:r>
        <w:rPr>
          <w:i/>
          <w:iCs/>
        </w:rPr>
        <w:t xml:space="preserve">Aucune autre forme disponible (ni pommade, ni auriculaire).</w:t>
      </w:r>
    </w:p>
    <w:p>
      <w:pPr>
        <w:pStyle w:val="BodyText"/>
      </w:pPr>
      <w:r>
        <w:rPr>
          <w:b/>
          <w:bCs/>
        </w:rPr>
        <w:t xml:space="preserve">Sous-classe et Mécanisme d’action :</w:t>
      </w:r>
      <w:r>
        <w:t xml:space="preserve"> </w:t>
      </w:r>
      <w:r>
        <w:t xml:space="preserve">-</w:t>
      </w:r>
      <w:r>
        <w:t xml:space="preserve"> </w:t>
      </w:r>
      <w:r>
        <w:rPr>
          <w:b/>
          <w:bCs/>
        </w:rPr>
        <w:t xml:space="preserve">Sous-classe :</w:t>
      </w:r>
      <w:r>
        <w:t xml:space="preserve"> </w:t>
      </w:r>
      <w:r>
        <w:t xml:space="preserve">Association ophtalmologique d’une fluoroquinolone de 2e génération (ofloxacine, bactéricide) et d’un glucocorticoïde puissant (dexaméthasone, anti-inflammatoire).</w:t>
      </w:r>
      <w:r>
        <w:t xml:space="preserve"> </w:t>
      </w:r>
      <w:r>
        <w:t xml:space="preserve">-</w:t>
      </w:r>
      <w:r>
        <w:t xml:space="preserve"> </w:t>
      </w:r>
      <w:r>
        <w:rPr>
          <w:b/>
          <w:bCs/>
        </w:rPr>
        <w:t xml:space="preserve">Mécanisme d’action :</w:t>
      </w:r>
      <w:r>
        <w:t xml:space="preserve"> </w:t>
      </w:r>
      <w:r>
        <w:t xml:space="preserve">-</w:t>
      </w:r>
      <w:r>
        <w:t xml:space="preserve"> </w:t>
      </w:r>
      <w:r>
        <w:rPr>
          <w:b/>
          <w:bCs/>
        </w:rPr>
        <w:t xml:space="preserve">Ofloxacine</w:t>
      </w:r>
      <w:r>
        <w:t xml:space="preserve"> </w:t>
      </w:r>
      <w:r>
        <w:t xml:space="preserve">: inhibition ADN gyrase + topoisomérase IV, formation du complexe clivable, cassures double-brin, bactéricide concentration-dépendant. Spectre couvre</w:t>
      </w:r>
      <w:r>
        <w:t xml:space="preserve"> </w:t>
      </w:r>
      <w:r>
        <w:rPr>
          <w:i/>
          <w:iCs/>
        </w:rPr>
        <w:t xml:space="preserve">S. aureus</w:t>
      </w:r>
      <w:r>
        <w:t xml:space="preserve">,</w:t>
      </w:r>
      <w:r>
        <w:t xml:space="preserve"> </w:t>
      </w:r>
      <w:r>
        <w:rPr>
          <w:i/>
          <w:iCs/>
        </w:rPr>
        <w:t xml:space="preserve">S. pneumoniae</w:t>
      </w:r>
      <w:r>
        <w:t xml:space="preserve">,</w:t>
      </w:r>
      <w:r>
        <w:t xml:space="preserve"> </w:t>
      </w:r>
      <w:r>
        <w:rPr>
          <w:i/>
          <w:iCs/>
        </w:rPr>
        <w:t xml:space="preserve">S. epidermidis</w:t>
      </w:r>
      <w:r>
        <w:t xml:space="preserve">,</w:t>
      </w:r>
      <w:r>
        <w:t xml:space="preserve"> </w:t>
      </w:r>
      <w:r>
        <w:rPr>
          <w:i/>
          <w:iCs/>
        </w:rPr>
        <w:t xml:space="preserve">H. influenzae</w:t>
      </w:r>
      <w:r>
        <w:t xml:space="preserve">,</w:t>
      </w:r>
      <w:r>
        <w:t xml:space="preserve"> </w:t>
      </w:r>
      <w:r>
        <w:rPr>
          <w:i/>
          <w:iCs/>
        </w:rPr>
        <w:t xml:space="preserve">P. aeruginosa</w:t>
      </w:r>
      <w:r>
        <w:t xml:space="preserve">,</w:t>
      </w:r>
      <w:r>
        <w:t xml:space="preserve"> </w:t>
      </w:r>
      <w:r>
        <w:rPr>
          <w:i/>
          <w:iCs/>
        </w:rPr>
        <w:t xml:space="preserve">S. marcescens</w:t>
      </w:r>
      <w:r>
        <w:t xml:space="preserve">,</w:t>
      </w:r>
      <w:r>
        <w:t xml:space="preserve"> </w:t>
      </w:r>
      <w:r>
        <w:rPr>
          <w:i/>
          <w:iCs/>
        </w:rPr>
        <w:t xml:space="preserve">C. trachomatis</w:t>
      </w:r>
      <w:r>
        <w:t xml:space="preserve">.</w:t>
      </w:r>
      <w:r>
        <w:t xml:space="preserve"> </w:t>
      </w:r>
      <w:r>
        <w:t xml:space="preserve">-</w:t>
      </w:r>
      <w:r>
        <w:t xml:space="preserve"> </w:t>
      </w:r>
      <w:r>
        <w:rPr>
          <w:b/>
          <w:bCs/>
        </w:rPr>
        <w:t xml:space="preserve">Dexaméthasone</w:t>
      </w:r>
      <w:r>
        <w:t xml:space="preserve"> </w:t>
      </w:r>
      <w:r>
        <w:t xml:space="preserve">: agoniste des récepteurs glucocorticoïdes cytoplasmiques → translocation nucléaire → modulation transcriptionnelle (activation des lipocortines, inhibition de la PLA2, diminution des prostaglandines et leucotriènes, inhibition cytokines pro-inflammatoires IL-1, IL-6, TNF-α) → puissant effet anti-inflammatoire, antioedémateux, antiallergique.</w:t>
      </w:r>
    </w:p>
    <w:p>
      <w:pPr>
        <w:pStyle w:val="BodyText"/>
      </w:pPr>
      <w:r>
        <w:rPr>
          <w:b/>
          <w:bCs/>
        </w:rPr>
        <w:t xml:space="preserve">Profil Pharmacologique :</w:t>
      </w:r>
      <w:r>
        <w:t xml:space="preserve"> </w:t>
      </w:r>
      <w:r>
        <w:t xml:space="preserve">-</w:t>
      </w:r>
      <w:r>
        <w:t xml:space="preserve"> </w:t>
      </w:r>
      <w:r>
        <w:rPr>
          <w:b/>
          <w:bCs/>
        </w:rPr>
        <w:t xml:space="preserve">Indications :</w:t>
      </w:r>
      <w:r>
        <w:t xml:space="preserve"> </w:t>
      </w:r>
      <w:r>
        <w:t xml:space="preserve">Conjonctivites bactériennes avec composante inflammatoire marquée ; blépharites aiguës ; chalazions surinfectés ; inflammations post-opératoires en chirurgie oculaire (cataracte, vitrectomie) avec prophylaxie antibiotique ; kératites avec réaction inflammatoire ; prévention de l’œdème maculaire cystoïde post-opératoire.</w:t>
      </w:r>
      <w:r>
        <w:t xml:space="preserve"> </w:t>
      </w:r>
      <w:r>
        <w:t xml:space="preserve">-</w:t>
      </w:r>
      <w:r>
        <w:t xml:space="preserve"> </w:t>
      </w:r>
      <w:r>
        <w:rPr>
          <w:b/>
          <w:bCs/>
        </w:rPr>
        <w:t xml:space="preserve">Contre-indications :</w:t>
      </w:r>
      <w:r>
        <w:t xml:space="preserve"> </w:t>
      </w:r>
      <w:r>
        <w:t xml:space="preserve">Infections virales de l’œil (herpès, varicelle, adénovirus) — risque d’aggravation majeure par le corticoïde ; infections fongiques de l’œil ; tuberculose oculaire ; glaucome connu (le corticoïde augmente la PIO) ; hypersensibilité FQ ou corticoïde ; enfant &lt; 2 ans ; port de lentilles de contact pendant le traitement.</w:t>
      </w:r>
      <w:r>
        <w:t xml:space="preserve"> </w:t>
      </w:r>
      <w:r>
        <w:t xml:space="preserve">-</w:t>
      </w:r>
      <w:r>
        <w:t xml:space="preserve"> </w:t>
      </w:r>
      <w:r>
        <w:rPr>
          <w:b/>
          <w:bCs/>
        </w:rPr>
        <w:t xml:space="preserve">Effets Indésirables :</w:t>
      </w:r>
      <w:r>
        <w:t xml:space="preserve"> </w:t>
      </w:r>
      <w:r>
        <w:t xml:space="preserve">Locaux : picotements transitoires, rougeur, prurit, vision floue transitoire.</w:t>
      </w:r>
      <w:r>
        <w:t xml:space="preserve"> </w:t>
      </w:r>
      <w:r>
        <w:rPr>
          <w:b/>
          <w:bCs/>
        </w:rPr>
        <w:t xml:space="preserve">Risques liés au corticoïde</w:t>
      </w:r>
      <w:r>
        <w:t xml:space="preserve"> </w:t>
      </w:r>
      <w:r>
        <w:t xml:space="preserve">(en cas d’usage prolongé &gt; 7–10 j) :</w:t>
      </w:r>
      <w:r>
        <w:t xml:space="preserve"> </w:t>
      </w:r>
      <w:r>
        <w:rPr>
          <w:b/>
          <w:bCs/>
        </w:rPr>
        <w:t xml:space="preserve">hypertonie oculaire / glaucome cortico-induit</w:t>
      </w:r>
      <w:r>
        <w:t xml:space="preserve"> </w:t>
      </w:r>
      <w:r>
        <w:t xml:space="preserve">(surveillance PIO),</w:t>
      </w:r>
      <w:r>
        <w:t xml:space="preserve"> </w:t>
      </w:r>
      <w:r>
        <w:rPr>
          <w:b/>
          <w:bCs/>
        </w:rPr>
        <w:t xml:space="preserve">cataracte sous-capsulaire postérieure</w:t>
      </w:r>
      <w:r>
        <w:t xml:space="preserve">, retard de cicatrisation cornéenne, risque de perforation cornéenne si kératite herpétique méconnue. Pour l’ofloxacine : allergie de contact, kératopathie. Passage systémique minime mais non négligeable en cas d’usage prolongé.</w:t>
      </w:r>
    </w:p>
    <w:p>
      <w:pPr>
        <w:pStyle w:val="BodyText"/>
      </w:pPr>
      <w:r>
        <w:rPr>
          <w:b/>
          <w:bCs/>
        </w:rPr>
        <w:t xml:space="preserve">Prévention et Gestion des Effets Indésirables :</w:t>
      </w:r>
      <w:r>
        <w:t xml:space="preserve"> </w:t>
      </w:r>
      <w:r>
        <w:t xml:space="preserve">-</w:t>
      </w:r>
      <w:r>
        <w:t xml:space="preserve"> </w:t>
      </w:r>
      <w:r>
        <w:rPr>
          <w:b/>
          <w:bCs/>
        </w:rPr>
        <w:t xml:space="preserve">Mesures Préventives :</w:t>
      </w:r>
      <w:r>
        <w:t xml:space="preserve"> </w:t>
      </w:r>
      <w:r>
        <w:t xml:space="preserve">Vérifier l’absence d’infection virale herpétique avant prescription (examen à la lampe à fente) ; mesurer la PIO à l’initiation et à 1 semaine en cas d’usage prolongé ; limiter la durée à 7–10 j sauf avis ophtalmo ; éviter chez le glaucomateux ; retirer les lentilles ; ne pas toucher l’embout.</w:t>
      </w:r>
      <w:r>
        <w:t xml:space="preserve"> </w:t>
      </w:r>
      <w:r>
        <w:t xml:space="preserve">-</w:t>
      </w:r>
      <w:r>
        <w:t xml:space="preserve"> </w:t>
      </w:r>
      <w:r>
        <w:rPr>
          <w:b/>
          <w:bCs/>
        </w:rPr>
        <w:t xml:space="preserve">Conduite à Tenir :</w:t>
      </w:r>
      <w:r>
        <w:t xml:space="preserve"> </w:t>
      </w:r>
      <w:r>
        <w:t xml:space="preserve">Arrêt en cas d’élévation de la PIO &gt; 5 mmHg (substitution par antibiotique seul) ; arrêt immédiat et avis ophtalmo si douleur oculaire, baisse d’acuité visuelle, photophobie (suspicion herpès masqué) ; arrêt en cas d’œdème palpébral (allergie).</w:t>
      </w:r>
    </w:p>
    <w:p>
      <w:pPr>
        <w:pStyle w:val="BodyText"/>
      </w:pPr>
      <w:r>
        <w:rPr>
          <w:b/>
          <w:bCs/>
        </w:rPr>
        <w:t xml:space="preserve">Interactions Importantes :</w:t>
      </w:r>
      <w:r>
        <w:t xml:space="preserve"> </w:t>
      </w:r>
      <w:r>
        <w:t xml:space="preserve">-</w:t>
      </w:r>
      <w:r>
        <w:t xml:space="preserve"> </w:t>
      </w:r>
      <w:r>
        <w:rPr>
          <w:b/>
          <w:bCs/>
        </w:rPr>
        <w:t xml:space="preserve">Localement</w:t>
      </w:r>
      <w:r>
        <w:t xml:space="preserve"> </w:t>
      </w:r>
      <w:r>
        <w:t xml:space="preserve">: pas d’interaction systémique notable en usage court.</w:t>
      </w:r>
      <w:r>
        <w:t xml:space="preserve"> </w:t>
      </w:r>
      <w:r>
        <w:t xml:space="preserve">- Si autre collyre concomitant : espacer de 5 min entre instillations ; appliquer CORONOL PLUS avant les pommades.</w:t>
      </w:r>
      <w:r>
        <w:t xml:space="preserve"> </w:t>
      </w:r>
      <w:r>
        <w:t xml:space="preserve">-</w:t>
      </w:r>
      <w:r>
        <w:t xml:space="preserve"> </w:t>
      </w:r>
      <w:r>
        <w:rPr>
          <w:b/>
          <w:bCs/>
        </w:rPr>
        <w:t xml:space="preserve">IES systémiques</w:t>
      </w:r>
      <w:r>
        <w:t xml:space="preserve"> </w:t>
      </w:r>
      <w:r>
        <w:t xml:space="preserve">: en cas d’usage prolongé &gt; 10 j, passage systémique de la dexaméthasone peut interagir avec les traitements systémiques (diminution effet des antidiabétiques, potentialisation des diurétiques hypokaliémiants).</w:t>
      </w:r>
    </w:p>
    <w:p>
      <w:pPr>
        <w:pStyle w:val="BodyText"/>
      </w:pPr>
      <w:r>
        <w:rPr>
          <w:b/>
          <w:bCs/>
        </w:rPr>
        <w:t xml:space="preserve">Grossesse et Allaitement :</w:t>
      </w:r>
      <w:r>
        <w:t xml:space="preserve"> </w:t>
      </w:r>
      <w:r>
        <w:t xml:space="preserve">-</w:t>
      </w:r>
      <w:r>
        <w:t xml:space="preserve"> </w:t>
      </w:r>
      <w:r>
        <w:rPr>
          <w:b/>
          <w:bCs/>
        </w:rPr>
        <w:t xml:space="preserve">Grossesse :</w:t>
      </w:r>
      <w:r>
        <w:t xml:space="preserve"> </w:t>
      </w:r>
      <w:r>
        <w:t xml:space="preserve">Collyre compatible en cure courte (≤ 7 j) selon CRAT — la dexaméthasone en collyre a un passage systémique minime. À éviter au 1er trimestre par principe. En cure prolongée, évaluer le rapport bénéfice/risque.</w:t>
      </w:r>
      <w:r>
        <w:t xml:space="preserve"> </w:t>
      </w:r>
      <w:r>
        <w:t xml:space="preserve">-</w:t>
      </w:r>
      <w:r>
        <w:t xml:space="preserve"> </w:t>
      </w:r>
      <w:r>
        <w:rPr>
          <w:b/>
          <w:bCs/>
        </w:rPr>
        <w:t xml:space="preserve">Allaitement :</w:t>
      </w:r>
      <w:r>
        <w:t xml:space="preserve"> </w:t>
      </w:r>
      <w:r>
        <w:t xml:space="preserve">Compatible en cure courte.</w:t>
      </w:r>
      <w:r>
        <w:t xml:space="preserve"> </w:t>
      </w:r>
      <w:r>
        <w:t xml:space="preserve">-</w:t>
      </w:r>
      <w:r>
        <w:t xml:space="preserve"> </w:t>
      </w:r>
      <w:r>
        <w:rPr>
          <w:b/>
          <w:bCs/>
        </w:rPr>
        <w:t xml:space="preserve">Précisions :</w:t>
      </w:r>
      <w:r>
        <w:t xml:space="preserve"> </w:t>
      </w:r>
      <w:r>
        <w:t xml:space="preserve">L’ofloxacine en collyre est compatible ; la dexaméthasone en collyre est compatible en cure courte.</w:t>
      </w:r>
    </w:p>
    <w:p>
      <w:pPr>
        <w:pStyle w:val="BodyText"/>
      </w:pPr>
      <w:r>
        <w:rPr>
          <w:b/>
          <w:bCs/>
        </w:rPr>
        <w:t xml:space="preserve">Posologie et Mode d’administration (Standard) :</w:t>
      </w:r>
      <w:r>
        <w:t xml:space="preserve"> </w:t>
      </w:r>
      <w:r>
        <w:t xml:space="preserve">-</w:t>
      </w:r>
      <w:r>
        <w:t xml:space="preserve"> </w:t>
      </w:r>
      <w:r>
        <w:rPr>
          <w:b/>
          <w:bCs/>
        </w:rPr>
        <w:t xml:space="preserve">Adulte :</w:t>
      </w:r>
      <w:r>
        <w:t xml:space="preserve"> </w:t>
      </w:r>
      <w:r>
        <w:t xml:space="preserve">1 goutte × 4–6/j dans l’œil atteint pendant 7 j (pathologies inflammatoires surinfectées) ; prophylaxie post-opératoire : 1 goutte × 4/j pendant 7 j, parfois dégressive (3/j J4–J7, 2/j J8–J10, 1/j J11–J14) selon protocole ophtalmo.</w:t>
      </w:r>
      <w:r>
        <w:t xml:space="preserve"> </w:t>
      </w:r>
      <w:r>
        <w:t xml:space="preserve">-</w:t>
      </w:r>
      <w:r>
        <w:t xml:space="preserve"> </w:t>
      </w:r>
      <w:r>
        <w:rPr>
          <w:b/>
          <w:bCs/>
        </w:rPr>
        <w:t xml:space="preserve">Enfant &gt; 2 ans :</w:t>
      </w:r>
      <w:r>
        <w:t xml:space="preserve"> </w:t>
      </w:r>
      <w:r>
        <w:t xml:space="preserve">Selon avis ophtalmo, 1 goutte × 3–4/j.</w:t>
      </w:r>
      <w:r>
        <w:t xml:space="preserve"> </w:t>
      </w:r>
      <w:r>
        <w:t xml:space="preserve">-</w:t>
      </w:r>
      <w:r>
        <w:t xml:space="preserve"> </w:t>
      </w:r>
      <w:r>
        <w:rPr>
          <w:b/>
          <w:bCs/>
        </w:rPr>
        <w:t xml:space="preserve">Durée :</w:t>
      </w:r>
      <w:r>
        <w:t xml:space="preserve"> </w:t>
      </w:r>
      <w:r>
        <w:t xml:space="preserve">7 j maximum en pratique courante ; jusqu’à 14 j sous surveillance de la PIO en post-opératoire.</w:t>
      </w:r>
      <w:r>
        <w:t xml:space="preserve"> </w:t>
      </w:r>
      <w:r>
        <w:t xml:space="preserve">-</w:t>
      </w:r>
      <w:r>
        <w:t xml:space="preserve"> </w:t>
      </w:r>
      <w:r>
        <w:rPr>
          <w:b/>
          <w:bCs/>
        </w:rPr>
        <w:t xml:space="preserve">Moment de prise :</w:t>
      </w:r>
      <w:r>
        <w:t xml:space="preserve"> </w:t>
      </w:r>
      <w:r>
        <w:t xml:space="preserve">Hygiène des mains ; ne pas toucher l’embout ; fermer l’œil 1 min et comprimer le canal lacrymal (réduit passage nasolacrymal et effets systémiques de la dexaméthasone) ; retirer les lentilles.</w:t>
      </w:r>
    </w:p>
    <w:p>
      <w:pPr>
        <w:pStyle w:val="BodyText"/>
      </w:pPr>
      <w:r>
        <w:rPr>
          <w:b/>
          <w:bCs/>
        </w:rPr>
        <w:t xml:space="preserve">Arbitrage et Bénéfices des Formes Galéniques :</w:t>
      </w:r>
      <w:r>
        <w:t xml:space="preserve"> </w:t>
      </w:r>
      <w:r>
        <w:t xml:space="preserve">L’association ofloxacine + dexaméthasone dans un seul flacon simplifie l’observance par rapport à la prescription séparée d’un collyre antibiotique et d’un collyre corticoïde. La concentration d’ofloxacine (3 mg/mL) est identique à celle des collyres d’ofloxacine seule (CORONOL, OFLOTEK, OFLOXINE), garantissant une efficacité antibactérienne optimale. La concentration de dexaméthasone (1 mg/mL) est standard pour les collyres corticoïdes. L’aéro-pompe 3K délivre une dose précise et réduit le risque de contamination.</w:t>
      </w:r>
      <w:r>
        <w:t xml:space="preserve"> </w:t>
      </w:r>
      <w:r>
        <w:rPr>
          <w:b/>
          <w:bCs/>
        </w:rPr>
        <w:t xml:space="preserve">Règle d’or</w:t>
      </w:r>
      <w:r>
        <w:t xml:space="preserve"> </w:t>
      </w:r>
      <w:r>
        <w:t xml:space="preserve">: en cas d’infection pure sans inflammation marquée, préférer un collyre antibiotique seul ; en cas d’inflammation pure sans composante bactérienne évidente, préférer un collyre corticoïde seul ou associé à un antiseptique ; l’association est réservée aux tableaux mixtes.</w:t>
      </w:r>
    </w:p>
    <w:p>
      <w:pPr>
        <w:pStyle w:val="BodyText"/>
      </w:pPr>
      <w:r>
        <w:rPr>
          <w:b/>
          <w:bCs/>
        </w:rPr>
        <w:t xml:space="preserve">Instructions et Conseils au Patient :</w:t>
      </w:r>
      <w:r>
        <w:t xml:space="preserve"> </w:t>
      </w:r>
      <w:r>
        <w:t xml:space="preserve">-</w:t>
      </w:r>
      <w:r>
        <w:t xml:space="preserve"> </w:t>
      </w:r>
      <w:r>
        <w:rPr>
          <w:b/>
          <w:bCs/>
        </w:rPr>
        <w:t xml:space="preserve">Communication au comptoir :</w:t>
      </w:r>
      <w:r>
        <w:t xml:space="preserve"> </w:t>
      </w:r>
      <w:r>
        <w:t xml:space="preserve">« Collyre associant un antibiotique et un anti-inflammatoire.</w:t>
      </w:r>
      <w:r>
        <w:t xml:space="preserve"> </w:t>
      </w:r>
      <w:r>
        <w:rPr>
          <w:b/>
          <w:bCs/>
        </w:rPr>
        <w:t xml:space="preserve">1 goutte 4 à 6 fois par jour pendant 7 jours maximum</w:t>
      </w:r>
      <w:r>
        <w:t xml:space="preserve"> </w:t>
      </w:r>
      <w:r>
        <w:t xml:space="preserve">dans l’œil atteint. Lavez-vous les mains, ne touchez pas l’embout. Retirez vos lentilles (à éviter pendant tout le traitement). Fermez l’œil 1 minute et appuyez sur le coin interne (près du nez).</w:t>
      </w:r>
      <w:r>
        <w:t xml:space="preserve"> </w:t>
      </w:r>
      <w:r>
        <w:rPr>
          <w:b/>
          <w:bCs/>
        </w:rPr>
        <w:t xml:space="preserve">Ne prolongez pas le traitement au-delà de 7 jours sans avis médical</w:t>
      </w:r>
      <w:r>
        <w:t xml:space="preserve"> </w:t>
      </w:r>
      <w:r>
        <w:t xml:space="preserve">(risque de glaucome et de cataracte). Consultez en urgence si vous avez une douleur oculaire, une baisse de vision, une photophobie (risque d’infection herpétique masquée). Jetez le flacon 15 jours après ouverture. »</w:t>
      </w:r>
      <w:r>
        <w:t xml:space="preserve"> </w:t>
      </w:r>
      <w:r>
        <w:t xml:space="preserve">-</w:t>
      </w:r>
      <w:r>
        <w:t xml:space="preserve"> </w:t>
      </w:r>
      <w:r>
        <w:rPr>
          <w:b/>
          <w:bCs/>
        </w:rPr>
        <w:t xml:space="preserve">Mode d’utilisation pratique :</w:t>
      </w:r>
      <w:r>
        <w:t xml:space="preserve"> </w:t>
      </w:r>
      <w:r>
        <w:t xml:space="preserve">Hygiène → incliner tête → tirer paupière → 1 goutte → fermer 1 min → comprimer canal lacrymal. Oubli : prendre dès que possible, ne pas doubler.</w:t>
      </w:r>
    </w:p>
    <w:p>
      <w:pPr>
        <w:pStyle w:val="BodyText"/>
      </w:pPr>
      <w:r>
        <w:rPr>
          <w:b/>
          <w:bCs/>
        </w:rPr>
        <w:t xml:space="preserve">Notes, Règles d’Or &amp; Pièges au Comptoir :</w:t>
      </w:r>
      <w:r>
        <w:t xml:space="preserve"> </w:t>
      </w:r>
      <w:r>
        <w:t xml:space="preserve">-</w:t>
      </w:r>
      <w:r>
        <w:t xml:space="preserve"> </w:t>
      </w:r>
      <w:r>
        <w:rPr>
          <w:b/>
          <w:bCs/>
        </w:rPr>
        <w:t xml:space="preserve">Piège classique n°1 :</w:t>
      </w:r>
      <w:r>
        <w:t xml:space="preserve"> </w:t>
      </w:r>
      <w:r>
        <w:t xml:space="preserve">Prescription de CORONOL PLUS sur une conjonctivite virale (herpès suspecté) → aggravation majeure (kératite herpétique, ulcère, perforation).</w:t>
      </w:r>
      <w:r>
        <w:t xml:space="preserve"> </w:t>
      </w:r>
      <w:r>
        <w:rPr>
          <w:b/>
          <w:bCs/>
        </w:rPr>
        <w:t xml:space="preserve">Toujours éliminer un herpès avant prescription de corticoïde local</w:t>
      </w:r>
      <w:r>
        <w:t xml:space="preserve">.</w:t>
      </w:r>
      <w:r>
        <w:t xml:space="preserve"> </w:t>
      </w:r>
      <w:r>
        <w:t xml:space="preserve">-</w:t>
      </w:r>
      <w:r>
        <w:t xml:space="preserve"> </w:t>
      </w:r>
      <w:r>
        <w:rPr>
          <w:b/>
          <w:bCs/>
        </w:rPr>
        <w:t xml:space="preserve">Piège classique n°2 :</w:t>
      </w:r>
      <w:r>
        <w:t xml:space="preserve"> </w:t>
      </w:r>
      <w:r>
        <w:t xml:space="preserve">Poursuite du traitement &gt; 7–10 j sans surveillance PIO → glaucome cortico-induit et cataracte.</w:t>
      </w:r>
      <w:r>
        <w:t xml:space="preserve"> </w:t>
      </w:r>
      <w:r>
        <w:t xml:space="preserve">-</w:t>
      </w:r>
      <w:r>
        <w:t xml:space="preserve"> </w:t>
      </w:r>
      <w:r>
        <w:rPr>
          <w:b/>
          <w:bCs/>
        </w:rPr>
        <w:t xml:space="preserve">Piège classique n°3 :</w:t>
      </w:r>
      <w:r>
        <w:t xml:space="preserve"> </w:t>
      </w:r>
      <w:r>
        <w:t xml:space="preserve">Patient porteur de lentilles qui ne les retire pas → kératopathie, infection sous-jacente masquée.</w:t>
      </w:r>
      <w:r>
        <w:t xml:space="preserve"> </w:t>
      </w:r>
      <w:r>
        <w:t xml:space="preserve">-</w:t>
      </w:r>
      <w:r>
        <w:t xml:space="preserve"> </w:t>
      </w:r>
      <w:r>
        <w:rPr>
          <w:b/>
          <w:bCs/>
        </w:rPr>
        <w:t xml:space="preserve">Piège classique n°4 :</w:t>
      </w:r>
      <w:r>
        <w:t xml:space="preserve"> </w:t>
      </w:r>
      <w:r>
        <w:t xml:space="preserve">Conservation ouverte prolongée &gt; 15 j → contamination microbienne (le corticoïde peut masquer une surinfection fongique).</w:t>
      </w:r>
      <w:r>
        <w:t xml:space="preserve"> </w:t>
      </w:r>
      <w:r>
        <w:t xml:space="preserve">-</w:t>
      </w:r>
      <w:r>
        <w:t xml:space="preserve"> </w:t>
      </w:r>
      <w:r>
        <w:rPr>
          <w:b/>
          <w:bCs/>
        </w:rPr>
        <w:t xml:space="preserve">Piège classique n°5 :</w:t>
      </w:r>
      <w:r>
        <w:t xml:space="preserve"> </w:t>
      </w:r>
      <w:r>
        <w:t xml:space="preserve">Substitution par collyre antibiotique seul en cas d’indisponibilité → perte de l’effet anti-inflammatoire (et inversement, par collyre corticoïde seul → perte de l’effet antibactérien).</w:t>
      </w:r>
      <w:r>
        <w:t xml:space="preserve"> </w:t>
      </w:r>
      <w:r>
        <w:t xml:space="preserve">-</w:t>
      </w:r>
      <w:r>
        <w:t xml:space="preserve"> </w:t>
      </w:r>
      <w:r>
        <w:rPr>
          <w:b/>
          <w:bCs/>
        </w:rPr>
        <w:t xml:space="preserve">Règle de prise :</w:t>
      </w:r>
      <w:r>
        <w:t xml:space="preserve"> </w:t>
      </w:r>
      <w:r>
        <w:t xml:space="preserve">1 goutte × 4–6/j ; 7 j max ; retrait des lentilles ; surveillance PIO si prolongation.</w:t>
      </w:r>
      <w:r>
        <w:t xml:space="preserve"> </w:t>
      </w:r>
      <w:r>
        <w:t xml:space="preserve">-</w:t>
      </w:r>
      <w:r>
        <w:t xml:space="preserve"> </w:t>
      </w:r>
      <w:r>
        <w:rPr>
          <w:b/>
          <w:bCs/>
        </w:rPr>
        <w:t xml:space="preserve">Préparation et Conservation :</w:t>
      </w:r>
      <w:r>
        <w:t xml:space="preserve"> </w:t>
      </w:r>
      <w:r>
        <w:t xml:space="preserve">Flacon fermé à température ambiante &lt; 25 °C ; ne pas congeler ; jeter 15 j après ouverture.</w:t>
      </w:r>
      <w:r>
        <w:t xml:space="preserve"> </w:t>
      </w:r>
      <w:r>
        <w:t xml:space="preserve">-</w:t>
      </w:r>
      <w:r>
        <w:t xml:space="preserve"> </w:t>
      </w:r>
      <w:r>
        <w:rPr>
          <w:b/>
          <w:bCs/>
        </w:rPr>
        <w:t xml:space="preserve">Piège du surdosage / Substitution :</w:t>
      </w:r>
      <w:r>
        <w:t xml:space="preserve"> </w:t>
      </w:r>
      <w:r>
        <w:t xml:space="preserve">Aucune substitution directe (monopolistique CORONOL PLUS). En cas d’indisponibilité, prescrire ofloxacine collyre (CORONOL, OFLOTEK) + dexaméthasone collyre séparés, en instillations espacées de 5 min. En cas d’effet indésirable lié au corticoïde (hypertonie), basculer vers ofloxacine collyre seule. Surdosage local : rincer abondamment à l’eau physiologique.</w:t>
      </w:r>
    </w:p>
    <w:p>
      <w:r>
        <w:pict>
          <v:rect style="width:0;height:1.5pt" o:hralign="center" o:hrstd="t" o:hr="t"/>
        </w:pict>
      </w:r>
    </w:p>
    <w:bookmarkEnd w:id="164"/>
    <w:bookmarkStart w:id="165" w:name="Xdccb4b2df3f6487f210d56cac52b474afbe6807"/>
    <w:p>
      <w:pPr>
        <w:pStyle w:val="Heading2"/>
      </w:pPr>
      <w:r>
        <w:t xml:space="preserve">Tableau Comparatif Synthétique des Fluoroquinolones Disponibles en Algérie</w:t>
      </w:r>
    </w:p>
    <w:tbl>
      <w:tblPr>
        <w:tblStyle w:val="Table"/>
        <w:tblW w:type="pct" w:w="5000"/>
        <w:jc w:val="left"/>
        <w:tblLayout w:type="fixed"/>
        <w:tblLook w:firstRow="1" w:lastRow="0" w:firstColumn="0" w:lastColumn="0" w:noHBand="0" w:noVBand="0" w:val="0020"/>
      </w:tblPr>
      <w:tblGrid>
        <w:gridCol w:w="321"/>
        <w:gridCol w:w="772"/>
        <w:gridCol w:w="1159"/>
        <w:gridCol w:w="901"/>
        <w:gridCol w:w="837"/>
        <w:gridCol w:w="1159"/>
        <w:gridCol w:w="837"/>
        <w:gridCol w:w="708"/>
        <w:gridCol w:w="1223"/>
      </w:tblGrid>
      <w:tr>
        <w:trPr>
          <w:tblHeader w:val="on"/>
        </w:trPr>
        <w:tc>
          <w:tcPr/>
          <w:p>
            <w:pPr>
              <w:pStyle w:val="Compact"/>
              <w:jc w:val="left"/>
            </w:pPr>
            <w:r>
              <w:t xml:space="preserve">DCI</w:t>
            </w:r>
          </w:p>
        </w:tc>
        <w:tc>
          <w:tcPr/>
          <w:p>
            <w:pPr>
              <w:pStyle w:val="Compact"/>
              <w:jc w:val="left"/>
            </w:pPr>
            <w:r>
              <w:t xml:space="preserve">Génération</w:t>
            </w:r>
          </w:p>
        </w:tc>
        <w:tc>
          <w:tcPr/>
          <w:p>
            <w:pPr>
              <w:pStyle w:val="Compact"/>
              <w:jc w:val="left"/>
            </w:pPr>
            <w:r>
              <w:t xml:space="preserve">Spectre dominant</w:t>
            </w:r>
          </w:p>
        </w:tc>
        <w:tc>
          <w:tcPr/>
          <w:p>
            <w:pPr>
              <w:pStyle w:val="Compact"/>
              <w:jc w:val="left"/>
            </w:pPr>
            <w:r>
              <w:t xml:space="preserve">Demi-vie (h)</w:t>
            </w:r>
          </w:p>
        </w:tc>
        <w:tc>
          <w:tcPr/>
          <w:p>
            <w:pPr>
              <w:pStyle w:val="Compact"/>
              <w:jc w:val="left"/>
            </w:pPr>
            <w:r>
              <w:t xml:space="preserve">Élimination</w:t>
            </w:r>
          </w:p>
        </w:tc>
        <w:tc>
          <w:tcPr/>
          <w:p>
            <w:pPr>
              <w:pStyle w:val="Compact"/>
              <w:jc w:val="left"/>
            </w:pPr>
            <w:r>
              <w:t xml:space="preserve">Posologie adulte</w:t>
            </w:r>
          </w:p>
        </w:tc>
        <w:tc>
          <w:tcPr/>
          <w:p>
            <w:pPr>
              <w:pStyle w:val="Compact"/>
              <w:jc w:val="left"/>
            </w:pPr>
            <w:r>
              <w:t xml:space="preserve">CI majeures</w:t>
            </w:r>
          </w:p>
        </w:tc>
        <w:tc>
          <w:tcPr/>
          <w:p>
            <w:pPr>
              <w:pStyle w:val="Compact"/>
              <w:jc w:val="left"/>
            </w:pPr>
            <w:r>
              <w:t xml:space="preserve">Grossesse</w:t>
            </w:r>
          </w:p>
        </w:tc>
        <w:tc>
          <w:tcPr/>
          <w:p>
            <w:pPr>
              <w:pStyle w:val="Compact"/>
              <w:jc w:val="left"/>
            </w:pPr>
            <w:r>
              <w:t xml:space="preserve">Interactions clés</w:t>
            </w:r>
          </w:p>
        </w:tc>
      </w:tr>
      <w:tr>
        <w:tc>
          <w:tcPr/>
          <w:p>
            <w:pPr>
              <w:pStyle w:val="Compact"/>
              <w:jc w:val="left"/>
            </w:pPr>
            <w:r>
              <w:rPr>
                <w:b/>
                <w:bCs/>
              </w:rPr>
              <w:t xml:space="preserve">Ciprofloxacine</w:t>
            </w:r>
          </w:p>
        </w:tc>
        <w:tc>
          <w:tcPr/>
          <w:p>
            <w:pPr>
              <w:pStyle w:val="Compact"/>
              <w:jc w:val="left"/>
            </w:pPr>
            <w:r>
              <w:t xml:space="preserve">2e</w:t>
            </w:r>
          </w:p>
        </w:tc>
        <w:tc>
          <w:tcPr/>
          <w:p>
            <w:pPr>
              <w:pStyle w:val="Compact"/>
              <w:jc w:val="left"/>
            </w:pPr>
            <w:r>
              <w:t xml:space="preserve">GN,</w:t>
            </w:r>
            <w:r>
              <w:t xml:space="preserve"> </w:t>
            </w:r>
            <w:r>
              <w:rPr>
                <w:i/>
                <w:iCs/>
              </w:rPr>
              <w:t xml:space="preserve">Pseudomonas</w:t>
            </w:r>
            <w:r>
              <w:t xml:space="preserve">, urinaire, digestif</w:t>
            </w:r>
          </w:p>
        </w:tc>
        <w:tc>
          <w:tcPr/>
          <w:p>
            <w:pPr>
              <w:pStyle w:val="Compact"/>
              <w:jc w:val="left"/>
            </w:pPr>
            <w:r>
              <w:t xml:space="preserve">4</w:t>
            </w:r>
          </w:p>
        </w:tc>
        <w:tc>
          <w:tcPr/>
          <w:p>
            <w:pPr>
              <w:pStyle w:val="Compact"/>
              <w:jc w:val="left"/>
            </w:pPr>
            <w:r>
              <w:t xml:space="preserve">Rénale 60–70 %</w:t>
            </w:r>
          </w:p>
        </w:tc>
        <w:tc>
          <w:tcPr/>
          <w:p>
            <w:pPr>
              <w:pStyle w:val="Compact"/>
              <w:jc w:val="left"/>
            </w:pPr>
            <w:r>
              <w:t xml:space="preserve">250–750 mg × 2/j PO ; 400 mg × 2–3/j IV ; LP 1 g × 1/j</w:t>
            </w:r>
          </w:p>
        </w:tc>
        <w:tc>
          <w:tcPr/>
          <w:p>
            <w:pPr>
              <w:pStyle w:val="Compact"/>
              <w:jc w:val="left"/>
            </w:pPr>
            <w:r>
              <w:t xml:space="preserve">Myasthénie, ATCD tendinopathie FQ, grossesse, enfant, QT long, épilepsie</w:t>
            </w:r>
          </w:p>
        </w:tc>
        <w:tc>
          <w:tcPr/>
          <w:p>
            <w:pPr>
              <w:pStyle w:val="Compact"/>
              <w:jc w:val="left"/>
            </w:pPr>
            <w:r>
              <w:t xml:space="preserve">CI formelle</w:t>
            </w:r>
          </w:p>
        </w:tc>
        <w:tc>
          <w:tcPr/>
          <w:p>
            <w:pPr>
              <w:pStyle w:val="Compact"/>
              <w:jc w:val="left"/>
            </w:pPr>
            <w:r>
              <w:t xml:space="preserve">Cations (Al/Mg/Ca/Fe/Zn) → 2h/6h ; théophylline (CYP1A2) ; AVK</w:t>
            </w:r>
          </w:p>
        </w:tc>
      </w:tr>
      <w:tr>
        <w:tc>
          <w:tcPr/>
          <w:p>
            <w:pPr>
              <w:pStyle w:val="Compact"/>
              <w:jc w:val="left"/>
            </w:pPr>
            <w:r>
              <w:rPr>
                <w:b/>
                <w:bCs/>
              </w:rPr>
              <w:t xml:space="preserve">Lévofloxacine</w:t>
            </w:r>
          </w:p>
        </w:tc>
        <w:tc>
          <w:tcPr/>
          <w:p>
            <w:pPr>
              <w:pStyle w:val="Compact"/>
              <w:jc w:val="left"/>
            </w:pPr>
            <w:r>
              <w:t xml:space="preserve">3e</w:t>
            </w:r>
          </w:p>
        </w:tc>
        <w:tc>
          <w:tcPr/>
          <w:p>
            <w:pPr>
              <w:pStyle w:val="Compact"/>
              <w:jc w:val="left"/>
            </w:pPr>
            <w:r>
              <w:t xml:space="preserve">Respiratoire (pneumocoque), urinaire,</w:t>
            </w:r>
            <w:r>
              <w:t xml:space="preserve"> </w:t>
            </w:r>
            <w:r>
              <w:rPr>
                <w:i/>
                <w:iCs/>
              </w:rPr>
              <w:t xml:space="preserve">Pseudomonas</w:t>
            </w:r>
            <w:r>
              <w:t xml:space="preserve"> </w:t>
            </w:r>
            <w:r>
              <w:t xml:space="preserve">modéré</w:t>
            </w:r>
          </w:p>
        </w:tc>
        <w:tc>
          <w:tcPr/>
          <w:p>
            <w:pPr>
              <w:pStyle w:val="Compact"/>
              <w:jc w:val="left"/>
            </w:pPr>
            <w:r>
              <w:t xml:space="preserve">7</w:t>
            </w:r>
          </w:p>
        </w:tc>
        <w:tc>
          <w:tcPr/>
          <w:p>
            <w:pPr>
              <w:pStyle w:val="Compact"/>
              <w:jc w:val="left"/>
            </w:pPr>
            <w:r>
              <w:t xml:space="preserve">Rénale 80 %</w:t>
            </w:r>
          </w:p>
        </w:tc>
        <w:tc>
          <w:tcPr/>
          <w:p>
            <w:pPr>
              <w:pStyle w:val="Compact"/>
              <w:jc w:val="left"/>
            </w:pPr>
            <w:r>
              <w:t xml:space="preserve">500 mg × 1/j PO/IV ; 750 mg × 1/j formes sévères</w:t>
            </w:r>
          </w:p>
        </w:tc>
        <w:tc>
          <w:tcPr/>
          <w:p>
            <w:pPr>
              <w:pStyle w:val="Compact"/>
              <w:jc w:val="left"/>
            </w:pPr>
            <w:r>
              <w:t xml:space="preserve">Idem + dysglycémie</w:t>
            </w:r>
          </w:p>
        </w:tc>
        <w:tc>
          <w:tcPr/>
          <w:p>
            <w:pPr>
              <w:pStyle w:val="Compact"/>
              <w:jc w:val="left"/>
            </w:pPr>
            <w:r>
              <w:t xml:space="preserve">CI formelle</w:t>
            </w:r>
          </w:p>
        </w:tc>
        <w:tc>
          <w:tcPr/>
          <w:p>
            <w:pPr>
              <w:pStyle w:val="Compact"/>
              <w:jc w:val="left"/>
            </w:pPr>
            <w:r>
              <w:t xml:space="preserve">Cations ; antiarythmiques QT ; hypoglycémiants</w:t>
            </w:r>
          </w:p>
        </w:tc>
      </w:tr>
      <w:tr>
        <w:tc>
          <w:tcPr/>
          <w:p>
            <w:pPr>
              <w:pStyle w:val="Compact"/>
              <w:jc w:val="left"/>
            </w:pPr>
            <w:r>
              <w:rPr>
                <w:b/>
                <w:bCs/>
              </w:rPr>
              <w:t xml:space="preserve">Moxifloxacine</w:t>
            </w:r>
          </w:p>
        </w:tc>
        <w:tc>
          <w:tcPr/>
          <w:p>
            <w:pPr>
              <w:pStyle w:val="Compact"/>
              <w:jc w:val="left"/>
            </w:pPr>
            <w:r>
              <w:t xml:space="preserve">4e</w:t>
            </w:r>
          </w:p>
        </w:tc>
        <w:tc>
          <w:tcPr/>
          <w:p>
            <w:pPr>
              <w:pStyle w:val="Compact"/>
              <w:jc w:val="left"/>
            </w:pPr>
            <w:r>
              <w:t xml:space="preserve">Respiratoire + anaérobies ;</w:t>
            </w:r>
            <w:r>
              <w:t xml:space="preserve"> </w:t>
            </w:r>
            <w:r>
              <w:rPr>
                <w:b/>
                <w:bCs/>
              </w:rPr>
              <w:t xml:space="preserve">pas de</w:t>
            </w:r>
            <w:r>
              <w:rPr>
                <w:b/>
                <w:bCs/>
              </w:rPr>
              <w:t xml:space="preserve"> </w:t>
            </w:r>
            <w:r>
              <w:rPr>
                <w:b/>
                <w:bCs/>
                <w:i/>
                <w:iCs/>
              </w:rPr>
              <w:t xml:space="preserve">Pseudomonas</w:t>
            </w:r>
          </w:p>
        </w:tc>
        <w:tc>
          <w:tcPr/>
          <w:p>
            <w:pPr>
              <w:pStyle w:val="Compact"/>
              <w:jc w:val="left"/>
            </w:pPr>
            <w:r>
              <w:t xml:space="preserve">12</w:t>
            </w:r>
          </w:p>
        </w:tc>
        <w:tc>
          <w:tcPr/>
          <w:p>
            <w:pPr>
              <w:pStyle w:val="Compact"/>
              <w:jc w:val="left"/>
            </w:pPr>
            <w:r>
              <w:t xml:space="preserve">Biliaire 80 %</w:t>
            </w:r>
          </w:p>
        </w:tc>
        <w:tc>
          <w:tcPr/>
          <w:p>
            <w:pPr>
              <w:pStyle w:val="Compact"/>
              <w:jc w:val="left"/>
            </w:pPr>
            <w:r>
              <w:t xml:space="preserve">400 mg × 1/j PO/IV</w:t>
            </w:r>
          </w:p>
        </w:tc>
        <w:tc>
          <w:tcPr/>
          <w:p>
            <w:pPr>
              <w:pStyle w:val="Compact"/>
              <w:jc w:val="left"/>
            </w:pPr>
            <w:r>
              <w:t xml:space="preserve">Idem + QT long marqué, hépatite, ins. hépatique sévère</w:t>
            </w:r>
          </w:p>
        </w:tc>
        <w:tc>
          <w:tcPr/>
          <w:p>
            <w:pPr>
              <w:pStyle w:val="Compact"/>
              <w:jc w:val="left"/>
            </w:pPr>
            <w:r>
              <w:t xml:space="preserve">CI formelle</w:t>
            </w:r>
          </w:p>
        </w:tc>
        <w:tc>
          <w:tcPr/>
          <w:p>
            <w:pPr>
              <w:pStyle w:val="Compact"/>
              <w:jc w:val="left"/>
            </w:pPr>
            <w:r>
              <w:t xml:space="preserve">Cations ; antiarythmiques Ia/III, neuroleptiques, macrolides, azolés (QT)</w:t>
            </w:r>
          </w:p>
        </w:tc>
      </w:tr>
      <w:tr>
        <w:tc>
          <w:tcPr/>
          <w:p>
            <w:pPr>
              <w:pStyle w:val="Compact"/>
              <w:jc w:val="left"/>
            </w:pPr>
            <w:r>
              <w:rPr>
                <w:b/>
                <w:bCs/>
              </w:rPr>
              <w:t xml:space="preserve">Norfloxacine</w:t>
            </w:r>
          </w:p>
        </w:tc>
        <w:tc>
          <w:tcPr/>
          <w:p>
            <w:pPr>
              <w:pStyle w:val="Compact"/>
              <w:jc w:val="left"/>
            </w:pPr>
            <w:r>
              <w:t xml:space="preserve">2e</w:t>
            </w:r>
          </w:p>
        </w:tc>
        <w:tc>
          <w:tcPr/>
          <w:p>
            <w:pPr>
              <w:pStyle w:val="Compact"/>
              <w:jc w:val="left"/>
            </w:pPr>
            <w:r>
              <w:t xml:space="preserve">Urinaire exclusif</w:t>
            </w:r>
          </w:p>
        </w:tc>
        <w:tc>
          <w:tcPr/>
          <w:p>
            <w:pPr>
              <w:pStyle w:val="Compact"/>
              <w:jc w:val="left"/>
            </w:pPr>
            <w:r>
              <w:t xml:space="preserve">4</w:t>
            </w:r>
          </w:p>
        </w:tc>
        <w:tc>
          <w:tcPr/>
          <w:p>
            <w:pPr>
              <w:pStyle w:val="Compact"/>
              <w:jc w:val="left"/>
            </w:pPr>
            <w:r>
              <w:t xml:space="preserve">Rénale 30 % ( faible biodispo)</w:t>
            </w:r>
          </w:p>
        </w:tc>
        <w:tc>
          <w:tcPr/>
          <w:p>
            <w:pPr>
              <w:pStyle w:val="Compact"/>
              <w:jc w:val="left"/>
            </w:pPr>
            <w:r>
              <w:t xml:space="preserve">400 mg × 2/j PO ; cystite 3 j</w:t>
            </w:r>
          </w:p>
        </w:tc>
        <w:tc>
          <w:tcPr/>
          <w:p>
            <w:pPr>
              <w:pStyle w:val="Compact"/>
              <w:jc w:val="left"/>
            </w:pPr>
            <w:r>
              <w:t xml:space="preserve">Idem ; pyélonéphrite (mauvais choix)</w:t>
            </w:r>
          </w:p>
        </w:tc>
        <w:tc>
          <w:tcPr/>
          <w:p>
            <w:pPr>
              <w:pStyle w:val="Compact"/>
              <w:jc w:val="left"/>
            </w:pPr>
            <w:r>
              <w:t xml:space="preserve">CI formelle</w:t>
            </w:r>
          </w:p>
        </w:tc>
        <w:tc>
          <w:tcPr/>
          <w:p>
            <w:pPr>
              <w:pStyle w:val="Compact"/>
              <w:jc w:val="left"/>
            </w:pPr>
            <w:r>
              <w:t xml:space="preserve">Cations ; théophylline ; caféine</w:t>
            </w:r>
          </w:p>
        </w:tc>
      </w:tr>
      <w:tr>
        <w:tc>
          <w:tcPr/>
          <w:p>
            <w:pPr>
              <w:pStyle w:val="Compact"/>
              <w:jc w:val="left"/>
            </w:pPr>
            <w:r>
              <w:rPr>
                <w:b/>
                <w:bCs/>
              </w:rPr>
              <w:t xml:space="preserve">Ofloxacine</w:t>
            </w:r>
          </w:p>
        </w:tc>
        <w:tc>
          <w:tcPr/>
          <w:p>
            <w:pPr>
              <w:pStyle w:val="Compact"/>
              <w:jc w:val="left"/>
            </w:pPr>
            <w:r>
              <w:t xml:space="preserve">2e</w:t>
            </w:r>
          </w:p>
        </w:tc>
        <w:tc>
          <w:tcPr/>
          <w:p>
            <w:pPr>
              <w:pStyle w:val="Compact"/>
              <w:jc w:val="left"/>
            </w:pPr>
            <w:r>
              <w:t xml:space="preserve">GN, urinaire, ORL ; antipseudomonal atténué</w:t>
            </w:r>
          </w:p>
        </w:tc>
        <w:tc>
          <w:tcPr/>
          <w:p>
            <w:pPr>
              <w:pStyle w:val="Compact"/>
              <w:jc w:val="left"/>
            </w:pPr>
            <w:r>
              <w:t xml:space="preserve">6</w:t>
            </w:r>
          </w:p>
        </w:tc>
        <w:tc>
          <w:tcPr/>
          <w:p>
            <w:pPr>
              <w:pStyle w:val="Compact"/>
              <w:jc w:val="left"/>
            </w:pPr>
            <w:r>
              <w:t xml:space="preserve">Rénale 80 %</w:t>
            </w:r>
          </w:p>
        </w:tc>
        <w:tc>
          <w:tcPr/>
          <w:p>
            <w:pPr>
              <w:pStyle w:val="Compact"/>
              <w:jc w:val="left"/>
            </w:pPr>
            <w:r>
              <w:t xml:space="preserve">200 mg × 2/j PO/IV ; 400 mg × 2/j</w:t>
            </w:r>
          </w:p>
        </w:tc>
        <w:tc>
          <w:tcPr/>
          <w:p>
            <w:pPr>
              <w:pStyle w:val="Compact"/>
              <w:jc w:val="left"/>
            </w:pPr>
            <w:r>
              <w:t xml:space="preserve">Idem ; racémique (préférer lévofloxacine)</w:t>
            </w:r>
          </w:p>
        </w:tc>
        <w:tc>
          <w:tcPr/>
          <w:p>
            <w:pPr>
              <w:pStyle w:val="Compact"/>
              <w:jc w:val="left"/>
            </w:pPr>
            <w:r>
              <w:t xml:space="preserve">CI formelle</w:t>
            </w:r>
          </w:p>
        </w:tc>
        <w:tc>
          <w:tcPr/>
          <w:p>
            <w:pPr>
              <w:pStyle w:val="Compact"/>
              <w:jc w:val="left"/>
            </w:pPr>
            <w:r>
              <w:t xml:space="preserve">Cations ; théophylline ; AVK</w:t>
            </w:r>
          </w:p>
        </w:tc>
      </w:tr>
      <w:tr>
        <w:tc>
          <w:tcPr/>
          <w:p>
            <w:pPr>
              <w:pStyle w:val="Compact"/>
              <w:jc w:val="left"/>
            </w:pPr>
            <w:r>
              <w:rPr>
                <w:b/>
                <w:bCs/>
              </w:rPr>
              <w:t xml:space="preserve">Péfloxacine</w:t>
            </w:r>
          </w:p>
        </w:tc>
        <w:tc>
          <w:tcPr/>
          <w:p>
            <w:pPr>
              <w:pStyle w:val="Compact"/>
              <w:jc w:val="left"/>
            </w:pPr>
            <w:r>
              <w:t xml:space="preserve">2e</w:t>
            </w:r>
          </w:p>
        </w:tc>
        <w:tc>
          <w:tcPr/>
          <w:p>
            <w:pPr>
              <w:pStyle w:val="Compact"/>
              <w:jc w:val="left"/>
            </w:pPr>
            <w:r>
              <w:t xml:space="preserve">Urinaire, biliaire, méningé (prodrogue norfloxacine)</w:t>
            </w:r>
          </w:p>
        </w:tc>
        <w:tc>
          <w:tcPr/>
          <w:p>
            <w:pPr>
              <w:pStyle w:val="Compact"/>
              <w:jc w:val="left"/>
            </w:pPr>
            <w:r>
              <w:t xml:space="preserve">10</w:t>
            </w:r>
          </w:p>
        </w:tc>
        <w:tc>
          <w:tcPr/>
          <w:p>
            <w:pPr>
              <w:pStyle w:val="Compact"/>
              <w:jc w:val="left"/>
            </w:pPr>
            <w:r>
              <w:t xml:space="preserve">Hépatique → rénale</w:t>
            </w:r>
          </w:p>
        </w:tc>
        <w:tc>
          <w:tcPr/>
          <w:p>
            <w:pPr>
              <w:pStyle w:val="Compact"/>
              <w:jc w:val="left"/>
            </w:pPr>
            <w:r>
              <w:t xml:space="preserve">400 mg × 2/j PO</w:t>
            </w:r>
          </w:p>
        </w:tc>
        <w:tc>
          <w:tcPr/>
          <w:p>
            <w:pPr>
              <w:pStyle w:val="Compact"/>
              <w:jc w:val="left"/>
            </w:pPr>
            <w:r>
              <w:t xml:space="preserve">Idem +</w:t>
            </w:r>
            <w:r>
              <w:t xml:space="preserve"> </w:t>
            </w:r>
            <w:r>
              <w:rPr>
                <w:b/>
                <w:bCs/>
              </w:rPr>
              <w:t xml:space="preserve">déficit G6PD</w:t>
            </w:r>
            <w:r>
              <w:t xml:space="preserve">, photosensibilité majeure</w:t>
            </w:r>
          </w:p>
        </w:tc>
        <w:tc>
          <w:tcPr/>
          <w:p>
            <w:pPr>
              <w:pStyle w:val="Compact"/>
              <w:jc w:val="left"/>
            </w:pPr>
            <w:r>
              <w:t xml:space="preserve">CI formelle</w:t>
            </w:r>
          </w:p>
        </w:tc>
        <w:tc>
          <w:tcPr/>
          <w:p>
            <w:pPr>
              <w:pStyle w:val="Compact"/>
              <w:jc w:val="left"/>
            </w:pPr>
            <w:r>
              <w:t xml:space="preserve">Cations ; théophylline ; caféine</w:t>
            </w:r>
          </w:p>
        </w:tc>
      </w:tr>
      <w:tr>
        <w:tc>
          <w:tcPr/>
          <w:p>
            <w:pPr>
              <w:pStyle w:val="Compact"/>
              <w:jc w:val="left"/>
            </w:pPr>
            <w:r>
              <w:rPr>
                <w:b/>
                <w:bCs/>
              </w:rPr>
              <w:t xml:space="preserve">Gatifloxacine (collyre)</w:t>
            </w:r>
          </w:p>
        </w:tc>
        <w:tc>
          <w:tcPr/>
          <w:p>
            <w:pPr>
              <w:pStyle w:val="Compact"/>
              <w:jc w:val="left"/>
            </w:pPr>
            <w:r>
              <w:t xml:space="preserve">3e</w:t>
            </w:r>
          </w:p>
        </w:tc>
        <w:tc>
          <w:tcPr/>
          <w:p>
            <w:pPr>
              <w:pStyle w:val="Compact"/>
              <w:jc w:val="left"/>
            </w:pPr>
            <w:r>
              <w:t xml:space="preserve">Ophtalmologique large (Gram+, Gram−,</w:t>
            </w:r>
            <w:r>
              <w:t xml:space="preserve"> </w:t>
            </w:r>
            <w:r>
              <w:rPr>
                <w:i/>
                <w:iCs/>
              </w:rPr>
              <w:t xml:space="preserve">Pseudomonas</w:t>
            </w:r>
            <w:r>
              <w:t xml:space="preserve">,</w:t>
            </w:r>
            <w:r>
              <w:t xml:space="preserve"> </w:t>
            </w:r>
            <w:r>
              <w:rPr>
                <w:i/>
                <w:iCs/>
              </w:rPr>
              <w:t xml:space="preserve">Chlamydia</w:t>
            </w:r>
            <w:r>
              <w:t xml:space="preserve">)</w:t>
            </w:r>
          </w:p>
        </w:tc>
        <w:tc>
          <w:tcPr/>
          <w:p>
            <w:pPr>
              <w:pStyle w:val="Compact"/>
              <w:jc w:val="left"/>
            </w:pPr>
            <w:r>
              <w:t xml:space="preserve">—</w:t>
            </w:r>
          </w:p>
        </w:tc>
        <w:tc>
          <w:tcPr/>
          <w:p>
            <w:pPr>
              <w:pStyle w:val="Compact"/>
              <w:jc w:val="left"/>
            </w:pPr>
            <w:r>
              <w:t xml:space="preserve">Locale</w:t>
            </w:r>
          </w:p>
        </w:tc>
        <w:tc>
          <w:tcPr/>
          <w:p>
            <w:pPr>
              <w:pStyle w:val="Compact"/>
              <w:jc w:val="left"/>
            </w:pPr>
            <w:r>
              <w:t xml:space="preserve">1 goutte × 3–4/j pendant 5–7 j</w:t>
            </w:r>
          </w:p>
        </w:tc>
        <w:tc>
          <w:tcPr/>
          <w:p>
            <w:pPr>
              <w:pStyle w:val="Compact"/>
              <w:jc w:val="left"/>
            </w:pPr>
            <w:r>
              <w:t xml:space="preserve">Hypersensibilité FQ ; enfant &lt; 1 an</w:t>
            </w:r>
          </w:p>
        </w:tc>
        <w:tc>
          <w:tcPr/>
          <w:p>
            <w:pPr>
              <w:pStyle w:val="Compact"/>
              <w:jc w:val="left"/>
            </w:pPr>
            <w:r>
              <w:t xml:space="preserve">Compatible</w:t>
            </w:r>
          </w:p>
        </w:tc>
        <w:tc>
          <w:tcPr/>
          <w:p>
            <w:pPr>
              <w:pStyle w:val="Compact"/>
              <w:jc w:val="left"/>
            </w:pPr>
            <w:r>
              <w:t xml:space="preserve">Locale uniquement</w:t>
            </w:r>
          </w:p>
        </w:tc>
      </w:tr>
      <w:tr>
        <w:tc>
          <w:tcPr/>
          <w:p>
            <w:pPr>
              <w:pStyle w:val="Compact"/>
              <w:jc w:val="left"/>
            </w:pPr>
            <w:r>
              <w:rPr>
                <w:b/>
                <w:bCs/>
              </w:rPr>
              <w:t xml:space="preserve">Besifloxacine (collyre)</w:t>
            </w:r>
          </w:p>
        </w:tc>
        <w:tc>
          <w:tcPr/>
          <w:p>
            <w:pPr>
              <w:pStyle w:val="Compact"/>
              <w:jc w:val="left"/>
            </w:pPr>
            <w:r>
              <w:t xml:space="preserve">4e</w:t>
            </w:r>
          </w:p>
        </w:tc>
        <w:tc>
          <w:tcPr/>
          <w:p>
            <w:pPr>
              <w:pStyle w:val="Compact"/>
              <w:jc w:val="left"/>
            </w:pPr>
            <w:r>
              <w:t xml:space="preserve">Ophtalmologique large +</w:t>
            </w:r>
            <w:r>
              <w:t xml:space="preserve"> </w:t>
            </w:r>
            <w:r>
              <w:rPr>
                <w:b/>
                <w:bCs/>
              </w:rPr>
              <w:t xml:space="preserve">MRSA</w:t>
            </w:r>
          </w:p>
        </w:tc>
        <w:tc>
          <w:tcPr/>
          <w:p>
            <w:pPr>
              <w:pStyle w:val="Compact"/>
              <w:jc w:val="left"/>
            </w:pPr>
            <w:r>
              <w:t xml:space="preserve">—</w:t>
            </w:r>
          </w:p>
        </w:tc>
        <w:tc>
          <w:tcPr/>
          <w:p>
            <w:pPr>
              <w:pStyle w:val="Compact"/>
              <w:jc w:val="left"/>
            </w:pPr>
            <w:r>
              <w:t xml:space="preserve">Locale</w:t>
            </w:r>
          </w:p>
        </w:tc>
        <w:tc>
          <w:tcPr/>
          <w:p>
            <w:pPr>
              <w:pStyle w:val="Compact"/>
              <w:jc w:val="left"/>
            </w:pPr>
            <w:r>
              <w:t xml:space="preserve">1 goutte × 3/j pendant 5–7 j</w:t>
            </w:r>
          </w:p>
        </w:tc>
        <w:tc>
          <w:tcPr/>
          <w:p>
            <w:pPr>
              <w:pStyle w:val="Compact"/>
              <w:jc w:val="left"/>
            </w:pPr>
            <w:r>
              <w:t xml:space="preserve">Hypersensibilité FQ ; enfant &lt; 1 an</w:t>
            </w:r>
          </w:p>
        </w:tc>
        <w:tc>
          <w:tcPr/>
          <w:p>
            <w:pPr>
              <w:pStyle w:val="Compact"/>
              <w:jc w:val="left"/>
            </w:pPr>
            <w:r>
              <w:t xml:space="preserve">Compatible</w:t>
            </w:r>
          </w:p>
        </w:tc>
        <w:tc>
          <w:tcPr/>
          <w:p>
            <w:pPr>
              <w:pStyle w:val="Compact"/>
              <w:jc w:val="left"/>
            </w:pPr>
            <w:r>
              <w:t xml:space="preserve">Locale uniquement</w:t>
            </w:r>
          </w:p>
        </w:tc>
      </w:tr>
      <w:tr>
        <w:tc>
          <w:tcPr/>
          <w:p>
            <w:pPr>
              <w:pStyle w:val="Compact"/>
              <w:jc w:val="left"/>
            </w:pPr>
            <w:r>
              <w:rPr>
                <w:b/>
                <w:bCs/>
              </w:rPr>
              <w:t xml:space="preserve">Gémifloxacine</w:t>
            </w:r>
          </w:p>
        </w:tc>
        <w:tc>
          <w:tcPr/>
          <w:p>
            <w:pPr>
              <w:pStyle w:val="Compact"/>
              <w:jc w:val="left"/>
            </w:pPr>
            <w:r>
              <w:t xml:space="preserve">4e</w:t>
            </w:r>
          </w:p>
        </w:tc>
        <w:tc>
          <w:tcPr/>
          <w:p>
            <w:pPr>
              <w:pStyle w:val="Compact"/>
              <w:jc w:val="left"/>
            </w:pPr>
            <w:r>
              <w:t xml:space="preserve">Respiratoire (pneumocoque++),</w:t>
            </w:r>
            <w:r>
              <w:t xml:space="preserve"> </w:t>
            </w:r>
            <w:r>
              <w:rPr>
                <w:i/>
                <w:iCs/>
              </w:rPr>
              <w:t xml:space="preserve">H. influenzae</w:t>
            </w:r>
            <w:r>
              <w:t xml:space="preserve">, atypiques</w:t>
            </w:r>
          </w:p>
        </w:tc>
        <w:tc>
          <w:tcPr/>
          <w:p>
            <w:pPr>
              <w:pStyle w:val="Compact"/>
              <w:jc w:val="left"/>
            </w:pPr>
            <w:r>
              <w:t xml:space="preserve">7</w:t>
            </w:r>
          </w:p>
        </w:tc>
        <w:tc>
          <w:tcPr/>
          <w:p>
            <w:pPr>
              <w:pStyle w:val="Compact"/>
              <w:jc w:val="left"/>
            </w:pPr>
            <w:r>
              <w:t xml:space="preserve">Mixte rénale 50 % + fécale 50 %</w:t>
            </w:r>
          </w:p>
        </w:tc>
        <w:tc>
          <w:tcPr/>
          <w:p>
            <w:pPr>
              <w:pStyle w:val="Compact"/>
              <w:jc w:val="left"/>
            </w:pPr>
            <w:r>
              <w:t xml:space="preserve">320 mg × 1/j PO</w:t>
            </w:r>
          </w:p>
        </w:tc>
        <w:tc>
          <w:tcPr/>
          <w:p>
            <w:pPr>
              <w:pStyle w:val="Compact"/>
              <w:jc w:val="left"/>
            </w:pPr>
            <w:r>
              <w:t xml:space="preserve">Idem ; pas d’activité</w:t>
            </w:r>
            <w:r>
              <w:t xml:space="preserve"> </w:t>
            </w:r>
            <w:r>
              <w:rPr>
                <w:i/>
                <w:iCs/>
              </w:rPr>
              <w:t xml:space="preserve">Pseudomonas</w:t>
            </w:r>
          </w:p>
        </w:tc>
        <w:tc>
          <w:tcPr/>
          <w:p>
            <w:pPr>
              <w:pStyle w:val="Compact"/>
              <w:jc w:val="left"/>
            </w:pPr>
            <w:r>
              <w:t xml:space="preserve">CI formelle</w:t>
            </w:r>
          </w:p>
        </w:tc>
        <w:tc>
          <w:tcPr/>
          <w:p>
            <w:pPr>
              <w:pStyle w:val="Compact"/>
              <w:jc w:val="left"/>
            </w:pPr>
            <w:r>
              <w:t xml:space="preserve">Cations ; antiarythmiques QT</w:t>
            </w:r>
          </w:p>
        </w:tc>
      </w:tr>
      <w:tr>
        <w:tc>
          <w:tcPr/>
          <w:p>
            <w:pPr>
              <w:pStyle w:val="Compact"/>
              <w:jc w:val="left"/>
            </w:pPr>
            <w:r>
              <w:rPr>
                <w:b/>
                <w:bCs/>
              </w:rPr>
              <w:t xml:space="preserve">Nadifloxacine (crème)</w:t>
            </w:r>
          </w:p>
        </w:tc>
        <w:tc>
          <w:tcPr/>
          <w:p>
            <w:pPr>
              <w:pStyle w:val="Compact"/>
              <w:jc w:val="left"/>
            </w:pPr>
            <w:r>
              <w:t xml:space="preserve">2e</w:t>
            </w:r>
          </w:p>
        </w:tc>
        <w:tc>
          <w:tcPr/>
          <w:p>
            <w:pPr>
              <w:pStyle w:val="Compact"/>
              <w:jc w:val="left"/>
            </w:pPr>
            <w:r>
              <w:t xml:space="preserve">Dermatologique (</w:t>
            </w:r>
            <w:r>
              <w:rPr>
                <w:i/>
                <w:iCs/>
              </w:rPr>
              <w:t xml:space="preserve">P. acnes</w:t>
            </w:r>
            <w:r>
              <w:t xml:space="preserve">,</w:t>
            </w:r>
            <w:r>
              <w:t xml:space="preserve"> </w:t>
            </w:r>
            <w:r>
              <w:rPr>
                <w:i/>
                <w:iCs/>
              </w:rPr>
              <w:t xml:space="preserve">S. aureus</w:t>
            </w:r>
            <w:r>
              <w:t xml:space="preserve">,</w:t>
            </w:r>
            <w:r>
              <w:t xml:space="preserve"> </w:t>
            </w:r>
            <w:r>
              <w:rPr>
                <w:i/>
                <w:iCs/>
              </w:rPr>
              <w:t xml:space="preserve">S. pyogenes</w:t>
            </w:r>
            <w:r>
              <w:t xml:space="preserve">)</w:t>
            </w:r>
          </w:p>
        </w:tc>
        <w:tc>
          <w:tcPr/>
          <w:p>
            <w:pPr>
              <w:pStyle w:val="Compact"/>
              <w:jc w:val="left"/>
            </w:pPr>
            <w:r>
              <w:t xml:space="preserve">—</w:t>
            </w:r>
          </w:p>
        </w:tc>
        <w:tc>
          <w:tcPr/>
          <w:p>
            <w:pPr>
              <w:pStyle w:val="Compact"/>
              <w:jc w:val="left"/>
            </w:pPr>
            <w:r>
              <w:t xml:space="preserve">Locale</w:t>
            </w:r>
          </w:p>
        </w:tc>
        <w:tc>
          <w:tcPr/>
          <w:p>
            <w:pPr>
              <w:pStyle w:val="Compact"/>
              <w:jc w:val="left"/>
            </w:pPr>
            <w:r>
              <w:t xml:space="preserve">1 application × 2/j pendant 6–12 sem (acné)</w:t>
            </w:r>
          </w:p>
        </w:tc>
        <w:tc>
          <w:tcPr/>
          <w:p>
            <w:pPr>
              <w:pStyle w:val="Compact"/>
              <w:jc w:val="left"/>
            </w:pPr>
            <w:r>
              <w:t xml:space="preserve">Hypersensibilité FQ ; enfant &lt; 1 an ; muqueuses</w:t>
            </w:r>
          </w:p>
        </w:tc>
        <w:tc>
          <w:tcPr/>
          <w:p>
            <w:pPr>
              <w:pStyle w:val="Compact"/>
              <w:jc w:val="left"/>
            </w:pPr>
            <w:r>
              <w:t xml:space="preserve">Compatible</w:t>
            </w:r>
          </w:p>
        </w:tc>
        <w:tc>
          <w:tcPr/>
          <w:p>
            <w:pPr>
              <w:pStyle w:val="Compact"/>
              <w:jc w:val="left"/>
            </w:pPr>
            <w:r>
              <w:t xml:space="preserve">Locale uniquement</w:t>
            </w:r>
          </w:p>
        </w:tc>
      </w:tr>
      <w:tr>
        <w:tc>
          <w:tcPr/>
          <w:p>
            <w:pPr>
              <w:pStyle w:val="Compact"/>
              <w:jc w:val="left"/>
            </w:pPr>
            <w:r>
              <w:rPr>
                <w:b/>
                <w:bCs/>
              </w:rPr>
              <w:t xml:space="preserve">Ofloxacine + Dexaméthasone (collyre)</w:t>
            </w:r>
          </w:p>
        </w:tc>
        <w:tc>
          <w:tcPr/>
          <w:p>
            <w:pPr>
              <w:pStyle w:val="Compact"/>
              <w:jc w:val="left"/>
            </w:pPr>
            <w:r>
              <w:t xml:space="preserve">2e + corticoïde</w:t>
            </w:r>
          </w:p>
        </w:tc>
        <w:tc>
          <w:tcPr/>
          <w:p>
            <w:pPr>
              <w:pStyle w:val="Compact"/>
              <w:jc w:val="left"/>
            </w:pPr>
            <w:r>
              <w:t xml:space="preserve">Ophtalmologique infectieux + inflammatoire</w:t>
            </w:r>
          </w:p>
        </w:tc>
        <w:tc>
          <w:tcPr/>
          <w:p>
            <w:pPr>
              <w:pStyle w:val="Compact"/>
              <w:jc w:val="left"/>
            </w:pPr>
            <w:r>
              <w:t xml:space="preserve">—</w:t>
            </w:r>
          </w:p>
        </w:tc>
        <w:tc>
          <w:tcPr/>
          <w:p>
            <w:pPr>
              <w:pStyle w:val="Compact"/>
              <w:jc w:val="left"/>
            </w:pPr>
            <w:r>
              <w:t xml:space="preserve">Locale</w:t>
            </w:r>
          </w:p>
        </w:tc>
        <w:tc>
          <w:tcPr/>
          <w:p>
            <w:pPr>
              <w:pStyle w:val="Compact"/>
              <w:jc w:val="left"/>
            </w:pPr>
            <w:r>
              <w:t xml:space="preserve">1 goutte × 4–6/j pendant 7 j max</w:t>
            </w:r>
          </w:p>
        </w:tc>
        <w:tc>
          <w:tcPr/>
          <w:p>
            <w:pPr>
              <w:pStyle w:val="Compact"/>
              <w:jc w:val="left"/>
            </w:pPr>
            <w:r>
              <w:rPr>
                <w:b/>
                <w:bCs/>
              </w:rPr>
              <w:t xml:space="preserve">Herpès oculaire</w:t>
            </w:r>
            <w:r>
              <w:t xml:space="preserve">, glaucome, mycose, enfant &lt; 2 ans</w:t>
            </w:r>
          </w:p>
        </w:tc>
        <w:tc>
          <w:tcPr/>
          <w:p>
            <w:pPr>
              <w:pStyle w:val="Compact"/>
              <w:jc w:val="left"/>
            </w:pPr>
            <w:r>
              <w:t xml:space="preserve">Compatible (cure courte)</w:t>
            </w:r>
          </w:p>
        </w:tc>
        <w:tc>
          <w:tcPr/>
          <w:p>
            <w:pPr>
              <w:pStyle w:val="Compact"/>
              <w:jc w:val="left"/>
            </w:pPr>
            <w:r>
              <w:t xml:space="preserve">Locale ; IES si usage prolongé</w:t>
            </w:r>
          </w:p>
        </w:tc>
      </w:tr>
    </w:tbl>
    <w:p>
      <w:pPr>
        <w:pStyle w:val="BodyText"/>
      </w:pPr>
      <w:r>
        <w:rPr>
          <w:b/>
          <w:bCs/>
        </w:rPr>
        <w:t xml:space="preserve">Légende :</w:t>
      </w:r>
      <w:r>
        <w:t xml:space="preserve"> </w:t>
      </w:r>
      <w:r>
        <w:t xml:space="preserve">GN = Gram négatif ; PO = per os ; IV = intraveineux ; LP = libération prolongée ; IES = interactions enzymatiques systémiques ; MRSA =</w:t>
      </w:r>
      <w:r>
        <w:t xml:space="preserve"> </w:t>
      </w:r>
      <w:r>
        <w:rPr>
          <w:i/>
          <w:iCs/>
        </w:rPr>
        <w:t xml:space="preserve">Staphylococcus aureus</w:t>
      </w:r>
      <w:r>
        <w:t xml:space="preserve"> </w:t>
      </w:r>
      <w:r>
        <w:t xml:space="preserve">résistant à la méticilline ; FQ = fluoroquinolone.</w:t>
      </w:r>
    </w:p>
    <w:p>
      <w:r>
        <w:pict>
          <v:rect style="width:0;height:1.5pt" o:hralign="center" o:hrstd="t" o:hr="t"/>
        </w:pict>
      </w:r>
    </w:p>
    <w:bookmarkEnd w:id="165"/>
    <w:bookmarkStart w:id="167" w:name="X877638865c718e4628dc8ea8c6bd93ad81b3e51"/>
    <w:p>
      <w:pPr>
        <w:pStyle w:val="Heading2"/>
      </w:pPr>
      <w:r>
        <w:t xml:space="preserve">Synthèse pédagogique : 12 messages clés pour la pratique pharmaceutique algérienne</w:t>
      </w:r>
    </w:p>
    <w:p>
      <w:pPr>
        <w:numPr>
          <w:ilvl w:val="0"/>
          <w:numId w:val="1321"/>
        </w:numPr>
      </w:pPr>
      <w:r>
        <w:rPr>
          <w:b/>
          <w:bCs/>
        </w:rPr>
        <w:t xml:space="preserve">Les FQ ne sont plus un traitement de première intention</w:t>
      </w:r>
      <w:r>
        <w:t xml:space="preserve"> </w:t>
      </w:r>
      <w:r>
        <w:t xml:space="preserve">: selon les recommandations ANSM/EMA (2017–2019), elles sont réservées aux infections documentées ou fortement suspectées dues à des germes résistants aux antibiotiques de première intention. Le pharmacien d’offine doit alerter le prescripteur en cas de prescription pour cystite simple, angine, bronchite aiguë.</w:t>
      </w:r>
    </w:p>
    <w:p>
      <w:pPr>
        <w:numPr>
          <w:ilvl w:val="0"/>
          <w:numId w:val="1321"/>
        </w:numPr>
      </w:pPr>
      <w:r>
        <w:rPr>
          <w:b/>
          <w:bCs/>
        </w:rPr>
        <w:t xml:space="preserve">La chélation par les cations polyvalents est la cause n°1 d’échec des FQ per os</w:t>
      </w:r>
      <w:r>
        <w:t xml:space="preserve"> </w:t>
      </w:r>
      <w:r>
        <w:t xml:space="preserve">: antiacides (Al/Mg), sucralfate, sels de fer, calcium, zinc, didanosine → réduire l’absorption jusqu’à 90 %.</w:t>
      </w:r>
      <w:r>
        <w:t xml:space="preserve"> </w:t>
      </w:r>
      <w:r>
        <w:rPr>
          <w:b/>
          <w:bCs/>
        </w:rPr>
        <w:t xml:space="preserve">Règle d’or du comptoir : 2 h avant ou 6 h après tout cation</w:t>
      </w:r>
      <w:r>
        <w:t xml:space="preserve">.</w:t>
      </w:r>
    </w:p>
    <w:p>
      <w:pPr>
        <w:numPr>
          <w:ilvl w:val="0"/>
          <w:numId w:val="1321"/>
        </w:numPr>
      </w:pPr>
      <w:r>
        <w:rPr>
          <w:b/>
          <w:bCs/>
        </w:rPr>
        <w:t xml:space="preserve">La tendinopathie achilléenne est l’effet indésirable emblématique</w:t>
      </w:r>
      <w:r>
        <w:t xml:space="preserve"> </w:t>
      </w:r>
      <w:r>
        <w:t xml:space="preserve">: risque majoré chez &gt; 60 ans, sous corticothérapie, transplantés, insuffisants rénaux, sportifs.</w:t>
      </w:r>
      <w:r>
        <w:t xml:space="preserve"> </w:t>
      </w:r>
      <w:r>
        <w:rPr>
          <w:b/>
          <w:bCs/>
        </w:rPr>
        <w:t xml:space="preserve">Arrêt IMMÉDIAT à la moindre douleur tendineuse</w:t>
      </w:r>
      <w:r>
        <w:t xml:space="preserve">, repos strict, échographie. Information patient obligatoire au comptoir.</w:t>
      </w:r>
    </w:p>
    <w:p>
      <w:pPr>
        <w:numPr>
          <w:ilvl w:val="0"/>
          <w:numId w:val="1321"/>
        </w:numPr>
      </w:pPr>
      <w:r>
        <w:rPr>
          <w:b/>
          <w:bCs/>
        </w:rPr>
        <w:t xml:space="preserve">Le QT long et les torsades de pointe sont dose-dépendants et majorés par les associations</w:t>
      </w:r>
      <w:r>
        <w:t xml:space="preserve"> </w:t>
      </w:r>
      <w:r>
        <w:t xml:space="preserve">: moxifloxacine &gt; ciprofloxacine &gt; lévofloxacine. Vérifier les co-prescriptions (amiodarone, neuroleptiques, macrolides, azolés) et le terrain (hypokaliémie, insuffisance cardiaque).</w:t>
      </w:r>
    </w:p>
    <w:p>
      <w:pPr>
        <w:numPr>
          <w:ilvl w:val="0"/>
          <w:numId w:val="1321"/>
        </w:numPr>
      </w:pPr>
      <w:r>
        <w:rPr>
          <w:b/>
          <w:bCs/>
        </w:rPr>
        <w:t xml:space="preserve">La ciprofloxacine reste la FQ de référence pour</w:t>
      </w:r>
      <w:r>
        <w:rPr>
          <w:b/>
          <w:bCs/>
        </w:rPr>
        <w:t xml:space="preserve"> </w:t>
      </w:r>
      <w:r>
        <w:rPr>
          <w:b/>
          <w:bCs/>
          <w:i/>
          <w:iCs/>
        </w:rPr>
        <w:t xml:space="preserve">Pseudomonas aeruginosa</w:t>
      </w:r>
      <w:r>
        <w:t xml:space="preserve"> </w:t>
      </w:r>
      <w:r>
        <w:t xml:space="preserve">; la lévofloxacine est la FQ respiratoire de choix ; la moxifloxacine apporte l’activité anti-anaérobie mais</w:t>
      </w:r>
      <w:r>
        <w:t xml:space="preserve"> </w:t>
      </w:r>
      <w:r>
        <w:rPr>
          <w:b/>
          <w:bCs/>
        </w:rPr>
        <w:t xml:space="preserve">pas d’activité antipseudomonal</w:t>
      </w:r>
      <w:r>
        <w:t xml:space="preserve">. La gémifloxacine excelle sur le pneumocoque.</w:t>
      </w:r>
    </w:p>
    <w:p>
      <w:pPr>
        <w:numPr>
          <w:ilvl w:val="0"/>
          <w:numId w:val="1321"/>
        </w:numPr>
      </w:pPr>
      <w:r>
        <w:rPr>
          <w:b/>
          <w:bCs/>
        </w:rPr>
        <w:t xml:space="preserve">La biodisponibilité orale élevée des FQ systémiques (70–99 %) autorise le relais oral précoce</w:t>
      </w:r>
      <w:r>
        <w:t xml:space="preserve"> </w:t>
      </w:r>
      <w:r>
        <w:t xml:space="preserve">(à J2–J3 de l’apyrexie), réduisant la durée d’hospitalisation. La forme IV n’est pas plus efficace que la forme PO à ASC équivalent.</w:t>
      </w:r>
    </w:p>
    <w:p>
      <w:pPr>
        <w:numPr>
          <w:ilvl w:val="0"/>
          <w:numId w:val="1321"/>
        </w:numPr>
      </w:pPr>
      <w:r>
        <w:rPr>
          <w:b/>
          <w:bCs/>
        </w:rPr>
        <w:t xml:space="preserve">Les FQ sont CI chez la femme enceinte et allaitante</w:t>
      </w:r>
      <w:r>
        <w:t xml:space="preserve"> </w:t>
      </w:r>
      <w:r>
        <w:t xml:space="preserve">(CRAT) en raison du risque d’arthropathie animale juvénile — préférer fosfomycine, céphalosporine, ou pénicilline. Les FQ en collyre restent compatibles (passage systémique négligeable).</w:t>
      </w:r>
    </w:p>
    <w:p>
      <w:pPr>
        <w:numPr>
          <w:ilvl w:val="0"/>
          <w:numId w:val="1321"/>
        </w:numPr>
      </w:pPr>
      <w:r>
        <w:rPr>
          <w:b/>
          <w:bCs/>
        </w:rPr>
        <w:t xml:space="preserve">Les FQ en collyre sont un excellent choix pour les conjonctivites bactériennes</w:t>
      </w:r>
      <w:r>
        <w:t xml:space="preserve"> </w:t>
      </w:r>
      <w:r>
        <w:t xml:space="preserve">: spectre large, bonne diffusion cornéenne, tolérance locale correcte. Attention à la durée maximale (7 j), au retrait des lentilles (conservateur chlorure de benzalkonium) et à l’interdiction d’utilisation auriculaire en cas de tympan perforé (ototoxicité).</w:t>
      </w:r>
    </w:p>
    <w:p>
      <w:pPr>
        <w:numPr>
          <w:ilvl w:val="0"/>
          <w:numId w:val="1321"/>
        </w:numPr>
      </w:pPr>
      <w:r>
        <w:rPr>
          <w:b/>
          <w:bCs/>
        </w:rPr>
        <w:t xml:space="preserve">Les FQ ophtalmologiques modernes (besifloxacine, gatifloxacine) supplantent les anciennes</w:t>
      </w:r>
      <w:r>
        <w:t xml:space="preserve"> </w:t>
      </w:r>
      <w:r>
        <w:t xml:space="preserve">(ciprofloxacine, norfloxacine) pour les infections sévères ou à germes résistants, grâce à une meilleure couverture du pneumocoque et du staphylocoque. La besifloxacine offre une activité unique sur le MRSA.</w:t>
      </w:r>
    </w:p>
    <w:p>
      <w:pPr>
        <w:numPr>
          <w:ilvl w:val="0"/>
          <w:numId w:val="1321"/>
        </w:numPr>
      </w:pPr>
      <w:r>
        <w:rPr>
          <w:b/>
          <w:bCs/>
        </w:rPr>
        <w:t xml:space="preserve">L’ofloxacine systémique est en déclin</w:t>
      </w:r>
      <w:r>
        <w:t xml:space="preserve"> </w:t>
      </w:r>
      <w:r>
        <w:t xml:space="preserve">(la plupart des marques Non Renouvelables en Algérie) au profit de la lévofloxacine (isomère actif S, plus puissant). Les collyres d’ofloxacine restent largement disponibles.</w:t>
      </w:r>
    </w:p>
    <w:p>
      <w:pPr>
        <w:numPr>
          <w:ilvl w:val="0"/>
          <w:numId w:val="1321"/>
        </w:numPr>
      </w:pPr>
      <w:r>
        <w:rPr>
          <w:b/>
          <w:bCs/>
        </w:rPr>
        <w:t xml:space="preserve">La péfloxacine, dont les marques sont Non Renouvelables, reste d’intérêt historique</w:t>
      </w:r>
      <w:r>
        <w:t xml:space="preserve"> </w:t>
      </w:r>
      <w:r>
        <w:t xml:space="preserve">pour ses diffusions méningée et biliaire remarquables, mais sa photosensibilité majeure et le déficit G6PD (CI) en limitent l’usage. À substituer par ciprofloxacine.</w:t>
      </w:r>
    </w:p>
    <w:p>
      <w:pPr>
        <w:numPr>
          <w:ilvl w:val="0"/>
          <w:numId w:val="1321"/>
        </w:numPr>
      </w:pPr>
      <w:r>
        <w:rPr>
          <w:b/>
          <w:bCs/>
        </w:rPr>
        <w:t xml:space="preserve">L’association ofloxacine + dexaméthasone (CORONOL PLUS) impose une vigilance particulière</w:t>
      </w:r>
      <w:r>
        <w:t xml:space="preserve"> </w:t>
      </w:r>
      <w:r>
        <w:t xml:space="preserve">: éliminer formellement un herpès oculaire avant prescription, surveiller la PIO au-delà de 7 j, ne pas prolonger au-delà de 14 j (glaucome cortico-induit, cataracte sous-capsulaire postérieure).</w:t>
      </w:r>
    </w:p>
    <w:bookmarkStart w:id="166" w:name="règle-dor-finale"/>
    <w:p>
      <w:pPr>
        <w:pStyle w:val="Heading3"/>
      </w:pPr>
      <w:r>
        <w:t xml:space="preserve">Règle d’or finale</w:t>
      </w:r>
    </w:p>
    <w:p>
      <w:pPr>
        <w:pStyle w:val="BlockText"/>
      </w:pPr>
      <w:r>
        <w:rPr>
          <w:b/>
          <w:bCs/>
        </w:rPr>
        <w:t xml:space="preserve">« Toute prescription de fluoroquinolone systémique doit être réévaluée : nécessité, durée, terrain (âge, corticothérapie, diabète, insuffisance cardiaque/rénale, grossesse), interactions médicamenteuses (cations, théophylline, QT long), information patient sur la douleur tendineuse. En cas de doute, appeler le prescripteur. »</w:t>
      </w:r>
    </w:p>
    <w:p>
      <w:r>
        <w:pict>
          <v:rect style="width:0;height:1.5pt" o:hralign="center" o:hrstd="t" o:hr="t"/>
        </w:pict>
      </w:r>
    </w:p>
    <w:p>
      <w:pPr>
        <w:pStyle w:val="FirstParagraph"/>
      </w:pPr>
      <w:r>
        <w:rPr>
          <w:i/>
          <w:iCs/>
        </w:rPr>
        <w:t xml:space="preserve">Sources mobilisées : VIDAL, ANSM (RCP et recommandations 2017–2019), Thériaque, CRAT (Centre de Renseignement sur les Agents Tératogènes), UpToDate, Micromedex, EMA (évaluation des FQ 2017), SPILF/SPLF (recommandations pneumopathies), OMS (guide tuberculose MDR/XDR), HAS (bon usage des antibiotiques).</w:t>
      </w:r>
    </w:p>
    <w:p>
      <w:r>
        <w:pict>
          <v:rect style="width:0;height:1.5pt" o:hralign="center" o:hrstd="t" o:hr="t"/>
        </w:pict>
      </w:r>
    </w:p>
    <w:bookmarkEnd w:id="166"/>
    <w:bookmarkEnd w:id="167"/>
    <w:bookmarkEnd w:id="168"/>
    <w:bookmarkStart w:id="192" w:name="Xd0093efcbfd09d2c96602d4267aceb2fb490f90"/>
    <w:p>
      <w:pPr>
        <w:pStyle w:val="Heading1"/>
      </w:pPr>
      <w:r>
        <w:t xml:space="preserve">Section 6 – Sulfamides-Antifoliques, Nitro-imidazolés et Nitrofuranes</w:t>
      </w:r>
    </w:p>
    <w:p>
      <w:pPr>
        <w:pStyle w:val="BlockText"/>
      </w:pPr>
      <w:r>
        <w:rPr>
          <w:b/>
          <w:bCs/>
        </w:rPr>
        <w:t xml:space="preserve">Périmètre :</w:t>
      </w:r>
      <w:r>
        <w:t xml:space="preserve"> </w:t>
      </w:r>
      <w:r>
        <w:t xml:space="preserve">13 DCI réparties en 4 sous-classes — Sulfamides-Antifoliques (5 DCI), Nitro-imidazolés systémiques (4 DCI), Nitro-imidazolés en associations gynécologiques locales (2 DCI), Nitrofuranes (2 DCI).</w:t>
      </w:r>
    </w:p>
    <w:p>
      <w:pPr>
        <w:pStyle w:val="BlockText"/>
      </w:pPr>
      <w:r>
        <w:rPr>
          <w:b/>
          <w:bCs/>
        </w:rPr>
        <w:t xml:space="preserve">Fil conducteur :</w:t>
      </w:r>
      <w:r>
        <w:t xml:space="preserve"> </w:t>
      </w:r>
      <w:r>
        <w:t xml:space="preserve">Ces antibiotiques partagent la particularité d’être des</w:t>
      </w:r>
      <w:r>
        <w:t xml:space="preserve"> </w:t>
      </w:r>
      <w:r>
        <w:rPr>
          <w:b/>
          <w:bCs/>
        </w:rPr>
        <w:t xml:space="preserve">prodrogues activées à l’intérieur de la cible</w:t>
      </w:r>
      <w:r>
        <w:t xml:space="preserve"> </w:t>
      </w:r>
      <w:r>
        <w:t xml:space="preserve">(bactérie, protozoaire) par des enzymes bactériennes ou parasites, et non des inhibiteurs directes de cibles extracellulaires. Cette activation bio-réductive explique leur spectre d’action particulier (anaérobies, protozoaires), leurs EI communs (radicaux libres, atteintes neurologiques) et leurs indications spécifiques (infections urogénitales à protozoaires, infections à anaérobies, diarrhées bactériennes, pneumocystose). En Algérie, le cotrimoxazole et le métronidazole figurent parmi les antibiotiques les plus prescrits et la sensibilisation aux pièges (grossesse, alcool, hyperkaliémie, polymédication AVK/IEC) est essentielle au comptoir.</w:t>
      </w:r>
    </w:p>
    <w:p>
      <w:r>
        <w:pict>
          <v:rect style="width:0;height:1.5pt" o:hralign="center" o:hrstd="t" o:hr="t"/>
        </w:pict>
      </w:r>
    </w:p>
    <w:bookmarkStart w:id="175" w:name="sous-classe-sulfamides-antifoliques"/>
    <w:p>
      <w:pPr>
        <w:pStyle w:val="Heading2"/>
      </w:pPr>
      <w:r>
        <w:t xml:space="preserve">6.1. Sous-classe : Sulfamides-Antifoliques</w:t>
      </w:r>
    </w:p>
    <w:bookmarkStart w:id="169" w:name="introduction-à-la-sous-classe"/>
    <w:p>
      <w:pPr>
        <w:pStyle w:val="Heading3"/>
      </w:pPr>
      <w:r>
        <w:t xml:space="preserve">6.1.1. Introduction à la sous-classe</w:t>
      </w:r>
    </w:p>
    <w:p>
      <w:pPr>
        <w:pStyle w:val="FirstParagraph"/>
      </w:pPr>
      <w:r>
        <w:t xml:space="preserve">Les sulfamides antibactériens sont les</w:t>
      </w:r>
      <w:r>
        <w:t xml:space="preserve"> </w:t>
      </w:r>
      <w:r>
        <w:rPr>
          <w:b/>
          <w:bCs/>
        </w:rPr>
        <w:t xml:space="preserve">premiers antibiotiques de synthèse</w:t>
      </w:r>
      <w:r>
        <w:t xml:space="preserve"> </w:t>
      </w:r>
      <w:r>
        <w:t xml:space="preserve">de l’histoire médicale, introduits dès 1935 par Gerhard Domagk (Prontosil® rouge, prodrogue azoïque libérant le sulfamidochrome</w:t>
      </w:r>
      <w:r>
        <w:t xml:space="preserve"> </w:t>
      </w:r>
      <w:r>
        <w:rPr>
          <w:i/>
          <w:iCs/>
        </w:rPr>
        <w:t xml:space="preserve">in vivo</w:t>
      </w:r>
      <w:r>
        <w:t xml:space="preserve">). Cette découverte a révolutionné la médecine infectieuse avant l’ère de la pénicilline, et a valu à Domagk le prix Nobel de physiologie ou médecine en 1939. La structure de base — noyau</w:t>
      </w:r>
      <w:r>
        <w:t xml:space="preserve"> </w:t>
      </w:r>
      <w:r>
        <w:rPr>
          <w:b/>
          <w:bCs/>
        </w:rPr>
        <w:t xml:space="preserve">sulfanilamide</w:t>
      </w:r>
      <w:r>
        <w:t xml:space="preserve"> </w:t>
      </w:r>
      <w:r>
        <w:t xml:space="preserve">mimant l’acide para-aminobenzoïque (PABA) — reste le motif pharmacophore de toute la classe.</w:t>
      </w:r>
    </w:p>
    <w:p>
      <w:pPr>
        <w:pStyle w:val="BodyText"/>
      </w:pPr>
      <w:r>
        <w:t xml:space="preserve">Les sulfamides agissent en</w:t>
      </w:r>
      <w:r>
        <w:t xml:space="preserve"> </w:t>
      </w:r>
      <w:r>
        <w:rPr>
          <w:b/>
          <w:bCs/>
        </w:rPr>
        <w:t xml:space="preserve">inhibant la dihydroptéroate synthase (DHPS)</w:t>
      </w:r>
      <w:r>
        <w:t xml:space="preserve">, enzyme bactérienne catalysant la condensation du PABA avec la dihydroptéridine pour former l’acide dihydroptéroique, précurseur de l’acide folique. Cette inhibition est</w:t>
      </w:r>
      <w:r>
        <w:t xml:space="preserve"> </w:t>
      </w:r>
      <w:r>
        <w:rPr>
          <w:b/>
          <w:bCs/>
        </w:rPr>
        <w:t xml:space="preserve">bactériostatique</w:t>
      </w:r>
      <w:r>
        <w:t xml:space="preserve"> </w:t>
      </w:r>
      <w:r>
        <w:t xml:space="preserve">et competitif avec le PABA. Le triméthoprime, diaminopyrimidine ajoutée en association synergique, inhibe séquentiellement la</w:t>
      </w:r>
      <w:r>
        <w:t xml:space="preserve"> </w:t>
      </w:r>
      <w:r>
        <w:rPr>
          <w:b/>
          <w:bCs/>
        </w:rPr>
        <w:t xml:space="preserve">dihydrofolate réductase (DHFR)</w:t>
      </w:r>
      <w:r>
        <w:t xml:space="preserve"> </w:t>
      </w:r>
      <w:r>
        <w:t xml:space="preserve">bactérienne (blocage de la conversion du dihydrofolate en tétrahydrofolate, cofacteur de la synthèse des purines, pyrimidines et acides aminés). L’association</w:t>
      </w:r>
      <w:r>
        <w:t xml:space="preserve"> </w:t>
      </w:r>
      <w:r>
        <w:rPr>
          <w:b/>
          <w:bCs/>
        </w:rPr>
        <w:t xml:space="preserve">sulfaméthoxazole/triméthoprime (cotrimoxazole, ratio 5:1)</w:t>
      </w:r>
      <w:r>
        <w:t xml:space="preserve"> </w:t>
      </w:r>
      <w:r>
        <w:t xml:space="preserve">bloque donc</w:t>
      </w:r>
      <w:r>
        <w:t xml:space="preserve"> </w:t>
      </w:r>
      <w:r>
        <w:rPr>
          <w:b/>
          <w:bCs/>
        </w:rPr>
        <w:t xml:space="preserve">deux étapes successives de la voie de synthèse des folates</w:t>
      </w:r>
      <w:r>
        <w:t xml:space="preserve">, produisant une synergie bactéricide (concentration minimale bactéricide ≈ CMI), une réduction du risque de mutants résistants et un spectre élargi.</w:t>
      </w:r>
    </w:p>
    <w:p>
      <w:pPr>
        <w:pStyle w:val="BodyText"/>
      </w:pPr>
      <w:r>
        <w:t xml:space="preserve">La sous-classe se décline en Algérie en plusieurs entités distinctes :</w:t>
      </w:r>
      <w:r>
        <w:t xml:space="preserve"> </w:t>
      </w:r>
      <w:r>
        <w:t xml:space="preserve">-</w:t>
      </w:r>
      <w:r>
        <w:t xml:space="preserve"> </w:t>
      </w:r>
      <w:r>
        <w:rPr>
          <w:b/>
          <w:bCs/>
        </w:rPr>
        <w:t xml:space="preserve">Cotrimoxazole</w:t>
      </w:r>
      <w:r>
        <w:t xml:space="preserve"> </w:t>
      </w:r>
      <w:r>
        <w:t xml:space="preserve">(sulfaméthoxazole + triméthoprime) — usage systémique large (PCP, toxoplasmose, IU, infections ORL).</w:t>
      </w:r>
      <w:r>
        <w:t xml:space="preserve"> </w:t>
      </w:r>
      <w:r>
        <w:t xml:space="preserve">-</w:t>
      </w:r>
      <w:r>
        <w:t xml:space="preserve"> </w:t>
      </w:r>
      <w:r>
        <w:rPr>
          <w:b/>
          <w:bCs/>
        </w:rPr>
        <w:t xml:space="preserve">Sulfadiazine</w:t>
      </w:r>
      <w:r>
        <w:t xml:space="preserve"> </w:t>
      </w:r>
      <w:r>
        <w:t xml:space="preserve">— usage historique majeur dans la toxoplasmose congénitale et cérébrale (avec pyriméthamine).</w:t>
      </w:r>
      <w:r>
        <w:t xml:space="preserve"> </w:t>
      </w:r>
      <w:r>
        <w:t xml:space="preserve">-</w:t>
      </w:r>
      <w:r>
        <w:t xml:space="preserve"> </w:t>
      </w:r>
      <w:r>
        <w:rPr>
          <w:b/>
          <w:bCs/>
        </w:rPr>
        <w:t xml:space="preserve">Sulfadiazine argentique</w:t>
      </w:r>
      <w:r>
        <w:t xml:space="preserve"> </w:t>
      </w:r>
      <w:r>
        <w:t xml:space="preserve">— usage topique exclusif en</w:t>
      </w:r>
      <w:r>
        <w:t xml:space="preserve"> </w:t>
      </w:r>
      <w:r>
        <w:rPr>
          <w:b/>
          <w:bCs/>
        </w:rPr>
        <w:t xml:space="preserve">brûlures</w:t>
      </w:r>
      <w:r>
        <w:t xml:space="preserve"> </w:t>
      </w:r>
      <w:r>
        <w:t xml:space="preserve">(libération d’argent + sulfadiazine, action bactéricide large spectre).</w:t>
      </w:r>
      <w:r>
        <w:t xml:space="preserve"> </w:t>
      </w:r>
      <w:r>
        <w:t xml:space="preserve">-</w:t>
      </w:r>
      <w:r>
        <w:t xml:space="preserve"> </w:t>
      </w:r>
      <w:r>
        <w:rPr>
          <w:b/>
          <w:bCs/>
        </w:rPr>
        <w:t xml:space="preserve">Sulfacétamide</w:t>
      </w:r>
      <w:r>
        <w:t xml:space="preserve"> </w:t>
      </w:r>
      <w:r>
        <w:t xml:space="preserve">— usage ophtalmique (voire nasale), souvent en association.</w:t>
      </w:r>
      <w:r>
        <w:t xml:space="preserve"> </w:t>
      </w:r>
      <w:r>
        <w:t xml:space="preserve">-</w:t>
      </w:r>
      <w:r>
        <w:t xml:space="preserve"> </w:t>
      </w:r>
      <w:r>
        <w:rPr>
          <w:b/>
          <w:bCs/>
        </w:rPr>
        <w:t xml:space="preserve">Salazosulfapyridine (sulfasalazine)</w:t>
      </w:r>
      <w:r>
        <w:t xml:space="preserve"> </w:t>
      </w:r>
      <w:r>
        <w:t xml:space="preserve">— prodrogue colique libérant</w:t>
      </w:r>
      <w:r>
        <w:t xml:space="preserve"> </w:t>
      </w:r>
      <w:r>
        <w:rPr>
          <w:b/>
          <w:bCs/>
        </w:rPr>
        <w:t xml:space="preserve">5-ASA (mésalazine)</w:t>
      </w:r>
      <w:r>
        <w:t xml:space="preserve"> </w:t>
      </w:r>
      <w:r>
        <w:t xml:space="preserve">et sulfapyridine ; usage anti-inflammatoire (RCH, maladie de Crohn, polyarthrite rhumatoïde).</w:t>
      </w:r>
    </w:p>
    <w:p>
      <w:pPr>
        <w:pStyle w:val="BlockText"/>
      </w:pPr>
      <w:r>
        <w:rPr>
          <w:b/>
          <w:bCs/>
        </w:rPr>
        <w:t xml:space="preserve">Note pédagogique :</w:t>
      </w:r>
      <w:r>
        <w:t xml:space="preserve"> </w:t>
      </w:r>
      <w:r>
        <w:t xml:space="preserve">La sulfasalazine figure dans les sulfamides du fait de sa structure, mais son usage clinique n’est</w:t>
      </w:r>
      <w:r>
        <w:t xml:space="preserve"> </w:t>
      </w:r>
      <w:r>
        <w:rPr>
          <w:b/>
          <w:bCs/>
        </w:rPr>
        <w:t xml:space="preserve">pas antibactérien</w:t>
      </w:r>
      <w:r>
        <w:t xml:space="preserve">. Elle illustre le concept de prodrogue ciblée sur le côlon et de clivage bactérien (azoreductases). Le pharmacien doit savoir qu’elle n’est PAS un antibiotique au sens strict, malgré sa présence dans cette section.</w:t>
      </w:r>
    </w:p>
    <w:p>
      <w:pPr>
        <w:pStyle w:val="FirstParagraph"/>
      </w:pPr>
      <w:r>
        <w:rPr>
          <w:b/>
          <w:bCs/>
        </w:rPr>
        <w:t xml:space="preserve">Résistance acquise :</w:t>
      </w:r>
      <w:r>
        <w:t xml:space="preserve"> </w:t>
      </w:r>
      <w:r>
        <w:t xml:space="preserve">mutations chromosomiques sur gènes</w:t>
      </w:r>
      <w:r>
        <w:t xml:space="preserve"> </w:t>
      </w:r>
      <w:r>
        <w:rPr>
          <w:i/>
          <w:iCs/>
        </w:rPr>
        <w:t xml:space="preserve">sul1/sul2/sul3</w:t>
      </w:r>
      <w:r>
        <w:t xml:space="preserve"> </w:t>
      </w:r>
      <w:r>
        <w:t xml:space="preserve">(DHPS plasmidique alternative) et</w:t>
      </w:r>
      <w:r>
        <w:t xml:space="preserve"> </w:t>
      </w:r>
      <w:r>
        <w:rPr>
          <w:i/>
          <w:iCs/>
        </w:rPr>
        <w:t xml:space="preserve">dfrA/dfrB</w:t>
      </w:r>
      <w:r>
        <w:t xml:space="preserve"> </w:t>
      </w:r>
      <w:r>
        <w:t xml:space="preserve">(DHFR plasmidique alternative) — fréquentes chez les entérobactéries. La</w:t>
      </w:r>
      <w:r>
        <w:t xml:space="preserve"> </w:t>
      </w:r>
      <w:r>
        <w:rPr>
          <w:i/>
          <w:iCs/>
        </w:rPr>
        <w:t xml:space="preserve">Pneumocystis jirovecii</w:t>
      </w:r>
      <w:r>
        <w:t xml:space="preserve"> </w:t>
      </w:r>
      <w:r>
        <w:t xml:space="preserve">ne présente pas de résistance transmissible à ce jour en Algérie (résistance aux sulfamides = préoccupation majeure en prophylaxie primaire du VIH).</w:t>
      </w:r>
    </w:p>
    <w:p>
      <w:r>
        <w:pict>
          <v:rect style="width:0;height:1.5pt" o:hralign="center" o:hrstd="t" o:hr="t"/>
        </w:pict>
      </w:r>
    </w:p>
    <w:bookmarkEnd w:id="169"/>
    <w:bookmarkStart w:id="170" w:name="X11b5673dbd77dc4879584520d817fe0cb8ecacd"/>
    <w:p>
      <w:pPr>
        <w:pStyle w:val="Heading3"/>
      </w:pPr>
      <w:r>
        <w:t xml:space="preserve">6.1.2. DCI : Sulfaméthoxazole + Triméthoprime (Cotrimoxazole) — En Association</w:t>
      </w:r>
    </w:p>
    <w:p>
      <w:pPr>
        <w:pStyle w:val="FirstParagraph"/>
      </w:pPr>
      <w:r>
        <w:rPr>
          <w:b/>
          <w:bCs/>
        </w:rPr>
        <w:t xml:space="preserve">Liste des Catégories :</w:t>
      </w:r>
      <w:r>
        <w:t xml:space="preserve"> </w:t>
      </w:r>
      <w:r>
        <w:t xml:space="preserve">Antibiotique ; Antibactérien systémique ; Sulfamide-antifolique ; Association bactéricide séquentielle ; J01EE01.</w:t>
      </w:r>
    </w:p>
    <w:p>
      <w:pPr>
        <w:pStyle w:val="BodyText"/>
      </w:pPr>
      <w:r>
        <w:t xml:space="preserve">Le cotrimoxazole (SMX/TMP) est l’antibiotique de référence pour plusieurs indications spécifiques où il conserve une place incontestée : pneumocystose pulmonaire (PCP), toxoplasmose cérébrale (prophylaxie secondaire), certaines infections urinaires récidivantes et certaines infections à</w:t>
      </w:r>
      <w:r>
        <w:t xml:space="preserve"> </w:t>
      </w:r>
      <w:r>
        <w:rPr>
          <w:i/>
          <w:iCs/>
        </w:rPr>
        <w:t xml:space="preserve">Stenotrophomonas maltophilia</w:t>
      </w:r>
      <w:r>
        <w:t xml:space="preserve">. Sa large diffusion tissulaire, son passage méningé, son coût modeste et sa bonne biodisponibilité orale (≈ 90 %) en font un antibiotique de choix dans le contexte algérien, à condition de maîtriser ses pièges : hyperkaliémie (surtout chez le sujet âgé sous IEC/AINS/ARN), interaction avec les AVK (potentialisation majeure), cristallurie, syndrome de Stevens-Johnson/Lyell (rash impose ARRÊT IMMÉDIAT) et déficit en G6PD (hémolyse).</w:t>
      </w:r>
    </w:p>
    <w:p>
      <w:pPr>
        <w:pStyle w:val="BodyText"/>
      </w:pPr>
      <w:r>
        <w:rPr>
          <w:b/>
          <w:bCs/>
        </w:rPr>
        <w:t xml:space="preserve">Médicaments disponibles en Algérie (Marques, Laboratoires, Formes et Dosages) :</w:t>
      </w:r>
    </w:p>
    <w:p>
      <w:pPr>
        <w:pStyle w:val="BodyText"/>
      </w:pPr>
      <w:r>
        <w:rPr>
          <w:i/>
          <w:iCs/>
        </w:rPr>
        <w:t xml:space="preserve">Formes orales comprimés :</w:t>
      </w:r>
      <w:r>
        <w:t xml:space="preserve"> </w:t>
      </w:r>
      <w:r>
        <w:t xml:space="preserve">-</w:t>
      </w:r>
      <w:r>
        <w:t xml:space="preserve"> </w:t>
      </w:r>
      <w:r>
        <w:rPr>
          <w:b/>
          <w:bCs/>
        </w:rPr>
        <w:t xml:space="preserve">COTRIMOXAL</w:t>
      </w:r>
      <w:r>
        <w:t xml:space="preserve"> </w:t>
      </w:r>
      <w:r>
        <w:t xml:space="preserve">(SOPHAL)</w:t>
      </w:r>
      <w:r>
        <w:t xml:space="preserve"> </w:t>
      </w:r>
      <w:r>
        <w:t xml:space="preserve">- Formes et Dosages : Cp 400 mg/80 mg (B/20) ; Cp sécable « Forte » 800 mg/160 mg (B/20)</w:t>
      </w:r>
      <w:r>
        <w:t xml:space="preserve"> </w:t>
      </w:r>
      <w:r>
        <w:t xml:space="preserve">- Statut : Actif</w:t>
      </w:r>
      <w:r>
        <w:t xml:space="preserve"> </w:t>
      </w:r>
      <w:r>
        <w:t xml:space="preserve">-</w:t>
      </w:r>
      <w:r>
        <w:t xml:space="preserve"> </w:t>
      </w:r>
      <w:r>
        <w:rPr>
          <w:b/>
          <w:bCs/>
        </w:rPr>
        <w:t xml:space="preserve">PRIMAZOL</w:t>
      </w:r>
      <w:r>
        <w:t xml:space="preserve"> </w:t>
      </w:r>
      <w:r>
        <w:t xml:space="preserve">(GROUPE SAIDAL)</w:t>
      </w:r>
      <w:r>
        <w:t xml:space="preserve"> </w:t>
      </w:r>
      <w:r>
        <w:t xml:space="preserve">- Formes et Dosages : Cp 400 mg/80 mg (B/20)</w:t>
      </w:r>
      <w:r>
        <w:t xml:space="preserve"> </w:t>
      </w:r>
      <w:r>
        <w:t xml:space="preserve">- Statut : Actif</w:t>
      </w:r>
      <w:r>
        <w:t xml:space="preserve"> </w:t>
      </w:r>
      <w:r>
        <w:t xml:space="preserve">-</w:t>
      </w:r>
      <w:r>
        <w:t xml:space="preserve"> </w:t>
      </w:r>
      <w:r>
        <w:rPr>
          <w:b/>
          <w:bCs/>
        </w:rPr>
        <w:t xml:space="preserve">PRIMAZOL FORTE</w:t>
      </w:r>
      <w:r>
        <w:t xml:space="preserve"> </w:t>
      </w:r>
      <w:r>
        <w:t xml:space="preserve">(SOLUPHARM SARL)</w:t>
      </w:r>
      <w:r>
        <w:t xml:space="preserve"> </w:t>
      </w:r>
      <w:r>
        <w:t xml:space="preserve">- Formes et Dosages : Cp 800 mg/160 mg (B/10)</w:t>
      </w:r>
      <w:r>
        <w:t xml:space="preserve"> </w:t>
      </w:r>
      <w:r>
        <w:t xml:space="preserve">- Statut : Retiré (R)</w:t>
      </w:r>
    </w:p>
    <w:p>
      <w:pPr>
        <w:pStyle w:val="BodyText"/>
      </w:pPr>
      <w:r>
        <w:rPr>
          <w:i/>
          <w:iCs/>
        </w:rPr>
        <w:t xml:space="preserve">Formes orales suspensions buvables pédiatriques :</w:t>
      </w:r>
      <w:r>
        <w:t xml:space="preserve"> </w:t>
      </w:r>
      <w:r>
        <w:t xml:space="preserve">-</w:t>
      </w:r>
      <w:r>
        <w:t xml:space="preserve"> </w:t>
      </w:r>
      <w:r>
        <w:rPr>
          <w:b/>
          <w:bCs/>
        </w:rPr>
        <w:t xml:space="preserve">BACTISOL</w:t>
      </w:r>
      <w:r>
        <w:t xml:space="preserve"> </w:t>
      </w:r>
      <w:r>
        <w:t xml:space="preserve">(AFROPHARM SPA) — Susp. buv. 200 mg/40 mg/5 mL (flacon 100 mL + cuillère-mesure 5 mL) — Actif</w:t>
      </w:r>
      <w:r>
        <w:t xml:space="preserve"> </w:t>
      </w:r>
      <w:r>
        <w:t xml:space="preserve">-</w:t>
      </w:r>
      <w:r>
        <w:t xml:space="preserve"> </w:t>
      </w:r>
      <w:r>
        <w:rPr>
          <w:b/>
          <w:bCs/>
        </w:rPr>
        <w:t xml:space="preserve">COTRIM</w:t>
      </w:r>
      <w:r>
        <w:t xml:space="preserve"> </w:t>
      </w:r>
      <w:r>
        <w:t xml:space="preserve">(SARL GROUPE SANTE) — Susp. buv. 200 mg/40 mg/5 mL (flacon 100 mL) — Actif</w:t>
      </w:r>
      <w:r>
        <w:t xml:space="preserve"> </w:t>
      </w:r>
      <w:r>
        <w:t xml:space="preserve">-</w:t>
      </w:r>
      <w:r>
        <w:t xml:space="preserve"> </w:t>
      </w:r>
      <w:r>
        <w:rPr>
          <w:b/>
          <w:bCs/>
        </w:rPr>
        <w:t xml:space="preserve">COTRIMAZOLE</w:t>
      </w:r>
      <w:r>
        <w:t xml:space="preserve"> </w:t>
      </w:r>
      <w:r>
        <w:t xml:space="preserve">(PHARMAGHREB) — Susp. buv. 200 mg/40 mg/5 mL (flacon 100 mL) — Actif</w:t>
      </w:r>
      <w:r>
        <w:t xml:space="preserve"> </w:t>
      </w:r>
      <w:r>
        <w:t xml:space="preserve">-</w:t>
      </w:r>
      <w:r>
        <w:t xml:space="preserve"> </w:t>
      </w:r>
      <w:r>
        <w:rPr>
          <w:b/>
          <w:bCs/>
        </w:rPr>
        <w:t xml:space="preserve">DIPRIM</w:t>
      </w:r>
      <w:r>
        <w:t xml:space="preserve"> </w:t>
      </w:r>
      <w:r>
        <w:t xml:space="preserve">(PHARMIDAL NS) — Susp. buv. 200 mg/40 mg/5 mL (flacon 10 mL + goblet doseur) — Actif</w:t>
      </w:r>
    </w:p>
    <w:p>
      <w:pPr>
        <w:pStyle w:val="BodyText"/>
      </w:pPr>
      <w:r>
        <w:rPr>
          <w:i/>
          <w:iCs/>
        </w:rPr>
        <w:t xml:space="preserve">Formes injectables :</w:t>
      </w:r>
      <w:r>
        <w:t xml:space="preserve"> </w:t>
      </w:r>
      <w:r>
        <w:t xml:space="preserve">-</w:t>
      </w:r>
      <w:r>
        <w:t xml:space="preserve"> </w:t>
      </w:r>
      <w:r>
        <w:rPr>
          <w:b/>
          <w:bCs/>
        </w:rPr>
        <w:t xml:space="preserve">C-ZOLE</w:t>
      </w:r>
      <w:r>
        <w:t xml:space="preserve"> </w:t>
      </w:r>
      <w:r>
        <w:t xml:space="preserve">(SWISS PARENTERALS PVT. LTD.) — Sol. inj. pour perf. IV 80 mg/400 mg par ampoule de 5 mL (16 mg/mL TMP / 80 mg/mL SMX) (B/10 amp de 5 mL) — Actif</w:t>
      </w:r>
    </w:p>
    <w:p>
      <w:pPr>
        <w:pStyle w:val="BodyText"/>
      </w:pPr>
      <w:r>
        <w:rPr>
          <w:i/>
          <w:iCs/>
        </w:rPr>
        <w:t xml:space="preserve">Marques retirées (R) — à connaître pour la pharmacovigilance historique :</w:t>
      </w:r>
      <w:r>
        <w:t xml:space="preserve"> </w:t>
      </w:r>
      <w:r>
        <w:t xml:space="preserve">- BACTRIM (ROCHE) — Susp. buv. + Cp 400/80 + Cp 800/160 — Retiré</w:t>
      </w:r>
      <w:r>
        <w:t xml:space="preserve"> </w:t>
      </w:r>
      <w:r>
        <w:t xml:space="preserve">- BACTEKOD / BACTEKOD FORT (BIOGALENIQUE) — Retiré</w:t>
      </w:r>
      <w:r>
        <w:t xml:space="preserve"> </w:t>
      </w:r>
      <w:r>
        <w:t xml:space="preserve">- BALKATRINE (ARAB PHARM MANUFACTURING) — Retiré</w:t>
      </w:r>
      <w:r>
        <w:t xml:space="preserve"> </w:t>
      </w:r>
      <w:r>
        <w:t xml:space="preserve">- CIPLIN (CIPLA LIMITED) — Retiré</w:t>
      </w:r>
      <w:r>
        <w:t xml:space="preserve"> </w:t>
      </w:r>
      <w:r>
        <w:t xml:space="preserve">- CO-TRIMOXAZOLE (ECOBI) — Retiré</w:t>
      </w:r>
      <w:r>
        <w:t xml:space="preserve"> </w:t>
      </w:r>
      <w:r>
        <w:t xml:space="preserve">- COTRIM ADULTE (GROUPE SANTE) — Retiré</w:t>
      </w:r>
      <w:r>
        <w:t xml:space="preserve"> </w:t>
      </w:r>
      <w:r>
        <w:t xml:space="preserve">- CORTIMAZOL FORT-RATIOPHARM (LAFON RATIOPHARM) — Retiré</w:t>
      </w:r>
      <w:r>
        <w:t xml:space="preserve"> </w:t>
      </w:r>
      <w:r>
        <w:t xml:space="preserve">- GETRIM / GETRIM FORT (ARAB PHARM) — Non Renouvelable</w:t>
      </w:r>
      <w:r>
        <w:t xml:space="preserve"> </w:t>
      </w:r>
      <w:r>
        <w:t xml:space="preserve">- GROPRIM (GROSMANN) — Retiré</w:t>
      </w:r>
      <w:r>
        <w:t xml:space="preserve"> </w:t>
      </w:r>
      <w:r>
        <w:t xml:space="preserve">- NORTRIME (JORDANIAN PHARM MANUFACTURING) — Retiré</w:t>
      </w:r>
      <w:r>
        <w:t xml:space="preserve"> </w:t>
      </w:r>
      <w:r>
        <w:t xml:space="preserve">- PRIMOTREN (LEK) — Retiré</w:t>
      </w:r>
      <w:r>
        <w:t xml:space="preserve"> </w:t>
      </w:r>
      <w:r>
        <w:t xml:space="preserve">- PURBAC / PURBAC PEDIATRIC (PHARMACARE LIMITED) — Retiré</w:t>
      </w:r>
      <w:r>
        <w:t xml:space="preserve"> </w:t>
      </w:r>
      <w:r>
        <w:t xml:space="preserve">- SULPRIM (HIKMA PHARMACEUTICALS) — Non Renouvelable</w:t>
      </w:r>
      <w:r>
        <w:t xml:space="preserve"> </w:t>
      </w:r>
      <w:r>
        <w:t xml:space="preserve">- TRIMIDAR-M (DAR AL DAWA) — Retiré</w:t>
      </w:r>
      <w:r>
        <w:t xml:space="preserve"> </w:t>
      </w:r>
      <w:r>
        <w:t xml:space="preserve">- TRIMOSUL (HEMOFARM) — Retiré</w:t>
      </w:r>
      <w:r>
        <w:t xml:space="preserve"> </w:t>
      </w:r>
      <w:r>
        <w:t xml:space="preserve">- TRIZOL (MEDICUBA) — Retiré</w:t>
      </w:r>
      <w:r>
        <w:t xml:space="preserve"> </w:t>
      </w:r>
      <w:r>
        <w:t xml:space="preserve">- SULTRIM (ALPHARM SPA) — Retiré</w:t>
      </w:r>
      <w:r>
        <w:t xml:space="preserve"> </w:t>
      </w:r>
      <w:r>
        <w:t xml:space="preserve">- ALPHATRIM (ALEPPO PHARM INDUSTRIE) — Retiré</w:t>
      </w:r>
      <w:r>
        <w:t xml:space="preserve"> </w:t>
      </w:r>
      <w:r>
        <w:t xml:space="preserve">- PRIMAZOL SUSP. (SAIDAL) — Non Renouvelable</w:t>
      </w:r>
    </w:p>
    <w:p>
      <w:pPr>
        <w:pStyle w:val="BodyText"/>
      </w:pPr>
      <w:r>
        <w:rPr>
          <w:b/>
          <w:bCs/>
        </w:rPr>
        <w:t xml:space="preserve">Sous-classe et Mécanisme d’action :</w:t>
      </w:r>
      <w:r>
        <w:t xml:space="preserve"> </w:t>
      </w:r>
      <w:r>
        <w:t xml:space="preserve">- Sous-classe : Sulfamide (sulfaméthoxazole, SMX) + diaminopyrimidine (triméthoprime, TMP) — ratio 5:1 (in vitro) et 1:20 (sérum) sélectionné pour optimiser la synergie.</w:t>
      </w:r>
      <w:r>
        <w:t xml:space="preserve"> </w:t>
      </w:r>
      <w:r>
        <w:t xml:space="preserve">- Mécanisme d’action :</w:t>
      </w:r>
      <w:r>
        <w:t xml:space="preserve"> </w:t>
      </w:r>
      <w:r>
        <w:rPr>
          <w:b/>
          <w:bCs/>
        </w:rPr>
        <w:t xml:space="preserve">double blocage séquentiel de la voie des folates</w:t>
      </w:r>
      <w:r>
        <w:t xml:space="preserve"> </w:t>
      </w:r>
      <w:r>
        <w:t xml:space="preserve">:</w:t>
      </w:r>
      <w:r>
        <w:t xml:space="preserve"> </w:t>
      </w:r>
      <w:r>
        <w:t xml:space="preserve">- SMX — analogue structurel du PABA,</w:t>
      </w:r>
      <w:r>
        <w:t xml:space="preserve"> </w:t>
      </w:r>
      <w:r>
        <w:rPr>
          <w:b/>
          <w:bCs/>
        </w:rPr>
        <w:t xml:space="preserve">inhibe compétitivement la DHPS (dihydroptéroate synthase)</w:t>
      </w:r>
      <w:r>
        <w:t xml:space="preserve"> </w:t>
      </w:r>
      <w:r>
        <w:t xml:space="preserve">empêchant la formation du dihydroptéroate → blocage amont de la synthèse de l’acide dihydrofolique (DHF).</w:t>
      </w:r>
      <w:r>
        <w:t xml:space="preserve"> </w:t>
      </w:r>
      <w:r>
        <w:t xml:space="preserve">- TMP — analogue de la ptéridine,</w:t>
      </w:r>
      <w:r>
        <w:t xml:space="preserve"> </w:t>
      </w:r>
      <w:r>
        <w:rPr>
          <w:b/>
          <w:bCs/>
        </w:rPr>
        <w:t xml:space="preserve">inhibe compétitivement la DHFR bactérienne</w:t>
      </w:r>
      <w:r>
        <w:t xml:space="preserve"> </w:t>
      </w:r>
      <w:r>
        <w:t xml:space="preserve">(affinité pour DHFR bactérienne 10 000× &gt; DHFR humaine) empêchant la conversion du DHF en THF (tétrahydrofolate) → blocage aval, privant la bactérie de précurseurs puriques/pyrimidiques (thymidylate) et de plusieurs acides aminés (méthionine, sérine, glycine).</w:t>
      </w:r>
      <w:r>
        <w:t xml:space="preserve"> </w:t>
      </w:r>
      <w:r>
        <w:t xml:space="preserve">- La synergie séquentielle produit un effet</w:t>
      </w:r>
      <w:r>
        <w:t xml:space="preserve"> </w:t>
      </w:r>
      <w:r>
        <w:rPr>
          <w:b/>
          <w:bCs/>
        </w:rPr>
        <w:t xml:space="preserve">bactéricide</w:t>
      </w:r>
      <w:r>
        <w:t xml:space="preserve"> </w:t>
      </w:r>
      <w:r>
        <w:t xml:space="preserve">(et non plus bactériostatique comme chaque molécule seule), avec CMB/CMI ≈ 1-2 et réduction du taux de mutants résistants.</w:t>
      </w:r>
    </w:p>
    <w:p>
      <w:pPr>
        <w:pStyle w:val="BodyText"/>
      </w:pPr>
      <w:r>
        <w:rPr>
          <w:b/>
          <w:bCs/>
        </w:rPr>
        <w:t xml:space="preserve">Profil Pharmacologique :</w:t>
      </w:r>
      <w:r>
        <w:t xml:space="preserve"> </w:t>
      </w:r>
      <w:r>
        <w:t xml:space="preserve">- Indications :</w:t>
      </w:r>
      <w:r>
        <w:t xml:space="preserve"> </w:t>
      </w:r>
      <w:r>
        <w:t xml:space="preserve">-</w:t>
      </w:r>
      <w:r>
        <w:t xml:space="preserve"> </w:t>
      </w:r>
      <w:r>
        <w:rPr>
          <w:b/>
          <w:bCs/>
        </w:rPr>
        <w:t xml:space="preserve">Pneumocystose (Pneumocystis jirovecii)</w:t>
      </w:r>
      <w:r>
        <w:t xml:space="preserve"> </w:t>
      </w:r>
      <w:r>
        <w:t xml:space="preserve">: traitement curatif de première intention (high-dose 15-20 mg/kg/j TMP + 75-100 mg/kg/j SMX en 4 prises pendant 21 j), prophylaxie primaire (CD4 &lt; 200/mm³ chez VIH ; transplantés d’organe ; corticothérapie prolongée &gt; 20 mg/j prednisone équivalent pendant &gt; 4 semaines) et secondaire à vie tant que CD4 &lt; 200.</w:t>
      </w:r>
      <w:r>
        <w:t xml:space="preserve"> </w:t>
      </w:r>
      <w:r>
        <w:t xml:space="preserve">-</w:t>
      </w:r>
      <w:r>
        <w:t xml:space="preserve"> </w:t>
      </w:r>
      <w:r>
        <w:rPr>
          <w:b/>
          <w:bCs/>
        </w:rPr>
        <w:t xml:space="preserve">Toxoplasmose cérébrale</w:t>
      </w:r>
      <w:r>
        <w:t xml:space="preserve"> </w:t>
      </w:r>
      <w:r>
        <w:t xml:space="preserve">: traitement curatif de seconde ligne (après sulfadiazine+pyriméthamine), prophylaxie secondaire (CD4 &lt; 100/mm³).</w:t>
      </w:r>
      <w:r>
        <w:t xml:space="preserve"> </w:t>
      </w:r>
      <w:r>
        <w:t xml:space="preserve">-</w:t>
      </w:r>
      <w:r>
        <w:t xml:space="preserve"> </w:t>
      </w:r>
      <w:r>
        <w:rPr>
          <w:b/>
          <w:bCs/>
        </w:rPr>
        <w:t xml:space="preserve">Infections urinaires</w:t>
      </w:r>
      <w:r>
        <w:t xml:space="preserve"> </w:t>
      </w:r>
      <w:r>
        <w:t xml:space="preserve">: cystites aiguës non compliquées chez femme jeune (alternative nitrofurantoïne/fosfomycine), pyélonéphrites aiguës, prophylaxie au long cours des IU récidivantes (50 mg TMP/j, mais attention résistance croisée TMP-seul).</w:t>
      </w:r>
      <w:r>
        <w:t xml:space="preserve"> </w:t>
      </w:r>
      <w:r>
        <w:t xml:space="preserve">-</w:t>
      </w:r>
      <w:r>
        <w:t xml:space="preserve"> </w:t>
      </w:r>
      <w:r>
        <w:rPr>
          <w:b/>
          <w:bCs/>
        </w:rPr>
        <w:t xml:space="preserve">Infections ORL/pulmonaires</w:t>
      </w:r>
      <w:r>
        <w:t xml:space="preserve"> </w:t>
      </w:r>
      <w:r>
        <w:t xml:space="preserve">: pneumopathies, sinusites, otites — usage à réserver aux situations documentées à germes sensibles (résistance du pneumocoque aux sulfamides &gt; 30 % en Algérie).</w:t>
      </w:r>
      <w:r>
        <w:t xml:space="preserve"> </w:t>
      </w:r>
      <w:r>
        <w:t xml:space="preserve">-</w:t>
      </w:r>
      <w:r>
        <w:t xml:space="preserve"> </w:t>
      </w:r>
      <w:r>
        <w:rPr>
          <w:b/>
          <w:bCs/>
        </w:rPr>
        <w:t xml:space="preserve">Infections à</w:t>
      </w:r>
      <w:r>
        <w:rPr>
          <w:b/>
          <w:bCs/>
        </w:rPr>
        <w:t xml:space="preserve"> </w:t>
      </w:r>
      <w:r>
        <w:rPr>
          <w:b/>
          <w:bCs/>
          <w:i/>
          <w:iCs/>
        </w:rPr>
        <w:t xml:space="preserve">Stenotrophomonas maltophilia</w:t>
      </w:r>
      <w:r>
        <w:t xml:space="preserve"> </w:t>
      </w:r>
      <w:r>
        <w:t xml:space="preserve">(option majeure chez le neutropénique).</w:t>
      </w:r>
      <w:r>
        <w:t xml:space="preserve"> </w:t>
      </w:r>
      <w:r>
        <w:t xml:space="preserve">-</w:t>
      </w:r>
      <w:r>
        <w:t xml:space="preserve"> </w:t>
      </w:r>
      <w:r>
        <w:rPr>
          <w:b/>
          <w:bCs/>
        </w:rPr>
        <w:t xml:space="preserve">Infections à</w:t>
      </w:r>
      <w:r>
        <w:rPr>
          <w:b/>
          <w:bCs/>
        </w:rPr>
        <w:t xml:space="preserve"> </w:t>
      </w:r>
      <w:r>
        <w:rPr>
          <w:b/>
          <w:bCs/>
          <w:i/>
          <w:iCs/>
        </w:rPr>
        <w:t xml:space="preserve">Nocardia</w:t>
      </w:r>
      <w:r>
        <w:t xml:space="preserve"> </w:t>
      </w:r>
      <w:r>
        <w:t xml:space="preserve">(alternative).</w:t>
      </w:r>
      <w:r>
        <w:t xml:space="preserve"> </w:t>
      </w:r>
      <w:r>
        <w:t xml:space="preserve">-</w:t>
      </w:r>
      <w:r>
        <w:t xml:space="preserve"> </w:t>
      </w:r>
      <w:r>
        <w:rPr>
          <w:b/>
          <w:bCs/>
        </w:rPr>
        <w:t xml:space="preserve">Prophylaxie chirurgicale</w:t>
      </w:r>
      <w:r>
        <w:t xml:space="preserve"> </w:t>
      </w:r>
      <w:r>
        <w:t xml:space="preserve">dans certaines situations de transplantation (prévention PCP, toxo).</w:t>
      </w:r>
      <w:r>
        <w:t xml:space="preserve"> </w:t>
      </w:r>
      <w:r>
        <w:t xml:space="preserve">- Contre-indications :</w:t>
      </w:r>
      <w:r>
        <w:t xml:space="preserve"> </w:t>
      </w:r>
      <w:r>
        <w:t xml:space="preserve">-</w:t>
      </w:r>
      <w:r>
        <w:t xml:space="preserve"> </w:t>
      </w:r>
      <w:r>
        <w:rPr>
          <w:b/>
          <w:bCs/>
        </w:rPr>
        <w:t xml:space="preserve">Insuffisance rénale sévère non dialysée</w:t>
      </w:r>
      <w:r>
        <w:t xml:space="preserve"> </w:t>
      </w:r>
      <w:r>
        <w:t xml:space="preserve">(clairance créatinine &lt; 15 mL/min) sans adaptation ;</w:t>
      </w:r>
      <w:r>
        <w:t xml:space="preserve"> </w:t>
      </w:r>
      <w:r>
        <w:t xml:space="preserve">-</w:t>
      </w:r>
      <w:r>
        <w:t xml:space="preserve"> </w:t>
      </w:r>
      <w:r>
        <w:rPr>
          <w:b/>
          <w:bCs/>
        </w:rPr>
        <w:t xml:space="preserve">Déficit en G6PD</w:t>
      </w:r>
      <w:r>
        <w:t xml:space="preserve"> </w:t>
      </w:r>
      <w:r>
        <w:t xml:space="preserve">(risque d’hémolyse aiguë — dépistage systématique si origine méditerranéenne/africaine) ;</w:t>
      </w:r>
      <w:r>
        <w:t xml:space="preserve"> </w:t>
      </w:r>
      <w:r>
        <w:t xml:space="preserve">-</w:t>
      </w:r>
      <w:r>
        <w:t xml:space="preserve"> </w:t>
      </w:r>
      <w:r>
        <w:rPr>
          <w:b/>
          <w:bCs/>
        </w:rPr>
        <w:t xml:space="preserve">Porphyries</w:t>
      </w:r>
      <w:r>
        <w:t xml:space="preserve"> </w:t>
      </w:r>
      <w:r>
        <w:t xml:space="preserve">(SMX est porphyrinogène) ;</w:t>
      </w:r>
      <w:r>
        <w:t xml:space="preserve"> </w:t>
      </w:r>
      <w:r>
        <w:t xml:space="preserve">-</w:t>
      </w:r>
      <w:r>
        <w:t xml:space="preserve"> </w:t>
      </w:r>
      <w:r>
        <w:rPr>
          <w:b/>
          <w:bCs/>
        </w:rPr>
        <w:t xml:space="preserve">Premier trimestre de grossesse</w:t>
      </w:r>
      <w:r>
        <w:t xml:space="preserve"> </w:t>
      </w:r>
      <w:r>
        <w:t xml:space="preserve">(anti-folique → tératogénicité, syndrome de Lennox-Wastfeld-like) ;</w:t>
      </w:r>
      <w:r>
        <w:t xml:space="preserve"> </w:t>
      </w:r>
      <w:r>
        <w:t xml:space="preserve">-</w:t>
      </w:r>
      <w:r>
        <w:t xml:space="preserve"> </w:t>
      </w:r>
      <w:r>
        <w:rPr>
          <w:b/>
          <w:bCs/>
        </w:rPr>
        <w:t xml:space="preserve">Allaitement prématuré/nouveau-né &lt; 2 mois hyperbilirubinémique</w:t>
      </w:r>
      <w:r>
        <w:t xml:space="preserve"> </w:t>
      </w:r>
      <w:r>
        <w:t xml:space="preserve">(risque kernictère, déplacement bilirubine albumine) ;</w:t>
      </w:r>
      <w:r>
        <w:t xml:space="preserve"> </w:t>
      </w:r>
      <w:r>
        <w:t xml:space="preserve">-</w:t>
      </w:r>
      <w:r>
        <w:t xml:space="preserve"> </w:t>
      </w:r>
      <w:r>
        <w:rPr>
          <w:b/>
          <w:bCs/>
        </w:rPr>
        <w:t xml:space="preserve">Hypersensibilité aux sulfamides</w:t>
      </w:r>
      <w:r>
        <w:t xml:space="preserve"> </w:t>
      </w:r>
      <w:r>
        <w:t xml:space="preserve">(rash, anaphylaxie) ;</w:t>
      </w:r>
      <w:r>
        <w:t xml:space="preserve"> </w:t>
      </w:r>
      <w:r>
        <w:t xml:space="preserve">-</w:t>
      </w:r>
      <w:r>
        <w:t xml:space="preserve"> </w:t>
      </w:r>
      <w:r>
        <w:rPr>
          <w:b/>
          <w:bCs/>
        </w:rPr>
        <w:t xml:space="preserve">Mégaloblastose par déficit en folates/B12</w:t>
      </w:r>
      <w:r>
        <w:t xml:space="preserve"> </w:t>
      </w:r>
      <w:r>
        <w:t xml:space="preserve">documentée ;</w:t>
      </w:r>
      <w:r>
        <w:t xml:space="preserve"> </w:t>
      </w:r>
      <w:r>
        <w:t xml:space="preserve">- Association formelle avec</w:t>
      </w:r>
      <w:r>
        <w:t xml:space="preserve"> </w:t>
      </w:r>
      <w:r>
        <w:rPr>
          <w:b/>
          <w:bCs/>
        </w:rPr>
        <w:t xml:space="preserve">dofétilide</w:t>
      </w:r>
      <w:r>
        <w:t xml:space="preserve"> </w:t>
      </w:r>
      <w:r>
        <w:t xml:space="preserve">(inhibition tubulaire sécrétion → torsades).</w:t>
      </w:r>
      <w:r>
        <w:t xml:space="preserve"> </w:t>
      </w:r>
      <w:r>
        <w:t xml:space="preserve">- Effets Indésirables :</w:t>
      </w:r>
      <w:r>
        <w:t xml:space="preserve"> </w:t>
      </w:r>
      <w:r>
        <w:t xml:space="preserve">-</w:t>
      </w:r>
      <w:r>
        <w:t xml:space="preserve"> </w:t>
      </w:r>
      <w:r>
        <w:rPr>
          <w:b/>
          <w:bCs/>
        </w:rPr>
        <w:t xml:space="preserve">Cutanéo-muqueux (les plus préoccupants)</w:t>
      </w:r>
      <w:r>
        <w:t xml:space="preserve"> </w:t>
      </w:r>
      <w:r>
        <w:t xml:space="preserve">: rash maculo-papuleux (3-5 %), urticaire, photosensibilité ;</w:t>
      </w:r>
      <w:r>
        <w:t xml:space="preserve"> </w:t>
      </w:r>
      <w:r>
        <w:rPr>
          <w:b/>
          <w:bCs/>
        </w:rPr>
        <w:t xml:space="preserve">syndrome de Stevens-Johnson (SJS) / syndrome de Lyell (TEN)</w:t>
      </w:r>
      <w:r>
        <w:t xml:space="preserve"> </w:t>
      </w:r>
      <w:r>
        <w:t xml:space="preserve">— rare (3/100 000/an) mais potentiellement létal, surtout en cas de co-infection VIH/EBV ou terrain HLA-B</w:t>
      </w:r>
      <w:r>
        <w:rPr>
          <w:i/>
          <w:iCs/>
        </w:rPr>
        <w:t xml:space="preserve">15:02 (Asiatiques) ; éruption fixe pigmentée.</w:t>
      </w:r>
      <w:r>
        <w:rPr>
          <w:i/>
          <w:iCs/>
        </w:rPr>
        <w:t xml:space="preserve"> </w:t>
      </w:r>
      <w:r>
        <w:rPr>
          <w:i/>
          <w:iCs/>
        </w:rPr>
        <w:t xml:space="preserve">-</w:t>
      </w:r>
      <w:r>
        <w:rPr>
          <w:i/>
          <w:iCs/>
        </w:rPr>
        <w:t xml:space="preserve"> </w:t>
      </w:r>
      <w:r>
        <w:rPr>
          <w:b/>
          <w:bCs/>
          <w:i/>
          <w:iCs/>
        </w:rPr>
        <w:t xml:space="preserve">Hématologiques</w:t>
      </w:r>
      <w:r>
        <w:rPr>
          <w:i/>
          <w:iCs/>
        </w:rPr>
        <w:t xml:space="preserve"> </w:t>
      </w:r>
      <w:r>
        <w:rPr>
          <w:i/>
          <w:iCs/>
        </w:rPr>
        <w:t xml:space="preserve">: thrombopénie, leucopénie, neutropénie, anémie mégaloblastique (action anti-folates), aplasie médullaire (rare), hémolyse (G6PD) ; neutropénie sévère favorisée par les hautes doses (PCP) et la durée &gt; 14 j.</w:t>
      </w:r>
      <w:r>
        <w:rPr>
          <w:i/>
          <w:iCs/>
        </w:rPr>
        <w:t xml:space="preserve"> </w:t>
      </w:r>
      <w:r>
        <w:rPr>
          <w:i/>
          <w:iCs/>
        </w:rPr>
        <w:t xml:space="preserve">-</w:t>
      </w:r>
      <w:r>
        <w:rPr>
          <w:i/>
          <w:iCs/>
        </w:rPr>
        <w:t xml:space="preserve"> </w:t>
      </w:r>
      <w:r>
        <w:rPr>
          <w:b/>
          <w:bCs/>
          <w:i/>
          <w:iCs/>
        </w:rPr>
        <w:t xml:space="preserve">Rénaux</w:t>
      </w:r>
      <w:r>
        <w:rPr>
          <w:i/>
          <w:iCs/>
        </w:rPr>
        <w:t xml:space="preserve"> </w:t>
      </w:r>
      <w:r>
        <w:rPr>
          <w:i/>
          <w:iCs/>
        </w:rPr>
        <w:t xml:space="preserve">:</w:t>
      </w:r>
      <w:r>
        <w:rPr>
          <w:i/>
          <w:iCs/>
        </w:rPr>
        <w:t xml:space="preserve"> </w:t>
      </w:r>
      <w:r>
        <w:rPr>
          <w:b/>
          <w:bCs/>
          <w:i/>
          <w:iCs/>
        </w:rPr>
        <w:t xml:space="preserve">cristallurie</w:t>
      </w:r>
      <w:r>
        <w:rPr>
          <w:i/>
          <w:iCs/>
        </w:rPr>
        <w:t xml:space="preserve"> </w:t>
      </w:r>
      <w:r>
        <w:rPr>
          <w:i/>
          <w:iCs/>
        </w:rPr>
        <w:t xml:space="preserve">(SMX peu soluble en milieu acide → précipitation dans tubule, surtout si hypohydratation, IR, dose élevée), aggravation IR ; néphrite interstitielle aiguë (NIA) immunoallergique.</w:t>
      </w:r>
      <w:r>
        <w:rPr>
          <w:i/>
          <w:iCs/>
        </w:rPr>
        <w:t xml:space="preserve"> </w:t>
      </w:r>
      <w:r>
        <w:rPr>
          <w:i/>
          <w:iCs/>
        </w:rPr>
        <w:t xml:space="preserve">-</w:t>
      </w:r>
      <w:r>
        <w:rPr>
          <w:i/>
          <w:iCs/>
        </w:rPr>
        <w:t xml:space="preserve"> </w:t>
      </w:r>
      <w:r>
        <w:rPr>
          <w:b/>
          <w:bCs/>
          <w:i/>
          <w:iCs/>
        </w:rPr>
        <w:t xml:space="preserve">Hydro-électrolytiques</w:t>
      </w:r>
      <w:r>
        <w:rPr>
          <w:i/>
          <w:iCs/>
        </w:rPr>
        <w:t xml:space="preserve"> </w:t>
      </w:r>
      <w:r>
        <w:rPr>
          <w:i/>
          <w:iCs/>
        </w:rPr>
        <w:t xml:space="preserve">:</w:t>
      </w:r>
      <w:r>
        <w:rPr>
          <w:i/>
          <w:iCs/>
        </w:rPr>
        <w:t xml:space="preserve"> </w:t>
      </w:r>
      <w:r>
        <w:rPr>
          <w:b/>
          <w:bCs/>
          <w:i/>
          <w:iCs/>
        </w:rPr>
        <w:t xml:space="preserve">hyperkaliémie</w:t>
      </w:r>
      <w:r>
        <w:rPr>
          <w:i/>
          <w:iCs/>
        </w:rPr>
        <w:t xml:space="preserve"> </w:t>
      </w:r>
      <w:r>
        <w:rPr>
          <w:i/>
          <w:iCs/>
        </w:rPr>
        <w:t xml:space="preserve">(TMP inhibe les canaux épithéliaux sodiques ENaC du tube collecteur, type amiloride) — chez le sujet âgé, IR, sous IEC/ARAII/AINS/ARN/spironolactone.</w:t>
      </w:r>
      <w:r>
        <w:rPr>
          <w:i/>
          <w:iCs/>
        </w:rPr>
        <w:t xml:space="preserve"> </w:t>
      </w:r>
      <w:r>
        <w:rPr>
          <w:i/>
          <w:iCs/>
        </w:rPr>
        <w:t xml:space="preserve">-</w:t>
      </w:r>
      <w:r>
        <w:rPr>
          <w:i/>
          <w:iCs/>
        </w:rPr>
        <w:t xml:space="preserve"> </w:t>
      </w:r>
      <w:r>
        <w:rPr>
          <w:b/>
          <w:bCs/>
          <w:i/>
          <w:iCs/>
        </w:rPr>
        <w:t xml:space="preserve">Hépatiques</w:t>
      </w:r>
      <w:r>
        <w:rPr>
          <w:i/>
          <w:iCs/>
        </w:rPr>
        <w:t xml:space="preserve"> </w:t>
      </w:r>
      <w:r>
        <w:rPr>
          <w:i/>
          <w:iCs/>
        </w:rPr>
        <w:t xml:space="preserve">: cytolyse, cholestase, hépatite mixte immuno-allergique, rarement hépatite fulminante.</w:t>
      </w:r>
      <w:r>
        <w:rPr>
          <w:i/>
          <w:iCs/>
        </w:rPr>
        <w:t xml:space="preserve"> </w:t>
      </w:r>
      <w:r>
        <w:rPr>
          <w:i/>
          <w:iCs/>
        </w:rPr>
        <w:t xml:space="preserve">-</w:t>
      </w:r>
      <w:r>
        <w:rPr>
          <w:i/>
          <w:iCs/>
        </w:rPr>
        <w:t xml:space="preserve"> </w:t>
      </w:r>
      <w:r>
        <w:rPr>
          <w:b/>
          <w:bCs/>
          <w:i/>
          <w:iCs/>
        </w:rPr>
        <w:t xml:space="preserve">Neurologiques</w:t>
      </w:r>
      <w:r>
        <w:rPr>
          <w:i/>
          <w:iCs/>
        </w:rPr>
        <w:t xml:space="preserve"> </w:t>
      </w:r>
      <w:r>
        <w:rPr>
          <w:i/>
          <w:iCs/>
        </w:rPr>
        <w:t xml:space="preserve">:</w:t>
      </w:r>
      <w:r>
        <w:rPr>
          <w:i/>
          <w:iCs/>
        </w:rPr>
        <w:t xml:space="preserve"> </w:t>
      </w:r>
      <w:r>
        <w:rPr>
          <w:b/>
          <w:bCs/>
          <w:i/>
          <w:iCs/>
        </w:rPr>
        <w:t xml:space="preserve">méningite aseptique</w:t>
      </w:r>
      <w:r>
        <w:rPr>
          <w:i/>
          <w:iCs/>
        </w:rPr>
        <w:t xml:space="preserve"> </w:t>
      </w:r>
      <w:r>
        <w:rPr>
          <w:i/>
          <w:iCs/>
        </w:rPr>
        <w:t xml:space="preserve">(réaction immunoallergique, surtout femme jeune / maladie auto-immune / lupus), tremblements, céphalées, ataxie, convulsions (doses élevées).</w:t>
      </w:r>
      <w:r>
        <w:rPr>
          <w:i/>
          <w:iCs/>
        </w:rPr>
        <w:t xml:space="preserve"> </w:t>
      </w:r>
      <w:r>
        <w:rPr>
          <w:i/>
          <w:iCs/>
        </w:rPr>
        <w:t xml:space="preserve">-</w:t>
      </w:r>
      <w:r>
        <w:rPr>
          <w:i/>
          <w:iCs/>
        </w:rPr>
        <w:t xml:space="preserve"> </w:t>
      </w:r>
      <w:r>
        <w:rPr>
          <w:b/>
          <w:bCs/>
          <w:i/>
          <w:iCs/>
        </w:rPr>
        <w:t xml:space="preserve">Gastro-intestinaux</w:t>
      </w:r>
      <w:r>
        <w:rPr>
          <w:i/>
          <w:iCs/>
        </w:rPr>
        <w:t xml:space="preserve"> </w:t>
      </w:r>
      <w:r>
        <w:rPr>
          <w:i/>
          <w:iCs/>
        </w:rPr>
        <w:t xml:space="preserve">: nausées, vomissements, diarrhée (sans colite à</w:t>
      </w:r>
      <w:r>
        <w:rPr>
          <w:i/>
          <w:iCs/>
        </w:rPr>
        <w:t xml:space="preserve"> </w:t>
      </w:r>
      <w:r>
        <w:t xml:space="preserve">C. difficile* sauf cas rare), stomatite aphteuse, pancréatite (rare).</w:t>
      </w:r>
      <w:r>
        <w:t xml:space="preserve"> </w:t>
      </w:r>
      <w:r>
        <w:t xml:space="preserve">-</w:t>
      </w:r>
      <w:r>
        <w:t xml:space="preserve"> </w:t>
      </w:r>
      <w:r>
        <w:rPr>
          <w:b/>
          <w:bCs/>
        </w:rPr>
        <w:t xml:space="preserve">Endocriniens</w:t>
      </w:r>
      <w:r>
        <w:t xml:space="preserve"> </w:t>
      </w:r>
      <w:r>
        <w:t xml:space="preserve">: hypoglycémie (rare, chez IR/diabétique sous sulfamides hypoglycémiants).</w:t>
      </w:r>
      <w:r>
        <w:t xml:space="preserve"> </w:t>
      </w:r>
      <w:r>
        <w:t xml:space="preserve">-</w:t>
      </w:r>
      <w:r>
        <w:t xml:space="preserve"> </w:t>
      </w:r>
      <w:r>
        <w:rPr>
          <w:b/>
          <w:bCs/>
        </w:rPr>
        <w:t xml:space="preserve">Immunoallergiques</w:t>
      </w:r>
      <w:r>
        <w:t xml:space="preserve"> </w:t>
      </w:r>
      <w:r>
        <w:t xml:space="preserve">: vascularite, pneumopathie d’hypersensibilité, DRESS (syndrome d’hypersensibilité médicamenteuse avec éosinophilie et symptômes systémiques — surtout chez VIH).</w:t>
      </w:r>
    </w:p>
    <w:p>
      <w:pPr>
        <w:pStyle w:val="BodyText"/>
      </w:pPr>
      <w:r>
        <w:rPr>
          <w:b/>
          <w:bCs/>
        </w:rPr>
        <w:t xml:space="preserve">Prévention et Gestion des Effets Indésirables :</w:t>
      </w:r>
      <w:r>
        <w:t xml:space="preserve"> </w:t>
      </w:r>
      <w:r>
        <w:t xml:space="preserve">- Mesures Préventives :</w:t>
      </w:r>
      <w:r>
        <w:t xml:space="preserve"> </w:t>
      </w:r>
      <w:r>
        <w:t xml:space="preserve">-</w:t>
      </w:r>
      <w:r>
        <w:t xml:space="preserve"> </w:t>
      </w:r>
      <w:r>
        <w:rPr>
          <w:b/>
          <w:bCs/>
        </w:rPr>
        <w:t xml:space="preserve">Hydratation abondante</w:t>
      </w:r>
      <w:r>
        <w:t xml:space="preserve"> </w:t>
      </w:r>
      <w:r>
        <w:t xml:space="preserve">(≥ 2 L/j adulte) pendant la durée du traitement pour prévenir la cristallurie, surtout en hautes doses (PCP) et chez le sujet âgé/IR.</w:t>
      </w:r>
      <w:r>
        <w:t xml:space="preserve"> </w:t>
      </w:r>
      <w:r>
        <w:t xml:space="preserve">-</w:t>
      </w:r>
      <w:r>
        <w:t xml:space="preserve"> </w:t>
      </w:r>
      <w:r>
        <w:rPr>
          <w:b/>
          <w:bCs/>
        </w:rPr>
        <w:t xml:space="preserve">Surveillance NFS-plaquettes-urée-créatinine-K+</w:t>
      </w:r>
      <w:r>
        <w:t xml:space="preserve"> </w:t>
      </w:r>
      <w:r>
        <w:t xml:space="preserve">: à J0, J7, puis hebdo si durée &gt; 14 j ou haute dose.</w:t>
      </w:r>
      <w:r>
        <w:t xml:space="preserve"> </w:t>
      </w:r>
      <w:r>
        <w:t xml:space="preserve">-</w:t>
      </w:r>
      <w:r>
        <w:t xml:space="preserve"> </w:t>
      </w:r>
      <w:r>
        <w:rPr>
          <w:b/>
          <w:bCs/>
        </w:rPr>
        <w:t xml:space="preserve">Alcalinisation des urines</w:t>
      </w:r>
      <w:r>
        <w:t xml:space="preserve"> </w:t>
      </w:r>
      <w:r>
        <w:t xml:space="preserve">(bicarbonate de sodium 1-2 g × 3/j) si cristallurie documentée ou traitement haute dose PCP prolongé.</w:t>
      </w:r>
      <w:r>
        <w:t xml:space="preserve"> </w:t>
      </w:r>
      <w:r>
        <w:t xml:space="preserve">-</w:t>
      </w:r>
      <w:r>
        <w:t xml:space="preserve"> </w:t>
      </w:r>
      <w:r>
        <w:rPr>
          <w:b/>
          <w:bCs/>
        </w:rPr>
        <w:t xml:space="preserve">Supplémentation en acide folinique (5-formyl-THF)</w:t>
      </w:r>
      <w:r>
        <w:t xml:space="preserve"> </w:t>
      </w:r>
      <w:r>
        <w:t xml:space="preserve">si cytopenie ou traitement &gt; 21 j (5-10 mg/j) — attention : acide folique simple est moins efficace car les cellules humaines utilisent le 5-formyl-THF directement, sans nécessité de réduction par DHFR.</w:t>
      </w:r>
      <w:r>
        <w:t xml:space="preserve"> </w:t>
      </w:r>
      <w:r>
        <w:t xml:space="preserve">-</w:t>
      </w:r>
      <w:r>
        <w:t xml:space="preserve"> </w:t>
      </w:r>
      <w:r>
        <w:rPr>
          <w:b/>
          <w:bCs/>
        </w:rPr>
        <w:t xml:space="preserve">Dépistage déficit G6PD</w:t>
      </w:r>
      <w:r>
        <w:t xml:space="preserve"> </w:t>
      </w:r>
      <w:r>
        <w:t xml:space="preserve">avant prescription si patient à risque.</w:t>
      </w:r>
      <w:r>
        <w:t xml:space="preserve"> </w:t>
      </w:r>
      <w:r>
        <w:t xml:space="preserve">-</w:t>
      </w:r>
      <w:r>
        <w:t xml:space="preserve"> </w:t>
      </w:r>
      <w:r>
        <w:rPr>
          <w:b/>
          <w:bCs/>
        </w:rPr>
        <w:t xml:space="preserve">Photoprotection stricte</w:t>
      </w:r>
      <w:r>
        <w:t xml:space="preserve"> </w:t>
      </w:r>
      <w:r>
        <w:t xml:space="preserve">(crème SPF 50+) pour éviter rash photosensible.</w:t>
      </w:r>
      <w:r>
        <w:t xml:space="preserve"> </w:t>
      </w:r>
      <w:r>
        <w:t xml:space="preserve">- Précautions chez le sujet âgé : évaluer fonction rénale (formule Cockcroft), éviter si AVK/IEC/AINS associés sans surveillance étroite.</w:t>
      </w:r>
      <w:r>
        <w:t xml:space="preserve"> </w:t>
      </w:r>
      <w:r>
        <w:t xml:space="preserve">- Conduite à Tenir :</w:t>
      </w:r>
      <w:r>
        <w:t xml:space="preserve"> </w:t>
      </w:r>
      <w:r>
        <w:t xml:space="preserve">-</w:t>
      </w:r>
      <w:r>
        <w:t xml:space="preserve"> </w:t>
      </w:r>
      <w:r>
        <w:rPr>
          <w:b/>
          <w:bCs/>
        </w:rPr>
        <w:t xml:space="preserve">ARRÊT IMMÉDIAT en cas de rash fébrile, éruption bulleuse, décollement cutané, ulcérations muqueuses</w:t>
      </w:r>
      <w:r>
        <w:t xml:space="preserve"> </w:t>
      </w:r>
      <w:r>
        <w:t xml:space="preserve">→ hospitalisation urgente pour avis dermatologique (suspicion SJS/TEN — pronostic vital). Ne JAMAIS tenter réintroduction.</w:t>
      </w:r>
      <w:r>
        <w:t xml:space="preserve"> </w:t>
      </w:r>
      <w:r>
        <w:t xml:space="preserve">- En cas de méningite aseptique : arrêt, aucun cas de réintroduction (réaction immédiate plus grave).</w:t>
      </w:r>
      <w:r>
        <w:t xml:space="preserve"> </w:t>
      </w:r>
      <w:r>
        <w:t xml:space="preserve">- Hyperkaliémie symptomatique : arrêt, échanges résiniques (polystyrène sulfonate de sodium), insuline/glucose, dialyse si sévère.</w:t>
      </w:r>
      <w:r>
        <w:t xml:space="preserve"> </w:t>
      </w:r>
      <w:r>
        <w:t xml:space="preserve">- Neutropénie &lt; 1500/mm³ : arrêt, G-CSF si &lt; 500 ou fébrile.</w:t>
      </w:r>
      <w:r>
        <w:t xml:space="preserve"> </w:t>
      </w:r>
      <w:r>
        <w:t xml:space="preserve">- Cristallurie : hydratation IV + alcalinisation, arrêt si IR.</w:t>
      </w:r>
    </w:p>
    <w:p>
      <w:pPr>
        <w:pStyle w:val="BodyText"/>
      </w:pPr>
      <w:r>
        <w:rPr>
          <w:b/>
          <w:bCs/>
        </w:rPr>
        <w:t xml:space="preserve">Interactions Importantes :</w:t>
      </w:r>
      <w:r>
        <w:t xml:space="preserve"> </w:t>
      </w:r>
      <w:r>
        <w:t xml:space="preserve">-</w:t>
      </w:r>
      <w:r>
        <w:t xml:space="preserve"> </w:t>
      </w:r>
      <w:r>
        <w:rPr>
          <w:b/>
          <w:bCs/>
        </w:rPr>
        <w:t xml:space="preserve">Cotrimoxazole + AVK (warfarine, acénocoumarol)</w:t>
      </w:r>
      <w:r>
        <w:t xml:space="preserve"> </w:t>
      </w:r>
      <w:r>
        <w:t xml:space="preserve">: potentialisation majeure de l’anticoagulation par (i) déplacement de la liaison aux protéines plasmatiques, (ii) inhibition du CYP2C9 (métabolisme des AVK). Risque hémorragique majeur (saignement digestif, cérébral). Surveillance INR tous les 2-3 jours pendant et 1 semaine après arrêt ; adaptation posologique AVK (réduction 30-50 % possible).</w:t>
      </w:r>
      <w:r>
        <w:t xml:space="preserve"> </w:t>
      </w:r>
      <w:r>
        <w:t xml:space="preserve">-</w:t>
      </w:r>
      <w:r>
        <w:t xml:space="preserve"> </w:t>
      </w:r>
      <w:r>
        <w:rPr>
          <w:b/>
          <w:bCs/>
        </w:rPr>
        <w:t xml:space="preserve">Cotrimoxazole + IEC / ARAII / AINS / ARN / spironolactone</w:t>
      </w:r>
      <w:r>
        <w:t xml:space="preserve"> </w:t>
      </w:r>
      <w:r>
        <w:t xml:space="preserve">:</w:t>
      </w:r>
      <w:r>
        <w:t xml:space="preserve"> </w:t>
      </w:r>
      <w:r>
        <w:rPr>
          <w:b/>
          <w:bCs/>
        </w:rPr>
        <w:t xml:space="preserve">hyperkaliémie additive</w:t>
      </w:r>
      <w:r>
        <w:t xml:space="preserve"> </w:t>
      </w:r>
      <w:r>
        <w:t xml:space="preserve">(TMP = amiloride-like, IEC/ARAII réduisent l’aldostérone, AINS inhibent prostaglandines rénales, ARN/spironolactone bloquent l’aldostérone). Association à éviter chez le sujet âgé/IR ; contrôle K+ à J3 et J7.</w:t>
      </w:r>
      <w:r>
        <w:t xml:space="preserve"> </w:t>
      </w:r>
      <w:r>
        <w:t xml:space="preserve">-</w:t>
      </w:r>
      <w:r>
        <w:t xml:space="preserve"> </w:t>
      </w:r>
      <w:r>
        <w:rPr>
          <w:b/>
          <w:bCs/>
        </w:rPr>
        <w:t xml:space="preserve">Cotrimoxazole + dofétilide</w:t>
      </w:r>
      <w:r>
        <w:t xml:space="preserve"> </w:t>
      </w:r>
      <w:r>
        <w:t xml:space="preserve">: CI absolue (inhibition de la sécrétion tubulaire par TMP+cations basiques → augmentation concentration dofétilide → torsades de pointes).</w:t>
      </w:r>
      <w:r>
        <w:t xml:space="preserve"> </w:t>
      </w:r>
      <w:r>
        <w:t xml:space="preserve">-</w:t>
      </w:r>
      <w:r>
        <w:t xml:space="preserve"> </w:t>
      </w:r>
      <w:r>
        <w:rPr>
          <w:b/>
          <w:bCs/>
        </w:rPr>
        <w:t xml:space="preserve">Cotrimoxazole + phénytoïne</w:t>
      </w:r>
      <w:r>
        <w:t xml:space="preserve"> </w:t>
      </w:r>
      <w:r>
        <w:t xml:space="preserve">: inhibition du métabolisme hépatique (CYP2C9) → surdosage phénytoïne (ataxie, nystagmus) — surveillance toxémie.</w:t>
      </w:r>
      <w:r>
        <w:t xml:space="preserve"> </w:t>
      </w:r>
      <w:r>
        <w:t xml:space="preserve">-</w:t>
      </w:r>
      <w:r>
        <w:t xml:space="preserve"> </w:t>
      </w:r>
      <w:r>
        <w:rPr>
          <w:b/>
          <w:bCs/>
        </w:rPr>
        <w:t xml:space="preserve">Cotrimoxazole + digoxine</w:t>
      </w:r>
      <w:r>
        <w:t xml:space="preserve"> </w:t>
      </w:r>
      <w:r>
        <w:t xml:space="preserve">: augmentation de la biodisponibilité de la digoxine par modification de la flore intestinale (réduction des bactéries métabolisant la digoxine) — surveillance digoxinémie.</w:t>
      </w:r>
      <w:r>
        <w:t xml:space="preserve"> </w:t>
      </w:r>
      <w:r>
        <w:t xml:space="preserve">-</w:t>
      </w:r>
      <w:r>
        <w:t xml:space="preserve"> </w:t>
      </w:r>
      <w:r>
        <w:rPr>
          <w:b/>
          <w:bCs/>
        </w:rPr>
        <w:t xml:space="preserve">Cotrimoxazole + méthotrexate</w:t>
      </w:r>
      <w:r>
        <w:t xml:space="preserve"> </w:t>
      </w:r>
      <w:r>
        <w:t xml:space="preserve">: déplacement de la liaison protéique + inhibition tubulaire → toxicité MTX (aplasie, mucite) — association contre-indiquée à doses cytotoxiques, surveillance stricte à faible dose.</w:t>
      </w:r>
      <w:r>
        <w:t xml:space="preserve"> </w:t>
      </w:r>
      <w:r>
        <w:t xml:space="preserve">-</w:t>
      </w:r>
      <w:r>
        <w:t xml:space="preserve"> </w:t>
      </w:r>
      <w:r>
        <w:rPr>
          <w:b/>
          <w:bCs/>
        </w:rPr>
        <w:t xml:space="preserve">Cotrimoxazole + sulfonylurées hypoglycémiantes</w:t>
      </w:r>
      <w:r>
        <w:t xml:space="preserve"> </w:t>
      </w:r>
      <w:r>
        <w:t xml:space="preserve">: potentialisation (inhibition CYP2C9) → hypoglycémie.</w:t>
      </w:r>
      <w:r>
        <w:t xml:space="preserve"> </w:t>
      </w:r>
      <w:r>
        <w:t xml:space="preserve">-</w:t>
      </w:r>
      <w:r>
        <w:t xml:space="preserve"> </w:t>
      </w:r>
      <w:r>
        <w:rPr>
          <w:b/>
          <w:bCs/>
        </w:rPr>
        <w:t xml:space="preserve">Cotrimoxazole + ciclosporine / tacrolimus</w:t>
      </w:r>
      <w:r>
        <w:t xml:space="preserve"> </w:t>
      </w:r>
      <w:r>
        <w:t xml:space="preserve">: néphrotoxicité additive + risque de rejet si concentration sous-thérapeutique (induction relative) — surveillance trémie.</w:t>
      </w:r>
      <w:r>
        <w:t xml:space="preserve"> </w:t>
      </w:r>
      <w:r>
        <w:t xml:space="preserve">-</w:t>
      </w:r>
      <w:r>
        <w:t xml:space="preserve"> </w:t>
      </w:r>
      <w:r>
        <w:rPr>
          <w:b/>
          <w:bCs/>
        </w:rPr>
        <w:t xml:space="preserve">Cotrimoxazole + triméthoprime + amiloride / triamtérène</w:t>
      </w:r>
      <w:r>
        <w:t xml:space="preserve"> </w:t>
      </w:r>
      <w:r>
        <w:t xml:space="preserve">: hyperkaliémie additive — éviter.</w:t>
      </w:r>
    </w:p>
    <w:p>
      <w:pPr>
        <w:pStyle w:val="BodyText"/>
      </w:pPr>
      <w:r>
        <w:rPr>
          <w:b/>
          <w:bCs/>
        </w:rPr>
        <w:t xml:space="preserve">Grossesse et Allaitement :</w:t>
      </w:r>
      <w:r>
        <w:t xml:space="preserve"> </w:t>
      </w:r>
      <w:r>
        <w:t xml:space="preserve">- Grossesse :</w:t>
      </w:r>
      <w:r>
        <w:t xml:space="preserve"> </w:t>
      </w:r>
      <w:r>
        <w:t xml:space="preserve">-</w:t>
      </w:r>
      <w:r>
        <w:t xml:space="preserve"> </w:t>
      </w:r>
      <w:r>
        <w:rPr>
          <w:b/>
          <w:bCs/>
        </w:rPr>
        <w:t xml:space="preserve">1er trimestre (S1-S13)</w:t>
      </w:r>
      <w:r>
        <w:t xml:space="preserve"> </w:t>
      </w:r>
      <w:r>
        <w:t xml:space="preserve">: CONTRE-INDICATION FORMELLE — anti-folique, tératogène (anomalies de fermeture du tube neural, fentes labio-palatines, malformations cardiovasculaires). Risque particulièrement élevé en cas d’association avec un autre anti-folique.</w:t>
      </w:r>
      <w:r>
        <w:t xml:space="preserve"> </w:t>
      </w:r>
      <w:r>
        <w:t xml:space="preserve">-</w:t>
      </w:r>
      <w:r>
        <w:t xml:space="preserve"> </w:t>
      </w:r>
      <w:r>
        <w:rPr>
          <w:b/>
          <w:bCs/>
        </w:rPr>
        <w:t xml:space="preserve">3e trimestre (après S32)</w:t>
      </w:r>
      <w:r>
        <w:t xml:space="preserve"> </w:t>
      </w:r>
      <w:r>
        <w:t xml:space="preserve">: CI (risque kernictère néonatal par déplacement de la bilirubine non conjuguée de l’albumine — compétition au site de liaison) et hyperbilirubinémie.</w:t>
      </w:r>
      <w:r>
        <w:t xml:space="preserve"> </w:t>
      </w:r>
      <w:r>
        <w:t xml:space="preserve">-</w:t>
      </w:r>
      <w:r>
        <w:t xml:space="preserve"> </w:t>
      </w:r>
      <w:r>
        <w:rPr>
          <w:b/>
          <w:bCs/>
        </w:rPr>
        <w:t xml:space="preserve">2e trimestre</w:t>
      </w:r>
      <w:r>
        <w:t xml:space="preserve"> </w:t>
      </w:r>
      <w:r>
        <w:t xml:space="preserve">: à éviter sauf nécessité absolue (PCP sévère chez VIH) ; supplémentation en acide folinique (5 mg/j) recommandée.</w:t>
      </w:r>
      <w:r>
        <w:t xml:space="preserve"> </w:t>
      </w:r>
      <w:r>
        <w:t xml:space="preserve">- Allaitement : compatible si enfant &gt; 2 mois, né à terme, sans hyperbilirubinémie, sans déficit G6PD. CI prématuré, nouveau-né ictérique, G6PD.</w:t>
      </w:r>
      <w:r>
        <w:t xml:space="preserve"> </w:t>
      </w:r>
      <w:r>
        <w:t xml:space="preserve">- Précisions CRAT : le cotrimoxazole est l’antibiotique de choix pour la prophylaxie PCP chez la femme enceinte VIH+ après le 1er trimestre ; pendant le 1er trimestre, l’aérosol de pentamidine est préféré.</w:t>
      </w:r>
    </w:p>
    <w:p>
      <w:pPr>
        <w:pStyle w:val="BodyText"/>
      </w:pPr>
      <w:r>
        <w:rPr>
          <w:b/>
          <w:bCs/>
        </w:rPr>
        <w:t xml:space="preserve">Posologie et Mode d’administration (Standard) :</w:t>
      </w:r>
      <w:r>
        <w:t xml:space="preserve"> </w:t>
      </w:r>
      <w:r>
        <w:t xml:space="preserve">- Adulte :</w:t>
      </w:r>
      <w:r>
        <w:t xml:space="preserve"> </w:t>
      </w:r>
      <w:r>
        <w:t xml:space="preserve">- Infection standard (IU, ORL, pulmo) :</w:t>
      </w:r>
      <w:r>
        <w:t xml:space="preserve"> </w:t>
      </w:r>
      <w:r>
        <w:rPr>
          <w:b/>
          <w:bCs/>
        </w:rPr>
        <w:t xml:space="preserve">800 mg/160 mg (1 cp Forte) × 2/j</w:t>
      </w:r>
      <w:r>
        <w:t xml:space="preserve"> </w:t>
      </w:r>
      <w:r>
        <w:t xml:space="preserve">(environ 6-8 mg/kg/j TMP) pendant 5-10 jours selon indication.</w:t>
      </w:r>
      <w:r>
        <w:t xml:space="preserve"> </w:t>
      </w:r>
      <w:r>
        <w:t xml:space="preserve">- Pneumocystose pulmonaire (PCP) — traitement curatif :</w:t>
      </w:r>
      <w:r>
        <w:t xml:space="preserve"> </w:t>
      </w:r>
      <w:r>
        <w:rPr>
          <w:b/>
          <w:bCs/>
        </w:rPr>
        <w:t xml:space="preserve">15-20 mg/kg/j TMP + 75-100 mg/kg/j SMX</w:t>
      </w:r>
      <w:r>
        <w:t xml:space="preserve"> </w:t>
      </w:r>
      <w:r>
        <w:t xml:space="preserve">en 3-4 prises IV ou PO pendant 21 j (ex : adulte 60 kg → 4 cp Forte × 4/j = 16 cp/j).</w:t>
      </w:r>
      <w:r>
        <w:t xml:space="preserve"> </w:t>
      </w:r>
      <w:r>
        <w:t xml:space="preserve">- Toxoplasmose cérébrale — prophylaxie secondaire : 800 mg/160 mg × 2/j (ou 1 cp Forte × 2/j) à vie jusqu’à restauration immunitaire.</w:t>
      </w:r>
      <w:r>
        <w:t xml:space="preserve"> </w:t>
      </w:r>
      <w:r>
        <w:t xml:space="preserve">- Prophylaxie PCP : 400 mg/80 mg (1 cp) × 1/j ou 800 mg/160 mg × 3/semaine.</w:t>
      </w:r>
      <w:r>
        <w:t xml:space="preserve"> </w:t>
      </w:r>
      <w:r>
        <w:t xml:space="preserve">- Enfant :</w:t>
      </w:r>
      <w:r>
        <w:t xml:space="preserve"> </w:t>
      </w:r>
      <w:r>
        <w:t xml:space="preserve">- 6-8 mg/kg/j TMP (30-40 mg/kg/j SMX) en 2 prises PO/IV ; max 1600 mg/320 mg/j.</w:t>
      </w:r>
      <w:r>
        <w:t xml:space="preserve"> </w:t>
      </w:r>
      <w:r>
        <w:t xml:space="preserve">- Susp buv 200/40 mg/5 mL : 1 mL/kg/j (soit 8 mg/kg TMP) en 2 prises.</w:t>
      </w:r>
      <w:r>
        <w:t xml:space="preserve"> </w:t>
      </w:r>
      <w:r>
        <w:t xml:space="preserve">- Durée :</w:t>
      </w:r>
      <w:r>
        <w:t xml:space="preserve"> </w:t>
      </w:r>
      <w:r>
        <w:t xml:space="preserve">- Cystite non compliquée : 3 jours (femme jeune non ménopausée) ; 5-7 j si complication.</w:t>
      </w:r>
      <w:r>
        <w:t xml:space="preserve"> </w:t>
      </w:r>
      <w:r>
        <w:t xml:space="preserve">- Pyélonéphrite : 10-14 j.</w:t>
      </w:r>
      <w:r>
        <w:t xml:space="preserve"> </w:t>
      </w:r>
      <w:r>
        <w:t xml:space="preserve">- PCP : 21 j.</w:t>
      </w:r>
      <w:r>
        <w:t xml:space="preserve"> </w:t>
      </w:r>
      <w:r>
        <w:t xml:space="preserve">- Toxoplasmose cérébrale curative : 6 semaines minimum.</w:t>
      </w:r>
      <w:r>
        <w:t xml:space="preserve"> </w:t>
      </w:r>
      <w:r>
        <w:t xml:space="preserve">- Mode d’administration : perfusion IV LENTE (60-90 min) dans 125 mL G5% ou NaCl 0,9% (ne pas mélanger avec autres médicaments) ; jamais en IM.</w:t>
      </w:r>
    </w:p>
    <w:p>
      <w:pPr>
        <w:pStyle w:val="BodyText"/>
      </w:pPr>
      <w:r>
        <w:rPr>
          <w:b/>
          <w:bCs/>
        </w:rPr>
        <w:t xml:space="preserve">Arbitrage et Bénéfices des Formes Galéniques :</w:t>
      </w:r>
      <w:r>
        <w:t xml:space="preserve"> </w:t>
      </w:r>
      <w:r>
        <w:t xml:space="preserve">- Comprimé 400/80 et 800/160 « Forte » : formes orales de référence, sécables (perméabilité à la dose), bon rapport coût/efficacité.</w:t>
      </w:r>
      <w:r>
        <w:t xml:space="preserve"> </w:t>
      </w:r>
      <w:r>
        <w:t xml:space="preserve">- Susp buv 200/40 mg/5 mL : permet adaptation pédiatrique ; utiliser cuillère-mesure (jamais cuillère à café — surdosage possible).</w:t>
      </w:r>
      <w:r>
        <w:t xml:space="preserve"> </w:t>
      </w:r>
      <w:r>
        <w:t xml:space="preserve">- Solution injectable IV : indiquée en cas de vomissements, formes sévères (PCP, sepsis), immunodépression profonde ; ne pas dépasser 1,5 g TMP/j en perf continue.</w:t>
      </w:r>
      <w:r>
        <w:t xml:space="preserve"> </w:t>
      </w:r>
      <w:r>
        <w:t xml:space="preserve">- L’IV est</w:t>
      </w:r>
      <w:r>
        <w:t xml:space="preserve"> </w:t>
      </w:r>
      <w:r>
        <w:rPr>
          <w:b/>
          <w:bCs/>
        </w:rPr>
        <w:t xml:space="preserve">bioéquivalente</w:t>
      </w:r>
      <w:r>
        <w:t xml:space="preserve"> </w:t>
      </w:r>
      <w:r>
        <w:t xml:space="preserve">à la forme orale (biodisponibilité &gt; 90 %), donc switch PO dès tolérance digestive acceptable.</w:t>
      </w:r>
    </w:p>
    <w:p>
      <w:pPr>
        <w:pStyle w:val="BodyText"/>
      </w:pPr>
      <w:r>
        <w:rPr>
          <w:b/>
          <w:bCs/>
        </w:rPr>
        <w:t xml:space="preserve">Instructions et Conseils au Patient :</w:t>
      </w:r>
      <w:r>
        <w:t xml:space="preserve"> </w:t>
      </w:r>
      <w:r>
        <w:t xml:space="preserve">- Communication au comptoir :</w:t>
      </w:r>
      <w:r>
        <w:t xml:space="preserve"> </w:t>
      </w:r>
      <w:r>
        <w:t xml:space="preserve">- « Prenez ce médicament pendant les repas avec un grand verre d’eau, et</w:t>
      </w:r>
      <w:r>
        <w:t xml:space="preserve"> </w:t>
      </w:r>
      <w:r>
        <w:rPr>
          <w:b/>
          <w:bCs/>
        </w:rPr>
        <w:t xml:space="preserve">buvez au moins 2 litres d’eau par jour</w:t>
      </w:r>
      <w:r>
        <w:t xml:space="preserve"> </w:t>
      </w:r>
      <w:r>
        <w:t xml:space="preserve">pour protéger vos reins ».</w:t>
      </w:r>
      <w:r>
        <w:t xml:space="preserve"> </w:t>
      </w:r>
      <w:r>
        <w:t xml:space="preserve">- « Si vous constatez la moindre éruption cutanée, fièvre inexpliquée, ulcération dans la bouche ou aux yeux,</w:t>
      </w:r>
      <w:r>
        <w:t xml:space="preserve"> </w:t>
      </w:r>
      <w:r>
        <w:rPr>
          <w:b/>
          <w:bCs/>
        </w:rPr>
        <w:t xml:space="preserve">arrêtez immédiatement le traitement et consultez aux urgences</w:t>
      </w:r>
      <w:r>
        <w:t xml:space="preserve"> </w:t>
      </w:r>
      <w:r>
        <w:t xml:space="preserve">».</w:t>
      </w:r>
      <w:r>
        <w:t xml:space="preserve"> </w:t>
      </w:r>
      <w:r>
        <w:t xml:space="preserve">- « Ce médicament peut rendre la peau sensible au soleil : protégez-vous (crème SPF 50+, vêtements couvrants) ».</w:t>
      </w:r>
      <w:r>
        <w:t xml:space="preserve"> </w:t>
      </w:r>
      <w:r>
        <w:t xml:space="preserve">- « Si vous prenez un traitement anticoagulant, prévenez votre médecin — surveillance rapprochée du sang (INR) indispensable ».</w:t>
      </w:r>
      <w:r>
        <w:t xml:space="preserve"> </w:t>
      </w:r>
      <w:r>
        <w:t xml:space="preserve">- Pour la femme en âge de procréer : « N’utilisez pas ce médicament si vous êtes enceinte, surtout au début de grossesse ; utilisez une contraception efficace pendant le traitement ».</w:t>
      </w:r>
      <w:r>
        <w:t xml:space="preserve"> </w:t>
      </w:r>
      <w:r>
        <w:t xml:space="preserve">- Mode d’utilisation pratique : ne pas interrompre avant la fin prescrite, même si symptômes améliorés ; oubli → prendre dès que possible (pas de double dose) ; conserver la susp buv reconstituée ≤ 14 j au réfrigérateur (protéger de la lumière) ; secouer avant chaque prise.</w:t>
      </w:r>
    </w:p>
    <w:p>
      <w:pPr>
        <w:pStyle w:val="BodyText"/>
      </w:pPr>
      <w:r>
        <w:rPr>
          <w:b/>
          <w:bCs/>
        </w:rPr>
        <w:t xml:space="preserve">Notes, Règles d’Or &amp; Pièges au Comptoir :</w:t>
      </w:r>
      <w:r>
        <w:t xml:space="preserve"> </w:t>
      </w:r>
      <w:r>
        <w:t xml:space="preserve">-</w:t>
      </w:r>
      <w:r>
        <w:t xml:space="preserve"> </w:t>
      </w:r>
      <w:r>
        <w:rPr>
          <w:b/>
          <w:bCs/>
        </w:rPr>
        <w:t xml:space="preserve">Piège classique — Cotrimoxazole + ICTÈRE néonatal</w:t>
      </w:r>
      <w:r>
        <w:t xml:space="preserve"> </w:t>
      </w:r>
      <w:r>
        <w:t xml:space="preserve">: jamais chez le nouveau-né &lt; 2 mois et le prématuré (compétition avec la bilirubine pour l’albumine → kernictère).</w:t>
      </w:r>
      <w:r>
        <w:t xml:space="preserve"> </w:t>
      </w:r>
      <w:r>
        <w:t xml:space="preserve">-</w:t>
      </w:r>
      <w:r>
        <w:t xml:space="preserve"> </w:t>
      </w:r>
      <w:r>
        <w:rPr>
          <w:b/>
          <w:bCs/>
        </w:rPr>
        <w:t xml:space="preserve">Piège classique — Cotrimoxazole + AVK</w:t>
      </w:r>
      <w:r>
        <w:t xml:space="preserve"> </w:t>
      </w:r>
      <w:r>
        <w:t xml:space="preserve">: interaction majeure pouvant être fatale (hémorragie cérébrale) — toujours demander « prenez-vous un anticoagulant ? » au comptoir.</w:t>
      </w:r>
      <w:r>
        <w:t xml:space="preserve"> </w:t>
      </w:r>
      <w:r>
        <w:t xml:space="preserve">-</w:t>
      </w:r>
      <w:r>
        <w:t xml:space="preserve"> </w:t>
      </w:r>
      <w:r>
        <w:rPr>
          <w:b/>
          <w:bCs/>
        </w:rPr>
        <w:t xml:space="preserve">Piège classique — Rash et VIH</w:t>
      </w:r>
      <w:r>
        <w:t xml:space="preserve"> </w:t>
      </w:r>
      <w:r>
        <w:t xml:space="preserve">: près de 50 % des patients VIH+ développent un rash sous cotrimoxazole ; ne pas banaliser ; en cas de rash fébrile/disséminé → arrêt immédiat et avis spécialisé (DRESS, SJS).</w:t>
      </w:r>
      <w:r>
        <w:t xml:space="preserve"> </w:t>
      </w:r>
      <w:r>
        <w:t xml:space="preserve">-</w:t>
      </w:r>
      <w:r>
        <w:t xml:space="preserve"> </w:t>
      </w:r>
      <w:r>
        <w:rPr>
          <w:b/>
          <w:bCs/>
        </w:rPr>
        <w:t xml:space="preserve">Règle de prise</w:t>
      </w:r>
      <w:r>
        <w:t xml:space="preserve"> </w:t>
      </w:r>
      <w:r>
        <w:t xml:space="preserve">: pendant repas, hydratation ≥ 2 L/j, photoprotection, surveillance si &gt; 14 jours.</w:t>
      </w:r>
      <w:r>
        <w:t xml:space="preserve"> </w:t>
      </w:r>
      <w:r>
        <w:t xml:space="preserve">-</w:t>
      </w:r>
      <w:r>
        <w:t xml:space="preserve"> </w:t>
      </w:r>
      <w:r>
        <w:rPr>
          <w:b/>
          <w:bCs/>
        </w:rPr>
        <w:t xml:space="preserve">Préparation et Conservation</w:t>
      </w:r>
      <w:r>
        <w:t xml:space="preserve"> </w:t>
      </w:r>
      <w:r>
        <w:t xml:space="preserve">: susp buv après reconstitution — 14 j max au réfrigérateur (2-8 °C) ; ne pas congeler ; secouer vigoureusement.</w:t>
      </w:r>
      <w:r>
        <w:t xml:space="preserve"> </w:t>
      </w:r>
      <w:r>
        <w:t xml:space="preserve">-</w:t>
      </w:r>
      <w:r>
        <w:t xml:space="preserve"> </w:t>
      </w:r>
      <w:r>
        <w:rPr>
          <w:b/>
          <w:bCs/>
        </w:rPr>
        <w:t xml:space="preserve">Piège du surdosage / Substitution</w:t>
      </w:r>
      <w:r>
        <w:t xml:space="preserve"> </w:t>
      </w:r>
      <w:r>
        <w:t xml:space="preserve">:</w:t>
      </w:r>
      <w:r>
        <w:t xml:space="preserve"> </w:t>
      </w:r>
      <w:r>
        <w:t xml:space="preserve">- Risque de confusion</w:t>
      </w:r>
      <w:r>
        <w:t xml:space="preserve"> </w:t>
      </w:r>
      <w:r>
        <w:rPr>
          <w:b/>
          <w:bCs/>
        </w:rPr>
        <w:t xml:space="preserve">« Cp 400/80 » vs « Cp Forte 800/160 »</w:t>
      </w:r>
      <w:r>
        <w:t xml:space="preserve"> </w:t>
      </w:r>
      <w:r>
        <w:t xml:space="preserve">: toujours préciser « Forte » sur l’étiquette ; risque de surdosage 2× chez l’enfant en cas d’erreur.</w:t>
      </w:r>
      <w:r>
        <w:t xml:space="preserve"> </w:t>
      </w:r>
      <w:r>
        <w:t xml:space="preserve">- À ne pas substituer sans avis médical (rash croisée possible entre sulfamides antibactériens et sulfamides hypoglycémiants / diurétiques — discuté mais par prudence, éviter).</w:t>
      </w:r>
      <w:r>
        <w:t xml:space="preserve"> </w:t>
      </w:r>
      <w:r>
        <w:t xml:space="preserve">-</w:t>
      </w:r>
      <w:r>
        <w:t xml:space="preserve"> </w:t>
      </w:r>
      <w:r>
        <w:rPr>
          <w:b/>
          <w:bCs/>
        </w:rPr>
        <w:t xml:space="preserve">Sulfaméthoxazole seul</w:t>
      </w:r>
      <w:r>
        <w:t xml:space="preserve"> </w:t>
      </w:r>
      <w:r>
        <w:t xml:space="preserve">n’est plus commercialisé (synergie prouvée avec TMP).</w:t>
      </w:r>
    </w:p>
    <w:p>
      <w:r>
        <w:pict>
          <v:rect style="width:0;height:1.5pt" o:hralign="center" o:hrstd="t" o:hr="t"/>
        </w:pict>
      </w:r>
    </w:p>
    <w:bookmarkEnd w:id="170"/>
    <w:bookmarkStart w:id="171" w:name="dci-sulfadiazine-seule"/>
    <w:p>
      <w:pPr>
        <w:pStyle w:val="Heading3"/>
      </w:pPr>
      <w:r>
        <w:t xml:space="preserve">6.1.3. DCI : Sulfadiazine (Seule)</w:t>
      </w:r>
    </w:p>
    <w:p>
      <w:pPr>
        <w:pStyle w:val="FirstParagraph"/>
      </w:pPr>
      <w:r>
        <w:rPr>
          <w:b/>
          <w:bCs/>
        </w:rPr>
        <w:t xml:space="preserve">Liste des Catégories :</w:t>
      </w:r>
      <w:r>
        <w:t xml:space="preserve"> </w:t>
      </w:r>
      <w:r>
        <w:t xml:space="preserve">Antibiotique ; Antibactérien systémique ; Sulfamide-antifolique ; Anti-toxoplasmose ; J01EC02.</w:t>
      </w:r>
    </w:p>
    <w:p>
      <w:pPr>
        <w:pStyle w:val="BodyText"/>
      </w:pPr>
      <w:r>
        <w:t xml:space="preserve">La sulfadiazine est historiquement le sulfamide de référence pour le traitement de la toxoplasmose, en association avec la pyriméthamine (inhibiteur de la DHFR parasitaire). Sa demi-vie d’environ 10 heures autorise une administration biquotidienne. En Algérie, la spécialité ADIAZINE (comprimés 500 mg, Doms Adrian) est actuellement retirée du marché commercial — le traitement de la toxoplasmose congénitale, cérébrale ou oculaire repose sur des circuits d’importation exceptionnelle ou sur l’alternative du cotrimoxazole (efficacité comparable dans la toxoplasmose cérébrale du VIH, mais moindre dans la toxoplasmose congénitale où la sulfadiazine reste le gold standard).</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ADIAZINE</w:t>
      </w:r>
      <w:r>
        <w:t xml:space="preserve"> </w:t>
      </w:r>
      <w:r>
        <w:t xml:space="preserve">(DOMS ADRIAN)</w:t>
      </w:r>
      <w:r>
        <w:t xml:space="preserve"> </w:t>
      </w:r>
      <w:r>
        <w:t xml:space="preserve">- Forme et Dosage : Comprimé 500 mg (B/20)</w:t>
      </w:r>
      <w:r>
        <w:t xml:space="preserve"> </w:t>
      </w:r>
      <w:r>
        <w:t xml:space="preserve">- Liste : Liste I</w:t>
      </w:r>
      <w:r>
        <w:t xml:space="preserve"> </w:t>
      </w:r>
      <w:r>
        <w:t xml:space="preserve">- Statut :</w:t>
      </w:r>
      <w:r>
        <w:t xml:space="preserve"> </w:t>
      </w:r>
      <w:r>
        <w:rPr>
          <w:b/>
          <w:bCs/>
        </w:rPr>
        <w:t xml:space="preserve">Retiré (R)</w:t>
      </w:r>
    </w:p>
    <w:p>
      <w:pPr>
        <w:pStyle w:val="BlockText"/>
      </w:pPr>
      <w:r>
        <w:rPr>
          <w:b/>
          <w:bCs/>
        </w:rPr>
        <w:t xml:space="preserve">Alerte circuit algérien :</w:t>
      </w:r>
      <w:r>
        <w:t xml:space="preserve"> </w:t>
      </w:r>
      <w:r>
        <w:t xml:space="preserve">À ce jour, la sulfadiazine orale n’est pas disponible en officine classique ; le traitement de la toxoplasmose gravidique congénitale repose généralement sur l’association</w:t>
      </w:r>
      <w:r>
        <w:t xml:space="preserve"> </w:t>
      </w:r>
      <w:r>
        <w:rPr>
          <w:b/>
          <w:bCs/>
        </w:rPr>
        <w:t xml:space="preserve">spiramycine</w:t>
      </w:r>
      <w:r>
        <w:t xml:space="preserve"> </w:t>
      </w:r>
      <w:r>
        <w:t xml:space="preserve">(Rovamycine) en 1re intention (réduction de la transmission materno-fœtale), relayée par sulfadiazine+pyriméthamine+acide folinique en cas d’infection fœtale confirmée (obtenue via circuit hospitalo-universitaire). Le pharmacien d’officine doit informer le patient de la nécessité d’un circuit spécialisé.</w:t>
      </w:r>
    </w:p>
    <w:p>
      <w:pPr>
        <w:pStyle w:val="FirstParagraph"/>
      </w:pPr>
      <w:r>
        <w:rPr>
          <w:b/>
          <w:bCs/>
        </w:rPr>
        <w:t xml:space="preserve">Sous-classe et Mécanisme d’action :</w:t>
      </w:r>
      <w:r>
        <w:t xml:space="preserve"> </w:t>
      </w:r>
      <w:r>
        <w:t xml:space="preserve">- Sous-classe : Sulfamide à demi-vie intermédiaire (10-17 h), apparenté au sulfaméthoxazole mais avec un spectre particulièrement actif sur</w:t>
      </w:r>
      <w:r>
        <w:t xml:space="preserve"> </w:t>
      </w:r>
      <w:r>
        <w:rPr>
          <w:i/>
          <w:iCs/>
        </w:rPr>
        <w:t xml:space="preserve">Toxoplasma gondii</w:t>
      </w:r>
      <w:r>
        <w:t xml:space="preserve">.</w:t>
      </w:r>
      <w:r>
        <w:t xml:space="preserve"> </w:t>
      </w:r>
      <w:r>
        <w:t xml:space="preserve">- Mécanisme d’action : analogue du PABA,</w:t>
      </w:r>
      <w:r>
        <w:t xml:space="preserve"> </w:t>
      </w:r>
      <w:r>
        <w:rPr>
          <w:b/>
          <w:bCs/>
        </w:rPr>
        <w:t xml:space="preserve">inhibition compétitive de la dihydroptéroate synthase (DHPS)</w:t>
      </w:r>
      <w:r>
        <w:t xml:space="preserve"> </w:t>
      </w:r>
      <w:r>
        <w:t xml:space="preserve">parasitaire (et bactérienne) → blocage de la synthèse de l’acide dihydrofolique (DHF). En association avec la</w:t>
      </w:r>
      <w:r>
        <w:t xml:space="preserve"> </w:t>
      </w:r>
      <w:r>
        <w:rPr>
          <w:b/>
          <w:bCs/>
        </w:rPr>
        <w:t xml:space="preserve">pyriméthamine</w:t>
      </w:r>
      <w:r>
        <w:t xml:space="preserve"> </w:t>
      </w:r>
      <w:r>
        <w:t xml:space="preserve">(inhibiteur DHFR parasitaire), produit une</w:t>
      </w:r>
      <w:r>
        <w:t xml:space="preserve"> </w:t>
      </w:r>
      <w:r>
        <w:rPr>
          <w:b/>
          <w:bCs/>
        </w:rPr>
        <w:t xml:space="preserve">synergie bactéricide séquentielle</w:t>
      </w:r>
      <w:r>
        <w:t xml:space="preserve"> </w:t>
      </w:r>
      <w:r>
        <w:t xml:space="preserve">(même principe que le cotrimoxazole mais adapté au protozoaire). À la différence du SMX, la sulfadiazine a une affinité marquée pour la DHPS de</w:t>
      </w:r>
      <w:r>
        <w:t xml:space="preserve"> </w:t>
      </w:r>
      <w:r>
        <w:rPr>
          <w:i/>
          <w:iCs/>
        </w:rPr>
        <w:t xml:space="preserve">Toxoplasma gondii</w:t>
      </w:r>
      <w:r>
        <w:t xml:space="preserve">, justifiant son emploi dans la toxoplasmose.</w:t>
      </w:r>
    </w:p>
    <w:p>
      <w:pPr>
        <w:pStyle w:val="BodyText"/>
      </w:pPr>
      <w:r>
        <w:rPr>
          <w:b/>
          <w:bCs/>
        </w:rPr>
        <w:t xml:space="preserve">Profil Pharmacologique :</w:t>
      </w:r>
      <w:r>
        <w:t xml:space="preserve"> </w:t>
      </w:r>
      <w:r>
        <w:t xml:space="preserve">- Indications :</w:t>
      </w:r>
      <w:r>
        <w:t xml:space="preserve"> </w:t>
      </w:r>
      <w:r>
        <w:t xml:space="preserve">-</w:t>
      </w:r>
      <w:r>
        <w:t xml:space="preserve"> </w:t>
      </w:r>
      <w:r>
        <w:rPr>
          <w:b/>
          <w:bCs/>
        </w:rPr>
        <w:t xml:space="preserve">Toxoplasmose cérébrale</w:t>
      </w:r>
      <w:r>
        <w:t xml:space="preserve"> </w:t>
      </w:r>
      <w:r>
        <w:t xml:space="preserve">(sujet immunodéprimé VIH, transplanté) : association sulfadiazine + pyriméthamine + acide folinique — traitement curatif de première intention pendant ≥ 6 semaines, puis prophylaxie secondaire à vie (ou jusqu’à restauration immunitaire).</w:t>
      </w:r>
      <w:r>
        <w:t xml:space="preserve"> </w:t>
      </w:r>
      <w:r>
        <w:t xml:space="preserve">-</w:t>
      </w:r>
      <w:r>
        <w:t xml:space="preserve"> </w:t>
      </w:r>
      <w:r>
        <w:rPr>
          <w:b/>
          <w:bCs/>
        </w:rPr>
        <w:t xml:space="preserve">Toxoplasmose congénitale de l’enfant</w:t>
      </w:r>
      <w:r>
        <w:t xml:space="preserve"> </w:t>
      </w:r>
      <w:r>
        <w:t xml:space="preserve">: traitement prolongé 12 mois (alternance sulfadiazine+pyriméthamine / spiramycine selon protocoles).</w:t>
      </w:r>
      <w:r>
        <w:t xml:space="preserve"> </w:t>
      </w:r>
      <w:r>
        <w:t xml:space="preserve">-</w:t>
      </w:r>
      <w:r>
        <w:t xml:space="preserve"> </w:t>
      </w:r>
      <w:r>
        <w:rPr>
          <w:b/>
          <w:bCs/>
        </w:rPr>
        <w:t xml:space="preserve">Toxoplasmose oculaire</w:t>
      </w:r>
      <w:r>
        <w:t xml:space="preserve"> </w:t>
      </w:r>
      <w:r>
        <w:t xml:space="preserve">(choriorétinite) : association classique.</w:t>
      </w:r>
      <w:r>
        <w:t xml:space="preserve"> </w:t>
      </w:r>
      <w:r>
        <w:t xml:space="preserve">-</w:t>
      </w:r>
      <w:r>
        <w:t xml:space="preserve"> </w:t>
      </w:r>
      <w:r>
        <w:rPr>
          <w:b/>
          <w:bCs/>
        </w:rPr>
        <w:t xml:space="preserve">Prophylaxie de la toxoplasmose</w:t>
      </w:r>
      <w:r>
        <w:t xml:space="preserve"> </w:t>
      </w:r>
      <w:r>
        <w:t xml:space="preserve">chez VIH+ CD4 &lt; 100 (alternative à cotrimoxazole).</w:t>
      </w:r>
      <w:r>
        <w:t xml:space="preserve"> </w:t>
      </w:r>
      <w:r>
        <w:t xml:space="preserve">-</w:t>
      </w:r>
      <w:r>
        <w:t xml:space="preserve"> </w:t>
      </w:r>
      <w:r>
        <w:rPr>
          <w:i/>
          <w:iCs/>
        </w:rPr>
        <w:t xml:space="preserve">Historique</w:t>
      </w:r>
      <w:r>
        <w:t xml:space="preserve"> </w:t>
      </w:r>
      <w:r>
        <w:t xml:space="preserve">: méningococcie prophylaxie, infections urinaires (obsolète).</w:t>
      </w:r>
      <w:r>
        <w:t xml:space="preserve"> </w:t>
      </w:r>
      <w:r>
        <w:t xml:space="preserve">- Contre-indications :</w:t>
      </w:r>
      <w:r>
        <w:t xml:space="preserve"> </w:t>
      </w:r>
      <w:r>
        <w:t xml:space="preserve">- Hypersensibilité aux sulfamides.</w:t>
      </w:r>
      <w:r>
        <w:t xml:space="preserve"> </w:t>
      </w:r>
      <w:r>
        <w:t xml:space="preserve">-</w:t>
      </w:r>
      <w:r>
        <w:t xml:space="preserve"> </w:t>
      </w:r>
      <w:r>
        <w:rPr>
          <w:b/>
          <w:bCs/>
        </w:rPr>
        <w:t xml:space="preserve">Déficit en G6PD</w:t>
      </w:r>
      <w:r>
        <w:t xml:space="preserve"> </w:t>
      </w:r>
      <w:r>
        <w:t xml:space="preserve">(hémolyse).</w:t>
      </w:r>
      <w:r>
        <w:t xml:space="preserve"> </w:t>
      </w:r>
      <w:r>
        <w:t xml:space="preserve">-</w:t>
      </w:r>
      <w:r>
        <w:t xml:space="preserve"> </w:t>
      </w:r>
      <w:r>
        <w:rPr>
          <w:b/>
          <w:bCs/>
        </w:rPr>
        <w:t xml:space="preserve">Insuffisance rénale sévère</w:t>
      </w:r>
      <w:r>
        <w:t xml:space="preserve"> </w:t>
      </w:r>
      <w:r>
        <w:t xml:space="preserve">sans adaptation.</w:t>
      </w:r>
      <w:r>
        <w:t xml:space="preserve"> </w:t>
      </w:r>
      <w:r>
        <w:t xml:space="preserve">-</w:t>
      </w:r>
      <w:r>
        <w:t xml:space="preserve"> </w:t>
      </w:r>
      <w:r>
        <w:rPr>
          <w:b/>
          <w:bCs/>
        </w:rPr>
        <w:t xml:space="preserve">1er trimestre grossesse</w:t>
      </w:r>
      <w:r>
        <w:t xml:space="preserve"> </w:t>
      </w:r>
      <w:r>
        <w:t xml:space="preserve">(anti-folique, tératogène).</w:t>
      </w:r>
      <w:r>
        <w:t xml:space="preserve"> </w:t>
      </w:r>
      <w:r>
        <w:t xml:space="preserve">-</w:t>
      </w:r>
      <w:r>
        <w:t xml:space="preserve"> </w:t>
      </w:r>
      <w:r>
        <w:rPr>
          <w:b/>
          <w:bCs/>
        </w:rPr>
        <w:t xml:space="preserve">3e trimestre grossesse</w:t>
      </w:r>
      <w:r>
        <w:t xml:space="preserve"> </w:t>
      </w:r>
      <w:r>
        <w:t xml:space="preserve">(kernictère néonatal).</w:t>
      </w:r>
      <w:r>
        <w:t xml:space="preserve"> </w:t>
      </w:r>
      <w:r>
        <w:t xml:space="preserve">- Porphyries.</w:t>
      </w:r>
      <w:r>
        <w:t xml:space="preserve"> </w:t>
      </w:r>
      <w:r>
        <w:t xml:space="preserve">- Allaitement (sauf si surveillance néonatale stricte).</w:t>
      </w:r>
      <w:r>
        <w:t xml:space="preserve"> </w:t>
      </w:r>
      <w:r>
        <w:t xml:space="preserve">- Effets Indésirables : profil identique à tous les sulfamides :</w:t>
      </w:r>
      <w:r>
        <w:t xml:space="preserve"> </w:t>
      </w:r>
      <w:r>
        <w:t xml:space="preserve">-</w:t>
      </w:r>
      <w:r>
        <w:t xml:space="preserve"> </w:t>
      </w:r>
      <w:r>
        <w:rPr>
          <w:b/>
          <w:bCs/>
        </w:rPr>
        <w:t xml:space="preserve">Rash cutané, SJS, TEN</w:t>
      </w:r>
      <w:r>
        <w:t xml:space="preserve"> </w:t>
      </w:r>
      <w:r>
        <w:t xml:space="preserve">(rare mais grave) ;</w:t>
      </w:r>
      <w:r>
        <w:t xml:space="preserve"> </w:t>
      </w:r>
      <w:r>
        <w:t xml:space="preserve">-</w:t>
      </w:r>
      <w:r>
        <w:t xml:space="preserve"> </w:t>
      </w:r>
      <w:r>
        <w:rPr>
          <w:b/>
          <w:bCs/>
        </w:rPr>
        <w:t xml:space="preserve">Cristallurie</w:t>
      </w:r>
      <w:r>
        <w:t xml:space="preserve"> </w:t>
      </w:r>
      <w:r>
        <w:t xml:space="preserve">(la sulfadiazine est moins soluble que le SMX — risque majoré !) → précipitations en aiguilles dans tubules ; néphropathie cristalline obstructive ;</w:t>
      </w:r>
      <w:r>
        <w:t xml:space="preserve"> </w:t>
      </w:r>
      <w:r>
        <w:t xml:space="preserve">- Hémolyse (G6PD) ;</w:t>
      </w:r>
      <w:r>
        <w:t xml:space="preserve"> </w:t>
      </w:r>
      <w:r>
        <w:t xml:space="preserve">-</w:t>
      </w:r>
      <w:r>
        <w:t xml:space="preserve"> </w:t>
      </w:r>
      <w:r>
        <w:rPr>
          <w:b/>
          <w:bCs/>
        </w:rPr>
        <w:t xml:space="preserve">Hyperbilirubinémie / kernictère</w:t>
      </w:r>
      <w:r>
        <w:t xml:space="preserve"> </w:t>
      </w:r>
      <w:r>
        <w:t xml:space="preserve">(déplacement de l’albumine) ;</w:t>
      </w:r>
      <w:r>
        <w:t xml:space="preserve"> </w:t>
      </w:r>
      <w:r>
        <w:t xml:space="preserve">- Hépatotoxicité (cytolyse, cholestase, hépatite fulminante rare) ;</w:t>
      </w:r>
      <w:r>
        <w:t xml:space="preserve"> </w:t>
      </w:r>
      <w:r>
        <w:t xml:space="preserve">- Aplasie médullaire, agranulocytose, thrombopénie ;</w:t>
      </w:r>
      <w:r>
        <w:t xml:space="preserve"> </w:t>
      </w:r>
      <w:r>
        <w:t xml:space="preserve">- Nausées, vomissements, diarrhée ;</w:t>
      </w:r>
      <w:r>
        <w:t xml:space="preserve"> </w:t>
      </w:r>
      <w:r>
        <w:t xml:space="preserve">-</w:t>
      </w:r>
      <w:r>
        <w:t xml:space="preserve"> </w:t>
      </w:r>
      <w:r>
        <w:rPr>
          <w:b/>
          <w:bCs/>
        </w:rPr>
        <w:t xml:space="preserve">Néphrite interstitielle aiguë immunoallergique</w:t>
      </w:r>
      <w:r>
        <w:t xml:space="preserve"> </w:t>
      </w:r>
      <w:r>
        <w:t xml:space="preserve">;</w:t>
      </w:r>
      <w:r>
        <w:t xml:space="preserve"> </w:t>
      </w:r>
      <w:r>
        <w:t xml:space="preserve">- Photosensibilité.</w:t>
      </w:r>
      <w:r>
        <w:t xml:space="preserve"> </w:t>
      </w:r>
      <w:r>
        <w:t xml:space="preserve">- Effets liés à l’association avec pyriméthamine :</w:t>
      </w:r>
      <w:r>
        <w:t xml:space="preserve"> </w:t>
      </w:r>
      <w:r>
        <w:rPr>
          <w:b/>
          <w:bCs/>
        </w:rPr>
        <w:t xml:space="preserve">dépression médullaire additive</w:t>
      </w:r>
      <w:r>
        <w:t xml:space="preserve"> </w:t>
      </w:r>
      <w:r>
        <w:t xml:space="preserve">(leucopénie, thrombopénie, anémie mégaloblastique) → supplémentation systématique en acide folinique (5-10 mg/j).</w:t>
      </w:r>
    </w:p>
    <w:p>
      <w:pPr>
        <w:pStyle w:val="BodyText"/>
      </w:pPr>
      <w:r>
        <w:rPr>
          <w:b/>
          <w:bCs/>
        </w:rPr>
        <w:t xml:space="preserve">Prévention et Gestion des Effets Indésirables :</w:t>
      </w:r>
      <w:r>
        <w:t xml:space="preserve"> </w:t>
      </w:r>
      <w:r>
        <w:t xml:space="preserve">- Mesures Préventives :</w:t>
      </w:r>
      <w:r>
        <w:t xml:space="preserve"> </w:t>
      </w:r>
      <w:r>
        <w:t xml:space="preserve">-</w:t>
      </w:r>
      <w:r>
        <w:t xml:space="preserve"> </w:t>
      </w:r>
      <w:r>
        <w:rPr>
          <w:b/>
          <w:bCs/>
        </w:rPr>
        <w:t xml:space="preserve">Hydratation abondante</w:t>
      </w:r>
      <w:r>
        <w:t xml:space="preserve"> </w:t>
      </w:r>
      <w:r>
        <w:t xml:space="preserve">(≥ 2,5 L/j adulte) IMPÉRATIVE pendant toute la durée du traitement (la sulfadiazine est encore moins soluble que le SMX → cristallurie plus fréquente).</w:t>
      </w:r>
      <w:r>
        <w:t xml:space="preserve"> </w:t>
      </w:r>
      <w:r>
        <w:t xml:space="preserve">-</w:t>
      </w:r>
      <w:r>
        <w:t xml:space="preserve"> </w:t>
      </w:r>
      <w:r>
        <w:rPr>
          <w:b/>
          <w:bCs/>
        </w:rPr>
        <w:t xml:space="preserve">Alcalinisation des urines</w:t>
      </w:r>
      <w:r>
        <w:t xml:space="preserve"> </w:t>
      </w:r>
      <w:r>
        <w:t xml:space="preserve">systématique en traitement curatif toxoplasmose cérébrale : bicarbonate de sodium 1-2 g × 3-4/j pour maintenir un pH urinaire &gt; 7,0 (augmente la solubilité de la sulfadiazine).</w:t>
      </w:r>
      <w:r>
        <w:t xml:space="preserve"> </w:t>
      </w:r>
      <w:r>
        <w:t xml:space="preserve">- Surveillance NFS-plaquettes 2×/sem pendant traitement curatif haute dose (avec pyriméthamine), puis hebdo.</w:t>
      </w:r>
      <w:r>
        <w:t xml:space="preserve"> </w:t>
      </w:r>
      <w:r>
        <w:t xml:space="preserve">- Surveillance créatinine et BU (recherche cristaux) tous les 3-4 jours.</w:t>
      </w:r>
      <w:r>
        <w:t xml:space="preserve"> </w:t>
      </w:r>
      <w:r>
        <w:t xml:space="preserve">- Supplémentation en acide folinique (5-formyl-THF) systématique en cas d’association avec pyriméthamine.</w:t>
      </w:r>
      <w:r>
        <w:t xml:space="preserve"> </w:t>
      </w:r>
      <w:r>
        <w:t xml:space="preserve">- Conduite à Tenir :</w:t>
      </w:r>
      <w:r>
        <w:t xml:space="preserve"> </w:t>
      </w:r>
      <w:r>
        <w:t xml:space="preserve">-</w:t>
      </w:r>
      <w:r>
        <w:t xml:space="preserve"> </w:t>
      </w:r>
      <w:r>
        <w:rPr>
          <w:b/>
          <w:bCs/>
        </w:rPr>
        <w:t xml:space="preserve">Arrêt IMMÉDIAT en cas de rash</w:t>
      </w:r>
      <w:r>
        <w:t xml:space="preserve"> </w:t>
      </w:r>
      <w:r>
        <w:t xml:space="preserve">(mêmes principes que cotrimoxazole).</w:t>
      </w:r>
      <w:r>
        <w:t xml:space="preserve"> </w:t>
      </w:r>
      <w:r>
        <w:t xml:space="preserve">- Cristallurie ou hématurie macroscopique : arrêt transitoire, hydratation IV abondante, alcalinisation IV ; reprise éventuelle à dose adaptée à la fonction rénale.</w:t>
      </w:r>
    </w:p>
    <w:p>
      <w:pPr>
        <w:pStyle w:val="BodyText"/>
      </w:pPr>
      <w:r>
        <w:rPr>
          <w:b/>
          <w:bCs/>
        </w:rPr>
        <w:t xml:space="preserve">Interactions Importantes :</w:t>
      </w:r>
      <w:r>
        <w:t xml:space="preserve"> </w:t>
      </w:r>
      <w:r>
        <w:t xml:space="preserve">-</w:t>
      </w:r>
      <w:r>
        <w:t xml:space="preserve"> </w:t>
      </w:r>
      <w:r>
        <w:rPr>
          <w:b/>
          <w:bCs/>
        </w:rPr>
        <w:t xml:space="preserve">Sulfadiazine + AVK</w:t>
      </w:r>
      <w:r>
        <w:t xml:space="preserve"> </w:t>
      </w:r>
      <w:r>
        <w:t xml:space="preserve">: potentialisation (même mécanisme que cotrimoxazole — déplacement protéique, inhibition CYP2C9).</w:t>
      </w:r>
      <w:r>
        <w:t xml:space="preserve"> </w:t>
      </w:r>
      <w:r>
        <w:t xml:space="preserve">-</w:t>
      </w:r>
      <w:r>
        <w:t xml:space="preserve"> </w:t>
      </w:r>
      <w:r>
        <w:rPr>
          <w:b/>
          <w:bCs/>
        </w:rPr>
        <w:t xml:space="preserve">Sulfadiazine + méthotrexate</w:t>
      </w:r>
      <w:r>
        <w:t xml:space="preserve"> </w:t>
      </w:r>
      <w:r>
        <w:t xml:space="preserve">: déplacement protéique → toxicité MTX.</w:t>
      </w:r>
      <w:r>
        <w:t xml:space="preserve"> </w:t>
      </w:r>
      <w:r>
        <w:t xml:space="preserve">-</w:t>
      </w:r>
      <w:r>
        <w:t xml:space="preserve"> </w:t>
      </w:r>
      <w:r>
        <w:rPr>
          <w:b/>
          <w:bCs/>
        </w:rPr>
        <w:t xml:space="preserve">Sulfadiazine + sulfonylurées</w:t>
      </w:r>
      <w:r>
        <w:t xml:space="preserve"> </w:t>
      </w:r>
      <w:r>
        <w:t xml:space="preserve">: hypoglycémie.</w:t>
      </w:r>
      <w:r>
        <w:t xml:space="preserve"> </w:t>
      </w:r>
      <w:r>
        <w:t xml:space="preserve">-</w:t>
      </w:r>
      <w:r>
        <w:t xml:space="preserve"> </w:t>
      </w:r>
      <w:r>
        <w:rPr>
          <w:b/>
          <w:bCs/>
        </w:rPr>
        <w:t xml:space="preserve">Sulfadiazine + phénytoïne</w:t>
      </w:r>
      <w:r>
        <w:t xml:space="preserve"> </w:t>
      </w:r>
      <w:r>
        <w:t xml:space="preserve">: inhibition métabolisme → surdosage.</w:t>
      </w:r>
      <w:r>
        <w:t xml:space="preserve"> </w:t>
      </w:r>
      <w:r>
        <w:t xml:space="preserve">-</w:t>
      </w:r>
      <w:r>
        <w:t xml:space="preserve"> </w:t>
      </w:r>
      <w:r>
        <w:rPr>
          <w:b/>
          <w:bCs/>
        </w:rPr>
        <w:t xml:space="preserve">Sulfadiazine + ciclosporine</w:t>
      </w:r>
      <w:r>
        <w:t xml:space="preserve"> </w:t>
      </w:r>
      <w:r>
        <w:t xml:space="preserve">: néphrotoxicité additive.</w:t>
      </w:r>
      <w:r>
        <w:t xml:space="preserve"> </w:t>
      </w:r>
      <w:r>
        <w:t xml:space="preserve">-</w:t>
      </w:r>
      <w:r>
        <w:t xml:space="preserve"> </w:t>
      </w:r>
      <w:r>
        <w:rPr>
          <w:b/>
          <w:bCs/>
        </w:rPr>
        <w:t xml:space="preserve">Sulfadiazine + indométacine et AINS</w:t>
      </w:r>
      <w:r>
        <w:t xml:space="preserve"> </w:t>
      </w:r>
      <w:r>
        <w:t xml:space="preserve">: diminution de l’élimination rénale de la sulfadiazine.</w:t>
      </w:r>
      <w:r>
        <w:t xml:space="preserve"> </w:t>
      </w:r>
      <w:r>
        <w:t xml:space="preserve">-</w:t>
      </w:r>
      <w:r>
        <w:t xml:space="preserve"> </w:t>
      </w:r>
      <w:r>
        <w:rPr>
          <w:b/>
          <w:bCs/>
        </w:rPr>
        <w:t xml:space="preserve">Sulfadiazine + probénécide</w:t>
      </w:r>
      <w:r>
        <w:t xml:space="preserve"> </w:t>
      </w:r>
      <w:r>
        <w:t xml:space="preserve">: augmente concentration sulfadiazine (blocage sécrétion tubulaire) — utile ou délétère selon contexte.</w:t>
      </w:r>
    </w:p>
    <w:p>
      <w:pPr>
        <w:pStyle w:val="BodyText"/>
      </w:pPr>
      <w:r>
        <w:rPr>
          <w:b/>
          <w:bCs/>
        </w:rPr>
        <w:t xml:space="preserve">Grossesse et Allaitement :</w:t>
      </w:r>
      <w:r>
        <w:t xml:space="preserve"> </w:t>
      </w:r>
      <w:r>
        <w:t xml:space="preserve">- Grossesse :</w:t>
      </w:r>
      <w:r>
        <w:t xml:space="preserve"> </w:t>
      </w:r>
      <w:r>
        <w:t xml:space="preserve">-</w:t>
      </w:r>
      <w:r>
        <w:t xml:space="preserve"> </w:t>
      </w:r>
      <w:r>
        <w:rPr>
          <w:b/>
          <w:bCs/>
        </w:rPr>
        <w:t xml:space="preserve">1er trimestre</w:t>
      </w:r>
      <w:r>
        <w:t xml:space="preserve"> </w:t>
      </w:r>
      <w:r>
        <w:t xml:space="preserve">: CI absolue (anti-folique tératogène).</w:t>
      </w:r>
      <w:r>
        <w:t xml:space="preserve"> </w:t>
      </w:r>
      <w:r>
        <w:t xml:space="preserve">-</w:t>
      </w:r>
      <w:r>
        <w:t xml:space="preserve"> </w:t>
      </w:r>
      <w:r>
        <w:rPr>
          <w:b/>
          <w:bCs/>
        </w:rPr>
        <w:t xml:space="preserve">2e trimestre</w:t>
      </w:r>
      <w:r>
        <w:t xml:space="preserve"> </w:t>
      </w:r>
      <w:r>
        <w:t xml:space="preserve">: à éviter en raison du risque d’hémolyse fœtale (G6PD) et de cristallurie.</w:t>
      </w:r>
      <w:r>
        <w:t xml:space="preserve"> </w:t>
      </w:r>
      <w:r>
        <w:t xml:space="preserve">-</w:t>
      </w:r>
      <w:r>
        <w:t xml:space="preserve"> </w:t>
      </w:r>
      <w:r>
        <w:rPr>
          <w:b/>
          <w:bCs/>
        </w:rPr>
        <w:t xml:space="preserve">3e trimestre</w:t>
      </w:r>
      <w:r>
        <w:t xml:space="preserve"> </w:t>
      </w:r>
      <w:r>
        <w:t xml:space="preserve">: CI (kernictère néonatal).</w:t>
      </w:r>
      <w:r>
        <w:t xml:space="preserve"> </w:t>
      </w:r>
      <w:r>
        <w:t xml:space="preserve">- Dans la toxoplasmose gravidique avec infection fœtale confirmée, l’association sulfadiazine+pyriméthamine+acide folinique est utilisée après S16 (bénéfice maternel-fœtal supérieur au risque toxique) — protocole spécialisé.</w:t>
      </w:r>
      <w:r>
        <w:t xml:space="preserve"> </w:t>
      </w:r>
      <w:r>
        <w:t xml:space="preserve">- Allaitement : à éviter (sulfadiazine excrétée dans le lait, risque kernictère si hyperbilirubinémie néonatale) ; suspension de l’allaitement pendant le traitement.</w:t>
      </w:r>
    </w:p>
    <w:p>
      <w:pPr>
        <w:pStyle w:val="BodyText"/>
      </w:pPr>
      <w:r>
        <w:rPr>
          <w:b/>
          <w:bCs/>
        </w:rPr>
        <w:t xml:space="preserve">Posologie et Mode d’administration (Standard) :</w:t>
      </w:r>
      <w:r>
        <w:t xml:space="preserve"> </w:t>
      </w:r>
      <w:r>
        <w:t xml:space="preserve">- Adulte :</w:t>
      </w:r>
      <w:r>
        <w:t xml:space="preserve"> </w:t>
      </w:r>
      <w:r>
        <w:t xml:space="preserve">-</w:t>
      </w:r>
      <w:r>
        <w:t xml:space="preserve"> </w:t>
      </w:r>
      <w:r>
        <w:rPr>
          <w:b/>
          <w:bCs/>
        </w:rPr>
        <w:t xml:space="preserve">Toxoplasmose cérébrale curative (avec pyriméthamine)</w:t>
      </w:r>
      <w:r>
        <w:t xml:space="preserve"> </w:t>
      </w:r>
      <w:r>
        <w:t xml:space="preserve">: sulfadiazine 1 à 1,5 g × 4/j PO (4-6 g/j) + pyriméthamine 200 mg dose d’attaque puis 50-75 mg/j + acide folinique 10-15 mg/j pendant ≥ 6 semaines.</w:t>
      </w:r>
      <w:r>
        <w:t xml:space="preserve"> </w:t>
      </w:r>
      <w:r>
        <w:t xml:space="preserve">-</w:t>
      </w:r>
      <w:r>
        <w:t xml:space="preserve"> </w:t>
      </w:r>
      <w:r>
        <w:rPr>
          <w:b/>
          <w:bCs/>
        </w:rPr>
        <w:t xml:space="preserve">Toxoplasmose congénitale</w:t>
      </w:r>
      <w:r>
        <w:t xml:space="preserve"> </w:t>
      </w:r>
      <w:r>
        <w:t xml:space="preserve">: protocole pédiatrique spécialisé (alternance 1 mois spiramycine / 1 mois sulfadiazine+pyriméthamine pendant 12 mois).</w:t>
      </w:r>
      <w:r>
        <w:t xml:space="preserve"> </w:t>
      </w:r>
      <w:r>
        <w:t xml:space="preserve">- Prophylaxie toxoplasmose (sujets VIH+) : 500 mg × 4/j ou 1 g × 2/j.</w:t>
      </w:r>
      <w:r>
        <w:t xml:space="preserve"> </w:t>
      </w:r>
      <w:r>
        <w:t xml:space="preserve">- Enfant : 100-200 mg/kg/j en 2-4 prises (max 6 g/j).</w:t>
      </w:r>
      <w:r>
        <w:t xml:space="preserve"> </w:t>
      </w:r>
      <w:r>
        <w:t xml:space="preserve">- Mode d’administration : PO strictement, pendant les repas, hydratation ≥ 2,5 L/j, alcalinisation urinaire.</w:t>
      </w:r>
    </w:p>
    <w:p>
      <w:pPr>
        <w:pStyle w:val="BodyText"/>
      </w:pPr>
      <w:r>
        <w:rPr>
          <w:b/>
          <w:bCs/>
        </w:rPr>
        <w:t xml:space="preserve">Arbitrage et Bénéfices des Formes Galéniques :</w:t>
      </w:r>
      <w:r>
        <w:t xml:space="preserve"> </w:t>
      </w:r>
      <w:r>
        <w:t xml:space="preserve">- Forme orale uniquement (cp 500 mg) en Algérie.</w:t>
      </w:r>
      <w:r>
        <w:t xml:space="preserve"> </w:t>
      </w:r>
      <w:r>
        <w:t xml:space="preserve">- En cas d’indisponibilité temporaire : alternative</w:t>
      </w:r>
      <w:r>
        <w:t xml:space="preserve"> </w:t>
      </w:r>
      <w:r>
        <w:rPr>
          <w:b/>
          <w:bCs/>
        </w:rPr>
        <w:t xml:space="preserve">cotrimoxazole</w:t>
      </w:r>
      <w:r>
        <w:t xml:space="preserve"> </w:t>
      </w:r>
      <w:r>
        <w:t xml:space="preserve">(efficacité comparable dans la toxoplasmose cérébrale du VIH ; à éviter dans la toxoplasmose congénitale / oculaire du sujet immunocompétent où la sulfadiazine reste le gold standard).</w:t>
      </w:r>
      <w:r>
        <w:t xml:space="preserve"> </w:t>
      </w:r>
      <w:r>
        <w:t xml:space="preserve">- Formes IV (sulfadiazine sodique) non disponibles en Algérie — relayées par cotrimoxazole IV en cas d’urgence.</w:t>
      </w:r>
    </w:p>
    <w:p>
      <w:pPr>
        <w:pStyle w:val="BodyText"/>
      </w:pPr>
      <w:r>
        <w:rPr>
          <w:b/>
          <w:bCs/>
        </w:rPr>
        <w:t xml:space="preserve">Instructions et Conseils au Patient :</w:t>
      </w:r>
      <w:r>
        <w:t xml:space="preserve"> </w:t>
      </w:r>
      <w:r>
        <w:t xml:space="preserve">- Communication au comptoir :</w:t>
      </w:r>
      <w:r>
        <w:t xml:space="preserve"> </w:t>
      </w:r>
      <w:r>
        <w:t xml:space="preserve">- « Ce traitement nécessite une</w:t>
      </w:r>
      <w:r>
        <w:t xml:space="preserve"> </w:t>
      </w:r>
      <w:r>
        <w:rPr>
          <w:b/>
          <w:bCs/>
        </w:rPr>
        <w:t xml:space="preserve">hydratation très importante : au moins 2,5 litres d’eau par jour</w:t>
      </w:r>
      <w:r>
        <w:t xml:space="preserve">, pour protéger vos reins ».</w:t>
      </w:r>
      <w:r>
        <w:t xml:space="preserve"> </w:t>
      </w:r>
      <w:r>
        <w:t xml:space="preserve">- « Vous devez prendre ce médicament avec un peu de bicarbonate alimentaire ou un sachet prescrit par votre médecin pour alcaliniser vos urines ».</w:t>
      </w:r>
      <w:r>
        <w:t xml:space="preserve"> </w:t>
      </w:r>
      <w:r>
        <w:t xml:space="preserve">- « Prévenez immédiatement votre médecin si vous constatez des douleurs lombaires, du sang dans les urines, une fièvre ou une éruption cutanée ».</w:t>
      </w:r>
      <w:r>
        <w:t xml:space="preserve"> </w:t>
      </w:r>
      <w:r>
        <w:t xml:space="preserve">- « Prenez bien l’acide folinique prescrit en complément, qui protège votre moelle osseuse ».</w:t>
      </w:r>
      <w:r>
        <w:t xml:space="preserve"> </w:t>
      </w:r>
      <w:r>
        <w:t xml:space="preserve">- Mode d’utilisation pratique : prise régulière à heures fixes ; oubli → prise dès que possible si &lt; 4 h de retard ; ne jamais doubler.</w:t>
      </w:r>
    </w:p>
    <w:p>
      <w:pPr>
        <w:pStyle w:val="BodyText"/>
      </w:pPr>
      <w:r>
        <w:rPr>
          <w:b/>
          <w:bCs/>
        </w:rPr>
        <w:t xml:space="preserve">Notes, Règles d’Or &amp; Pièges au Comptoir :</w:t>
      </w:r>
      <w:r>
        <w:t xml:space="preserve"> </w:t>
      </w:r>
      <w:r>
        <w:t xml:space="preserve">-</w:t>
      </w:r>
      <w:r>
        <w:t xml:space="preserve"> </w:t>
      </w:r>
      <w:r>
        <w:rPr>
          <w:b/>
          <w:bCs/>
        </w:rPr>
        <w:t xml:space="preserve">Piège classique — Sulfadiazine + ICTÈRE néonatal</w:t>
      </w:r>
      <w:r>
        <w:t xml:space="preserve"> </w:t>
      </w:r>
      <w:r>
        <w:t xml:space="preserve">: CI absolue en fin de grossesse et allaitement (kernictère).</w:t>
      </w:r>
      <w:r>
        <w:t xml:space="preserve"> </w:t>
      </w:r>
      <w:r>
        <w:t xml:space="preserve">-</w:t>
      </w:r>
      <w:r>
        <w:t xml:space="preserve"> </w:t>
      </w:r>
      <w:r>
        <w:rPr>
          <w:b/>
          <w:bCs/>
        </w:rPr>
        <w:t xml:space="preserve">Piège classique — Cristallurie sulfadiazine</w:t>
      </w:r>
      <w:r>
        <w:t xml:space="preserve"> </w:t>
      </w:r>
      <w:r>
        <w:t xml:space="preserve">: douleur lombaire brutale + hématurie = suspicion immédiate → arrêt, hydratation IV, alcalinisation.</w:t>
      </w:r>
      <w:r>
        <w:t xml:space="preserve"> </w:t>
      </w:r>
      <w:r>
        <w:t xml:space="preserve">-</w:t>
      </w:r>
      <w:r>
        <w:t xml:space="preserve"> </w:t>
      </w:r>
      <w:r>
        <w:rPr>
          <w:b/>
          <w:bCs/>
        </w:rPr>
        <w:t xml:space="preserve">Règle de prise</w:t>
      </w:r>
      <w:r>
        <w:t xml:space="preserve"> </w:t>
      </w:r>
      <w:r>
        <w:t xml:space="preserve">: hydratation ≥ 2,5 L/j + alcalinisation systématique par bicarbonate.</w:t>
      </w:r>
      <w:r>
        <w:t xml:space="preserve"> </w:t>
      </w:r>
      <w:r>
        <w:t xml:space="preserve">-</w:t>
      </w:r>
      <w:r>
        <w:t xml:space="preserve"> </w:t>
      </w:r>
      <w:r>
        <w:rPr>
          <w:b/>
          <w:bCs/>
        </w:rPr>
        <w:t xml:space="preserve">Préparation et Conservation</w:t>
      </w:r>
      <w:r>
        <w:t xml:space="preserve"> </w:t>
      </w:r>
      <w:r>
        <w:t xml:space="preserve">: cp à conserver à température ambiante (&lt; 25 °C), à l’abri de l’humidité.</w:t>
      </w:r>
      <w:r>
        <w:t xml:space="preserve"> </w:t>
      </w:r>
      <w:r>
        <w:t xml:space="preserve">-</w:t>
      </w:r>
      <w:r>
        <w:t xml:space="preserve"> </w:t>
      </w:r>
      <w:r>
        <w:rPr>
          <w:b/>
          <w:bCs/>
        </w:rPr>
        <w:t xml:space="preserve">Piège du surdosage / Substitution</w:t>
      </w:r>
      <w:r>
        <w:t xml:space="preserve"> </w:t>
      </w:r>
      <w:r>
        <w:t xml:space="preserve">:</w:t>
      </w:r>
      <w:r>
        <w:t xml:space="preserve"> </w:t>
      </w:r>
      <w:r>
        <w:t xml:space="preserve">- Ne pas confondre</w:t>
      </w:r>
      <w:r>
        <w:t xml:space="preserve"> </w:t>
      </w:r>
      <w:r>
        <w:rPr>
          <w:b/>
          <w:bCs/>
        </w:rPr>
        <w:t xml:space="preserve">sulfadiazine</w:t>
      </w:r>
      <w:r>
        <w:t xml:space="preserve"> </w:t>
      </w:r>
      <w:r>
        <w:t xml:space="preserve">(anti-toxoplasmose systémique) avec</w:t>
      </w:r>
      <w:r>
        <w:t xml:space="preserve"> </w:t>
      </w:r>
      <w:r>
        <w:rPr>
          <w:b/>
          <w:bCs/>
        </w:rPr>
        <w:t xml:space="preserve">sulfadiazine argentique</w:t>
      </w:r>
      <w:r>
        <w:t xml:space="preserve"> </w:t>
      </w:r>
      <w:r>
        <w:t xml:space="preserve">(topique brûlures) — voir fiche suivante.</w:t>
      </w:r>
      <w:r>
        <w:t xml:space="preserve"> </w:t>
      </w:r>
      <w:r>
        <w:t xml:space="preserve">- Substitution par cotrimoxazole possible dans toxoplasmose cérébrale VIH mais pas dans toxoplasmose congénitale.</w:t>
      </w:r>
      <w:r>
        <w:t xml:space="preserve"> </w:t>
      </w:r>
      <w:r>
        <w:t xml:space="preserve">- Disponibilité algérienne : produit retiré du marché commercial, circuit hospitalo-universitaire uniquement — informer le patient.</w:t>
      </w:r>
    </w:p>
    <w:p>
      <w:r>
        <w:pict>
          <v:rect style="width:0;height:1.5pt" o:hralign="center" o:hrstd="t" o:hr="t"/>
        </w:pict>
      </w:r>
    </w:p>
    <w:bookmarkEnd w:id="171"/>
    <w:bookmarkStart w:id="172" w:name="X3a3d7544c88fe24cc0712ec0c4b06c9c2acfba0"/>
    <w:p>
      <w:pPr>
        <w:pStyle w:val="Heading3"/>
      </w:pPr>
      <w:r>
        <w:t xml:space="preserve">6.1.4. DCI : Sulfadiazine argentique (Seule, topique)</w:t>
      </w:r>
    </w:p>
    <w:p>
      <w:pPr>
        <w:pStyle w:val="FirstParagraph"/>
      </w:pPr>
      <w:r>
        <w:rPr>
          <w:b/>
          <w:bCs/>
        </w:rPr>
        <w:t xml:space="preserve">Liste des Catégories :</w:t>
      </w:r>
      <w:r>
        <w:t xml:space="preserve"> </w:t>
      </w:r>
      <w:r>
        <w:t xml:space="preserve">Antibiotique ; Topique ; Sulfamide + sel d’argent ; Brûlures ; D06BA01.</w:t>
      </w:r>
    </w:p>
    <w:p>
      <w:pPr>
        <w:pStyle w:val="BodyText"/>
      </w:pPr>
      <w:r>
        <w:t xml:space="preserve">La sulfadiazine argentique (AgSD) est le sulfamide topique de référence pour la</w:t>
      </w:r>
      <w:r>
        <w:t xml:space="preserve"> </w:t>
      </w:r>
      <w:r>
        <w:rPr>
          <w:b/>
          <w:bCs/>
        </w:rPr>
        <w:t xml:space="preserve">prévention de l’infection des brûlures superficielles et intermédiaires</w:t>
      </w:r>
      <w:r>
        <w:t xml:space="preserve">. L’ion argent (Ag⁺) se combine à la sulfadiazine pour produire une action bactéricide large spectre par</w:t>
      </w:r>
      <w:r>
        <w:t xml:space="preserve"> </w:t>
      </w:r>
      <w:r>
        <w:rPr>
          <w:b/>
          <w:bCs/>
        </w:rPr>
        <w:t xml:space="preserve">double mécanisme</w:t>
      </w:r>
      <w:r>
        <w:t xml:space="preserve"> </w:t>
      </w:r>
      <w:r>
        <w:t xml:space="preserve">: libération lente d’argent (dénaturation des protéines bactériennes, altération de la membrane cytoplasmique, inhibition de la réplication de l’ADN) ET action anti-folate de la sulfadiazine. Particularité : très faible passage systémique (mais non nul — surveillance EI sulfamide possible en cas d’application sur surface brûlée &gt; 20 %).</w:t>
      </w:r>
    </w:p>
    <w:p>
      <w:pPr>
        <w:pStyle w:val="BodyText"/>
      </w:pPr>
      <w:r>
        <w:rPr>
          <w:b/>
          <w:bCs/>
        </w:rPr>
        <w:t xml:space="preserve">Médicaments disponibles en Algérie (Marques, Laboratoires, Formes et Dosages) :</w:t>
      </w:r>
    </w:p>
    <w:p>
      <w:pPr>
        <w:pStyle w:val="BodyText"/>
      </w:pPr>
      <w:r>
        <w:rPr>
          <w:i/>
          <w:iCs/>
        </w:rPr>
        <w:t xml:space="preserve">Spécialités actives :</w:t>
      </w:r>
      <w:r>
        <w:t xml:space="preserve"> </w:t>
      </w:r>
      <w:r>
        <w:t xml:space="preserve">-</w:t>
      </w:r>
      <w:r>
        <w:t xml:space="preserve"> </w:t>
      </w:r>
      <w:r>
        <w:rPr>
          <w:b/>
          <w:bCs/>
        </w:rPr>
        <w:t xml:space="preserve">FLAMADIAZINE</w:t>
      </w:r>
      <w:r>
        <w:t xml:space="preserve"> </w:t>
      </w:r>
      <w:r>
        <w:t xml:space="preserve">(D-B-F)</w:t>
      </w:r>
      <w:r>
        <w:t xml:space="preserve"> </w:t>
      </w:r>
      <w:r>
        <w:t xml:space="preserve">- Forme et Dosage : Crème 1 % (0,01) — tube 50 g</w:t>
      </w:r>
      <w:r>
        <w:t xml:space="preserve"> </w:t>
      </w:r>
      <w:r>
        <w:t xml:space="preserve">- Liste : Liste I</w:t>
      </w:r>
      <w:r>
        <w:t xml:space="preserve"> </w:t>
      </w:r>
      <w:r>
        <w:t xml:space="preserve">- Statut : Actif</w:t>
      </w:r>
      <w:r>
        <w:t xml:space="preserve"> </w:t>
      </w:r>
      <w:r>
        <w:t xml:space="preserve">-</w:t>
      </w:r>
      <w:r>
        <w:t xml:space="preserve"> </w:t>
      </w:r>
      <w:r>
        <w:rPr>
          <w:b/>
          <w:bCs/>
        </w:rPr>
        <w:t xml:space="preserve">SULFADIAZINE NOVAGENERICS</w:t>
      </w:r>
      <w:r>
        <w:t xml:space="preserve"> </w:t>
      </w:r>
      <w:r>
        <w:t xml:space="preserve">(NOVAPHARM TRADING)</w:t>
      </w:r>
      <w:r>
        <w:t xml:space="preserve"> </w:t>
      </w:r>
      <w:r>
        <w:t xml:space="preserve">- Forme et Dosage : Crème 1 % (0,01) — tube 50 g</w:t>
      </w:r>
      <w:r>
        <w:t xml:space="preserve"> </w:t>
      </w:r>
      <w:r>
        <w:t xml:space="preserve">- Liste : Liste I</w:t>
      </w:r>
      <w:r>
        <w:t xml:space="preserve"> </w:t>
      </w:r>
      <w:r>
        <w:t xml:space="preserve">- Statut : Actif</w:t>
      </w:r>
      <w:r>
        <w:t xml:space="preserve"> </w:t>
      </w:r>
      <w:r>
        <w:t xml:space="preserve">-</w:t>
      </w:r>
      <w:r>
        <w:t xml:space="preserve"> </w:t>
      </w:r>
      <w:r>
        <w:rPr>
          <w:b/>
          <w:bCs/>
        </w:rPr>
        <w:t xml:space="preserve">SULFAZINE</w:t>
      </w:r>
      <w:r>
        <w:t xml:space="preserve"> </w:t>
      </w:r>
      <w:r>
        <w:t xml:space="preserve">(LAD PHARMA)</w:t>
      </w:r>
      <w:r>
        <w:t xml:space="preserve"> </w:t>
      </w:r>
      <w:r>
        <w:t xml:space="preserve">- Forme et Dosage : Crème 1 % (0,01) — tube 15 g + pot 200 g</w:t>
      </w:r>
      <w:r>
        <w:t xml:space="preserve"> </w:t>
      </w:r>
      <w:r>
        <w:t xml:space="preserve">- Liste : Liste I</w:t>
      </w:r>
      <w:r>
        <w:t xml:space="preserve"> </w:t>
      </w:r>
      <w:r>
        <w:t xml:space="preserve">- Statut : Actif</w:t>
      </w:r>
    </w:p>
    <w:p>
      <w:pPr>
        <w:pStyle w:val="BodyText"/>
      </w:pPr>
      <w:r>
        <w:rPr>
          <w:i/>
          <w:iCs/>
        </w:rPr>
        <w:t xml:space="preserve">Spécialités non renouvelables / retirées :</w:t>
      </w:r>
      <w:r>
        <w:t xml:space="preserve"> </w:t>
      </w:r>
      <w:r>
        <w:t xml:space="preserve">-</w:t>
      </w:r>
      <w:r>
        <w:t xml:space="preserve"> </w:t>
      </w:r>
      <w:r>
        <w:rPr>
          <w:b/>
          <w:bCs/>
        </w:rPr>
        <w:t xml:space="preserve">FLAMAZOLE</w:t>
      </w:r>
      <w:r>
        <w:t xml:space="preserve"> </w:t>
      </w:r>
      <w:r>
        <w:t xml:space="preserve">(4A SANTE INDUSTRIE) — Crème derm. 1 % — tube 40 g — Non Renouvelable</w:t>
      </w:r>
      <w:r>
        <w:t xml:space="preserve"> </w:t>
      </w:r>
      <w:r>
        <w:t xml:space="preserve">-</w:t>
      </w:r>
      <w:r>
        <w:t xml:space="preserve"> </w:t>
      </w:r>
      <w:r>
        <w:rPr>
          <w:b/>
          <w:bCs/>
        </w:rPr>
        <w:t xml:space="preserve">DERMAZIN</w:t>
      </w:r>
      <w:r>
        <w:t xml:space="preserve"> </w:t>
      </w:r>
      <w:r>
        <w:t xml:space="preserve">(LEK) — Crème 1 % — tube 25 g — Retiré (R)</w:t>
      </w:r>
      <w:r>
        <w:t xml:space="preserve"> </w:t>
      </w:r>
      <w:r>
        <w:t xml:space="preserve">-</w:t>
      </w:r>
      <w:r>
        <w:t xml:space="preserve"> </w:t>
      </w:r>
      <w:r>
        <w:rPr>
          <w:b/>
          <w:bCs/>
        </w:rPr>
        <w:t xml:space="preserve">CROVAZINE</w:t>
      </w:r>
      <w:r>
        <w:t xml:space="preserve"> </w:t>
      </w:r>
      <w:r>
        <w:t xml:space="preserve">(FARMACEUTICI CROVIS PHILCOM) — Crème derm. 1 % — tube 50 g — Retiré (R)</w:t>
      </w:r>
      <w:r>
        <w:t xml:space="preserve"> </w:t>
      </w:r>
      <w:r>
        <w:t xml:space="preserve">-</w:t>
      </w:r>
      <w:r>
        <w:t xml:space="preserve"> </w:t>
      </w:r>
      <w:r>
        <w:rPr>
          <w:b/>
          <w:bCs/>
        </w:rPr>
        <w:t xml:space="preserve">SILVEDERMA</w:t>
      </w:r>
      <w:r>
        <w:t xml:space="preserve"> </w:t>
      </w:r>
      <w:r>
        <w:t xml:space="preserve">(ALDO-UNION) — Crème derm. 1 % — tube 50 g et pot 500 g — Retiré (R)</w:t>
      </w:r>
      <w:r>
        <w:t xml:space="preserve"> </w:t>
      </w:r>
      <w:r>
        <w:t xml:space="preserve">-</w:t>
      </w:r>
      <w:r>
        <w:t xml:space="preserve"> </w:t>
      </w:r>
      <w:r>
        <w:rPr>
          <w:b/>
          <w:bCs/>
        </w:rPr>
        <w:t xml:space="preserve">FLAMMAZINE</w:t>
      </w:r>
      <w:r>
        <w:t xml:space="preserve"> </w:t>
      </w:r>
      <w:r>
        <w:t xml:space="preserve">(SOLVAY PHARMA) — Crème stérile 1 % — tube 50 g — Retiré (R)</w:t>
      </w:r>
      <w:r>
        <w:t xml:space="preserve"> </w:t>
      </w:r>
      <w:r>
        <w:t xml:space="preserve">-</w:t>
      </w:r>
      <w:r>
        <w:t xml:space="preserve"> </w:t>
      </w:r>
      <w:r>
        <w:rPr>
          <w:b/>
          <w:bCs/>
        </w:rPr>
        <w:t xml:space="preserve">SILVERIN</w:t>
      </w:r>
      <w:r>
        <w:t xml:space="preserve"> </w:t>
      </w:r>
      <w:r>
        <w:t xml:space="preserve">(PETRA) — Crème 1 % — tube 30 g — Retiré (R)</w:t>
      </w:r>
      <w:r>
        <w:t xml:space="preserve"> </w:t>
      </w:r>
      <w:r>
        <w:t xml:space="preserve">-</w:t>
      </w:r>
      <w:r>
        <w:t xml:space="preserve"> </w:t>
      </w:r>
      <w:r>
        <w:rPr>
          <w:b/>
          <w:bCs/>
        </w:rPr>
        <w:t xml:space="preserve">SILVADIAZINE</w:t>
      </w:r>
      <w:r>
        <w:t xml:space="preserve"> </w:t>
      </w:r>
      <w:r>
        <w:t xml:space="preserve">(JULPHAR) — Crème derm. 1 % — tube 30 g — Retiré (R)</w:t>
      </w:r>
    </w:p>
    <w:p>
      <w:pPr>
        <w:pStyle w:val="BodyText"/>
      </w:pPr>
      <w:r>
        <w:rPr>
          <w:b/>
          <w:bCs/>
        </w:rPr>
        <w:t xml:space="preserve">Sous-classe et Mécanisme d’action :</w:t>
      </w:r>
      <w:r>
        <w:t xml:space="preserve"> </w:t>
      </w:r>
      <w:r>
        <w:t xml:space="preserve">- Sous-classe : Sulfamide topique (sel d’argent) pour application sur peau lésée (brûlures, plaies chroniques). Action locale mais passage systémique non négligeable en cas de surface brûlée &gt; 20 %.</w:t>
      </w:r>
      <w:r>
        <w:t xml:space="preserve"> </w:t>
      </w:r>
      <w:r>
        <w:t xml:space="preserve">- Mécanisme d’action :</w:t>
      </w:r>
      <w:r>
        <w:t xml:space="preserve"> </w:t>
      </w:r>
      <w:r>
        <w:rPr>
          <w:b/>
          <w:bCs/>
        </w:rPr>
        <w:t xml:space="preserve">double action bactéricide</w:t>
      </w:r>
      <w:r>
        <w:t xml:space="preserve"> </w:t>
      </w:r>
      <w:r>
        <w:t xml:space="preserve">:</w:t>
      </w:r>
      <w:r>
        <w:t xml:space="preserve"> </w:t>
      </w:r>
      <w:r>
        <w:t xml:space="preserve">1.</w:t>
      </w:r>
      <w:r>
        <w:t xml:space="preserve"> </w:t>
      </w:r>
      <w:r>
        <w:rPr>
          <w:b/>
          <w:bCs/>
        </w:rPr>
        <w:t xml:space="preserve">L’ion Ag⁺</w:t>
      </w:r>
      <w:r>
        <w:t xml:space="preserve"> </w:t>
      </w:r>
      <w:r>
        <w:t xml:space="preserve">libéré lentement au contact de la plaie et des fluides tissulaires se lie aux groupements thiol (-SH) des protéines et enzymes bactériennes (dénaturation), interagit avec l’ADN bactérien (inhibition de la réplication), et altère la membrane cytoplasmique. Action large spectre : Gram+, Gram-,</w:t>
      </w:r>
      <w:r>
        <w:t xml:space="preserve"> </w:t>
      </w:r>
      <w:r>
        <w:rPr>
          <w:i/>
          <w:iCs/>
        </w:rPr>
        <w:t xml:space="preserve">Pseudomonas aeruginosa</w:t>
      </w:r>
      <w:r>
        <w:t xml:space="preserve"> </w:t>
      </w:r>
      <w:r>
        <w:t xml:space="preserve">(cible particulièrement importante en brûlure), anaérobies, et certains champignons (Candida).</w:t>
      </w:r>
      <w:r>
        <w:t xml:space="preserve"> </w:t>
      </w:r>
      <w:r>
        <w:t xml:space="preserve">2.</w:t>
      </w:r>
      <w:r>
        <w:t xml:space="preserve"> </w:t>
      </w:r>
      <w:r>
        <w:rPr>
          <w:b/>
          <w:bCs/>
        </w:rPr>
        <w:t xml:space="preserve">La sulfadiazine</w:t>
      </w:r>
      <w:r>
        <w:t xml:space="preserve"> </w:t>
      </w:r>
      <w:r>
        <w:t xml:space="preserve">(libérée par dissociation du sel) inhibe la DHPS bactérienne → blocage acide folique.</w:t>
      </w:r>
      <w:r>
        <w:t xml:space="preserve"> </w:t>
      </w:r>
      <w:r>
        <w:t xml:space="preserve">- L’association Ag-sulfadiazine est</w:t>
      </w:r>
      <w:r>
        <w:t xml:space="preserve"> </w:t>
      </w:r>
      <w:r>
        <w:rPr>
          <w:b/>
          <w:bCs/>
        </w:rPr>
        <w:t xml:space="preserve">bactéricide</w:t>
      </w:r>
      <w:r>
        <w:t xml:space="preserve"> </w:t>
      </w:r>
      <w:r>
        <w:t xml:space="preserve">(alors que la sulfadiazine seule est bactériostatique).</w:t>
      </w:r>
    </w:p>
    <w:p>
      <w:pPr>
        <w:pStyle w:val="BodyText"/>
      </w:pPr>
      <w:r>
        <w:rPr>
          <w:b/>
          <w:bCs/>
        </w:rPr>
        <w:t xml:space="preserve">Profil Pharmacologique :</w:t>
      </w:r>
      <w:r>
        <w:t xml:space="preserve"> </w:t>
      </w:r>
      <w:r>
        <w:t xml:space="preserve">- Indications :</w:t>
      </w:r>
      <w:r>
        <w:t xml:space="preserve"> </w:t>
      </w:r>
      <w:r>
        <w:t xml:space="preserve">-</w:t>
      </w:r>
      <w:r>
        <w:t xml:space="preserve"> </w:t>
      </w:r>
      <w:r>
        <w:rPr>
          <w:b/>
          <w:bCs/>
        </w:rPr>
        <w:t xml:space="preserve">Brûlures du 2e degré superficiel et profond</w:t>
      </w:r>
      <w:r>
        <w:t xml:space="preserve"> </w:t>
      </w:r>
      <w:r>
        <w:t xml:space="preserve">(lésions à risque d’infection bactérienne, surtout à</w:t>
      </w:r>
      <w:r>
        <w:t xml:space="preserve"> </w:t>
      </w:r>
      <w:r>
        <w:rPr>
          <w:i/>
          <w:iCs/>
        </w:rPr>
        <w:t xml:space="preserve">Pseudomonas aeruginosa</w:t>
      </w:r>
      <w:r>
        <w:t xml:space="preserve">).</w:t>
      </w:r>
      <w:r>
        <w:t xml:space="preserve"> </w:t>
      </w:r>
      <w:r>
        <w:t xml:space="preserve">-</w:t>
      </w:r>
      <w:r>
        <w:t xml:space="preserve"> </w:t>
      </w:r>
      <w:r>
        <w:rPr>
          <w:b/>
          <w:bCs/>
        </w:rPr>
        <w:t xml:space="preserve">Brûlures du 3e degré</w:t>
      </w:r>
      <w:r>
        <w:t xml:space="preserve"> </w:t>
      </w:r>
      <w:r>
        <w:t xml:space="preserve">en attendant la greffe.</w:t>
      </w:r>
      <w:r>
        <w:t xml:space="preserve"> </w:t>
      </w:r>
      <w:r>
        <w:t xml:space="preserve">-</w:t>
      </w:r>
      <w:r>
        <w:t xml:space="preserve"> </w:t>
      </w:r>
      <w:r>
        <w:rPr>
          <w:b/>
          <w:bCs/>
        </w:rPr>
        <w:t xml:space="preserve">Plaies chroniques infectées</w:t>
      </w:r>
      <w:r>
        <w:t xml:space="preserve"> </w:t>
      </w:r>
      <w:r>
        <w:t xml:space="preserve">(ulcères veineux, escarres, pied diabétique) — usage controversé (alternative à la mupirocine, cadexomère iodé).</w:t>
      </w:r>
      <w:r>
        <w:t xml:space="preserve"> </w:t>
      </w:r>
      <w:r>
        <w:t xml:space="preserve">- Prévention de la colonisation bactérienne des sites donneurs de greffe cutanée.</w:t>
      </w:r>
      <w:r>
        <w:t xml:space="preserve"> </w:t>
      </w:r>
      <w:r>
        <w:t xml:space="preserve">- Contre-indications :</w:t>
      </w:r>
      <w:r>
        <w:t xml:space="preserve"> </w:t>
      </w:r>
      <w:r>
        <w:t xml:space="preserve">-</w:t>
      </w:r>
      <w:r>
        <w:t xml:space="preserve"> </w:t>
      </w:r>
      <w:r>
        <w:rPr>
          <w:b/>
          <w:bCs/>
        </w:rPr>
        <w:t xml:space="preserve">Hypersensibilité aux sulfamides</w:t>
      </w:r>
      <w:r>
        <w:t xml:space="preserve"> </w:t>
      </w:r>
      <w:r>
        <w:t xml:space="preserve">(y compris topiques — réaction croisée possible).</w:t>
      </w:r>
      <w:r>
        <w:t xml:space="preserve"> </w:t>
      </w:r>
      <w:r>
        <w:t xml:space="preserve">-</w:t>
      </w:r>
      <w:r>
        <w:t xml:space="preserve"> </w:t>
      </w:r>
      <w:r>
        <w:rPr>
          <w:b/>
          <w:bCs/>
        </w:rPr>
        <w:t xml:space="preserve">Grossesse (3e trimestre)</w:t>
      </w:r>
      <w:r>
        <w:t xml:space="preserve"> </w:t>
      </w:r>
      <w:r>
        <w:t xml:space="preserve">— passage systémique de la sulfadiazine expose au risque de kernictère néonatal.</w:t>
      </w:r>
      <w:r>
        <w:t xml:space="preserve"> </w:t>
      </w:r>
      <w:r>
        <w:t xml:space="preserve">-</w:t>
      </w:r>
      <w:r>
        <w:t xml:space="preserve"> </w:t>
      </w:r>
      <w:r>
        <w:rPr>
          <w:b/>
          <w:bCs/>
        </w:rPr>
        <w:t xml:space="preserve">Prématurés et nouveau-nés &lt; 2 mois</w:t>
      </w:r>
      <w:r>
        <w:t xml:space="preserve"> </w:t>
      </w:r>
      <w:r>
        <w:t xml:space="preserve">(risque kernictère).</w:t>
      </w:r>
      <w:r>
        <w:t xml:space="preserve"> </w:t>
      </w:r>
      <w:r>
        <w:t xml:space="preserve">-</w:t>
      </w:r>
      <w:r>
        <w:t xml:space="preserve"> </w:t>
      </w:r>
      <w:r>
        <w:rPr>
          <w:b/>
          <w:bCs/>
        </w:rPr>
        <w:t xml:space="preserve">Déficit en G6PD</w:t>
      </w:r>
      <w:r>
        <w:t xml:space="preserve"> </w:t>
      </w:r>
      <w:r>
        <w:t xml:space="preserve">(hémolyse).</w:t>
      </w:r>
      <w:r>
        <w:t xml:space="preserve"> </w:t>
      </w:r>
      <w:r>
        <w:t xml:space="preserve">- Application sur brûlure étendue &gt; 20 % de surface corporelle chez l’insuffisant rénal (risque accumulation systémique).</w:t>
      </w:r>
      <w:r>
        <w:t xml:space="preserve"> </w:t>
      </w:r>
      <w:r>
        <w:t xml:space="preserve">- Porphyries.</w:t>
      </w:r>
      <w:r>
        <w:t xml:space="preserve"> </w:t>
      </w:r>
      <w:r>
        <w:t xml:space="preserve">- Effets Indésirables :</w:t>
      </w:r>
      <w:r>
        <w:t xml:space="preserve"> </w:t>
      </w:r>
      <w:r>
        <w:t xml:space="preserve">-</w:t>
      </w:r>
      <w:r>
        <w:t xml:space="preserve"> </w:t>
      </w:r>
      <w:r>
        <w:rPr>
          <w:b/>
          <w:bCs/>
        </w:rPr>
        <w:t xml:space="preserve">Locaux</w:t>
      </w:r>
      <w:r>
        <w:t xml:space="preserve"> </w:t>
      </w:r>
      <w:r>
        <w:t xml:space="preserve">: sensation de brûlure transitoire à l’application, prurit, érythème, macération.</w:t>
      </w:r>
      <w:r>
        <w:t xml:space="preserve"> </w:t>
      </w:r>
      <w:r>
        <w:t xml:space="preserve">-</w:t>
      </w:r>
      <w:r>
        <w:t xml:space="preserve"> </w:t>
      </w:r>
      <w:r>
        <w:rPr>
          <w:b/>
          <w:bCs/>
        </w:rPr>
        <w:t xml:space="preserve">Coloration gris-ardoise</w:t>
      </w:r>
      <w:r>
        <w:t xml:space="preserve"> </w:t>
      </w:r>
      <w:r>
        <w:t xml:space="preserve">de la plaie (surtout si exposition à la lumière — réduction de l’Ag⁺ en Ag métallique).</w:t>
      </w:r>
      <w:r>
        <w:t xml:space="preserve"> </w:t>
      </w:r>
      <w:r>
        <w:t xml:space="preserve">-</w:t>
      </w:r>
      <w:r>
        <w:t xml:space="preserve"> </w:t>
      </w:r>
      <w:r>
        <w:rPr>
          <w:b/>
          <w:bCs/>
        </w:rPr>
        <w:t xml:space="preserve">Allergie de contact</w:t>
      </w:r>
      <w:r>
        <w:t xml:space="preserve"> </w:t>
      </w:r>
      <w:r>
        <w:t xml:space="preserve">(réaction croisée avec sulfamides systémiques possible).</w:t>
      </w:r>
      <w:r>
        <w:t xml:space="preserve"> </w:t>
      </w:r>
      <w:r>
        <w:t xml:space="preserve">-</w:t>
      </w:r>
      <w:r>
        <w:t xml:space="preserve"> </w:t>
      </w:r>
      <w:r>
        <w:rPr>
          <w:b/>
          <w:bCs/>
        </w:rPr>
        <w:t xml:space="preserve">Systémiques (en cas d’application étendue &gt; 20 % SC)</w:t>
      </w:r>
      <w:r>
        <w:t xml:space="preserve"> </w:t>
      </w:r>
      <w:r>
        <w:t xml:space="preserve">: absorption de la sulfadiazine → rash, cytopenia, hyperkaliémie (résorption de l’Ag peut également induire une</w:t>
      </w:r>
      <w:r>
        <w:t xml:space="preserve"> </w:t>
      </w:r>
      <w:r>
        <w:rPr>
          <w:b/>
          <w:bCs/>
        </w:rPr>
        <w:t xml:space="preserve">argyrisme</w:t>
      </w:r>
      <w:r>
        <w:t xml:space="preserve"> </w:t>
      </w:r>
      <w:r>
        <w:t xml:space="preserve">localisé ou généralisé), hépatotoxicité.</w:t>
      </w:r>
      <w:r>
        <w:t xml:space="preserve"> </w:t>
      </w:r>
      <w:r>
        <w:t xml:space="preserve">-</w:t>
      </w:r>
      <w:r>
        <w:t xml:space="preserve"> </w:t>
      </w:r>
      <w:r>
        <w:rPr>
          <w:b/>
          <w:bCs/>
        </w:rPr>
        <w:t xml:space="preserve">Leucopénie transitoire</w:t>
      </w:r>
      <w:r>
        <w:t xml:space="preserve"> </w:t>
      </w:r>
      <w:r>
        <w:t xml:space="preserve">(15-30 % des cas de brûlures étendues — mécanisme discuté, à surveiller en service de brûlés).</w:t>
      </w:r>
      <w:r>
        <w:t xml:space="preserve"> </w:t>
      </w:r>
      <w:r>
        <w:t xml:space="preserve">-</w:t>
      </w:r>
      <w:r>
        <w:t xml:space="preserve"> </w:t>
      </w:r>
      <w:r>
        <w:rPr>
          <w:b/>
          <w:bCs/>
        </w:rPr>
        <w:t xml:space="preserve">Équilibre acido-basique</w:t>
      </w:r>
      <w:r>
        <w:t xml:space="preserve"> </w:t>
      </w:r>
      <w:r>
        <w:t xml:space="preserve">: acidose métabolique en cas de surface brûlée &gt; 30 %.</w:t>
      </w:r>
    </w:p>
    <w:p>
      <w:pPr>
        <w:pStyle w:val="BodyText"/>
      </w:pPr>
      <w:r>
        <w:rPr>
          <w:b/>
          <w:bCs/>
        </w:rPr>
        <w:t xml:space="preserve">Prévention et Gestion des Effets Indésirables :</w:t>
      </w:r>
      <w:r>
        <w:t xml:space="preserve"> </w:t>
      </w:r>
      <w:r>
        <w:t xml:space="preserve">- Mesures Préventives :</w:t>
      </w:r>
      <w:r>
        <w:t xml:space="preserve"> </w:t>
      </w:r>
      <w:r>
        <w:t xml:space="preserve">- Application sur peau lésée propre, après détersion mécanique.</w:t>
      </w:r>
      <w:r>
        <w:t xml:space="preserve"> </w:t>
      </w:r>
      <w:r>
        <w:t xml:space="preserve">- Lavage des mains, utilisation de gants jetables (réduction du risque de contamination et de coloration des doigts).</w:t>
      </w:r>
      <w:r>
        <w:t xml:space="preserve"> </w:t>
      </w:r>
      <w:r>
        <w:t xml:space="preserve">- Épaisseur d’application fine (1-2 mm) ; recouvrir d’un pansement non adhésif si nécessaire.</w:t>
      </w:r>
      <w:r>
        <w:t xml:space="preserve"> </w:t>
      </w:r>
      <w:r>
        <w:t xml:space="preserve">- Renouvellement 1 à 2×/j (retrait de l’ancien par rinçage au sérum physiologique).</w:t>
      </w:r>
      <w:r>
        <w:t xml:space="preserve"> </w:t>
      </w:r>
      <w:r>
        <w:t xml:space="preserve">- Surveillance NFS en cas de brûlure étendue &gt; 20 % (à J3, J7).</w:t>
      </w:r>
      <w:r>
        <w:t xml:space="preserve"> </w:t>
      </w:r>
      <w:r>
        <w:t xml:space="preserve">- Éviter exposition solaire directe (coloration ardoise).</w:t>
      </w:r>
      <w:r>
        <w:t xml:space="preserve"> </w:t>
      </w:r>
      <w:r>
        <w:t xml:space="preserve">- Conduite à Tenir :</w:t>
      </w:r>
      <w:r>
        <w:t xml:space="preserve"> </w:t>
      </w:r>
      <w:r>
        <w:t xml:space="preserve">-</w:t>
      </w:r>
      <w:r>
        <w:t xml:space="preserve"> </w:t>
      </w:r>
      <w:r>
        <w:rPr>
          <w:b/>
          <w:bCs/>
        </w:rPr>
        <w:t xml:space="preserve">Arrêt en cas de rash, éruption bulleuse, fièvre</w:t>
      </w:r>
      <w:r>
        <w:t xml:space="preserve"> </w:t>
      </w:r>
      <w:r>
        <w:t xml:space="preserve">(suspicion allergie systémique aux sulfamides).</w:t>
      </w:r>
      <w:r>
        <w:t xml:space="preserve"> </w:t>
      </w:r>
      <w:r>
        <w:t xml:space="preserve">- Leucopénie &lt; 1500/mm³ : arrêt transitoire, le plus souvent spontanément résolutive en 3-5 jours après arrêt.</w:t>
      </w:r>
      <w:r>
        <w:t xml:space="preserve"> </w:t>
      </w:r>
      <w:r>
        <w:t xml:space="preserve">- Coloration ardoise : pas d’arrêt, simple surveillance (régression à l’arrêt).</w:t>
      </w:r>
    </w:p>
    <w:p>
      <w:pPr>
        <w:pStyle w:val="BodyText"/>
      </w:pPr>
      <w:r>
        <w:rPr>
          <w:b/>
          <w:bCs/>
        </w:rPr>
        <w:t xml:space="preserve">Interactions Importantes :</w:t>
      </w:r>
      <w:r>
        <w:t xml:space="preserve"> </w:t>
      </w:r>
      <w:r>
        <w:t xml:space="preserve">-</w:t>
      </w:r>
      <w:r>
        <w:t xml:space="preserve"> </w:t>
      </w:r>
      <w:r>
        <w:rPr>
          <w:b/>
          <w:bCs/>
        </w:rPr>
        <w:t xml:space="preserve">Sulfadiazine argentique + enzymes protéolytiques topiques (collagénase, trypsine)</w:t>
      </w:r>
      <w:r>
        <w:t xml:space="preserve"> </w:t>
      </w:r>
      <w:r>
        <w:t xml:space="preserve">: inactivation réciproque — ne pas appliquer simultanément.</w:t>
      </w:r>
      <w:r>
        <w:t xml:space="preserve"> </w:t>
      </w:r>
      <w:r>
        <w:t xml:space="preserve">-</w:t>
      </w:r>
      <w:r>
        <w:t xml:space="preserve"> </w:t>
      </w:r>
      <w:r>
        <w:rPr>
          <w:b/>
          <w:bCs/>
        </w:rPr>
        <w:t xml:space="preserve">Sulfadiazine argentique + antiseptiques iodés</w:t>
      </w:r>
      <w:r>
        <w:t xml:space="preserve"> </w:t>
      </w:r>
      <w:r>
        <w:t xml:space="preserve">: précipitation, perte d’efficacité — choisir l’un OU l’autre.</w:t>
      </w:r>
      <w:r>
        <w:t xml:space="preserve"> </w:t>
      </w:r>
      <w:r>
        <w:t xml:space="preserve">-</w:t>
      </w:r>
      <w:r>
        <w:t xml:space="preserve"> </w:t>
      </w:r>
      <w:r>
        <w:rPr>
          <w:b/>
          <w:bCs/>
        </w:rPr>
        <w:t xml:space="preserve">Sulfadiazine argentique + cétonium / surfactants cationiques</w:t>
      </w:r>
      <w:r>
        <w:t xml:space="preserve"> </w:t>
      </w:r>
      <w:r>
        <w:t xml:space="preserve">: inactivation.</w:t>
      </w:r>
      <w:r>
        <w:t xml:space="preserve"> </w:t>
      </w:r>
      <w:r>
        <w:t xml:space="preserve">-</w:t>
      </w:r>
      <w:r>
        <w:t xml:space="preserve"> </w:t>
      </w:r>
      <w:r>
        <w:rPr>
          <w:b/>
          <w:bCs/>
        </w:rPr>
        <w:t xml:space="preserve">Sulfadiazine argentique + autres topiques locaux (mupirocine, acide fusidique)</w:t>
      </w:r>
      <w:r>
        <w:t xml:space="preserve"> </w:t>
      </w:r>
      <w:r>
        <w:t xml:space="preserve">: pas d’association rationnelle (réserver à prescription médicale).</w:t>
      </w:r>
      <w:r>
        <w:t xml:space="preserve"> </w:t>
      </w:r>
      <w:r>
        <w:t xml:space="preserve">- Passage systémique en cas d’application étendue → interactions systémiques possibles (AVK, MTX, phénytoïne — voir fiche sulfadiazine).</w:t>
      </w:r>
    </w:p>
    <w:p>
      <w:pPr>
        <w:pStyle w:val="BodyText"/>
      </w:pPr>
      <w:r>
        <w:rPr>
          <w:b/>
          <w:bCs/>
        </w:rPr>
        <w:t xml:space="preserve">Grossesse et Allaitement :</w:t>
      </w:r>
      <w:r>
        <w:t xml:space="preserve"> </w:t>
      </w:r>
      <w:r>
        <w:t xml:space="preserve">- Grossesse : à éviter pendant le</w:t>
      </w:r>
      <w:r>
        <w:t xml:space="preserve"> </w:t>
      </w:r>
      <w:r>
        <w:rPr>
          <w:b/>
          <w:bCs/>
        </w:rPr>
        <w:t xml:space="preserve">3e trimestre</w:t>
      </w:r>
      <w:r>
        <w:t xml:space="preserve"> </w:t>
      </w:r>
      <w:r>
        <w:t xml:space="preserve">(risque théorique de kernictère néonatal par passage systémique de la sulfadiazine). Aux 1er et 2e trimestres : usage ponctuel sur brûlure limitée possible, à discuter au cas par cas.</w:t>
      </w:r>
      <w:r>
        <w:t xml:space="preserve"> </w:t>
      </w:r>
      <w:r>
        <w:t xml:space="preserve">- Allaitement : usage local ponctuel sur peau lésée limitée possible ; éviter application sur seins en cours d’allaitement.</w:t>
      </w:r>
    </w:p>
    <w:p>
      <w:pPr>
        <w:pStyle w:val="BodyText"/>
      </w:pPr>
      <w:r>
        <w:rPr>
          <w:b/>
          <w:bCs/>
        </w:rPr>
        <w:t xml:space="preserve">Posologie et Mode d’administration (Standard) :</w:t>
      </w:r>
      <w:r>
        <w:t xml:space="preserve"> </w:t>
      </w:r>
      <w:r>
        <w:t xml:space="preserve">- Adulte et enfant &gt; 2 mois :</w:t>
      </w:r>
      <w:r>
        <w:t xml:space="preserve"> </w:t>
      </w:r>
      <w:r>
        <w:t xml:space="preserve">- Application locale</w:t>
      </w:r>
      <w:r>
        <w:t xml:space="preserve"> </w:t>
      </w:r>
      <w:r>
        <w:rPr>
          <w:b/>
          <w:bCs/>
        </w:rPr>
        <w:t xml:space="preserve">1 à 2 fois par jour</w:t>
      </w:r>
      <w:r>
        <w:t xml:space="preserve"> </w:t>
      </w:r>
      <w:r>
        <w:t xml:space="preserve">en couche fine (1-2 mm d’épaisseur) sur la surface brûlée propre et détergée.</w:t>
      </w:r>
      <w:r>
        <w:t xml:space="preserve"> </w:t>
      </w:r>
      <w:r>
        <w:t xml:space="preserve">- Renouveler à chaque changement de pansement.</w:t>
      </w:r>
      <w:r>
        <w:t xml:space="preserve"> </w:t>
      </w:r>
      <w:r>
        <w:t xml:space="preserve">- Durée : jusqu’à cicatrisation, en général 7-21 jours selon profondeur de la brûlure.</w:t>
      </w:r>
      <w:r>
        <w:t xml:space="preserve"> </w:t>
      </w:r>
      <w:r>
        <w:t xml:space="preserve">- Mode d’application : après lavage doux au sérum physiologique, séchage par tamponnement, application à la spatule ou avec gants, recouvrement éventuel d’un pansement gras (tulle gras) ou sec selon protocole de brûlés.</w:t>
      </w:r>
    </w:p>
    <w:p>
      <w:pPr>
        <w:pStyle w:val="BodyText"/>
      </w:pPr>
      <w:r>
        <w:rPr>
          <w:b/>
          <w:bCs/>
        </w:rPr>
        <w:t xml:space="preserve">Arbitrage et Bénéfices des Formes Galéniques :</w:t>
      </w:r>
      <w:r>
        <w:t xml:space="preserve"> </w:t>
      </w:r>
      <w:r>
        <w:t xml:space="preserve">- Crème 1 % (concentration optimale : suffisamment concentrée pour action antibactérienne, pas trop pour limiter la cytotoxicité locale).</w:t>
      </w:r>
      <w:r>
        <w:t xml:space="preserve"> </w:t>
      </w:r>
      <w:r>
        <w:t xml:space="preserve">- Format tube 15-50 g pour usage familial ambulatoire (petites brûlures domestiques).</w:t>
      </w:r>
      <w:r>
        <w:t xml:space="preserve"> </w:t>
      </w:r>
      <w:r>
        <w:t xml:space="preserve">- Format pot 200-500 g (SULFAZINE pot 200 g, SILVEDERMA pot 500 g) pour services de brûlés et grandeurs surfaces.</w:t>
      </w:r>
      <w:r>
        <w:t xml:space="preserve"> </w:t>
      </w:r>
      <w:r>
        <w:t xml:space="preserve">- Stérilité : seules les crèmes dites « stériles » (FLAMMAZINE historiquement) doivent être utilisées sur brûlure profonde ; les crèmes non stériles conviennent pour plaies superficielles.</w:t>
      </w:r>
    </w:p>
    <w:p>
      <w:pPr>
        <w:pStyle w:val="BodyText"/>
      </w:pPr>
      <w:r>
        <w:rPr>
          <w:b/>
          <w:bCs/>
        </w:rPr>
        <w:t xml:space="preserve">Instructions et Conseils au Patient :</w:t>
      </w:r>
      <w:r>
        <w:t xml:space="preserve"> </w:t>
      </w:r>
      <w:r>
        <w:t xml:space="preserve">- Communication au comptoir :</w:t>
      </w:r>
      <w:r>
        <w:t xml:space="preserve"> </w:t>
      </w:r>
      <w:r>
        <w:t xml:space="preserve">- « Cette crème s’applique</w:t>
      </w:r>
      <w:r>
        <w:t xml:space="preserve"> </w:t>
      </w:r>
      <w:r>
        <w:rPr>
          <w:b/>
          <w:bCs/>
        </w:rPr>
        <w:t xml:space="preserve">en couche fine (1-2 mm)</w:t>
      </w:r>
      <w:r>
        <w:t xml:space="preserve"> </w:t>
      </w:r>
      <w:r>
        <w:t xml:space="preserve">directement sur la brûlure propre, 1 à 2 fois par jour ».</w:t>
      </w:r>
      <w:r>
        <w:t xml:space="preserve"> </w:t>
      </w:r>
      <w:r>
        <w:t xml:space="preserve">- « Lavez-vous bien les mains avant et après, ou portez des gants jetables ».</w:t>
      </w:r>
      <w:r>
        <w:t xml:space="preserve"> </w:t>
      </w:r>
      <w:r>
        <w:t xml:space="preserve">- « La brûlure peut prendre une teinte gris-ardoise : c’est normal, c’est l’argent qui agit ».</w:t>
      </w:r>
      <w:r>
        <w:t xml:space="preserve"> </w:t>
      </w:r>
      <w:r>
        <w:t xml:space="preserve">- « Si vous constatez une fièvre, une éruption cutanée à distance, des douleurs inexpliquées, consultez votre médecin ».</w:t>
      </w:r>
      <w:r>
        <w:t xml:space="preserve"> </w:t>
      </w:r>
      <w:r>
        <w:t xml:space="preserve">- « Ne pas utiliser chez une femme enceinte au-delà du 6e mois sans avis médical ».</w:t>
      </w:r>
      <w:r>
        <w:t xml:space="preserve"> </w:t>
      </w:r>
      <w:r>
        <w:t xml:space="preserve">- Mode d’utilisation pratique : nettoyer la plaie au sérum physiologique avant chaque application, sécher par tamponnement doux, appliquer la crème uniformément, recouvrir si nécessaire d’un pansement non adhésif ; ne pas interrompre avant cicatrisation complète ; ne pas utiliser en même temps qu’un antiseptique iodé.</w:t>
      </w:r>
    </w:p>
    <w:p>
      <w:pPr>
        <w:pStyle w:val="BodyText"/>
      </w:pPr>
      <w:r>
        <w:rPr>
          <w:b/>
          <w:bCs/>
        </w:rPr>
        <w:t xml:space="preserve">Notes, Règles d’Or &amp; Pièges au Comptoir :</w:t>
      </w:r>
      <w:r>
        <w:t xml:space="preserve"> </w:t>
      </w:r>
      <w:r>
        <w:t xml:space="preserve">-</w:t>
      </w:r>
      <w:r>
        <w:t xml:space="preserve"> </w:t>
      </w:r>
      <w:r>
        <w:rPr>
          <w:b/>
          <w:bCs/>
        </w:rPr>
        <w:t xml:space="preserve">Piège classique — Confusion sulfadiazine / sulfadiazine argentique</w:t>
      </w:r>
      <w:r>
        <w:t xml:space="preserve"> </w:t>
      </w:r>
      <w:r>
        <w:t xml:space="preserve">: la première est systémique (toxoplasmose), la seconde est topique (brûlures). Vérifier toujours la prescription.</w:t>
      </w:r>
      <w:r>
        <w:t xml:space="preserve"> </w:t>
      </w:r>
      <w:r>
        <w:t xml:space="preserve">-</w:t>
      </w:r>
      <w:r>
        <w:t xml:space="preserve"> </w:t>
      </w:r>
      <w:r>
        <w:rPr>
          <w:b/>
          <w:bCs/>
        </w:rPr>
        <w:t xml:space="preserve">Piège classique — Brûlure étendue et passage systémique</w:t>
      </w:r>
      <w:r>
        <w:t xml:space="preserve"> </w:t>
      </w:r>
      <w:r>
        <w:t xml:space="preserve">: en cas de brûlure &gt; 20-30 % SC, la sulfadiazine passe dans la circulation → EI systémiques (rash, leucopénie, hépatotoxicité) possibles — surveillance hospitalière.</w:t>
      </w:r>
      <w:r>
        <w:t xml:space="preserve"> </w:t>
      </w:r>
      <w:r>
        <w:t xml:space="preserve">-</w:t>
      </w:r>
      <w:r>
        <w:t xml:space="preserve"> </w:t>
      </w:r>
      <w:r>
        <w:rPr>
          <w:b/>
          <w:bCs/>
        </w:rPr>
        <w:t xml:space="preserve">Règle de prise</w:t>
      </w:r>
      <w:r>
        <w:t xml:space="preserve"> </w:t>
      </w:r>
      <w:r>
        <w:t xml:space="preserve">: application stricte sur peau lésée, après détersion, couche fine, 1-2×/j.</w:t>
      </w:r>
      <w:r>
        <w:t xml:space="preserve"> </w:t>
      </w:r>
      <w:r>
        <w:t xml:space="preserve">-</w:t>
      </w:r>
      <w:r>
        <w:t xml:space="preserve"> </w:t>
      </w:r>
      <w:r>
        <w:rPr>
          <w:b/>
          <w:bCs/>
        </w:rPr>
        <w:t xml:space="preserve">Préparation et Conservation</w:t>
      </w:r>
      <w:r>
        <w:t xml:space="preserve"> </w:t>
      </w:r>
      <w:r>
        <w:t xml:space="preserve">: tube bien refermé après usage ; conservation à T° ambiante (&lt; 25 °C) ; ne pas congeler ; jeter après péremption (risque de contamination bactérienne secondaire).</w:t>
      </w:r>
      <w:r>
        <w:t xml:space="preserve"> </w:t>
      </w:r>
      <w:r>
        <w:t xml:space="preserve">-</w:t>
      </w:r>
      <w:r>
        <w:t xml:space="preserve"> </w:t>
      </w:r>
      <w:r>
        <w:rPr>
          <w:b/>
          <w:bCs/>
        </w:rPr>
        <w:t xml:space="preserve">Piège du surdosage / Substitution</w:t>
      </w:r>
      <w:r>
        <w:t xml:space="preserve"> </w:t>
      </w:r>
      <w:r>
        <w:t xml:space="preserve">:</w:t>
      </w:r>
      <w:r>
        <w:t xml:space="preserve"> </w:t>
      </w:r>
      <w:r>
        <w:t xml:space="preserve">- Surfaces brûlées très étendues : surveillance NFS, urée, créatinine, bilan hépatique.</w:t>
      </w:r>
      <w:r>
        <w:t xml:space="preserve"> </w:t>
      </w:r>
      <w:r>
        <w:t xml:space="preserve">- Ne pas associer à un antiseptique iodé (inactivation).</w:t>
      </w:r>
      <w:r>
        <w:t xml:space="preserve"> </w:t>
      </w:r>
      <w:r>
        <w:t xml:space="preserve">- Ne pas appliquer sur l’œil (forme ophtalmique dédiée = sulfacétamide, pas sulfadiazine argentique).</w:t>
      </w:r>
    </w:p>
    <w:p>
      <w:r>
        <w:pict>
          <v:rect style="width:0;height:1.5pt" o:hralign="center" o:hrstd="t" o:hr="t"/>
        </w:pict>
      </w:r>
    </w:p>
    <w:bookmarkEnd w:id="172"/>
    <w:bookmarkStart w:id="173" w:name="X526af2f2f724486ab450f86f15a8cbf654642f4"/>
    <w:p>
      <w:pPr>
        <w:pStyle w:val="Heading3"/>
      </w:pPr>
      <w:r>
        <w:t xml:space="preserve">6.1.5. DCI : Sulfacétamide + Chloramphénicol (En Association, topique ophtalmique)</w:t>
      </w:r>
    </w:p>
    <w:p>
      <w:pPr>
        <w:pStyle w:val="FirstParagraph"/>
      </w:pPr>
      <w:r>
        <w:rPr>
          <w:b/>
          <w:bCs/>
        </w:rPr>
        <w:t xml:space="preserve">Liste des Catégories :</w:t>
      </w:r>
      <w:r>
        <w:t xml:space="preserve"> </w:t>
      </w:r>
      <w:r>
        <w:t xml:space="preserve">Antibiotique ; Topique ophtalmique ; Sulfamide + Amphénicolé ; Conjonctivites ; S01AB04 + S01AA01.</w:t>
      </w:r>
    </w:p>
    <w:p>
      <w:pPr>
        <w:pStyle w:val="BodyText"/>
      </w:pPr>
      <w:r>
        <w:t xml:space="preserve">Cette association ophtalmique combine deux antibiotiques de spectres complémentaires pour le traitement local des conjonctivites bactériennes :</w:t>
      </w:r>
      <w:r>
        <w:t xml:space="preserve"> </w:t>
      </w:r>
      <w:r>
        <w:rPr>
          <w:b/>
          <w:bCs/>
        </w:rPr>
        <w:t xml:space="preserve">sulfacétamide</w:t>
      </w:r>
      <w:r>
        <w:t xml:space="preserve"> </w:t>
      </w:r>
      <w:r>
        <w:t xml:space="preserve">(sulfamide hydrosoluble, inhibiteur DHPS ophtalmique) et</w:t>
      </w:r>
      <w:r>
        <w:t xml:space="preserve"> </w:t>
      </w:r>
      <w:r>
        <w:rPr>
          <w:b/>
          <w:bCs/>
        </w:rPr>
        <w:t xml:space="preserve">chloramphénicol</w:t>
      </w:r>
      <w:r>
        <w:t xml:space="preserve"> </w:t>
      </w:r>
      <w:r>
        <w:t xml:space="preserve">(amphénicolé, inhibiteur de la peptidyltransférase 50S). L’association vise à élargir le spectre (Gram+, Gram-, Chlamydia pour le chloramphénicol ; certains Gram+ et Gram- pour le sulfacétamide) et à réduire le risque de résistance. En Algérie, la spécialité CROSULCAF (Crovis Philcom) est actuellement non renouvelée — circuit d’approvisionnement aléatoire ; les alternatives ophtalmiques (chloramphénicol seul, rifamycine, ofloxacine, tobramycine) restent disponibles.</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CROSULCAF</w:t>
      </w:r>
      <w:r>
        <w:t xml:space="preserve"> </w:t>
      </w:r>
      <w:r>
        <w:t xml:space="preserve">(CROVIS PHILCOM)</w:t>
      </w:r>
      <w:r>
        <w:t xml:space="preserve"> </w:t>
      </w:r>
      <w:r>
        <w:t xml:space="preserve">- Forme et Dosage : Collyre 10 % / 0,5 % (sulfacétamide 100 mg/mL + chloramphénicol 5 mg/mL)</w:t>
      </w:r>
      <w:r>
        <w:t xml:space="preserve"> </w:t>
      </w:r>
      <w:r>
        <w:t xml:space="preserve">- Conditionnement : Flacon 10 mL</w:t>
      </w:r>
      <w:r>
        <w:t xml:space="preserve"> </w:t>
      </w:r>
      <w:r>
        <w:t xml:space="preserve">- Liste : Liste I</w:t>
      </w:r>
      <w:r>
        <w:t xml:space="preserve"> </w:t>
      </w:r>
      <w:r>
        <w:t xml:space="preserve">- Statut :</w:t>
      </w:r>
      <w:r>
        <w:t xml:space="preserve"> </w:t>
      </w:r>
      <w:r>
        <w:rPr>
          <w:b/>
          <w:bCs/>
        </w:rPr>
        <w:t xml:space="preserve">Non Renouvelable</w:t>
      </w:r>
    </w:p>
    <w:p>
      <w:pPr>
        <w:pStyle w:val="BodyText"/>
      </w:pPr>
      <w:r>
        <w:rPr>
          <w:b/>
          <w:bCs/>
        </w:rPr>
        <w:t xml:space="preserve">Sous-classe et Mécanisme d’action :</w:t>
      </w:r>
      <w:r>
        <w:t xml:space="preserve"> </w:t>
      </w:r>
      <w:r>
        <w:t xml:space="preserve">- Sous-classe : Sulfamide (sulfacétamide sodique) + amphénicolé (chloramphénicol) en association ophtalmique.</w:t>
      </w:r>
      <w:r>
        <w:t xml:space="preserve"> </w:t>
      </w:r>
      <w:r>
        <w:t xml:space="preserve">- Mécanisme d’action :</w:t>
      </w:r>
      <w:r>
        <w:t xml:space="preserve"> </w:t>
      </w:r>
      <w:r>
        <w:t xml:space="preserve">-</w:t>
      </w:r>
      <w:r>
        <w:t xml:space="preserve"> </w:t>
      </w:r>
      <w:r>
        <w:rPr>
          <w:b/>
          <w:bCs/>
        </w:rPr>
        <w:t xml:space="preserve">Sulfacétamide</w:t>
      </w:r>
      <w:r>
        <w:t xml:space="preserve"> </w:t>
      </w:r>
      <w:r>
        <w:t xml:space="preserve">— analogue du PABA,</w:t>
      </w:r>
      <w:r>
        <w:t xml:space="preserve"> </w:t>
      </w:r>
      <w:r>
        <w:rPr>
          <w:b/>
          <w:bCs/>
        </w:rPr>
        <w:t xml:space="preserve">inhibition compétitive de la DHPS</w:t>
      </w:r>
      <w:r>
        <w:t xml:space="preserve"> </w:t>
      </w:r>
      <w:r>
        <w:t xml:space="preserve">→ blocage acide folique bactérien (bactériostatique). Hautement hydrosoluble, pH neutre, bonne tolérance cornéenne.</w:t>
      </w:r>
      <w:r>
        <w:t xml:space="preserve"> </w:t>
      </w:r>
      <w:r>
        <w:t xml:space="preserve">-</w:t>
      </w:r>
      <w:r>
        <w:t xml:space="preserve"> </w:t>
      </w:r>
      <w:r>
        <w:rPr>
          <w:b/>
          <w:bCs/>
        </w:rPr>
        <w:t xml:space="preserve">Chloramphénicol</w:t>
      </w:r>
      <w:r>
        <w:t xml:space="preserve"> </w:t>
      </w:r>
      <w:r>
        <w:t xml:space="preserve">— liaison réversible à la sous-unité</w:t>
      </w:r>
      <w:r>
        <w:t xml:space="preserve"> </w:t>
      </w:r>
      <w:r>
        <w:rPr>
          <w:b/>
          <w:bCs/>
        </w:rPr>
        <w:t xml:space="preserve">50S du ribosome bactérien</w:t>
      </w:r>
      <w:r>
        <w:t xml:space="preserve">, inhibition de la</w:t>
      </w:r>
      <w:r>
        <w:t xml:space="preserve"> </w:t>
      </w:r>
      <w:r>
        <w:rPr>
          <w:b/>
          <w:bCs/>
        </w:rPr>
        <w:t xml:space="preserve">peptidyltransférase</w:t>
      </w:r>
      <w:r>
        <w:t xml:space="preserve"> </w:t>
      </w:r>
      <w:r>
        <w:t xml:space="preserve">→ blocage de la formation de la liaison peptidique → blocage de la synthèse protéique (bactériostatique large spectre incluant Chlamydia, Rickettsies, anaérobies).</w:t>
      </w:r>
      <w:r>
        <w:t xml:space="preserve"> </w:t>
      </w:r>
      <w:r>
        <w:t xml:space="preserve">- L’association vise une</w:t>
      </w:r>
      <w:r>
        <w:t xml:space="preserve"> </w:t>
      </w:r>
      <w:r>
        <w:rPr>
          <w:b/>
          <w:bCs/>
        </w:rPr>
        <w:t xml:space="preserve">complémentarité de spectre et de mécanisme</w:t>
      </w:r>
      <w:r>
        <w:t xml:space="preserve"> </w:t>
      </w:r>
      <w:r>
        <w:t xml:space="preserve">(voie des folates + synthèse protéique) et une synergie bactéricide sur certains germes.</w:t>
      </w:r>
    </w:p>
    <w:p>
      <w:pPr>
        <w:pStyle w:val="BodyText"/>
      </w:pPr>
      <w:r>
        <w:rPr>
          <w:b/>
          <w:bCs/>
        </w:rPr>
        <w:t xml:space="preserve">Profil Pharmacologique :</w:t>
      </w:r>
      <w:r>
        <w:t xml:space="preserve"> </w:t>
      </w:r>
      <w:r>
        <w:t xml:space="preserve">- Indications :</w:t>
      </w:r>
      <w:r>
        <w:t xml:space="preserve"> </w:t>
      </w:r>
      <w:r>
        <w:t xml:space="preserve">-</w:t>
      </w:r>
      <w:r>
        <w:t xml:space="preserve"> </w:t>
      </w:r>
      <w:r>
        <w:rPr>
          <w:b/>
          <w:bCs/>
        </w:rPr>
        <w:t xml:space="preserve">Conjonctivites bactériennes</w:t>
      </w:r>
      <w:r>
        <w:t xml:space="preserve"> </w:t>
      </w:r>
      <w:r>
        <w:t xml:space="preserve">à germes sensibles (Staphylocoques, Streptocoques, Pneumocoques, Haemophilus, Moraxella, certains Gram-).</w:t>
      </w:r>
      <w:r>
        <w:t xml:space="preserve"> </w:t>
      </w:r>
      <w:r>
        <w:t xml:space="preserve">-</w:t>
      </w:r>
      <w:r>
        <w:t xml:space="preserve"> </w:t>
      </w:r>
      <w:r>
        <w:rPr>
          <w:b/>
          <w:bCs/>
        </w:rPr>
        <w:t xml:space="preserve">Blépharites</w:t>
      </w:r>
      <w:r>
        <w:t xml:space="preserve"> </w:t>
      </w:r>
      <w:r>
        <w:t xml:space="preserve">bactériennes.</w:t>
      </w:r>
      <w:r>
        <w:t xml:space="preserve"> </w:t>
      </w:r>
      <w:r>
        <w:t xml:space="preserve">-</w:t>
      </w:r>
      <w:r>
        <w:t xml:space="preserve"> </w:t>
      </w:r>
      <w:r>
        <w:rPr>
          <w:b/>
          <w:bCs/>
        </w:rPr>
        <w:t xml:space="preserve">Kératites</w:t>
      </w:r>
      <w:r>
        <w:t xml:space="preserve"> </w:t>
      </w:r>
      <w:r>
        <w:t xml:space="preserve">superficielles bactériennes (à adapter selon avis ophtalmo).</w:t>
      </w:r>
      <w:r>
        <w:t xml:space="preserve"> </w:t>
      </w:r>
      <w:r>
        <w:t xml:space="preserve">- Conjonctivites à Chlamydia (chloramphénicol actif).</w:t>
      </w:r>
      <w:r>
        <w:t xml:space="preserve"> </w:t>
      </w:r>
      <w:r>
        <w:t xml:space="preserve">- Contre-indications :</w:t>
      </w:r>
      <w:r>
        <w:t xml:space="preserve"> </w:t>
      </w:r>
      <w:r>
        <w:t xml:space="preserve">- Hypersensibilité aux sulfamides ou au chloramphénicol.</w:t>
      </w:r>
      <w:r>
        <w:t xml:space="preserve"> </w:t>
      </w:r>
      <w:r>
        <w:t xml:space="preserve">- Antécédent d’aplasie médullaire sous chloramphénicol.</w:t>
      </w:r>
      <w:r>
        <w:t xml:space="preserve"> </w:t>
      </w:r>
      <w:r>
        <w:t xml:space="preserve">-</w:t>
      </w:r>
      <w:r>
        <w:t xml:space="preserve"> </w:t>
      </w:r>
      <w:r>
        <w:rPr>
          <w:b/>
          <w:bCs/>
        </w:rPr>
        <w:t xml:space="preserve">Déficit en G6PD</w:t>
      </w:r>
      <w:r>
        <w:t xml:space="preserve"> </w:t>
      </w:r>
      <w:r>
        <w:t xml:space="preserve">(sulfacétamide).</w:t>
      </w:r>
      <w:r>
        <w:t xml:space="preserve"> </w:t>
      </w:r>
      <w:r>
        <w:t xml:space="preserve">- Femme enceine 3e trimestre (sulfacétamide — passage systémique minime mais non nul via canal lacrymal).</w:t>
      </w:r>
      <w:r>
        <w:t xml:space="preserve"> </w:t>
      </w:r>
      <w:r>
        <w:t xml:space="preserve">- Nouveau-né (prématuré, ictérique) — prudence.</w:t>
      </w:r>
      <w:r>
        <w:t xml:space="preserve"> </w:t>
      </w:r>
      <w:r>
        <w:t xml:space="preserve">- Port de lentilles de contact (conservateur benzalkonium → dépôts).</w:t>
      </w:r>
      <w:r>
        <w:t xml:space="preserve"> </w:t>
      </w:r>
      <w:r>
        <w:t xml:space="preserve">- Effets Indésirables :</w:t>
      </w:r>
      <w:r>
        <w:t xml:space="preserve"> </w:t>
      </w:r>
      <w:r>
        <w:t xml:space="preserve">-</w:t>
      </w:r>
      <w:r>
        <w:t xml:space="preserve"> </w:t>
      </w:r>
      <w:r>
        <w:rPr>
          <w:b/>
          <w:bCs/>
        </w:rPr>
        <w:t xml:space="preserve">Locaux</w:t>
      </w:r>
      <w:r>
        <w:t xml:space="preserve"> </w:t>
      </w:r>
      <w:r>
        <w:t xml:space="preserve">: picotements transitoires à l’instillation, hyperhémie conjonctivale réactionnelle, prurit oculaire, allergies de contact (sulfamide ++), kératite ponctuée superficielle avec usage prolongé.</w:t>
      </w:r>
      <w:r>
        <w:t xml:space="preserve"> </w:t>
      </w:r>
      <w:r>
        <w:t xml:space="preserve">-</w:t>
      </w:r>
      <w:r>
        <w:t xml:space="preserve"> </w:t>
      </w:r>
      <w:r>
        <w:rPr>
          <w:b/>
          <w:bCs/>
        </w:rPr>
        <w:t xml:space="preserve">Systemiques (passage par canal lacrymal)</w:t>
      </w:r>
      <w:r>
        <w:t xml:space="preserve"> </w:t>
      </w:r>
      <w:r>
        <w:t xml:space="preserve">: rare — goût métallique (chloramphénicol avalé), réactions allergiques systémiques.</w:t>
      </w:r>
      <w:r>
        <w:t xml:space="preserve"> </w:t>
      </w:r>
      <w:r>
        <w:t xml:space="preserve">-</w:t>
      </w:r>
      <w:r>
        <w:t xml:space="preserve"> </w:t>
      </w:r>
      <w:r>
        <w:rPr>
          <w:b/>
          <w:bCs/>
        </w:rPr>
        <w:t xml:space="preserve">Hématologiques</w:t>
      </w:r>
      <w:r>
        <w:t xml:space="preserve"> </w:t>
      </w:r>
      <w:r>
        <w:t xml:space="preserve">: le chloramphénicol collyre, malgré passage systémique faible, n’est pas dénué de risque d’aplasie médullaire (cas publiés) — d’où restrictions d’usage et durée maximale 7-10 j.</w:t>
      </w:r>
      <w:r>
        <w:t xml:space="preserve"> </w:t>
      </w:r>
      <w:r>
        <w:t xml:space="preserve">- Coloration des lentilles par le conservateur benzalkonium.</w:t>
      </w:r>
      <w:r>
        <w:t xml:space="preserve"> </w:t>
      </w:r>
      <w:r>
        <w:t xml:space="preserve">- Effets liés au conservateur (benzalkonium) : kératopathie toxique en cas de traitement prolongé, contre-indication des lentilles.</w:t>
      </w:r>
    </w:p>
    <w:p>
      <w:pPr>
        <w:pStyle w:val="BodyText"/>
      </w:pPr>
      <w:r>
        <w:rPr>
          <w:b/>
          <w:bCs/>
        </w:rPr>
        <w:t xml:space="preserve">Prévention et Gestion des Effets Indésirables :</w:t>
      </w:r>
      <w:r>
        <w:t xml:space="preserve"> </w:t>
      </w:r>
      <w:r>
        <w:t xml:space="preserve">- Mesures Préventives :</w:t>
      </w:r>
      <w:r>
        <w:t xml:space="preserve"> </w:t>
      </w:r>
      <w:r>
        <w:t xml:space="preserve">- Durée maximale</w:t>
      </w:r>
      <w:r>
        <w:t xml:space="preserve"> </w:t>
      </w:r>
      <w:r>
        <w:rPr>
          <w:b/>
          <w:bCs/>
        </w:rPr>
        <w:t xml:space="preserve">7-10 jours</w:t>
      </w:r>
      <w:r>
        <w:t xml:space="preserve"> </w:t>
      </w:r>
      <w:r>
        <w:t xml:space="preserve">sans avis ophtalmo (risque d’aplasie avec chloramphénicol, même local).</w:t>
      </w:r>
      <w:r>
        <w:t xml:space="preserve"> </w:t>
      </w:r>
      <w:r>
        <w:t xml:space="preserve">-</w:t>
      </w:r>
      <w:r>
        <w:t xml:space="preserve"> </w:t>
      </w:r>
      <w:r>
        <w:rPr>
          <w:b/>
          <w:bCs/>
        </w:rPr>
        <w:t xml:space="preserve">Retrait des lentilles de contact</w:t>
      </w:r>
      <w:r>
        <w:t xml:space="preserve"> </w:t>
      </w:r>
      <w:r>
        <w:t xml:space="preserve">pendant toute la durée du traitement (conservateur benzalkonium).</w:t>
      </w:r>
      <w:r>
        <w:t xml:space="preserve"> </w:t>
      </w:r>
      <w:r>
        <w:t xml:space="preserve">- Vérifier l’absence d’allergie aux sulfamides avant prescription.</w:t>
      </w:r>
      <w:r>
        <w:t xml:space="preserve"> </w:t>
      </w:r>
      <w:r>
        <w:t xml:space="preserve">- Éviter de toucher l’embout du flacon avec l’œil, les doigts ou les cils.</w:t>
      </w:r>
      <w:r>
        <w:t xml:space="preserve"> </w:t>
      </w:r>
      <w:r>
        <w:t xml:space="preserve">- Conduite à Tenir :</w:t>
      </w:r>
      <w:r>
        <w:t xml:space="preserve"> </w:t>
      </w:r>
      <w:r>
        <w:t xml:space="preserve">- Arrêt en cas d’œdème palpébral, de prurit intense, de rougeur majorée : suspicion allergie.</w:t>
      </w:r>
      <w:r>
        <w:t xml:space="preserve"> </w:t>
      </w:r>
      <w:r>
        <w:t xml:space="preserve">- Pas d’amélioration en 3 jours ou aggravation : arrêt et avis ophtalmo (suspicion germe résistant, herpétique, allergique).</w:t>
      </w:r>
    </w:p>
    <w:p>
      <w:pPr>
        <w:pStyle w:val="BodyText"/>
      </w:pPr>
      <w:r>
        <w:rPr>
          <w:b/>
          <w:bCs/>
        </w:rPr>
        <w:t xml:space="preserve">Interactions Importantes :</w:t>
      </w:r>
      <w:r>
        <w:t xml:space="preserve"> </w:t>
      </w:r>
      <w:r>
        <w:t xml:space="preserve">-</w:t>
      </w:r>
      <w:r>
        <w:t xml:space="preserve"> </w:t>
      </w:r>
      <w:r>
        <w:rPr>
          <w:b/>
          <w:bCs/>
        </w:rPr>
        <w:t xml:space="preserve">Sulfacétamide collyre + autres collyres</w:t>
      </w:r>
      <w:r>
        <w:t xml:space="preserve"> </w:t>
      </w:r>
      <w:r>
        <w:t xml:space="preserve">: espacer de 15 min entre chaque instillation.</w:t>
      </w:r>
      <w:r>
        <w:t xml:space="preserve"> </w:t>
      </w:r>
      <w:r>
        <w:t xml:space="preserve">-</w:t>
      </w:r>
      <w:r>
        <w:t xml:space="preserve"> </w:t>
      </w:r>
      <w:r>
        <w:rPr>
          <w:b/>
          <w:bCs/>
        </w:rPr>
        <w:t xml:space="preserve">Sulfacétamide collyre + sels d’argent</w:t>
      </w:r>
      <w:r>
        <w:t xml:space="preserve"> </w:t>
      </w:r>
      <w:r>
        <w:t xml:space="preserve">(sulfadiazine argentique) : précipitation locale.</w:t>
      </w:r>
      <w:r>
        <w:t xml:space="preserve"> </w:t>
      </w:r>
      <w:r>
        <w:t xml:space="preserve">-</w:t>
      </w:r>
      <w:r>
        <w:t xml:space="preserve"> </w:t>
      </w:r>
      <w:r>
        <w:rPr>
          <w:b/>
          <w:bCs/>
        </w:rPr>
        <w:t xml:space="preserve">Chloramphénicol collyre + anticoagulants oraux</w:t>
      </w:r>
      <w:r>
        <w:t xml:space="preserve"> </w:t>
      </w:r>
      <w:r>
        <w:t xml:space="preserve">: passage systémique minimal mais théorique potentialisation.</w:t>
      </w:r>
      <w:r>
        <w:t xml:space="preserve"> </w:t>
      </w:r>
      <w:r>
        <w:t xml:space="preserve">-</w:t>
      </w:r>
      <w:r>
        <w:t xml:space="preserve"> </w:t>
      </w:r>
      <w:r>
        <w:rPr>
          <w:b/>
          <w:bCs/>
        </w:rPr>
        <w:t xml:space="preserve">Chloramphénicol collyre + vaccin Typhoïde oral</w:t>
      </w:r>
      <w:r>
        <w:t xml:space="preserve"> </w:t>
      </w:r>
      <w:r>
        <w:t xml:space="preserve">: le chloramphénicol inhibe la souche vaccinale — espacer de 3 jours.</w:t>
      </w:r>
    </w:p>
    <w:p>
      <w:pPr>
        <w:pStyle w:val="BodyText"/>
      </w:pPr>
      <w:r>
        <w:rPr>
          <w:b/>
          <w:bCs/>
        </w:rPr>
        <w:t xml:space="preserve">Grossesse et Allaitement :</w:t>
      </w:r>
      <w:r>
        <w:t xml:space="preserve"> </w:t>
      </w:r>
      <w:r>
        <w:t xml:space="preserve">- Grossesse : usage ponctuel possible aux 1er et 2e trimestres ; à éviter au 3e (sulfacétamide théoriquement kernictérigène). Préférer rifamycine ou dexamil si possible.</w:t>
      </w:r>
      <w:r>
        <w:t xml:space="preserve"> </w:t>
      </w:r>
      <w:r>
        <w:t xml:space="preserve">- Allaitement : usage local ponctuel possible (passage systémique négligeable).</w:t>
      </w:r>
    </w:p>
    <w:p>
      <w:pPr>
        <w:pStyle w:val="BodyText"/>
      </w:pPr>
      <w:r>
        <w:rPr>
          <w:b/>
          <w:bCs/>
        </w:rPr>
        <w:t xml:space="preserve">Posologie et Mode d’administration (Standard) :</w:t>
      </w:r>
      <w:r>
        <w:t xml:space="preserve"> </w:t>
      </w:r>
      <w:r>
        <w:t xml:space="preserve">- Adulte et enfant &gt; 2 ans :</w:t>
      </w:r>
      <w:r>
        <w:t xml:space="preserve"> </w:t>
      </w:r>
      <w:r>
        <w:t xml:space="preserve">-</w:t>
      </w:r>
      <w:r>
        <w:t xml:space="preserve"> </w:t>
      </w:r>
      <w:r>
        <w:rPr>
          <w:b/>
          <w:bCs/>
        </w:rPr>
        <w:t xml:space="preserve">1 goutte dans l’œil atteint, 4 à 6 fois par jour</w:t>
      </w:r>
      <w:r>
        <w:t xml:space="preserve"> </w:t>
      </w:r>
      <w:r>
        <w:t xml:space="preserve">pendant 5-7 jours (max 10 jours).</w:t>
      </w:r>
      <w:r>
        <w:t xml:space="preserve"> </w:t>
      </w:r>
      <w:r>
        <w:t xml:space="preserve">- En cas de forme pommade ophtalmique (si disponible) : application dans le cul-de-sac conjonctival inférieur 3-4 fois/j (dont le soir au coucher pour action prolongée nocturne).</w:t>
      </w:r>
      <w:r>
        <w:t xml:space="preserve"> </w:t>
      </w:r>
      <w:r>
        <w:t xml:space="preserve">- Mode d’administration : lavage des mains, bascule tête en arrière, doigt inférieur tire paupière inférieure, regard vers le haut, instiller 1 goutte sans toucher l’œil, cligner plusieurs fois, occlusion du point lacrymal 1 min (réduction passage systémique et goût métallique).</w:t>
      </w:r>
    </w:p>
    <w:p>
      <w:pPr>
        <w:pStyle w:val="BodyText"/>
      </w:pPr>
      <w:r>
        <w:rPr>
          <w:b/>
          <w:bCs/>
        </w:rPr>
        <w:t xml:space="preserve">Arbitrage et Bénéfices des Formes Galéniques :</w:t>
      </w:r>
      <w:r>
        <w:t xml:space="preserve"> </w:t>
      </w:r>
      <w:r>
        <w:t xml:space="preserve">- Collyre 10 % / 0,5 % (sulfacétamide / chloramphénicol) : flacon 10 mL multidose (conservateur benzalkonium).</w:t>
      </w:r>
      <w:r>
        <w:t xml:space="preserve"> </w:t>
      </w:r>
      <w:r>
        <w:t xml:space="preserve">- Forme adaptée à l’usage ambulatoire pour conjonctivites bactériennes banales.</w:t>
      </w:r>
      <w:r>
        <w:t xml:space="preserve"> </w:t>
      </w:r>
      <w:r>
        <w:t xml:space="preserve">- Alternative : chloramphénicol collyre seul, sulfacétamide seul, rifamycine collyre, ofloxacine collyre, tobramycine collyre.</w:t>
      </w:r>
      <w:r>
        <w:t xml:space="preserve"> </w:t>
      </w:r>
      <w:r>
        <w:t xml:space="preserve">- Forme unidose sans conservateur : à privilégier chez le porteur de lentilles, l’allergique et l’enfant.</w:t>
      </w:r>
    </w:p>
    <w:p>
      <w:pPr>
        <w:pStyle w:val="BodyText"/>
      </w:pPr>
      <w:r>
        <w:rPr>
          <w:b/>
          <w:bCs/>
        </w:rPr>
        <w:t xml:space="preserve">Instructions et Conseils au Patient :</w:t>
      </w:r>
      <w:r>
        <w:t xml:space="preserve"> </w:t>
      </w:r>
      <w:r>
        <w:t xml:space="preserve">- Communication au comptoir :</w:t>
      </w:r>
      <w:r>
        <w:t xml:space="preserve"> </w:t>
      </w:r>
      <w:r>
        <w:t xml:space="preserve">- « 1 goutte dans l’œil malade, 4 à 6 fois par jour pendant 5 à 7 jours maximum ».</w:t>
      </w:r>
      <w:r>
        <w:t xml:space="preserve"> </w:t>
      </w:r>
      <w:r>
        <w:t xml:space="preserve">- « Retirez vos lentilles de contact pendant le traitement ».</w:t>
      </w:r>
      <w:r>
        <w:t xml:space="preserve"> </w:t>
      </w:r>
      <w:r>
        <w:t xml:space="preserve">- « Ne touchez pas l’embout du flacon avec l’œil ou les doigts ».</w:t>
      </w:r>
      <w:r>
        <w:t xml:space="preserve"> </w:t>
      </w:r>
      <w:r>
        <w:t xml:space="preserve">- « Si pas d’amélioration en 3 jours, ou si douleur, baisse de vision, ou œdème des paupières : consultez un ophtalmologiste ».</w:t>
      </w:r>
      <w:r>
        <w:t xml:space="preserve"> </w:t>
      </w:r>
      <w:r>
        <w:t xml:space="preserve">- « Jetez le flacon 15 jours après ouverture » (risque de contamination).</w:t>
      </w:r>
      <w:r>
        <w:t xml:space="preserve"> </w:t>
      </w:r>
      <w:r>
        <w:t xml:space="preserve">- Mode d’utilisation pratique : lavage des mains préalable, instillation douce, occlusion canthus interne 1 min pour réduire le passage naso-lacrymal, ne pas double-instiller si oubli &lt; 1 h.</w:t>
      </w:r>
    </w:p>
    <w:p>
      <w:pPr>
        <w:pStyle w:val="BodyText"/>
      </w:pPr>
      <w:r>
        <w:rPr>
          <w:b/>
          <w:bCs/>
        </w:rPr>
        <w:t xml:space="preserve">Notes, Règles d’Or &amp; Pièges au Comptoir :</w:t>
      </w:r>
      <w:r>
        <w:t xml:space="preserve"> </w:t>
      </w:r>
      <w:r>
        <w:t xml:space="preserve">-</w:t>
      </w:r>
      <w:r>
        <w:t xml:space="preserve"> </w:t>
      </w:r>
      <w:r>
        <w:rPr>
          <w:b/>
          <w:bCs/>
        </w:rPr>
        <w:t xml:space="preserve">Piège classique — Allergie croisée sulfamides</w:t>
      </w:r>
      <w:r>
        <w:t xml:space="preserve"> </w:t>
      </w:r>
      <w:r>
        <w:t xml:space="preserve">: un patient allergique à un sulfamide systémique ne doit pas recevoir de sulfacétamide collyre (allergie possible par passage systémique minime).</w:t>
      </w:r>
      <w:r>
        <w:t xml:space="preserve"> </w:t>
      </w:r>
      <w:r>
        <w:t xml:space="preserve">-</w:t>
      </w:r>
      <w:r>
        <w:t xml:space="preserve"> </w:t>
      </w:r>
      <w:r>
        <w:rPr>
          <w:b/>
          <w:bCs/>
        </w:rPr>
        <w:t xml:space="preserve">Piège classique — Chloramphénicol et aplasie</w:t>
      </w:r>
      <w:r>
        <w:t xml:space="preserve"> </w:t>
      </w:r>
      <w:r>
        <w:t xml:space="preserve">: bien que rare avec le collyre, ne pas dépasser 10 jours et ne pas utiliser en automédication répétée.</w:t>
      </w:r>
      <w:r>
        <w:t xml:space="preserve"> </w:t>
      </w:r>
      <w:r>
        <w:t xml:space="preserve">-</w:t>
      </w:r>
      <w:r>
        <w:t xml:space="preserve"> </w:t>
      </w:r>
      <w:r>
        <w:rPr>
          <w:b/>
          <w:bCs/>
        </w:rPr>
        <w:t xml:space="preserve">Piège classique — Herpès masqué</w:t>
      </w:r>
      <w:r>
        <w:t xml:space="preserve"> </w:t>
      </w:r>
      <w:r>
        <w:t xml:space="preserve">: toute conjonctivite unilatérale récurrente avec kératite dendritique = suspicion herpétique → arrêt antibiotique + avis ophtalmo urgent (le chloramphénicol peut aggraver un herpès cornéen).</w:t>
      </w:r>
      <w:r>
        <w:t xml:space="preserve"> </w:t>
      </w:r>
      <w:r>
        <w:t xml:space="preserve">-</w:t>
      </w:r>
      <w:r>
        <w:t xml:space="preserve"> </w:t>
      </w:r>
      <w:r>
        <w:rPr>
          <w:b/>
          <w:bCs/>
        </w:rPr>
        <w:t xml:space="preserve">Règle de prise</w:t>
      </w:r>
      <w:r>
        <w:t xml:space="preserve"> </w:t>
      </w:r>
      <w:r>
        <w:t xml:space="preserve">: 1 goutte × 4-6/j, 5-7 jours, sans lentilles.</w:t>
      </w:r>
      <w:r>
        <w:t xml:space="preserve"> </w:t>
      </w:r>
      <w:r>
        <w:t xml:space="preserve">-</w:t>
      </w:r>
      <w:r>
        <w:t xml:space="preserve"> </w:t>
      </w:r>
      <w:r>
        <w:rPr>
          <w:b/>
          <w:bCs/>
        </w:rPr>
        <w:t xml:space="preserve">Préparation et Conservation</w:t>
      </w:r>
      <w:r>
        <w:t xml:space="preserve"> </w:t>
      </w:r>
      <w:r>
        <w:t xml:space="preserve">: flacon refermé hermétiquement, conservation à T° ambiante (&lt; 25 °C) à l’abri de la lumière, jeté 15 jours après ouverture.</w:t>
      </w:r>
      <w:r>
        <w:t xml:space="preserve"> </w:t>
      </w:r>
      <w:r>
        <w:t xml:space="preserve">-</w:t>
      </w:r>
      <w:r>
        <w:t xml:space="preserve"> </w:t>
      </w:r>
      <w:r>
        <w:rPr>
          <w:b/>
          <w:bCs/>
        </w:rPr>
        <w:t xml:space="preserve">Piège du surdosage / Substitution</w:t>
      </w:r>
      <w:r>
        <w:t xml:space="preserve"> </w:t>
      </w:r>
      <w:r>
        <w:t xml:space="preserve">:</w:t>
      </w:r>
      <w:r>
        <w:t xml:space="preserve"> </w:t>
      </w:r>
      <w:r>
        <w:t xml:space="preserve">- Ne pas substituer CROSULCAF par chloramphénicol collyre seul sans avis (perte de l’effet anti-folate).</w:t>
      </w:r>
      <w:r>
        <w:t xml:space="preserve"> </w:t>
      </w:r>
      <w:r>
        <w:t xml:space="preserve">- Statut « Non Renouvelable » : prévenir le patient de la nécessité éventuelle d’une prescription alternative (rifamycine, ofloxacine).</w:t>
      </w:r>
    </w:p>
    <w:p>
      <w:r>
        <w:pict>
          <v:rect style="width:0;height:1.5pt" o:hralign="center" o:hrstd="t" o:hr="t"/>
        </w:pict>
      </w:r>
    </w:p>
    <w:bookmarkEnd w:id="173"/>
    <w:bookmarkStart w:id="174" w:name="Xbdbe7c6617fd6fec3b0fc245a83388934cb6442"/>
    <w:p>
      <w:pPr>
        <w:pStyle w:val="Heading3"/>
      </w:pPr>
      <w:r>
        <w:t xml:space="preserve">6.1.6. DCI : Salazosulfapyridine (Sulfasalazine) (Seule)</w:t>
      </w:r>
    </w:p>
    <w:p>
      <w:pPr>
        <w:pStyle w:val="FirstParagraph"/>
      </w:pPr>
      <w:r>
        <w:rPr>
          <w:b/>
          <w:bCs/>
        </w:rPr>
        <w:t xml:space="preserve">Liste des Catégories :</w:t>
      </w:r>
      <w:r>
        <w:t xml:space="preserve"> </w:t>
      </w:r>
      <w:r>
        <w:t xml:space="preserve">Anti-inflammatoire intestinal ; Prodrogue colique ; Sulfamide ; Rhumatologie ; A07EC01.</w:t>
      </w:r>
    </w:p>
    <w:p>
      <w:pPr>
        <w:pStyle w:val="BodyText"/>
      </w:pPr>
      <w:r>
        <w:t xml:space="preserve">La salazosulfapyridine (sulfasalazine, SASP) est une</w:t>
      </w:r>
      <w:r>
        <w:t xml:space="preserve"> </w:t>
      </w:r>
      <w:r>
        <w:rPr>
          <w:b/>
          <w:bCs/>
        </w:rPr>
        <w:t xml:space="preserve">prodrogue</w:t>
      </w:r>
      <w:r>
        <w:t xml:space="preserve"> </w:t>
      </w:r>
      <w:r>
        <w:t xml:space="preserve">composée d’une molécule de</w:t>
      </w:r>
      <w:r>
        <w:t xml:space="preserve"> </w:t>
      </w:r>
      <w:r>
        <w:rPr>
          <w:b/>
          <w:bCs/>
        </w:rPr>
        <w:t xml:space="preserve">5-aminosalicylate (5-ASA, mésalazine)</w:t>
      </w:r>
      <w:r>
        <w:t xml:space="preserve"> </w:t>
      </w:r>
      <w:r>
        <w:t xml:space="preserve">liée par une</w:t>
      </w:r>
      <w:r>
        <w:t xml:space="preserve"> </w:t>
      </w:r>
      <w:r>
        <w:rPr>
          <w:b/>
          <w:bCs/>
        </w:rPr>
        <w:t xml:space="preserve">liaison azoïque (-N=N-)</w:t>
      </w:r>
      <w:r>
        <w:t xml:space="preserve"> </w:t>
      </w:r>
      <w:r>
        <w:t xml:space="preserve">à une molécule de</w:t>
      </w:r>
      <w:r>
        <w:t xml:space="preserve"> </w:t>
      </w:r>
      <w:r>
        <w:rPr>
          <w:b/>
          <w:bCs/>
        </w:rPr>
        <w:t xml:space="preserve">sulfapyridine</w:t>
      </w:r>
      <w:r>
        <w:t xml:space="preserve"> </w:t>
      </w:r>
      <w:r>
        <w:t xml:space="preserve">(un sulfamide antibactérien). Cette structure lui permet de traverser intacte l’estomac et l’intestin grêle, puis d’être</w:t>
      </w:r>
      <w:r>
        <w:t xml:space="preserve"> </w:t>
      </w:r>
      <w:r>
        <w:rPr>
          <w:b/>
          <w:bCs/>
        </w:rPr>
        <w:t xml:space="preserve">clivée par les azoreductases de la flore colique</w:t>
      </w:r>
      <w:r>
        <w:t xml:space="preserve"> </w:t>
      </w:r>
      <w:r>
        <w:t xml:space="preserve">libérant les deux composants actifs dans la lumière colique. Elle est utilisée comme anti-inflammatoire intestinal (rectocolite hémorragique, maladie de Crohn colique) et comme traitement de fond de la polyarthrite rhumatoïde (indication historique, en partie via la fraction sulfapyridine). La spécialité SALAZOPYRIN EN (Pharmacia Upjohn) est actuellement non renouvelée en Algérie — la mésalazine (5-ASA) est aujourd’hui préférée dans la RCH en raison d’une meilleure tolérance (absence de la fraction sulfapyridine responsable de la plupart des EI).</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SALAZOPYRIN EN</w:t>
      </w:r>
      <w:r>
        <w:t xml:space="preserve"> </w:t>
      </w:r>
      <w:r>
        <w:t xml:space="preserve">(PHARMACIA UPJOHN)</w:t>
      </w:r>
      <w:r>
        <w:t xml:space="preserve"> </w:t>
      </w:r>
      <w:r>
        <w:t xml:space="preserve">- Forme et Dosage : Comprimé « EN » (entérique) 500 mg (B/100)</w:t>
      </w:r>
      <w:r>
        <w:t xml:space="preserve"> </w:t>
      </w:r>
      <w:r>
        <w:t xml:space="preserve">- Statut :</w:t>
      </w:r>
      <w:r>
        <w:t xml:space="preserve"> </w:t>
      </w:r>
      <w:r>
        <w:rPr>
          <w:b/>
          <w:bCs/>
        </w:rPr>
        <w:t xml:space="preserve">Non Renouvelable</w:t>
      </w:r>
    </w:p>
    <w:p>
      <w:pPr>
        <w:pStyle w:val="BlockText"/>
      </w:pPr>
      <w:r>
        <w:rPr>
          <w:b/>
          <w:bCs/>
        </w:rPr>
        <w:t xml:space="preserve">Note circuit algérien :</w:t>
      </w:r>
      <w:r>
        <w:t xml:space="preserve"> </w:t>
      </w:r>
      <w:r>
        <w:t xml:space="preserve">Alternative — mésalazine (PENTASA, ETHICOL, MESACOL, MEGASACOL) disponible dans la nomenclature. La sulfasalazine reste utilisée en rhumatologie (PR) et dans la RCH en cas d’intolérance/échec de la mésalazine.</w:t>
      </w:r>
    </w:p>
    <w:p>
      <w:pPr>
        <w:pStyle w:val="FirstParagraph"/>
      </w:pPr>
      <w:r>
        <w:rPr>
          <w:b/>
          <w:bCs/>
        </w:rPr>
        <w:t xml:space="preserve">Sous-classe et Mécanisme d’action :</w:t>
      </w:r>
      <w:r>
        <w:t xml:space="preserve"> </w:t>
      </w:r>
      <w:r>
        <w:t xml:space="preserve">- Sous-classe : Prodrogue azoïque combinant 5-aminosalicylate (5-ASA = mésalazine) et sulfapyridine (sulfamide). Anti-inflammatoire intestinal (MICI) et DMARD (rhumatologie).</w:t>
      </w:r>
      <w:r>
        <w:t xml:space="preserve"> </w:t>
      </w:r>
      <w:r>
        <w:t xml:space="preserve">- Mécanisme d’action :</w:t>
      </w:r>
      <w:r>
        <w:t xml:space="preserve"> </w:t>
      </w:r>
      <w:r>
        <w:t xml:space="preserve">-</w:t>
      </w:r>
      <w:r>
        <w:t xml:space="preserve"> </w:t>
      </w:r>
      <w:r>
        <w:rPr>
          <w:b/>
          <w:bCs/>
        </w:rPr>
        <w:t xml:space="preserve">Clivage colique par les azoreductases bactériennes</w:t>
      </w:r>
      <w:r>
        <w:t xml:space="preserve"> </w:t>
      </w:r>
      <w:r>
        <w:t xml:space="preserve">de la flore intestinale (Bacteroides, Clostridium, Eubacterium) libère :</w:t>
      </w:r>
      <w:r>
        <w:t xml:space="preserve"> </w:t>
      </w:r>
      <w:r>
        <w:t xml:space="preserve">-</w:t>
      </w:r>
      <w:r>
        <w:t xml:space="preserve"> </w:t>
      </w:r>
      <w:r>
        <w:rPr>
          <w:b/>
          <w:bCs/>
        </w:rPr>
        <w:t xml:space="preserve">5-ASA (mésalazine)</w:t>
      </w:r>
      <w:r>
        <w:t xml:space="preserve"> </w:t>
      </w:r>
      <w:r>
        <w:t xml:space="preserve">: inhibe la</w:t>
      </w:r>
      <w:r>
        <w:t xml:space="preserve"> </w:t>
      </w:r>
      <w:r>
        <w:rPr>
          <w:b/>
          <w:bCs/>
        </w:rPr>
        <w:t xml:space="preserve">cyclo-oxygénase et la 5-lipoxygénase</w:t>
      </w:r>
      <w:r>
        <w:t xml:space="preserve"> </w:t>
      </w:r>
      <w:r>
        <w:t xml:space="preserve">intestinales → diminution des prostaglandines (PGE2) et leucotriènes (LTB4) pro-inflammatoires ; inhibe l’activation du NF-κB ; scavenger des radicaux libres ; modulation de la fonction des lymphocytes T intestinaux.</w:t>
      </w:r>
      <w:r>
        <w:t xml:space="preserve"> </w:t>
      </w:r>
      <w:r>
        <w:t xml:space="preserve">-</w:t>
      </w:r>
      <w:r>
        <w:t xml:space="preserve"> </w:t>
      </w:r>
      <w:r>
        <w:rPr>
          <w:b/>
          <w:bCs/>
        </w:rPr>
        <w:t xml:space="preserve">Sulfapyridine</w:t>
      </w:r>
      <w:r>
        <w:t xml:space="preserve"> </w:t>
      </w:r>
      <w:r>
        <w:t xml:space="preserve">: absorbée (90 %), métabolisée par acétylation hépatique (NAT2) ; participe à l’effet DMARD (rhumatologie) par inhibition de l’activation des lymphocytes T et de la fonction des cellules présentatrices d’antigène.</w:t>
      </w:r>
      <w:r>
        <w:t xml:space="preserve"> </w:t>
      </w:r>
      <w:r>
        <w:t xml:space="preserve">- La fraction 5-ASA reste principalement dans la lumière colique (faible absorption systémique) — effet local.</w:t>
      </w:r>
      <w:r>
        <w:t xml:space="preserve"> </w:t>
      </w:r>
      <w:r>
        <w:t xml:space="preserve">- Bien que classée dans les sulfamides, la sulfasalazine n’est</w:t>
      </w:r>
      <w:r>
        <w:t xml:space="preserve"> </w:t>
      </w:r>
      <w:r>
        <w:rPr>
          <w:b/>
          <w:bCs/>
        </w:rPr>
        <w:t xml:space="preserve">pas utilisée comme antibactérien</w:t>
      </w:r>
      <w:r>
        <w:t xml:space="preserve"> </w:t>
      </w:r>
      <w:r>
        <w:t xml:space="preserve">: la sulfapyridine libérée atteint des concentrations systémiques trop faibles pour une action antibactérienne utile.</w:t>
      </w:r>
    </w:p>
    <w:p>
      <w:pPr>
        <w:pStyle w:val="BodyText"/>
      </w:pPr>
      <w:r>
        <w:rPr>
          <w:b/>
          <w:bCs/>
        </w:rPr>
        <w:t xml:space="preserve">Profil Pharmacologique :</w:t>
      </w:r>
      <w:r>
        <w:t xml:space="preserve"> </w:t>
      </w:r>
      <w:r>
        <w:t xml:space="preserve">- Indications :</w:t>
      </w:r>
      <w:r>
        <w:t xml:space="preserve"> </w:t>
      </w:r>
      <w:r>
        <w:t xml:space="preserve">-</w:t>
      </w:r>
      <w:r>
        <w:t xml:space="preserve"> </w:t>
      </w:r>
      <w:r>
        <w:rPr>
          <w:b/>
          <w:bCs/>
        </w:rPr>
        <w:t xml:space="preserve">Rectocolite hémorragique (RCH)</w:t>
      </w:r>
      <w:r>
        <w:t xml:space="preserve"> </w:t>
      </w:r>
      <w:r>
        <w:t xml:space="preserve">— traitement curatif des poussées modérées (1-2 g × 4/j) et traitement d’entretien de la rémission (2-3 g/j).</w:t>
      </w:r>
      <w:r>
        <w:t xml:space="preserve"> </w:t>
      </w:r>
      <w:r>
        <w:t xml:space="preserve">-</w:t>
      </w:r>
      <w:r>
        <w:t xml:space="preserve"> </w:t>
      </w:r>
      <w:r>
        <w:rPr>
          <w:b/>
          <w:bCs/>
        </w:rPr>
        <w:t xml:space="preserve">Maladie de Crohn colique</w:t>
      </w:r>
      <w:r>
        <w:t xml:space="preserve"> </w:t>
      </w:r>
      <w:r>
        <w:t xml:space="preserve">(efficacité moindre que sur RCH).</w:t>
      </w:r>
      <w:r>
        <w:t xml:space="preserve"> </w:t>
      </w:r>
      <w:r>
        <w:t xml:space="preserve">-</w:t>
      </w:r>
      <w:r>
        <w:t xml:space="preserve"> </w:t>
      </w:r>
      <w:r>
        <w:rPr>
          <w:b/>
          <w:bCs/>
        </w:rPr>
        <w:t xml:space="preserve">Polyarthrite rhumatoïde (PR)</w:t>
      </w:r>
      <w:r>
        <w:t xml:space="preserve"> </w:t>
      </w:r>
      <w:r>
        <w:t xml:space="preserve">— traitement de fond (DMARD), 2-3 g/j ; alternative au méthotrexate, particulièrement utile en association (methotrexate + sulfasalazine + hydroxychloroquine = « triple therapy »).</w:t>
      </w:r>
      <w:r>
        <w:t xml:space="preserve"> </w:t>
      </w:r>
      <w:r>
        <w:t xml:space="preserve">-</w:t>
      </w:r>
      <w:r>
        <w:t xml:space="preserve"> </w:t>
      </w:r>
      <w:r>
        <w:rPr>
          <w:b/>
          <w:bCs/>
        </w:rPr>
        <w:t xml:space="preserve">Spondyloarthrites</w:t>
      </w:r>
      <w:r>
        <w:t xml:space="preserve"> </w:t>
      </w:r>
      <w:r>
        <w:t xml:space="preserve">axiales (alternative aux AINS).</w:t>
      </w:r>
      <w:r>
        <w:t xml:space="preserve"> </w:t>
      </w:r>
      <w:r>
        <w:t xml:space="preserve">- Contre-indications :</w:t>
      </w:r>
      <w:r>
        <w:t xml:space="preserve"> </w:t>
      </w:r>
      <w:r>
        <w:t xml:space="preserve">- Hypersensibilité aux sulfamides, salicylés, ou 5-ASA.</w:t>
      </w:r>
      <w:r>
        <w:t xml:space="preserve"> </w:t>
      </w:r>
      <w:r>
        <w:t xml:space="preserve">-</w:t>
      </w:r>
      <w:r>
        <w:t xml:space="preserve"> </w:t>
      </w:r>
      <w:r>
        <w:rPr>
          <w:b/>
          <w:bCs/>
        </w:rPr>
        <w:t xml:space="preserve">Déficit en G6PD</w:t>
      </w:r>
      <w:r>
        <w:t xml:space="preserve"> </w:t>
      </w:r>
      <w:r>
        <w:t xml:space="preserve">(hémolyse par fraction sulfapyridine).</w:t>
      </w:r>
      <w:r>
        <w:t xml:space="preserve"> </w:t>
      </w:r>
      <w:r>
        <w:t xml:space="preserve">-</w:t>
      </w:r>
      <w:r>
        <w:t xml:space="preserve"> </w:t>
      </w:r>
      <w:r>
        <w:rPr>
          <w:b/>
          <w:bCs/>
        </w:rPr>
        <w:t xml:space="preserve">Porphyrie</w:t>
      </w:r>
      <w:r>
        <w:t xml:space="preserve">.</w:t>
      </w:r>
      <w:r>
        <w:t xml:space="preserve"> </w:t>
      </w:r>
      <w:r>
        <w:t xml:space="preserve">-</w:t>
      </w:r>
      <w:r>
        <w:t xml:space="preserve"> </w:t>
      </w:r>
      <w:r>
        <w:rPr>
          <w:b/>
          <w:bCs/>
        </w:rPr>
        <w:t xml:space="preserve">Insuffisance rénale sévère</w:t>
      </w:r>
      <w:r>
        <w:t xml:space="preserve"> </w:t>
      </w:r>
      <w:r>
        <w:t xml:space="preserve">(ClCr &lt; 30 mL/min).</w:t>
      </w:r>
      <w:r>
        <w:t xml:space="preserve"> </w:t>
      </w:r>
      <w:r>
        <w:t xml:space="preserve">-</w:t>
      </w:r>
      <w:r>
        <w:t xml:space="preserve"> </w:t>
      </w:r>
      <w:r>
        <w:rPr>
          <w:b/>
          <w:bCs/>
        </w:rPr>
        <w:t xml:space="preserve">Insuffisance hépatocellulaire sévère</w:t>
      </w:r>
      <w:r>
        <w:t xml:space="preserve">.</w:t>
      </w:r>
      <w:r>
        <w:t xml:space="preserve"> </w:t>
      </w:r>
      <w:r>
        <w:t xml:space="preserve">- Enfants &lt; 2 ans.</w:t>
      </w:r>
      <w:r>
        <w:t xml:space="preserve"> </w:t>
      </w:r>
      <w:r>
        <w:t xml:space="preserve">- Allaitement prématuré / ictère néonatal.</w:t>
      </w:r>
      <w:r>
        <w:t xml:space="preserve"> </w:t>
      </w:r>
      <w:r>
        <w:t xml:space="preserve">- Grossesse 3e trimestre à doses &gt; 2 g/j.</w:t>
      </w:r>
      <w:r>
        <w:t xml:space="preserve"> </w:t>
      </w:r>
      <w:r>
        <w:t xml:space="preserve">- Effets Indésirables :</w:t>
      </w:r>
      <w:r>
        <w:t xml:space="preserve"> </w:t>
      </w:r>
      <w:r>
        <w:t xml:space="preserve">-</w:t>
      </w:r>
      <w:r>
        <w:t xml:space="preserve"> </w:t>
      </w:r>
      <w:r>
        <w:rPr>
          <w:b/>
          <w:bCs/>
        </w:rPr>
        <w:t xml:space="preserve">Gastro-intestinaux (dose-dépendants, très fréquents)</w:t>
      </w:r>
      <w:r>
        <w:t xml:space="preserve"> </w:t>
      </w:r>
      <w:r>
        <w:t xml:space="preserve">: nausées, vomissements, dyspepsie, douleurs abdominales, anorexie (imputables à la fraction sulfapyridine — dose-dépendants) — améliorés par forme entérique (EN) et prise au cours des repas.</w:t>
      </w:r>
      <w:r>
        <w:t xml:space="preserve"> </w:t>
      </w:r>
      <w:r>
        <w:t xml:space="preserve">-</w:t>
      </w:r>
      <w:r>
        <w:t xml:space="preserve"> </w:t>
      </w:r>
      <w:r>
        <w:rPr>
          <w:b/>
          <w:bCs/>
        </w:rPr>
        <w:t xml:space="preserve">Cutanés</w:t>
      </w:r>
      <w:r>
        <w:t xml:space="preserve"> </w:t>
      </w:r>
      <w:r>
        <w:t xml:space="preserve">: rash, urticaire, photosensibilité ; SJS / TEN (rare, surtout en HLA-B</w:t>
      </w:r>
      <w:r>
        <w:rPr>
          <w:i/>
          <w:iCs/>
        </w:rPr>
        <w:t xml:space="preserve">38:16 / HLA-B</w:t>
      </w:r>
      <w:r>
        <w:t xml:space="preserve">58:01) ; coloration jaune de la peau et des urines ( harmless mais impressionnant).</w:t>
      </w:r>
      <w:r>
        <w:t xml:space="preserve"> </w:t>
      </w:r>
      <w:r>
        <w:t xml:space="preserve">-</w:t>
      </w:r>
      <w:r>
        <w:t xml:space="preserve"> </w:t>
      </w:r>
      <w:r>
        <w:rPr>
          <w:b/>
          <w:bCs/>
        </w:rPr>
        <w:t xml:space="preserve">Hématologiques</w:t>
      </w:r>
      <w:r>
        <w:t xml:space="preserve"> </w:t>
      </w:r>
      <w:r>
        <w:t xml:space="preserve">: leucopénie, neutropénie, agranulocytose (rare mais grave), thrombopénie, anémie hémolytique (G6PD), mégaloblastose (anti-folique — supplémentation si besoin).</w:t>
      </w:r>
      <w:r>
        <w:t xml:space="preserve"> </w:t>
      </w:r>
      <w:r>
        <w:t xml:space="preserve">-</w:t>
      </w:r>
      <w:r>
        <w:t xml:space="preserve"> </w:t>
      </w:r>
      <w:r>
        <w:rPr>
          <w:b/>
          <w:bCs/>
        </w:rPr>
        <w:t xml:space="preserve">Hépatiques</w:t>
      </w:r>
      <w:r>
        <w:t xml:space="preserve"> </w:t>
      </w:r>
      <w:r>
        <w:t xml:space="preserve">: cytolyse, cholestase, hépatite médicamenteuse.</w:t>
      </w:r>
      <w:r>
        <w:t xml:space="preserve"> </w:t>
      </w:r>
      <w:r>
        <w:t xml:space="preserve">-</w:t>
      </w:r>
      <w:r>
        <w:t xml:space="preserve"> </w:t>
      </w:r>
      <w:r>
        <w:rPr>
          <w:b/>
          <w:bCs/>
        </w:rPr>
        <w:t xml:space="preserve">Respiratoires</w:t>
      </w:r>
      <w:r>
        <w:t xml:space="preserve"> </w:t>
      </w:r>
      <w:r>
        <w:t xml:space="preserve">: pneumopathie d’hypersensibilité, éosinophilie pulmonaire (rare mais grave), fibrose pulmonaire.</w:t>
      </w:r>
      <w:r>
        <w:t xml:space="preserve"> </w:t>
      </w:r>
      <w:r>
        <w:t xml:space="preserve">-</w:t>
      </w:r>
      <w:r>
        <w:t xml:space="preserve"> </w:t>
      </w:r>
      <w:r>
        <w:rPr>
          <w:b/>
          <w:bCs/>
        </w:rPr>
        <w:t xml:space="preserve">Rénaux</w:t>
      </w:r>
      <w:r>
        <w:t xml:space="preserve"> </w:t>
      </w:r>
      <w:r>
        <w:t xml:space="preserve">: néphrite interstitielle, cristallurie sulfapyridine, protéinurie, IR.</w:t>
      </w:r>
      <w:r>
        <w:t xml:space="preserve"> </w:t>
      </w:r>
      <w:r>
        <w:t xml:space="preserve">-</w:t>
      </w:r>
      <w:r>
        <w:t xml:space="preserve"> </w:t>
      </w:r>
      <w:r>
        <w:rPr>
          <w:b/>
          <w:bCs/>
        </w:rPr>
        <w:t xml:space="preserve">Neurologiques</w:t>
      </w:r>
      <w:r>
        <w:t xml:space="preserve"> </w:t>
      </w:r>
      <w:r>
        <w:t xml:space="preserve">: céphalées, vertiges (surtout en début de traitement — dose-dépendants).</w:t>
      </w:r>
      <w:r>
        <w:t xml:space="preserve"> </w:t>
      </w:r>
      <w:r>
        <w:t xml:space="preserve">-</w:t>
      </w:r>
      <w:r>
        <w:t xml:space="preserve"> </w:t>
      </w:r>
      <w:r>
        <w:rPr>
          <w:b/>
          <w:bCs/>
        </w:rPr>
        <w:t xml:space="preserve">Sperme</w:t>
      </w:r>
      <w:r>
        <w:t xml:space="preserve"> </w:t>
      </w:r>
      <w:r>
        <w:t xml:space="preserve">:</w:t>
      </w:r>
      <w:r>
        <w:t xml:space="preserve"> </w:t>
      </w:r>
      <w:r>
        <w:rPr>
          <w:b/>
          <w:bCs/>
        </w:rPr>
        <w:t xml:space="preserve">oligospermie réversible, diminution de la mobilité spermatique</w:t>
      </w:r>
      <w:r>
        <w:t xml:space="preserve"> </w:t>
      </w:r>
      <w:r>
        <w:t xml:space="preserve">(effet spécifique de la sulfasalazine sur l’épididyme) — à signaler chez l’homme jeune envisageant une paternité (alternative : mésalazine).</w:t>
      </w:r>
      <w:r>
        <w:t xml:space="preserve"> </w:t>
      </w:r>
      <w:r>
        <w:t xml:space="preserve">-</w:t>
      </w:r>
      <w:r>
        <w:t xml:space="preserve"> </w:t>
      </w:r>
      <w:r>
        <w:rPr>
          <w:b/>
          <w:bCs/>
        </w:rPr>
        <w:t xml:space="preserve">Systemiques</w:t>
      </w:r>
      <w:r>
        <w:t xml:space="preserve"> </w:t>
      </w:r>
      <w:r>
        <w:t xml:space="preserve">: syndrome lupique (rare).</w:t>
      </w:r>
    </w:p>
    <w:p>
      <w:pPr>
        <w:pStyle w:val="BodyText"/>
      </w:pPr>
      <w:r>
        <w:rPr>
          <w:b/>
          <w:bCs/>
        </w:rPr>
        <w:t xml:space="preserve">Prévention et Gestion des Effets Indésirables :</w:t>
      </w:r>
      <w:r>
        <w:t xml:space="preserve"> </w:t>
      </w:r>
      <w:r>
        <w:t xml:space="preserve">- Mesures Préventives :</w:t>
      </w:r>
      <w:r>
        <w:t xml:space="preserve"> </w:t>
      </w:r>
      <w:r>
        <w:t xml:space="preserve">-</w:t>
      </w:r>
      <w:r>
        <w:t xml:space="preserve"> </w:t>
      </w:r>
      <w:r>
        <w:rPr>
          <w:b/>
          <w:bCs/>
        </w:rPr>
        <w:t xml:space="preserve">Introduction progressive</w:t>
      </w:r>
      <w:r>
        <w:t xml:space="preserve"> </w:t>
      </w:r>
      <w:r>
        <w:t xml:space="preserve">: J1-J7 : 500 mg × 1/j ; J8-J14 : 500 mg × 2/j ; J15-J21 : 500 mg × 3/j ; J22+ : 1 g × 2-3/j (dose cible 2-3 g/j).</w:t>
      </w:r>
      <w:r>
        <w:t xml:space="preserve"> </w:t>
      </w:r>
      <w:r>
        <w:t xml:space="preserve">- Prise au cours des repas, fractionnée, hydratation abondante.</w:t>
      </w:r>
      <w:r>
        <w:t xml:space="preserve"> </w:t>
      </w:r>
      <w:r>
        <w:t xml:space="preserve">-</w:t>
      </w:r>
      <w:r>
        <w:t xml:space="preserve"> </w:t>
      </w:r>
      <w:r>
        <w:rPr>
          <w:b/>
          <w:bCs/>
        </w:rPr>
        <w:t xml:space="preserve">Supplémentation en acide folique (5 mg/j)</w:t>
      </w:r>
      <w:r>
        <w:t xml:space="preserve"> </w:t>
      </w:r>
      <w:r>
        <w:t xml:space="preserve">si traitement prolongé (effet anti-folique).</w:t>
      </w:r>
      <w:r>
        <w:t xml:space="preserve"> </w:t>
      </w:r>
      <w:r>
        <w:t xml:space="preserve">- Surveillance</w:t>
      </w:r>
      <w:r>
        <w:t xml:space="preserve"> </w:t>
      </w:r>
      <w:r>
        <w:rPr>
          <w:b/>
          <w:bCs/>
        </w:rPr>
        <w:t xml:space="preserve">NFS-plaquettes, transaminases, créatinine, BU</w:t>
      </w:r>
      <w:r>
        <w:t xml:space="preserve"> </w:t>
      </w:r>
      <w:r>
        <w:t xml:space="preserve">: à J0, M1, M3 puis tous les 6 mois.</w:t>
      </w:r>
      <w:r>
        <w:t xml:space="preserve"> </w:t>
      </w:r>
      <w:r>
        <w:t xml:space="preserve">- Information patient : couleur jaune des urines et de la peau est normale (sulfapyridine métabolisée).</w:t>
      </w:r>
      <w:r>
        <w:t xml:space="preserve"> </w:t>
      </w:r>
      <w:r>
        <w:t xml:space="preserve">- Photoprotection stricte.</w:t>
      </w:r>
      <w:r>
        <w:t xml:space="preserve"> </w:t>
      </w:r>
      <w:r>
        <w:t xml:space="preserve">- Chez l’homme jeune : information sur la diminution réversible de la fertilité masculine ; envisager mésalazine si projet parental.</w:t>
      </w:r>
      <w:r>
        <w:t xml:space="preserve"> </w:t>
      </w:r>
      <w:r>
        <w:t xml:space="preserve">- Conduite à Tenir :</w:t>
      </w:r>
      <w:r>
        <w:t xml:space="preserve"> </w:t>
      </w:r>
      <w:r>
        <w:t xml:space="preserve">- Arrêt en cas de rash fébrile, ulcérations muqueuses, dyspnée, fièvre inexpliquée.</w:t>
      </w:r>
      <w:r>
        <w:t xml:space="preserve"> </w:t>
      </w:r>
      <w:r>
        <w:t xml:space="preserve">- Leucopénie &lt; 3000/mm³ ou neutropénie &lt; 1500/mm³ : arrêt temporaire, contrôle à 1 semaine.</w:t>
      </w:r>
      <w:r>
        <w:t xml:space="preserve"> </w:t>
      </w:r>
      <w:r>
        <w:t xml:space="preserve">- Hémolyse (G6PD) : arrêt immédiat, transfusion si besoin.</w:t>
      </w:r>
    </w:p>
    <w:p>
      <w:pPr>
        <w:pStyle w:val="BodyText"/>
      </w:pPr>
      <w:r>
        <w:rPr>
          <w:b/>
          <w:bCs/>
        </w:rPr>
        <w:t xml:space="preserve">Interactions Importantes :</w:t>
      </w:r>
      <w:r>
        <w:t xml:space="preserve"> </w:t>
      </w:r>
      <w:r>
        <w:t xml:space="preserve">-</w:t>
      </w:r>
      <w:r>
        <w:t xml:space="preserve"> </w:t>
      </w:r>
      <w:r>
        <w:rPr>
          <w:b/>
          <w:bCs/>
        </w:rPr>
        <w:t xml:space="preserve">Sulfasalazine + AVK</w:t>
      </w:r>
      <w:r>
        <w:t xml:space="preserve"> </w:t>
      </w:r>
      <w:r>
        <w:t xml:space="preserve">: potentialisation (déplacement protéique de la sulfapyridine).</w:t>
      </w:r>
      <w:r>
        <w:t xml:space="preserve"> </w:t>
      </w:r>
      <w:r>
        <w:t xml:space="preserve">-</w:t>
      </w:r>
      <w:r>
        <w:t xml:space="preserve"> </w:t>
      </w:r>
      <w:r>
        <w:rPr>
          <w:b/>
          <w:bCs/>
        </w:rPr>
        <w:t xml:space="preserve">Sulfasalazine + digoxine</w:t>
      </w:r>
      <w:r>
        <w:t xml:space="preserve"> </w:t>
      </w:r>
      <w:r>
        <w:t xml:space="preserve">: diminution de l’absorption de la digoxine (modification pH intestinal).</w:t>
      </w:r>
      <w:r>
        <w:t xml:space="preserve"> </w:t>
      </w:r>
      <w:r>
        <w:t xml:space="preserve">-</w:t>
      </w:r>
      <w:r>
        <w:t xml:space="preserve"> </w:t>
      </w:r>
      <w:r>
        <w:rPr>
          <w:b/>
          <w:bCs/>
        </w:rPr>
        <w:t xml:space="preserve">Sulfasalazine + folates</w:t>
      </w:r>
      <w:r>
        <w:t xml:space="preserve"> </w:t>
      </w:r>
      <w:r>
        <w:t xml:space="preserve">: diminution de l’absorption des folates (action anti-folique additive) → supplémentation.</w:t>
      </w:r>
      <w:r>
        <w:t xml:space="preserve"> </w:t>
      </w:r>
      <w:r>
        <w:t xml:space="preserve">-</w:t>
      </w:r>
      <w:r>
        <w:t xml:space="preserve"> </w:t>
      </w:r>
      <w:r>
        <w:rPr>
          <w:b/>
          <w:bCs/>
        </w:rPr>
        <w:t xml:space="preserve">Sulfasalazine + fer oral</w:t>
      </w:r>
      <w:r>
        <w:t xml:space="preserve"> </w:t>
      </w:r>
      <w:r>
        <w:t xml:space="preserve">: diminution de l’absorption du fer (chelation).</w:t>
      </w:r>
      <w:r>
        <w:t xml:space="preserve"> </w:t>
      </w:r>
      <w:r>
        <w:t xml:space="preserve">-</w:t>
      </w:r>
      <w:r>
        <w:t xml:space="preserve"> </w:t>
      </w:r>
      <w:r>
        <w:rPr>
          <w:b/>
          <w:bCs/>
        </w:rPr>
        <w:t xml:space="preserve">Sulfasalazine + antibiotiques à large spectre</w:t>
      </w:r>
      <w:r>
        <w:t xml:space="preserve"> </w:t>
      </w:r>
      <w:r>
        <w:t xml:space="preserve">: diminution de l’efficacité de la sulfasalazine par inhibition de la flore colique responsable du clivage azoïque.</w:t>
      </w:r>
      <w:r>
        <w:t xml:space="preserve"> </w:t>
      </w:r>
      <w:r>
        <w:t xml:space="preserve">-</w:t>
      </w:r>
      <w:r>
        <w:t xml:space="preserve"> </w:t>
      </w:r>
      <w:r>
        <w:rPr>
          <w:b/>
          <w:bCs/>
        </w:rPr>
        <w:t xml:space="preserve">Sulfasalazine + méthotrexate</w:t>
      </w:r>
      <w:r>
        <w:t xml:space="preserve"> </w:t>
      </w:r>
      <w:r>
        <w:t xml:space="preserve">: potentialisation de la toxicité hématologique et hépatique (rhmatologie).</w:t>
      </w:r>
      <w:r>
        <w:t xml:space="preserve"> </w:t>
      </w:r>
      <w:r>
        <w:t xml:space="preserve">-</w:t>
      </w:r>
      <w:r>
        <w:t xml:space="preserve"> </w:t>
      </w:r>
      <w:r>
        <w:rPr>
          <w:b/>
          <w:bCs/>
        </w:rPr>
        <w:t xml:space="preserve">Sulfasalazine + AINS</w:t>
      </w:r>
      <w:r>
        <w:t xml:space="preserve"> </w:t>
      </w:r>
      <w:r>
        <w:t xml:space="preserve">: risque d’effets additifs rénaux et digestifs.</w:t>
      </w:r>
    </w:p>
    <w:p>
      <w:pPr>
        <w:pStyle w:val="BodyText"/>
      </w:pPr>
      <w:r>
        <w:rPr>
          <w:b/>
          <w:bCs/>
        </w:rPr>
        <w:t xml:space="preserve">Grossesse et Allaitement :</w:t>
      </w:r>
      <w:r>
        <w:t xml:space="preserve"> </w:t>
      </w:r>
      <w:r>
        <w:t xml:space="preserve">- Grossesse : compatible à doses ≤ 2 g/j (CRAT favorable) — la sulfasalazine n’augmente pas le risque malformatif. À doses &gt; 2 g/j, éviter au 3e trimestre (kernictère théorique). Supplémentation en acide folique (5 mg/j) recommandée en préconceptionnel et pendant la grossesse.</w:t>
      </w:r>
      <w:r>
        <w:t xml:space="preserve"> </w:t>
      </w:r>
      <w:r>
        <w:t xml:space="preserve">- Allaitement : compatible chez enfant &gt; 1 mois, né à terme, sans déficit G6PD (passage faible mais observable de la sulfapyridine dans le lait — surveillance pour rash/diarrhée chez le nourrisson).</w:t>
      </w:r>
      <w:r>
        <w:t xml:space="preserve"> </w:t>
      </w:r>
      <w:r>
        <w:t xml:space="preserve">- Précision : chez l’homme, la sulfasalazine n’a pas d’effet tératogène mais altère la spermatogenèse — délai de 3 mois pour récupération spermatique après arrêt.</w:t>
      </w:r>
    </w:p>
    <w:p>
      <w:pPr>
        <w:pStyle w:val="BodyText"/>
      </w:pPr>
      <w:r>
        <w:rPr>
          <w:b/>
          <w:bCs/>
        </w:rPr>
        <w:t xml:space="preserve">Posologie et Mode d’administration (Standard) :</w:t>
      </w:r>
      <w:r>
        <w:t xml:space="preserve"> </w:t>
      </w:r>
      <w:r>
        <w:t xml:space="preserve">- Adulte :</w:t>
      </w:r>
      <w:r>
        <w:t xml:space="preserve"> </w:t>
      </w:r>
      <w:r>
        <w:t xml:space="preserve">-</w:t>
      </w:r>
      <w:r>
        <w:t xml:space="preserve"> </w:t>
      </w:r>
      <w:r>
        <w:rPr>
          <w:b/>
          <w:bCs/>
        </w:rPr>
        <w:t xml:space="preserve">RCH poussée</w:t>
      </w:r>
      <w:r>
        <w:t xml:space="preserve"> </w:t>
      </w:r>
      <w:r>
        <w:t xml:space="preserve">: 1-2 g × 4/j PO (4-8 g/j), pendant 4-8 semaines selon réponse.</w:t>
      </w:r>
      <w:r>
        <w:t xml:space="preserve"> </w:t>
      </w:r>
      <w:r>
        <w:t xml:space="preserve">-</w:t>
      </w:r>
      <w:r>
        <w:t xml:space="preserve"> </w:t>
      </w:r>
      <w:r>
        <w:rPr>
          <w:b/>
          <w:bCs/>
        </w:rPr>
        <w:t xml:space="preserve">RCH entretien</w:t>
      </w:r>
      <w:r>
        <w:t xml:space="preserve"> </w:t>
      </w:r>
      <w:r>
        <w:t xml:space="preserve">: 500 mg-1 g × 2-3/j (2-3 g/j) à long terme.</w:t>
      </w:r>
      <w:r>
        <w:t xml:space="preserve"> </w:t>
      </w:r>
      <w:r>
        <w:t xml:space="preserve">-</w:t>
      </w:r>
      <w:r>
        <w:t xml:space="preserve"> </w:t>
      </w:r>
      <w:r>
        <w:rPr>
          <w:b/>
          <w:bCs/>
        </w:rPr>
        <w:t xml:space="preserve">Polyarthrite rhumatoïde</w:t>
      </w:r>
      <w:r>
        <w:t xml:space="preserve"> </w:t>
      </w:r>
      <w:r>
        <w:t xml:space="preserve">: introduction progressive jusqu’à 1 g × 2-3/j (2-3 g/j).</w:t>
      </w:r>
      <w:r>
        <w:t xml:space="preserve"> </w:t>
      </w:r>
      <w:r>
        <w:t xml:space="preserve">- Enfant &gt; 2 ans (RCH) : 40-60 mg/kg/j en 2-4 prises (max 2 g/j).</w:t>
      </w:r>
      <w:r>
        <w:t xml:space="preserve"> </w:t>
      </w:r>
      <w:r>
        <w:t xml:space="preserve">- Mode d’administration : comprimés à avaler entiers au cours des repas, ne pas écraser (forme EN entérique) ; hydratation abondante ; fractionner les prises pour réduire EI digestifs.</w:t>
      </w:r>
    </w:p>
    <w:p>
      <w:pPr>
        <w:pStyle w:val="BodyText"/>
      </w:pPr>
      <w:r>
        <w:rPr>
          <w:b/>
          <w:bCs/>
        </w:rPr>
        <w:t xml:space="preserve">Arbitrage et Bénéfices des Formes Galéniques :</w:t>
      </w:r>
      <w:r>
        <w:t xml:space="preserve"> </w:t>
      </w:r>
      <w:r>
        <w:t xml:space="preserve">- Forme entérique (EN) : libération différée dans le côlon (évite la dégradation gastrique et améliore la tolérance digestive).</w:t>
      </w:r>
      <w:r>
        <w:t xml:space="preserve"> </w:t>
      </w:r>
      <w:r>
        <w:t xml:space="preserve">- Alternative : mésalazine (5-ASA) pure — PENTASA, ETHICOL, MESACOL — disponible en Algérie, préférée aujourd’hui pour la RCH en raison d’une meilleure tolérance (absence de la fraction sulfapyridine responsable des EI digestifs, hématologiques et de l’oligospermie).</w:t>
      </w:r>
      <w:r>
        <w:t xml:space="preserve"> </w:t>
      </w:r>
      <w:r>
        <w:t xml:space="preserve">- Formes rectales (lavement, suppositoire) de mésalazine pour atteinte rectosigmoïdienne.</w:t>
      </w:r>
      <w:r>
        <w:t xml:space="preserve"> </w:t>
      </w:r>
      <w:r>
        <w:t xml:space="preserve">- En rhumatologie : la sulfasalazine reste un DMARD utile, alternative ou complément au méthotrexate.</w:t>
      </w:r>
    </w:p>
    <w:p>
      <w:pPr>
        <w:pStyle w:val="BodyText"/>
      </w:pPr>
      <w:r>
        <w:rPr>
          <w:b/>
          <w:bCs/>
        </w:rPr>
        <w:t xml:space="preserve">Instructions et Conseils au Patient :</w:t>
      </w:r>
      <w:r>
        <w:t xml:space="preserve"> </w:t>
      </w:r>
      <w:r>
        <w:t xml:space="preserve">- Communication au comptoir :</w:t>
      </w:r>
      <w:r>
        <w:t xml:space="preserve"> </w:t>
      </w:r>
      <w:r>
        <w:t xml:space="preserve">- « Prenez les comprimés au cours des repas, avec un grand verre d’eau, sans les écraser ni les croquer ».</w:t>
      </w:r>
      <w:r>
        <w:t xml:space="preserve"> </w:t>
      </w:r>
      <w:r>
        <w:t xml:space="preserve">- « Vos urines et votre peau peuvent devenir jaunes : c’est normal, ne vous inquiétez pas ».</w:t>
      </w:r>
      <w:r>
        <w:t xml:space="preserve"> </w:t>
      </w:r>
      <w:r>
        <w:t xml:space="preserve">- « Si vous avez un projet de paternité, parlez-en à votre médecin — ce traitement peut diminuer temporairement la fertilité masculine ».</w:t>
      </w:r>
      <w:r>
        <w:t xml:space="preserve"> </w:t>
      </w:r>
      <w:r>
        <w:t xml:space="preserve">- « Augmentez progressivement la dose selon l’ordonnance, ne doublez pas les prises en cas d’oubli ».</w:t>
      </w:r>
      <w:r>
        <w:t xml:space="preserve"> </w:t>
      </w:r>
      <w:r>
        <w:t xml:space="preserve">- « Prenez un supplément d’acide folique prescrit par votre médecin ».</w:t>
      </w:r>
      <w:r>
        <w:t xml:space="preserve"> </w:t>
      </w:r>
      <w:r>
        <w:t xml:space="preserve">- Mode d’utilisation pratique : hydratation ≥ 1,5 L/j, fractionnement des prises, observance stricte (traitement d’entretien au long cours), surveillance biologique régulière.</w:t>
      </w:r>
    </w:p>
    <w:p>
      <w:pPr>
        <w:pStyle w:val="BodyText"/>
      </w:pPr>
      <w:r>
        <w:rPr>
          <w:b/>
          <w:bCs/>
        </w:rPr>
        <w:t xml:space="preserve">Notes, Règles d’Or &amp; Pièges au Comptoir :</w:t>
      </w:r>
      <w:r>
        <w:t xml:space="preserve"> </w:t>
      </w:r>
      <w:r>
        <w:t xml:space="preserve">-</w:t>
      </w:r>
      <w:r>
        <w:t xml:space="preserve"> </w:t>
      </w:r>
      <w:r>
        <w:rPr>
          <w:b/>
          <w:bCs/>
        </w:rPr>
        <w:t xml:space="preserve">Piège classique — Coloration jaune</w:t>
      </w:r>
      <w:r>
        <w:t xml:space="preserve"> </w:t>
      </w:r>
      <w:r>
        <w:t xml:space="preserve">: inquiétude fréquente du patient à tort — rassurer.</w:t>
      </w:r>
      <w:r>
        <w:t xml:space="preserve"> </w:t>
      </w:r>
      <w:r>
        <w:t xml:space="preserve">-</w:t>
      </w:r>
      <w:r>
        <w:t xml:space="preserve"> </w:t>
      </w:r>
      <w:r>
        <w:rPr>
          <w:b/>
          <w:bCs/>
        </w:rPr>
        <w:t xml:space="preserve">Piège classique — Oligospermie</w:t>
      </w:r>
      <w:r>
        <w:t xml:space="preserve"> </w:t>
      </w:r>
      <w:r>
        <w:t xml:space="preserve">: à évoquer systématiquement chez l’homme jeune.</w:t>
      </w:r>
      <w:r>
        <w:t xml:space="preserve"> </w:t>
      </w:r>
      <w:r>
        <w:t xml:space="preserve">-</w:t>
      </w:r>
      <w:r>
        <w:t xml:space="preserve"> </w:t>
      </w:r>
      <w:r>
        <w:rPr>
          <w:b/>
          <w:bCs/>
        </w:rPr>
        <w:t xml:space="preserve">Piège classique — Déficit G6PD</w:t>
      </w:r>
      <w:r>
        <w:t xml:space="preserve"> </w:t>
      </w:r>
      <w:r>
        <w:t xml:space="preserve">: dépistage avant prescription si patient à risque (Méditerranée, Afrique).</w:t>
      </w:r>
      <w:r>
        <w:t xml:space="preserve"> </w:t>
      </w:r>
      <w:r>
        <w:t xml:space="preserve">-</w:t>
      </w:r>
      <w:r>
        <w:t xml:space="preserve"> </w:t>
      </w:r>
      <w:r>
        <w:rPr>
          <w:b/>
          <w:bCs/>
        </w:rPr>
        <w:t xml:space="preserve">Règle de prise</w:t>
      </w:r>
      <w:r>
        <w:t xml:space="preserve"> </w:t>
      </w:r>
      <w:r>
        <w:t xml:space="preserve">: au cours des repas, fractionnée, hydratation, forme entérique non écrasée.</w:t>
      </w:r>
      <w:r>
        <w:t xml:space="preserve"> </w:t>
      </w:r>
      <w:r>
        <w:t xml:space="preserve">-</w:t>
      </w:r>
      <w:r>
        <w:t xml:space="preserve"> </w:t>
      </w:r>
      <w:r>
        <w:rPr>
          <w:b/>
          <w:bCs/>
        </w:rPr>
        <w:t xml:space="preserve">Préparation et Conservation</w:t>
      </w:r>
      <w:r>
        <w:t xml:space="preserve"> </w:t>
      </w:r>
      <w:r>
        <w:t xml:space="preserve">: cp à conserver à T° ambiante (&lt; 25 °C), à l’abri de l’humidité.</w:t>
      </w:r>
      <w:r>
        <w:t xml:space="preserve"> </w:t>
      </w:r>
      <w:r>
        <w:t xml:space="preserve">-</w:t>
      </w:r>
      <w:r>
        <w:t xml:space="preserve"> </w:t>
      </w:r>
      <w:r>
        <w:rPr>
          <w:b/>
          <w:bCs/>
        </w:rPr>
        <w:t xml:space="preserve">Piège du surdosage / Substitution</w:t>
      </w:r>
      <w:r>
        <w:t xml:space="preserve"> </w:t>
      </w:r>
      <w:r>
        <w:t xml:space="preserve">:</w:t>
      </w:r>
      <w:r>
        <w:t xml:space="preserve"> </w:t>
      </w:r>
      <w:r>
        <w:t xml:space="preserve">- Ne pas substituer sulfasalazine par mésalazine sans avis (différence d’efficacité entre RCH et PR).</w:t>
      </w:r>
      <w:r>
        <w:t xml:space="preserve"> </w:t>
      </w:r>
      <w:r>
        <w:t xml:space="preserve">- Statut « Non Renouvelable » : prévenir patient de disponibilité alternative.</w:t>
      </w:r>
    </w:p>
    <w:p>
      <w:r>
        <w:pict>
          <v:rect style="width:0;height:1.5pt" o:hralign="center" o:hrstd="t" o:hr="t"/>
        </w:pict>
      </w:r>
    </w:p>
    <w:bookmarkEnd w:id="174"/>
    <w:bookmarkEnd w:id="175"/>
    <w:bookmarkStart w:id="181" w:name="sous-classe-nitro-imidazolés"/>
    <w:p>
      <w:pPr>
        <w:pStyle w:val="Heading2"/>
      </w:pPr>
      <w:r>
        <w:t xml:space="preserve">6.2. Sous-classe : Nitro-imidazolés</w:t>
      </w:r>
    </w:p>
    <w:bookmarkStart w:id="176" w:name="introduction-à-la-sous-classe-1"/>
    <w:p>
      <w:pPr>
        <w:pStyle w:val="Heading3"/>
      </w:pPr>
      <w:r>
        <w:t xml:space="preserve">6.2.1. Introduction à la sous-classe</w:t>
      </w:r>
    </w:p>
    <w:p>
      <w:pPr>
        <w:pStyle w:val="FirstParagraph"/>
      </w:pPr>
      <w:r>
        <w:t xml:space="preserve">Les nitro-imidazolés sont des dérivés de l’imidazole porteurs d’un</w:t>
      </w:r>
      <w:r>
        <w:t xml:space="preserve"> </w:t>
      </w:r>
      <w:r>
        <w:rPr>
          <w:b/>
          <w:bCs/>
        </w:rPr>
        <w:t xml:space="preserve">groupement nitro (-NO₂)</w:t>
      </w:r>
      <w:r>
        <w:t xml:space="preserve"> </w:t>
      </w:r>
      <w:r>
        <w:t xml:space="preserve">en position 5 du noyau imidazolé, qui constitue le pharmacophore essentiel de leur activité antimicrobienne. Le chef de file, le</w:t>
      </w:r>
      <w:r>
        <w:t xml:space="preserve"> </w:t>
      </w:r>
      <w:r>
        <w:rPr>
          <w:b/>
          <w:bCs/>
        </w:rPr>
        <w:t xml:space="preserve">métronidazole</w:t>
      </w:r>
      <w:r>
        <w:t xml:space="preserve"> </w:t>
      </w:r>
      <w:r>
        <w:t xml:space="preserve">(découvert en 1956 par Rhône-Poulenc sous le nom de Flagyl®), a été initialement développé comme antiparasitaire contre</w:t>
      </w:r>
      <w:r>
        <w:t xml:space="preserve"> </w:t>
      </w:r>
      <w:r>
        <w:rPr>
          <w:i/>
          <w:iCs/>
        </w:rPr>
        <w:t xml:space="preserve">Trichomonas vaginalis</w:t>
      </w:r>
      <w:r>
        <w:t xml:space="preserve">, avant que son activité antibactérienne contre les anaérobies stricts ne soit reconnue (1962). Cette double activité — antiparasitaire et anti-anaérobie — fait des nitro-imidazolés une classe pivot de l’arsenal anti-infectieux algérien, particulièrement dans les infections gynécologiques, digestives (amibiase, giardiose), dentaires, intra-abdominales et cérébrales (abcès à anaérobies).</w:t>
      </w:r>
    </w:p>
    <w:p>
      <w:pPr>
        <w:pStyle w:val="BodyText"/>
      </w:pPr>
      <w:r>
        <w:t xml:space="preserve">Le mécanisme d’action repose sur une</w:t>
      </w:r>
      <w:r>
        <w:t xml:space="preserve"> </w:t>
      </w:r>
      <w:r>
        <w:rPr>
          <w:b/>
          <w:bCs/>
        </w:rPr>
        <w:t xml:space="preserve">activation biotransformative par réduction</w:t>
      </w:r>
      <w:r>
        <w:t xml:space="preserve"> </w:t>
      </w:r>
      <w:r>
        <w:t xml:space="preserve">du groupement nitro. Les nitro-imidazolés pénètrent dans la cellule cible (bactérie anaérobie ou protozoaire) par diffusion passive. Dans le cytoplasme, le groupement -NO₂ est</w:t>
      </w:r>
      <w:r>
        <w:t xml:space="preserve"> </w:t>
      </w:r>
      <w:r>
        <w:rPr>
          <w:b/>
          <w:bCs/>
        </w:rPr>
        <w:t xml:space="preserve">réduit en radical nitro anion (-NO₂•⁻)</w:t>
      </w:r>
      <w:r>
        <w:t xml:space="preserve"> </w:t>
      </w:r>
      <w:r>
        <w:t xml:space="preserve">par la</w:t>
      </w:r>
      <w:r>
        <w:t xml:space="preserve"> </w:t>
      </w:r>
      <w:r>
        <w:rPr>
          <w:b/>
          <w:bCs/>
        </w:rPr>
        <w:t xml:space="preserve">ferredoxine</w:t>
      </w:r>
      <w:r>
        <w:t xml:space="preserve"> </w:t>
      </w:r>
      <w:r>
        <w:t xml:space="preserve">(ou flavodoxine), une protéine fer-soufre qui transporte les électrons issus du métabolisme anaérobie (pyruvate-ferredoxine oxydoréductase, PFOR). Cette réduction est</w:t>
      </w:r>
      <w:r>
        <w:t xml:space="preserve"> </w:t>
      </w:r>
      <w:r>
        <w:rPr>
          <w:b/>
          <w:bCs/>
        </w:rPr>
        <w:t xml:space="preserve">impossible en aérobie</w:t>
      </w:r>
      <w:r>
        <w:t xml:space="preserve"> </w:t>
      </w:r>
      <w:r>
        <w:t xml:space="preserve">(le potentiel d’oxydoréduction du couple NAD+/NADH,Eh ≈ -320 mV, est trop élevé en présence d’O₂) — ce qui explique la</w:t>
      </w:r>
      <w:r>
        <w:t xml:space="preserve"> </w:t>
      </w:r>
      <w:r>
        <w:rPr>
          <w:b/>
          <w:bCs/>
        </w:rPr>
        <w:t xml:space="preserve">sélectivité d’action pour les anaérobies et certains protozoaires</w:t>
      </w:r>
      <w:r>
        <w:t xml:space="preserve"> </w:t>
      </w:r>
      <w:r>
        <w:t xml:space="preserve">(qui possèdent des voies métaboliques à faible potentiel redox).</w:t>
      </w:r>
    </w:p>
    <w:p>
      <w:pPr>
        <w:pStyle w:val="BodyText"/>
      </w:pPr>
      <w:r>
        <w:t xml:space="preserve">Le radical nitro réduit est</w:t>
      </w:r>
      <w:r>
        <w:t xml:space="preserve"> </w:t>
      </w:r>
      <w:r>
        <w:rPr>
          <w:b/>
          <w:bCs/>
        </w:rPr>
        <w:t xml:space="preserve">instable</w:t>
      </w:r>
      <w:r>
        <w:t xml:space="preserve"> </w:t>
      </w:r>
      <w:r>
        <w:t xml:space="preserve">et se décompose en métabolites cytotoxiques interagissant avec :</w:t>
      </w:r>
      <w:r>
        <w:t xml:space="preserve"> </w:t>
      </w:r>
      <w:r>
        <w:t xml:space="preserve">- L’</w:t>
      </w:r>
      <w:r>
        <w:rPr>
          <w:b/>
          <w:bCs/>
        </w:rPr>
        <w:t xml:space="preserve">ADN</w:t>
      </w:r>
      <w:r>
        <w:t xml:space="preserve"> </w:t>
      </w:r>
      <w:r>
        <w:t xml:space="preserve">: cassures de brins, altération de la structure hélicoïdale, inhibition de la synthèse d’ADN et de la réparation ;</w:t>
      </w:r>
      <w:r>
        <w:t xml:space="preserve"> </w:t>
      </w:r>
      <w:r>
        <w:t xml:space="preserve">- Les</w:t>
      </w:r>
      <w:r>
        <w:t xml:space="preserve"> </w:t>
      </w:r>
      <w:r>
        <w:rPr>
          <w:b/>
          <w:bCs/>
        </w:rPr>
        <w:t xml:space="preserve">protéines</w:t>
      </w:r>
      <w:r>
        <w:t xml:space="preserve"> </w:t>
      </w:r>
      <w:r>
        <w:t xml:space="preserve">: liaison covalente aux groupements thiols et à certains acides aminés ;</w:t>
      </w:r>
      <w:r>
        <w:t xml:space="preserve"> </w:t>
      </w:r>
      <w:r>
        <w:t xml:space="preserve">- Les</w:t>
      </w:r>
      <w:r>
        <w:t xml:space="preserve"> </w:t>
      </w:r>
      <w:r>
        <w:rPr>
          <w:b/>
          <w:bCs/>
        </w:rPr>
        <w:t xml:space="preserve">acides nucléiques</w:t>
      </w:r>
      <w:r>
        <w:t xml:space="preserve"> </w:t>
      </w:r>
      <w:r>
        <w:t xml:space="preserve">: oxydation des bases.</w:t>
      </w:r>
    </w:p>
    <w:p>
      <w:pPr>
        <w:pStyle w:val="BodyText"/>
      </w:pPr>
      <w:r>
        <w:t xml:space="preserve">Cette action est</w:t>
      </w:r>
      <w:r>
        <w:t xml:space="preserve"> </w:t>
      </w:r>
      <w:r>
        <w:rPr>
          <w:b/>
          <w:bCs/>
        </w:rPr>
        <w:t xml:space="preserve">bactéricide</w:t>
      </w:r>
      <w:r>
        <w:t xml:space="preserve"> </w:t>
      </w:r>
      <w:r>
        <w:t xml:space="preserve">et</w:t>
      </w:r>
      <w:r>
        <w:t xml:space="preserve"> </w:t>
      </w:r>
      <w:r>
        <w:rPr>
          <w:b/>
          <w:bCs/>
        </w:rPr>
        <w:t xml:space="preserve">protozoocide</w:t>
      </w:r>
      <w:r>
        <w:t xml:space="preserve">. La résistance acquise est rare mais émergente : mutations des gènes</w:t>
      </w:r>
      <w:r>
        <w:t xml:space="preserve"> </w:t>
      </w:r>
      <w:r>
        <w:rPr>
          <w:i/>
          <w:iCs/>
        </w:rPr>
        <w:t xml:space="preserve">nim</w:t>
      </w:r>
      <w:r>
        <w:t xml:space="preserve"> </w:t>
      </w:r>
      <w:r>
        <w:t xml:space="preserve">(nitroimidazole resistance) chez</w:t>
      </w:r>
      <w:r>
        <w:t xml:space="preserve"> </w:t>
      </w:r>
      <w:r>
        <w:rPr>
          <w:i/>
          <w:iCs/>
        </w:rPr>
        <w:t xml:space="preserve">Bacteroides</w:t>
      </w:r>
      <w:r>
        <w:t xml:space="preserve">, diminution de l’expression de la PFOR ou de la ferredoxine, efflux.</w:t>
      </w:r>
    </w:p>
    <w:p>
      <w:pPr>
        <w:pStyle w:val="BodyText"/>
      </w:pPr>
      <w:r>
        <w:rPr>
          <w:b/>
          <w:bCs/>
        </w:rPr>
        <w:t xml:space="preserve">Particularités PK communes :</w:t>
      </w:r>
      <w:r>
        <w:t xml:space="preserve"> </w:t>
      </w:r>
      <w:r>
        <w:t xml:space="preserve">- Excellente biodisponibilité orale (&gt; 90 %) ;</w:t>
      </w:r>
      <w:r>
        <w:t xml:space="preserve"> </w:t>
      </w:r>
      <w:r>
        <w:t xml:space="preserve">- Large distribution tissulaire (volume de distribution ≈ 0,7-1 L/kg), passage méningé, pénétration intracellulaire, abcès, os ;</w:t>
      </w:r>
      <w:r>
        <w:t xml:space="preserve"> </w:t>
      </w:r>
      <w:r>
        <w:t xml:space="preserve">- Métabolisme hépatique (CYP3A4 et CYP2C9) ;</w:t>
      </w:r>
      <w:r>
        <w:t xml:space="preserve"> </w:t>
      </w:r>
      <w:r>
        <w:t xml:space="preserve">- Demi-vie plasmatique variable : métronidazole 8 h, tinidazole 12-14 h, ornidazole 12-13 h, sécnidazole 17-29 h (permettant prises moins fréquentes et monodose) ;</w:t>
      </w:r>
      <w:r>
        <w:t xml:space="preserve"> </w:t>
      </w:r>
      <w:r>
        <w:t xml:space="preserve">- Élimination rénale (métabolites + forme inchangée) ;</w:t>
      </w:r>
      <w:r>
        <w:t xml:space="preserve"> </w:t>
      </w:r>
      <w:r>
        <w:t xml:space="preserve">-</w:t>
      </w:r>
      <w:r>
        <w:t xml:space="preserve"> </w:t>
      </w:r>
      <w:r>
        <w:rPr>
          <w:b/>
          <w:bCs/>
        </w:rPr>
        <w:t xml:space="preserve">Passage dans le lait maternel</w:t>
      </w:r>
      <w:r>
        <w:t xml:space="preserve"> </w:t>
      </w:r>
      <w:r>
        <w:t xml:space="preserve">;</w:t>
      </w:r>
      <w:r>
        <w:t xml:space="preserve"> </w:t>
      </w:r>
      <w:r>
        <w:t xml:space="preserve">- Effet</w:t>
      </w:r>
      <w:r>
        <w:t xml:space="preserve"> </w:t>
      </w:r>
      <w:r>
        <w:rPr>
          <w:b/>
          <w:bCs/>
        </w:rPr>
        <w:t xml:space="preserve">Antabuse</w:t>
      </w:r>
      <w:r>
        <w:t xml:space="preserve"> </w:t>
      </w:r>
      <w:r>
        <w:t xml:space="preserve">(intolérance à l’alcool) — coprescription disulfirame-like via inhibition de l’aldéhyde-déshydrogénase.</w:t>
      </w:r>
    </w:p>
    <w:p>
      <w:pPr>
        <w:pStyle w:val="BodyText"/>
      </w:pPr>
      <w:r>
        <w:rPr>
          <w:b/>
          <w:bCs/>
        </w:rPr>
        <w:t xml:space="preserve">Spectre d’action :</w:t>
      </w:r>
      <w:r>
        <w:t xml:space="preserve"> </w:t>
      </w:r>
      <w:r>
        <w:t xml:space="preserve">- Anaérobies stricts :</w:t>
      </w:r>
      <w:r>
        <w:t xml:space="preserve"> </w:t>
      </w:r>
      <w:r>
        <w:rPr>
          <w:i/>
          <w:iCs/>
        </w:rPr>
        <w:t xml:space="preserve">Bacteroides</w:t>
      </w:r>
      <w:r>
        <w:t xml:space="preserve"> </w:t>
      </w:r>
      <w:r>
        <w:t xml:space="preserve">spp. (y compris</w:t>
      </w:r>
      <w:r>
        <w:t xml:space="preserve"> </w:t>
      </w:r>
      <w:r>
        <w:rPr>
          <w:i/>
          <w:iCs/>
        </w:rPr>
        <w:t xml:space="preserve">B. fragilis</w:t>
      </w:r>
      <w:r>
        <w:t xml:space="preserve">),</w:t>
      </w:r>
      <w:r>
        <w:t xml:space="preserve"> </w:t>
      </w:r>
      <w:r>
        <w:rPr>
          <w:i/>
          <w:iCs/>
        </w:rPr>
        <w:t xml:space="preserve">Fusobacterium</w:t>
      </w:r>
      <w:r>
        <w:t xml:space="preserve">,</w:t>
      </w:r>
      <w:r>
        <w:t xml:space="preserve"> </w:t>
      </w:r>
      <w:r>
        <w:rPr>
          <w:i/>
          <w:iCs/>
        </w:rPr>
        <w:t xml:space="preserve">Prevotella</w:t>
      </w:r>
      <w:r>
        <w:t xml:space="preserve">,</w:t>
      </w:r>
      <w:r>
        <w:t xml:space="preserve"> </w:t>
      </w:r>
      <w:r>
        <w:rPr>
          <w:i/>
          <w:iCs/>
        </w:rPr>
        <w:t xml:space="preserve">Clostridium</w:t>
      </w:r>
      <w:r>
        <w:t xml:space="preserve"> </w:t>
      </w:r>
      <w:r>
        <w:t xml:space="preserve">(y compris</w:t>
      </w:r>
      <w:r>
        <w:t xml:space="preserve"> </w:t>
      </w:r>
      <w:r>
        <w:rPr>
          <w:i/>
          <w:iCs/>
        </w:rPr>
        <w:t xml:space="preserve">C. difficile</w:t>
      </w:r>
      <w:r>
        <w:t xml:space="preserve">),</w:t>
      </w:r>
      <w:r>
        <w:t xml:space="preserve"> </w:t>
      </w:r>
      <w:r>
        <w:rPr>
          <w:i/>
          <w:iCs/>
        </w:rPr>
        <w:t xml:space="preserve">Peptostreptococcus</w:t>
      </w:r>
      <w:r>
        <w:t xml:space="preserve">,</w:t>
      </w:r>
      <w:r>
        <w:t xml:space="preserve"> </w:t>
      </w:r>
      <w:r>
        <w:rPr>
          <w:i/>
          <w:iCs/>
        </w:rPr>
        <w:t xml:space="preserve">Peptococcus</w:t>
      </w:r>
      <w:r>
        <w:t xml:space="preserve">.</w:t>
      </w:r>
      <w:r>
        <w:t xml:space="preserve"> </w:t>
      </w:r>
      <w:r>
        <w:t xml:space="preserve">- Protozoaires :</w:t>
      </w:r>
      <w:r>
        <w:t xml:space="preserve"> </w:t>
      </w:r>
      <w:r>
        <w:rPr>
          <w:i/>
          <w:iCs/>
        </w:rPr>
        <w:t xml:space="preserve">Trichomonas vaginalis</w:t>
      </w:r>
      <w:r>
        <w:t xml:space="preserve">,</w:t>
      </w:r>
      <w:r>
        <w:t xml:space="preserve"> </w:t>
      </w:r>
      <w:r>
        <w:rPr>
          <w:i/>
          <w:iCs/>
        </w:rPr>
        <w:t xml:space="preserve">Giardia lamblia</w:t>
      </w:r>
      <w:r>
        <w:t xml:space="preserve">,</w:t>
      </w:r>
      <w:r>
        <w:t xml:space="preserve"> </w:t>
      </w:r>
      <w:r>
        <w:rPr>
          <w:i/>
          <w:iCs/>
        </w:rPr>
        <w:t xml:space="preserve">Entamoeba histolytica</w:t>
      </w:r>
      <w:r>
        <w:t xml:space="preserve">,</w:t>
      </w:r>
      <w:r>
        <w:t xml:space="preserve"> </w:t>
      </w:r>
      <w:r>
        <w:rPr>
          <w:i/>
          <w:iCs/>
        </w:rPr>
        <w:t xml:space="preserve">Balantidium coli</w:t>
      </w:r>
      <w:r>
        <w:t xml:space="preserve">.</w:t>
      </w:r>
      <w:r>
        <w:t xml:space="preserve"> </w:t>
      </w:r>
      <w:r>
        <w:t xml:space="preserve">- Bactéries micro-aérophiles :</w:t>
      </w:r>
      <w:r>
        <w:t xml:space="preserve"> </w:t>
      </w:r>
      <w:r>
        <w:rPr>
          <w:i/>
          <w:iCs/>
        </w:rPr>
        <w:t xml:space="preserve">Helicobacter pylori</w:t>
      </w:r>
      <w:r>
        <w:t xml:space="preserve">,</w:t>
      </w:r>
      <w:r>
        <w:t xml:space="preserve"> </w:t>
      </w:r>
      <w:r>
        <w:rPr>
          <w:i/>
          <w:iCs/>
        </w:rPr>
        <w:t xml:space="preserve">Campylobacter</w:t>
      </w:r>
      <w:r>
        <w:t xml:space="preserve"> </w:t>
      </w:r>
      <w:r>
        <w:t xml:space="preserve">(inconstamment).</w:t>
      </w:r>
      <w:r>
        <w:t xml:space="preserve"> </w:t>
      </w:r>
      <w:r>
        <w:t xml:space="preserve">- Inactifs sur aérobies stricts, virus, champignons.</w:t>
      </w:r>
    </w:p>
    <w:p>
      <w:pPr>
        <w:pStyle w:val="BodyText"/>
      </w:pPr>
      <w:r>
        <w:rPr>
          <w:b/>
          <w:bCs/>
        </w:rPr>
        <w:t xml:space="preserve">Sous-classes représentées en Algérie :</w:t>
      </w:r>
      <w:r>
        <w:t xml:space="preserve"> </w:t>
      </w:r>
      <w:r>
        <w:t xml:space="preserve">1.</w:t>
      </w:r>
      <w:r>
        <w:t xml:space="preserve"> </w:t>
      </w:r>
      <w:r>
        <w:rPr>
          <w:b/>
          <w:bCs/>
        </w:rPr>
        <w:t xml:space="preserve">Métronidazole</w:t>
      </w:r>
      <w:r>
        <w:t xml:space="preserve"> </w:t>
      </w:r>
      <w:r>
        <w:t xml:space="preserve">— Demi-vie courte (8 h), posologie biquotidienne ou triquotidienne, formes multiples (PO, IV, topique, gynécologique).</w:t>
      </w:r>
      <w:r>
        <w:t xml:space="preserve"> </w:t>
      </w:r>
      <w:r>
        <w:t xml:space="preserve">2.</w:t>
      </w:r>
      <w:r>
        <w:t xml:space="preserve"> </w:t>
      </w:r>
      <w:r>
        <w:rPr>
          <w:b/>
          <w:bCs/>
        </w:rPr>
        <w:t xml:space="preserve">Tinidazole</w:t>
      </w:r>
      <w:r>
        <w:t xml:space="preserve"> </w:t>
      </w:r>
      <w:r>
        <w:t xml:space="preserve">— Demi-vie 12-14 h, monodose possible, principalement trichomonase, giardiose, amibiase, infections anaérobies.</w:t>
      </w:r>
      <w:r>
        <w:t xml:space="preserve"> </w:t>
      </w:r>
      <w:r>
        <w:t xml:space="preserve">3.</w:t>
      </w:r>
      <w:r>
        <w:t xml:space="preserve"> </w:t>
      </w:r>
      <w:r>
        <w:rPr>
          <w:b/>
          <w:bCs/>
        </w:rPr>
        <w:t xml:space="preserve">Ornidazole</w:t>
      </w:r>
      <w:r>
        <w:t xml:space="preserve"> </w:t>
      </w:r>
      <w:r>
        <w:t xml:space="preserve">— Demi-vie 12-13 h, profil équivalent, disponible en gynécologique (cp vaginal) et PO.</w:t>
      </w:r>
      <w:r>
        <w:t xml:space="preserve"> </w:t>
      </w:r>
      <w:r>
        <w:t xml:space="preserve">4.</w:t>
      </w:r>
      <w:r>
        <w:t xml:space="preserve"> </w:t>
      </w:r>
      <w:r>
        <w:rPr>
          <w:b/>
          <w:bCs/>
        </w:rPr>
        <w:t xml:space="preserve">Sécnidazole</w:t>
      </w:r>
      <w:r>
        <w:t xml:space="preserve"> </w:t>
      </w:r>
      <w:r>
        <w:t xml:space="preserve">— Demi-vie très longue (17-29 h), monodose unique, indications trichomonase, giardiose, amibiase.</w:t>
      </w:r>
    </w:p>
    <w:p>
      <w:pPr>
        <w:pStyle w:val="BodyText"/>
      </w:pPr>
      <w:r>
        <w:t xml:space="preserve">Les associations locales gynécologiques combinent un nitro-imidazolé (le plus souvent métronidazole) avec un antifongique imidazolé (miconazole) ou un antibiotique + antifongique (néomycine + nystatine) pour le traitement des vaginites mixtes (bactérienne + parasitaire + mycosique).</w:t>
      </w:r>
    </w:p>
    <w:p>
      <w:r>
        <w:pict>
          <v:rect style="width:0;height:1.5pt" o:hralign="center" o:hrstd="t" o:hr="t"/>
        </w:pict>
      </w:r>
    </w:p>
    <w:bookmarkEnd w:id="176"/>
    <w:bookmarkStart w:id="177" w:name="dci-métronidazole-seule"/>
    <w:p>
      <w:pPr>
        <w:pStyle w:val="Heading3"/>
      </w:pPr>
      <w:r>
        <w:t xml:space="preserve">6.2.2. DCI : Métronidazole (Seule)</w:t>
      </w:r>
    </w:p>
    <w:p>
      <w:pPr>
        <w:pStyle w:val="FirstParagraph"/>
      </w:pPr>
      <w:r>
        <w:rPr>
          <w:b/>
          <w:bCs/>
        </w:rPr>
        <w:t xml:space="preserve">Liste des Catégories :</w:t>
      </w:r>
      <w:r>
        <w:t xml:space="preserve"> </w:t>
      </w:r>
      <w:r>
        <w:t xml:space="preserve">Antibiotique ; Antibactérien systémique ; Nitro-imidazolé ; Antiparasitaire ; J01XD01.</w:t>
      </w:r>
    </w:p>
    <w:p>
      <w:pPr>
        <w:pStyle w:val="BodyText"/>
      </w:pPr>
      <w:r>
        <w:t xml:space="preserve">Le métronidazole est l’un des antibiotiques les plus prescrits en Algérie, indiqué dans les infections à anaérobies stricts (intra-abdominales, gynécologiques, ORL/dentaires, abcès cérébral), les parasitoses digestives et urogénitales (amibiase, giardiose, trichomonase), et en association dans l’éradication de</w:t>
      </w:r>
      <w:r>
        <w:t xml:space="preserve"> </w:t>
      </w:r>
      <w:r>
        <w:rPr>
          <w:i/>
          <w:iCs/>
        </w:rPr>
        <w:t xml:space="preserve">Helicobacter pylori</w:t>
      </w:r>
      <w:r>
        <w:t xml:space="preserve">. Sa biodisponibilité orale quasi-totale (≈ 100 %), son excellente diffusion tissulaire (y compris méningée, abcès, os) et son faible coût en font une pierre angulaire de la pharmacie d’officine. Le pharmacien doit maîtriser les pièges majeurs :</w:t>
      </w:r>
      <w:r>
        <w:t xml:space="preserve"> </w:t>
      </w:r>
      <w:r>
        <w:rPr>
          <w:b/>
          <w:bCs/>
        </w:rPr>
        <w:t xml:space="preserve">effet Antabuse</w:t>
      </w:r>
      <w:r>
        <w:t xml:space="preserve"> </w:t>
      </w:r>
      <w:r>
        <w:t xml:space="preserve">(alcool pendant et 48 h après la dernière prise),</w:t>
      </w:r>
      <w:r>
        <w:t xml:space="preserve"> </w:t>
      </w:r>
      <w:r>
        <w:rPr>
          <w:b/>
          <w:bCs/>
        </w:rPr>
        <w:t xml:space="preserve">interaction AVK</w:t>
      </w:r>
      <w:r>
        <w:t xml:space="preserve"> </w:t>
      </w:r>
      <w:r>
        <w:t xml:space="preserve">(augmentation INR), neurotoxicité en cas de traitement prolongé (neuropathie périphérique, encéphalopathie cérébelleuse), effet cylindrique sur le goût (goût métallique), interactions avec le disulfirame (psychoses aiguës), et CI au 1er trimestre de grossesse.</w:t>
      </w:r>
    </w:p>
    <w:p>
      <w:pPr>
        <w:pStyle w:val="BodyText"/>
      </w:pPr>
      <w:r>
        <w:rPr>
          <w:b/>
          <w:bCs/>
        </w:rPr>
        <w:t xml:space="preserve">Médicaments disponibles en Algérie (Marques, Laboratoires, Formes et Dosages) :</w:t>
      </w:r>
    </w:p>
    <w:p>
      <w:pPr>
        <w:pStyle w:val="BodyText"/>
      </w:pPr>
      <w:r>
        <w:rPr>
          <w:i/>
          <w:iCs/>
        </w:rPr>
        <w:t xml:space="preserve">Formes orales comprimés 250 mg :</w:t>
      </w:r>
      <w:r>
        <w:t xml:space="preserve"> </w:t>
      </w:r>
      <w:r>
        <w:t xml:space="preserve">-</w:t>
      </w:r>
      <w:r>
        <w:t xml:space="preserve"> </w:t>
      </w:r>
      <w:r>
        <w:rPr>
          <w:b/>
          <w:bCs/>
        </w:rPr>
        <w:t xml:space="preserve">MEDAZOL</w:t>
      </w:r>
      <w:r>
        <w:t xml:space="preserve"> </w:t>
      </w:r>
      <w:r>
        <w:t xml:space="preserve">(LAD PHARMA) — Cp 250 mg (B/20) — Actif</w:t>
      </w:r>
      <w:r>
        <w:t xml:space="preserve"> </w:t>
      </w:r>
      <w:r>
        <w:t xml:space="preserve">-</w:t>
      </w:r>
      <w:r>
        <w:t xml:space="preserve"> </w:t>
      </w:r>
      <w:r>
        <w:rPr>
          <w:b/>
          <w:bCs/>
        </w:rPr>
        <w:t xml:space="preserve">METROGYL</w:t>
      </w:r>
      <w:r>
        <w:t xml:space="preserve"> </w:t>
      </w:r>
      <w:r>
        <w:t xml:space="preserve">(GROUPE SAIDAL) — Cp 250 mg (B/20) — Actif</w:t>
      </w:r>
      <w:r>
        <w:t xml:space="preserve"> </w:t>
      </w:r>
      <w:r>
        <w:t xml:space="preserve">-</w:t>
      </w:r>
      <w:r>
        <w:t xml:space="preserve"> </w:t>
      </w:r>
      <w:r>
        <w:rPr>
          <w:b/>
          <w:bCs/>
        </w:rPr>
        <w:t xml:space="preserve">METRONIDAL</w:t>
      </w:r>
      <w:r>
        <w:t xml:space="preserve"> </w:t>
      </w:r>
      <w:r>
        <w:t xml:space="preserve">(SOPHAL) — Cp pelliculé 250 mg (B/30) — Actif</w:t>
      </w:r>
      <w:r>
        <w:t xml:space="preserve"> </w:t>
      </w:r>
      <w:r>
        <w:t xml:space="preserve">-</w:t>
      </w:r>
      <w:r>
        <w:t xml:space="preserve"> </w:t>
      </w:r>
      <w:r>
        <w:rPr>
          <w:b/>
          <w:bCs/>
        </w:rPr>
        <w:t xml:space="preserve">METRONIDAZOLE BEKER</w:t>
      </w:r>
      <w:r>
        <w:t xml:space="preserve"> </w:t>
      </w:r>
      <w:r>
        <w:t xml:space="preserve">(LABORATOIRES BEKER) — Gélule 250 mg (B/30) — Actif</w:t>
      </w:r>
      <w:r>
        <w:t xml:space="preserve"> </w:t>
      </w:r>
      <w:r>
        <w:t xml:space="preserve">-</w:t>
      </w:r>
      <w:r>
        <w:t xml:space="preserve"> </w:t>
      </w:r>
      <w:r>
        <w:rPr>
          <w:b/>
          <w:bCs/>
        </w:rPr>
        <w:t xml:space="preserve">METRONIDQZAZOLE MM</w:t>
      </w:r>
      <w:r>
        <w:t xml:space="preserve"> </w:t>
      </w:r>
      <w:r>
        <w:t xml:space="preserve">(LABORATOIRES MM) — Cp pelliculé 250 mg (B/20) — Actif</w:t>
      </w:r>
      <w:r>
        <w:t xml:space="preserve"> </w:t>
      </w:r>
      <w:r>
        <w:t xml:space="preserve">-</w:t>
      </w:r>
      <w:r>
        <w:t xml:space="preserve"> </w:t>
      </w:r>
      <w:r>
        <w:rPr>
          <w:b/>
          <w:bCs/>
        </w:rPr>
        <w:t xml:space="preserve">RONIDAZ 250</w:t>
      </w:r>
      <w:r>
        <w:t xml:space="preserve"> </w:t>
      </w:r>
      <w:r>
        <w:t xml:space="preserve">(LABORATOIRES MERINAL) — Cp sécable 250 mg (B/30) — Actif</w:t>
      </w:r>
      <w:r>
        <w:t xml:space="preserve"> </w:t>
      </w:r>
      <w:r>
        <w:t xml:space="preserve">-</w:t>
      </w:r>
      <w:r>
        <w:t xml:space="preserve"> </w:t>
      </w:r>
      <w:r>
        <w:rPr>
          <w:b/>
          <w:bCs/>
        </w:rPr>
        <w:t xml:space="preserve">IMUZOLE</w:t>
      </w:r>
      <w:r>
        <w:t xml:space="preserve"> </w:t>
      </w:r>
      <w:r>
        <w:t xml:space="preserve">(PHARMALLIANCE) — Cp pelliculé 250 mg (B/20) — Actif</w:t>
      </w:r>
    </w:p>
    <w:p>
      <w:pPr>
        <w:pStyle w:val="BodyText"/>
      </w:pPr>
      <w:r>
        <w:rPr>
          <w:i/>
          <w:iCs/>
        </w:rPr>
        <w:t xml:space="preserve">Formes orales comprimés 500 mg :</w:t>
      </w:r>
      <w:r>
        <w:t xml:space="preserve"> </w:t>
      </w:r>
      <w:r>
        <w:t xml:space="preserve">-</w:t>
      </w:r>
      <w:r>
        <w:t xml:space="preserve"> </w:t>
      </w:r>
      <w:r>
        <w:rPr>
          <w:b/>
          <w:bCs/>
        </w:rPr>
        <w:t xml:space="preserve">BIODAZOLE</w:t>
      </w:r>
      <w:r>
        <w:t xml:space="preserve"> </w:t>
      </w:r>
      <w:r>
        <w:t xml:space="preserve">(BIOPHARM) — Cp pelliculé 500 mg (B/20) — Actif</w:t>
      </w:r>
      <w:r>
        <w:t xml:space="preserve"> </w:t>
      </w:r>
      <w:r>
        <w:t xml:space="preserve">-</w:t>
      </w:r>
      <w:r>
        <w:t xml:space="preserve"> </w:t>
      </w:r>
      <w:r>
        <w:rPr>
          <w:b/>
          <w:bCs/>
        </w:rPr>
        <w:t xml:space="preserve">FLAGYNEX</w:t>
      </w:r>
      <w:r>
        <w:t xml:space="preserve"> </w:t>
      </w:r>
      <w:r>
        <w:t xml:space="preserve">(PHARMIDAL NS) — Cp pelliculé 500 mg (B/20) — Actif</w:t>
      </w:r>
      <w:r>
        <w:t xml:space="preserve"> </w:t>
      </w:r>
      <w:r>
        <w:t xml:space="preserve">-</w:t>
      </w:r>
      <w:r>
        <w:t xml:space="preserve"> </w:t>
      </w:r>
      <w:r>
        <w:rPr>
          <w:b/>
          <w:bCs/>
        </w:rPr>
        <w:t xml:space="preserve">FLAZOL</w:t>
      </w:r>
      <w:r>
        <w:t xml:space="preserve"> </w:t>
      </w:r>
      <w:r>
        <w:t xml:space="preserve">(EL KENDI INDUSTRIE DU MEDICAMENT) — Cp pelliculé 500 mg (B/20) — Actif</w:t>
      </w:r>
      <w:r>
        <w:t xml:space="preserve"> </w:t>
      </w:r>
      <w:r>
        <w:t xml:space="preserve">-</w:t>
      </w:r>
      <w:r>
        <w:t xml:space="preserve"> </w:t>
      </w:r>
      <w:r>
        <w:rPr>
          <w:b/>
          <w:bCs/>
        </w:rPr>
        <w:t xml:space="preserve">METAZOLE</w:t>
      </w:r>
      <w:r>
        <w:t xml:space="preserve"> </w:t>
      </w:r>
      <w:r>
        <w:t xml:space="preserve">(JANIS MED SARL) — Cp pelliculé 500 mg (B/20) — Actif</w:t>
      </w:r>
      <w:r>
        <w:t xml:space="preserve"> </w:t>
      </w:r>
      <w:r>
        <w:t xml:space="preserve">-</w:t>
      </w:r>
      <w:r>
        <w:t xml:space="preserve"> </w:t>
      </w:r>
      <w:r>
        <w:rPr>
          <w:b/>
          <w:bCs/>
        </w:rPr>
        <w:t xml:space="preserve">METROGYL</w:t>
      </w:r>
      <w:r>
        <w:t xml:space="preserve"> </w:t>
      </w:r>
      <w:r>
        <w:t xml:space="preserve">(GROUPE SAIDAL) — Cp sécable 500 mg (B/20) — Actif</w:t>
      </w:r>
      <w:r>
        <w:t xml:space="preserve"> </w:t>
      </w:r>
      <w:r>
        <w:t xml:space="preserve">-</w:t>
      </w:r>
      <w:r>
        <w:t xml:space="preserve"> </w:t>
      </w:r>
      <w:r>
        <w:rPr>
          <w:b/>
          <w:bCs/>
        </w:rPr>
        <w:t xml:space="preserve">MEDOGYL</w:t>
      </w:r>
      <w:r>
        <w:t xml:space="preserve"> </w:t>
      </w:r>
      <w:r>
        <w:t xml:space="preserve">(BIOGALENIC) — Cp pelliculé 500 mg (B/20) — Actif</w:t>
      </w:r>
      <w:r>
        <w:t xml:space="preserve"> </w:t>
      </w:r>
      <w:r>
        <w:t xml:space="preserve">-</w:t>
      </w:r>
      <w:r>
        <w:t xml:space="preserve"> </w:t>
      </w:r>
      <w:r>
        <w:rPr>
          <w:b/>
          <w:bCs/>
        </w:rPr>
        <w:t xml:space="preserve">METRONIDAL</w:t>
      </w:r>
      <w:r>
        <w:t xml:space="preserve"> </w:t>
      </w:r>
      <w:r>
        <w:t xml:space="preserve">(SOPHAL) — Cp pelliculé 500 mg (B/20) — Actif</w:t>
      </w:r>
      <w:r>
        <w:t xml:space="preserve"> </w:t>
      </w:r>
      <w:r>
        <w:t xml:space="preserve">-</w:t>
      </w:r>
      <w:r>
        <w:t xml:space="preserve"> </w:t>
      </w:r>
      <w:r>
        <w:rPr>
          <w:b/>
          <w:bCs/>
        </w:rPr>
        <w:t xml:space="preserve">METRONIDAZOLE BEKER</w:t>
      </w:r>
      <w:r>
        <w:t xml:space="preserve"> </w:t>
      </w:r>
      <w:r>
        <w:t xml:space="preserve">(LABORATOIRES BEKER) — Gélule 500 mg (B/20) — Actif</w:t>
      </w:r>
      <w:r>
        <w:t xml:space="preserve"> </w:t>
      </w:r>
      <w:r>
        <w:t xml:space="preserve">-</w:t>
      </w:r>
      <w:r>
        <w:t xml:space="preserve"> </w:t>
      </w:r>
      <w:r>
        <w:rPr>
          <w:b/>
          <w:bCs/>
        </w:rPr>
        <w:t xml:space="preserve">METRONIDAZOLE HUP</w:t>
      </w:r>
      <w:r>
        <w:t xml:space="preserve"> </w:t>
      </w:r>
      <w:r>
        <w:t xml:space="preserve">(HUPP PHARMA) — Cp sécable 500 mg (B/20) — Actif</w:t>
      </w:r>
      <w:r>
        <w:t xml:space="preserve"> </w:t>
      </w:r>
      <w:r>
        <w:t xml:space="preserve">-</w:t>
      </w:r>
      <w:r>
        <w:t xml:space="preserve"> </w:t>
      </w:r>
      <w:r>
        <w:rPr>
          <w:b/>
          <w:bCs/>
        </w:rPr>
        <w:t xml:space="preserve">METRONIDAZOLE MM</w:t>
      </w:r>
      <w:r>
        <w:t xml:space="preserve"> </w:t>
      </w:r>
      <w:r>
        <w:t xml:space="preserve">(LABORATOIRES MM) — Cp pelliculé 500 mg (B/20) — Actif</w:t>
      </w:r>
      <w:r>
        <w:t xml:space="preserve"> </w:t>
      </w:r>
      <w:r>
        <w:t xml:space="preserve">-</w:t>
      </w:r>
      <w:r>
        <w:t xml:space="preserve"> </w:t>
      </w:r>
      <w:r>
        <w:rPr>
          <w:b/>
          <w:bCs/>
        </w:rPr>
        <w:t xml:space="preserve">RONIDAZ 500</w:t>
      </w:r>
      <w:r>
        <w:t xml:space="preserve"> </w:t>
      </w:r>
      <w:r>
        <w:t xml:space="preserve">(LABORATOIRES MERINAL) — Cp 500 mg (B/20) — Actif</w:t>
      </w:r>
      <w:r>
        <w:t xml:space="preserve"> </w:t>
      </w:r>
      <w:r>
        <w:t xml:space="preserve">-</w:t>
      </w:r>
      <w:r>
        <w:t xml:space="preserve"> </w:t>
      </w:r>
      <w:r>
        <w:rPr>
          <w:b/>
          <w:bCs/>
        </w:rPr>
        <w:t xml:space="preserve">IMUZOLE</w:t>
      </w:r>
      <w:r>
        <w:t xml:space="preserve"> </w:t>
      </w:r>
      <w:r>
        <w:t xml:space="preserve">(PHARMALLIANCE) — Cp pelliculé 500 mg (B/20) — Actif</w:t>
      </w:r>
    </w:p>
    <w:p>
      <w:pPr>
        <w:pStyle w:val="BodyText"/>
      </w:pPr>
      <w:r>
        <w:rPr>
          <w:i/>
          <w:iCs/>
        </w:rPr>
        <w:t xml:space="preserve">Formes orales suspensions buvables (pédiatrie) :</w:t>
      </w:r>
      <w:r>
        <w:t xml:space="preserve"> </w:t>
      </w:r>
      <w:r>
        <w:t xml:space="preserve">-</w:t>
      </w:r>
      <w:r>
        <w:t xml:space="preserve"> </w:t>
      </w:r>
      <w:r>
        <w:rPr>
          <w:b/>
          <w:bCs/>
        </w:rPr>
        <w:t xml:space="preserve">FLAZOL</w:t>
      </w:r>
      <w:r>
        <w:t xml:space="preserve"> </w:t>
      </w:r>
      <w:r>
        <w:t xml:space="preserve">(EL KENDI) — Susp. buv. 125 mg/5 mL (flacon 120 mL) — Actif</w:t>
      </w:r>
      <w:r>
        <w:t xml:space="preserve"> </w:t>
      </w:r>
      <w:r>
        <w:t xml:space="preserve">-</w:t>
      </w:r>
      <w:r>
        <w:t xml:space="preserve"> </w:t>
      </w:r>
      <w:r>
        <w:rPr>
          <w:b/>
          <w:bCs/>
        </w:rPr>
        <w:t xml:space="preserve">METAGYL</w:t>
      </w:r>
      <w:r>
        <w:t xml:space="preserve"> </w:t>
      </w:r>
      <w:r>
        <w:t xml:space="preserve">(INPHA-MEDIS) — Susp. buv. 125 mg/5 mL (flacon 120 mL) — Actif</w:t>
      </w:r>
      <w:r>
        <w:t xml:space="preserve"> </w:t>
      </w:r>
      <w:r>
        <w:t xml:space="preserve">-</w:t>
      </w:r>
      <w:r>
        <w:t xml:space="preserve"> </w:t>
      </w:r>
      <w:r>
        <w:rPr>
          <w:b/>
          <w:bCs/>
        </w:rPr>
        <w:t xml:space="preserve">FLAGYL</w:t>
      </w:r>
      <w:r>
        <w:t xml:space="preserve"> </w:t>
      </w:r>
      <w:r>
        <w:t xml:space="preserve">(BIOPHARM) — Susp. buv. 125 mg/5 mL (flacon 120 mL) — Actif</w:t>
      </w:r>
    </w:p>
    <w:p>
      <w:pPr>
        <w:pStyle w:val="BodyText"/>
      </w:pPr>
      <w:r>
        <w:rPr>
          <w:i/>
          <w:iCs/>
        </w:rPr>
        <w:t xml:space="preserve">Formes injectables IV 500 mg/100 mL :</w:t>
      </w:r>
      <w:r>
        <w:t xml:space="preserve"> </w:t>
      </w:r>
      <w:r>
        <w:t xml:space="preserve">-</w:t>
      </w:r>
      <w:r>
        <w:t xml:space="preserve"> </w:t>
      </w:r>
      <w:r>
        <w:rPr>
          <w:b/>
          <w:bCs/>
        </w:rPr>
        <w:t xml:space="preserve">BIODAZOLE</w:t>
      </w:r>
      <w:r>
        <w:t xml:space="preserve"> </w:t>
      </w:r>
      <w:r>
        <w:t xml:space="preserve">(UNIQUE PHARMACEUTICAL) — Sol. inj. 5 mg/mL (500 mg/100 mL) (B/1 flacon 100 mL) — Actif</w:t>
      </w:r>
      <w:r>
        <w:t xml:space="preserve"> </w:t>
      </w:r>
      <w:r>
        <w:t xml:space="preserve">-</w:t>
      </w:r>
      <w:r>
        <w:t xml:space="preserve"> </w:t>
      </w:r>
      <w:r>
        <w:rPr>
          <w:b/>
          <w:bCs/>
        </w:rPr>
        <w:t xml:space="preserve">MEDROGYL</w:t>
      </w:r>
      <w:r>
        <w:t xml:space="preserve"> </w:t>
      </w:r>
      <w:r>
        <w:t xml:space="preserve">(HUPP PHARMA) — Sol. inj. IV 5 mg/mL (500 mg/100 mL) (B/1 flacon 100 mL) — Actif</w:t>
      </w:r>
      <w:r>
        <w:t xml:space="preserve"> </w:t>
      </w:r>
      <w:r>
        <w:t xml:space="preserve">-</w:t>
      </w:r>
      <w:r>
        <w:t xml:space="preserve"> </w:t>
      </w:r>
      <w:r>
        <w:rPr>
          <w:b/>
          <w:bCs/>
        </w:rPr>
        <w:t xml:space="preserve">METRONIDAZOLE BIEFFE MEDITAL</w:t>
      </w:r>
      <w:r>
        <w:t xml:space="preserve"> </w:t>
      </w:r>
      <w:r>
        <w:t xml:space="preserve">(BIEFFE MEDITAL) — Sol. inj. 5 mg/mL (500 mg/100 mL) (poches 100 mL) — Actif</w:t>
      </w:r>
      <w:r>
        <w:t xml:space="preserve"> </w:t>
      </w:r>
      <w:r>
        <w:t xml:space="preserve">-</w:t>
      </w:r>
      <w:r>
        <w:t xml:space="preserve"> </w:t>
      </w:r>
      <w:r>
        <w:rPr>
          <w:b/>
          <w:bCs/>
        </w:rPr>
        <w:t xml:space="preserve">METRONIDAZOLE RAZES 0,5 %</w:t>
      </w:r>
      <w:r>
        <w:t xml:space="preserve"> </w:t>
      </w:r>
      <w:r>
        <w:t xml:space="preserve">(LES LABORATOIRES FRATER RAZES) — Sol. inj. pour perf. 5 mg/mL (500 mg/100 mL) (B/1 flacon 100 mL) — Actif</w:t>
      </w:r>
    </w:p>
    <w:p>
      <w:pPr>
        <w:pStyle w:val="BodyText"/>
      </w:pPr>
      <w:r>
        <w:rPr>
          <w:i/>
          <w:iCs/>
        </w:rPr>
        <w:t xml:space="preserve">Formes gynécologiques (ovules 500 mg) :</w:t>
      </w:r>
      <w:r>
        <w:t xml:space="preserve"> </w:t>
      </w:r>
      <w:r>
        <w:t xml:space="preserve">-</w:t>
      </w:r>
      <w:r>
        <w:t xml:space="preserve"> </w:t>
      </w:r>
      <w:r>
        <w:rPr>
          <w:b/>
          <w:bCs/>
        </w:rPr>
        <w:t xml:space="preserve">FLAGYL</w:t>
      </w:r>
      <w:r>
        <w:t xml:space="preserve"> </w:t>
      </w:r>
      <w:r>
        <w:t xml:space="preserve">(BIOPHARM) — Ovule vaginal 500 mg (B/10) — Actif</w:t>
      </w:r>
      <w:r>
        <w:t xml:space="preserve"> </w:t>
      </w:r>
      <w:r>
        <w:t xml:space="preserve">-</w:t>
      </w:r>
      <w:r>
        <w:t xml:space="preserve"> </w:t>
      </w:r>
      <w:r>
        <w:rPr>
          <w:b/>
          <w:bCs/>
        </w:rPr>
        <w:t xml:space="preserve">FONGYMEX</w:t>
      </w:r>
      <w:r>
        <w:t xml:space="preserve"> </w:t>
      </w:r>
      <w:r>
        <w:t xml:space="preserve">(KPMA BIOTIC) — Ovule 500 mg (B/10) — Actif</w:t>
      </w:r>
      <w:r>
        <w:t xml:space="preserve"> </w:t>
      </w:r>
      <w:r>
        <w:t xml:space="preserve">-</w:t>
      </w:r>
      <w:r>
        <w:t xml:space="preserve"> </w:t>
      </w:r>
      <w:r>
        <w:rPr>
          <w:b/>
          <w:bCs/>
        </w:rPr>
        <w:t xml:space="preserve">IMUZOLE</w:t>
      </w:r>
      <w:r>
        <w:t xml:space="preserve"> </w:t>
      </w:r>
      <w:r>
        <w:t xml:space="preserve">(PHARMALLIANCE) — Ovule vaginal 500 mg (B/10) — Actif</w:t>
      </w:r>
      <w:r>
        <w:t xml:space="preserve"> </w:t>
      </w:r>
      <w:r>
        <w:t xml:space="preserve">-</w:t>
      </w:r>
      <w:r>
        <w:t xml:space="preserve"> </w:t>
      </w:r>
      <w:r>
        <w:rPr>
          <w:b/>
          <w:bCs/>
        </w:rPr>
        <w:t xml:space="preserve">METROFAGYL</w:t>
      </w:r>
      <w:r>
        <w:t xml:space="preserve"> </w:t>
      </w:r>
      <w:r>
        <w:t xml:space="preserve">(4A SANTE INDUSTRIE) — Ovule 500 mg (B/10) — Actif</w:t>
      </w:r>
    </w:p>
    <w:p>
      <w:pPr>
        <w:pStyle w:val="BodyText"/>
      </w:pPr>
      <w:r>
        <w:rPr>
          <w:i/>
          <w:iCs/>
        </w:rPr>
        <w:t xml:space="preserve">Formes dermiques (gel 0,75 %) — rosacée :</w:t>
      </w:r>
      <w:r>
        <w:t xml:space="preserve"> </w:t>
      </w:r>
      <w:r>
        <w:t xml:space="preserve">-</w:t>
      </w:r>
      <w:r>
        <w:t xml:space="preserve"> </w:t>
      </w:r>
      <w:r>
        <w:rPr>
          <w:b/>
          <w:bCs/>
        </w:rPr>
        <w:t xml:space="preserve">METROZEX</w:t>
      </w:r>
      <w:r>
        <w:t xml:space="preserve"> </w:t>
      </w:r>
      <w:r>
        <w:t xml:space="preserve">(BIOREM) — Gel dermique 0,75 % (tube 30 g) — Actif</w:t>
      </w:r>
      <w:r>
        <w:t xml:space="preserve"> </w:t>
      </w:r>
      <w:r>
        <w:t xml:space="preserve">-</w:t>
      </w:r>
      <w:r>
        <w:t xml:space="preserve"> </w:t>
      </w:r>
      <w:r>
        <w:rPr>
          <w:b/>
          <w:bCs/>
        </w:rPr>
        <w:t xml:space="preserve">ROSADOZE</w:t>
      </w:r>
      <w:r>
        <w:t xml:space="preserve"> </w:t>
      </w:r>
      <w:r>
        <w:t xml:space="preserve">(NOVAPHARM TRADING) — Gel dermique 0,75 % (tube 30 g) — Actif</w:t>
      </w:r>
      <w:r>
        <w:t xml:space="preserve"> </w:t>
      </w:r>
      <w:r>
        <w:t xml:space="preserve">-</w:t>
      </w:r>
      <w:r>
        <w:t xml:space="preserve"> </w:t>
      </w:r>
      <w:r>
        <w:rPr>
          <w:b/>
          <w:bCs/>
        </w:rPr>
        <w:t xml:space="preserve">ROZEX</w:t>
      </w:r>
      <w:r>
        <w:t xml:space="preserve"> </w:t>
      </w:r>
      <w:r>
        <w:t xml:space="preserve">(GALDERMA INTERNATIONAL) — Gel dermique 0,75 % (tube 30 g) — Actif</w:t>
      </w:r>
    </w:p>
    <w:p>
      <w:pPr>
        <w:pStyle w:val="BodyText"/>
      </w:pPr>
      <w:r>
        <w:rPr>
          <w:i/>
          <w:iCs/>
        </w:rPr>
        <w:t xml:space="preserve">Marques Non Renouvelables :</w:t>
      </w:r>
      <w:r>
        <w:t xml:space="preserve"> </w:t>
      </w:r>
      <w:r>
        <w:t xml:space="preserve">- FLANIZOL (UPM) — Gel derm. 0,75 % — tube 25 g</w:t>
      </w:r>
      <w:r>
        <w:t xml:space="preserve"> </w:t>
      </w:r>
      <w:r>
        <w:t xml:space="preserve">- FONGYNE (SALEM) — Ovules gynéco. 500 mg (B/10)</w:t>
      </w:r>
      <w:r>
        <w:t xml:space="preserve"> </w:t>
      </w:r>
      <w:r>
        <w:t xml:space="preserve">- METRIS (EL KENDI) — Sol. inj. 500 mg (B/1 flacon 100 mL)</w:t>
      </w:r>
      <w:r>
        <w:t xml:space="preserve"> </w:t>
      </w:r>
      <w:r>
        <w:t xml:space="preserve">- SUPPLIN (BIOCHEMIE GmbH) — Sol. inj. IV 500 mg (flacon 100 mL)</w:t>
      </w:r>
      <w:r>
        <w:t xml:space="preserve"> </w:t>
      </w:r>
      <w:r>
        <w:t xml:space="preserve">- NIDAZOLE (HIKMA PHARMACEUTICALS) — Susp. buv. 125 mg/5 mL (flacon 100 mL)</w:t>
      </w:r>
      <w:r>
        <w:t xml:space="preserve"> </w:t>
      </w:r>
      <w:r>
        <w:t xml:space="preserve">- METROGYL Susp. (SAIDAL) — Susp. buv. 125 mg/5 mL (flacon 120 mL)</w:t>
      </w:r>
      <w:r>
        <w:t xml:space="preserve"> </w:t>
      </w:r>
      <w:r>
        <w:t xml:space="preserve">- METZOL (GROUPE SANTE) — Sirop 125 mg/5 mL (flacon 100 mL)</w:t>
      </w:r>
      <w:r>
        <w:t xml:space="preserve"> </w:t>
      </w:r>
      <w:r>
        <w:t xml:space="preserve">- IMUZOLE Cp 500 mg (PHARMALLIANCE) — Cp 500 mg (B/20)</w:t>
      </w:r>
      <w:r>
        <w:t xml:space="preserve"> </w:t>
      </w:r>
      <w:r>
        <w:t xml:space="preserve">- NIDAZOLE Susp. 200 mg/5 mL (HIKMA PHARMA ALGERIA SARL) — Susp. buv. 200 mg/5 mL (flacon 100 mL + bouchon doseur)</w:t>
      </w:r>
    </w:p>
    <w:p>
      <w:pPr>
        <w:pStyle w:val="BodyText"/>
      </w:pPr>
      <w:r>
        <w:rPr>
          <w:i/>
          <w:iCs/>
        </w:rPr>
        <w:t xml:space="preserve">Marques Retirées (R) :</w:t>
      </w:r>
      <w:r>
        <w:t xml:space="preserve"> </w:t>
      </w:r>
      <w:r>
        <w:t xml:space="preserve">- METROZA (PHILALDEPHIA) — Gel derm. 0,75 % — tube 15 g</w:t>
      </w:r>
      <w:r>
        <w:t xml:space="preserve"> </w:t>
      </w:r>
      <w:r>
        <w:t xml:space="preserve">- ENTIZOL (POLPHARMA) — Cp gynéco. 500 mg (B/10)</w:t>
      </w:r>
      <w:r>
        <w:t xml:space="preserve"> </w:t>
      </w:r>
      <w:r>
        <w:t xml:space="preserve">- GYNOPLIX (BOUCHARA-RECORDATI) — Ovule 500 mg (B/10)</w:t>
      </w:r>
      <w:r>
        <w:t xml:space="preserve"> </w:t>
      </w:r>
      <w:r>
        <w:t xml:space="preserve">- AMRIZOLE (AMRYA INDUSTRIES) — Ovules gynéco. 500 mg (B/5)</w:t>
      </w:r>
      <w:r>
        <w:t xml:space="preserve"> </w:t>
      </w:r>
      <w:r>
        <w:t xml:space="preserve">- METRAZIN (PETRA) — Ovules 500 mg (B/10)</w:t>
      </w:r>
      <w:r>
        <w:t xml:space="preserve"> </w:t>
      </w:r>
      <w:r>
        <w:t xml:space="preserve">- FLAGYL Sol. inj. (RHONE POULENC RORER) — 500 mg (coffret 25 flacons 100 mL)</w:t>
      </w:r>
      <w:r>
        <w:t xml:space="preserve"> </w:t>
      </w:r>
      <w:r>
        <w:t xml:space="preserve">- METRONIDAZOLE BIOSEDRA (FRESENIUS KABI FRANCE) — Sol. inj. perf. IV 500 mg/100 mL</w:t>
      </w:r>
      <w:r>
        <w:t xml:space="preserve"> </w:t>
      </w:r>
      <w:r>
        <w:t xml:space="preserve">- BIODAZOLE Cp 250 mg (BIOPHARM) — Cp 250 mg (B/20)</w:t>
      </w:r>
      <w:r>
        <w:t xml:space="preserve"> </w:t>
      </w:r>
      <w:r>
        <w:t xml:space="preserve">- MERAZINE (PETRA PHARM) — Cp 250 mg (B/20)</w:t>
      </w:r>
      <w:r>
        <w:t xml:space="preserve"> </w:t>
      </w:r>
      <w:r>
        <w:t xml:space="preserve">- METRONIDAZOLE (MEDICUBA) — Cp 250 mg (B/10)</w:t>
      </w:r>
      <w:r>
        <w:t xml:space="preserve"> </w:t>
      </w:r>
      <w:r>
        <w:t xml:space="preserve">- MITAZOL (JAZEERA) — Cp 250 mg (B/20)</w:t>
      </w:r>
      <w:r>
        <w:t xml:space="preserve"> </w:t>
      </w:r>
      <w:r>
        <w:t xml:space="preserve">- KLONT (GEOPHARM) — Cp 250 mg (B/20)</w:t>
      </w:r>
      <w:r>
        <w:t xml:space="preserve"> </w:t>
      </w:r>
      <w:r>
        <w:t xml:space="preserve">- AMRIZOLE Cp (AMRYA INDUSTRIES) — Cp 250 mg (B/20)</w:t>
      </w:r>
      <w:r>
        <w:t xml:space="preserve"> </w:t>
      </w:r>
      <w:r>
        <w:t xml:space="preserve">- FLANIZOL Cp (UPM) — Cp 250 mg (B/30)</w:t>
      </w:r>
      <w:r>
        <w:t xml:space="preserve"> </w:t>
      </w:r>
      <w:r>
        <w:t xml:space="preserve">- METROZOLE (JORDANIAN PHARM MANIFACTURING) — Cp 250 mg (B/20)</w:t>
      </w:r>
      <w:r>
        <w:t xml:space="preserve"> </w:t>
      </w:r>
      <w:r>
        <w:t xml:space="preserve">- MODAZOLE (MODERN PHARM INDUSTRIE) — Cp 250 mg (B/20)</w:t>
      </w:r>
      <w:r>
        <w:t xml:space="preserve"> </w:t>
      </w:r>
      <w:r>
        <w:t xml:space="preserve">- PROTOZOL (ARAB PHARM MANUFACTURING) — Cp 250 mg (B/20)</w:t>
      </w:r>
      <w:r>
        <w:t xml:space="preserve"> </w:t>
      </w:r>
      <w:r>
        <w:t xml:space="preserve">- FLAGISOL (ASIA PHARMACEUTICALS) — Cp pelliculé 250 mg (B/20)</w:t>
      </w:r>
      <w:r>
        <w:t xml:space="preserve"> </w:t>
      </w:r>
      <w:r>
        <w:t xml:space="preserve">- FLAGYL Cp (AVENTIS) — Cp pelliculé 250 mg (B/20)</w:t>
      </w:r>
      <w:r>
        <w:t xml:space="preserve"> </w:t>
      </w:r>
      <w:r>
        <w:t xml:space="preserve">- NIDAZOLE Cp (HIKMA PHARMACEUTICALS) — Cp pelliculé 250 mg (B/30)</w:t>
      </w:r>
      <w:r>
        <w:t xml:space="preserve"> </w:t>
      </w:r>
      <w:r>
        <w:t xml:space="preserve">- SUPPLIN Cp (SANDOZ SPA) — Cp pelliculé 250 mg (B/20)</w:t>
      </w:r>
      <w:r>
        <w:t xml:space="preserve"> </w:t>
      </w:r>
      <w:r>
        <w:t xml:space="preserve">- AMRIZOLE Susp. (AMRYA) — Susp. buv. 125 mg/5 mL (flacon 120 mL)</w:t>
      </w:r>
      <w:r>
        <w:t xml:space="preserve"> </w:t>
      </w:r>
      <w:r>
        <w:t xml:space="preserve">- METROZAL Susp. (GALENICA) — Susp. buv. 125 mg/5 mL (flacon 120 mL)</w:t>
      </w:r>
      <w:r>
        <w:t xml:space="preserve"> </w:t>
      </w:r>
      <w:r>
        <w:t xml:space="preserve">- METROZOLE Susp. (JORDANIAN PHARM MANIFACTURING) — Susp. buv. 125 mg/5 mL (flacon 100 mL)</w:t>
      </w:r>
      <w:r>
        <w:t xml:space="preserve"> </w:t>
      </w:r>
      <w:r>
        <w:t xml:space="preserve">- MITAZOL Susp. (JAZEERA) — Susp. buv. 125 mg/5 mL (flacon 120 mL)</w:t>
      </w:r>
      <w:r>
        <w:t xml:space="preserve"> </w:t>
      </w:r>
      <w:r>
        <w:t xml:space="preserve">- MODAZOLE Susp. (MPI) — Susp. buv. 125 mg/5 mL (flacon 100 mL)</w:t>
      </w:r>
      <w:r>
        <w:t xml:space="preserve"> </w:t>
      </w:r>
      <w:r>
        <w:t xml:space="preserve">- PROTOZOL Susp. (ARAB PHARM MANUFACTURING) — Susp. buv. 125 mg/5 mL (flacon 100 mL)</w:t>
      </w:r>
      <w:r>
        <w:t xml:space="preserve"> </w:t>
      </w:r>
      <w:r>
        <w:t xml:space="preserve">- FLAGISOL Cp 500 (SANAMED) — Cp pelliculé sécable 500 mg (B/20)</w:t>
      </w:r>
      <w:r>
        <w:t xml:space="preserve"> </w:t>
      </w:r>
      <w:r>
        <w:t xml:space="preserve">- NIDAZOLE Cp 500 (HIKMA PHARMA ALGERIE) — Cp pelliculé 500 mg (B/30)</w:t>
      </w:r>
      <w:r>
        <w:t xml:space="preserve"> </w:t>
      </w:r>
      <w:r>
        <w:t xml:space="preserve">- GRINAZOLE (SEPTODENT) — Pâte 10 % (tube 4,5 g) — Liste II</w:t>
      </w:r>
    </w:p>
    <w:p>
      <w:pPr>
        <w:pStyle w:val="BodyText"/>
      </w:pPr>
      <w:r>
        <w:rPr>
          <w:b/>
          <w:bCs/>
        </w:rPr>
        <w:t xml:space="preserve">Sous-classe et Mécanisme d’action :</w:t>
      </w:r>
      <w:r>
        <w:t xml:space="preserve"> </w:t>
      </w:r>
      <w:r>
        <w:t xml:space="preserve">- Sous-classe : Nitro-imidazolé de première génération (5-nitro-imidazolé). Bactéricide, protozoocide, amibicide.</w:t>
      </w:r>
      <w:r>
        <w:t xml:space="preserve"> </w:t>
      </w:r>
      <w:r>
        <w:t xml:space="preserve">- Mécanisme d’action :</w:t>
      </w:r>
      <w:r>
        <w:t xml:space="preserve"> </w:t>
      </w:r>
      <w:r>
        <w:rPr>
          <w:b/>
          <w:bCs/>
        </w:rPr>
        <w:t xml:space="preserve">activation biotransformative par réduction</w:t>
      </w:r>
      <w:r>
        <w:t xml:space="preserve"> </w:t>
      </w:r>
      <w:r>
        <w:t xml:space="preserve">du groupement nitro (-NO₂ → -NO₂•⁻ radical anion) dans les cellules anaérobies. La réduction est catalysée par la</w:t>
      </w:r>
      <w:r>
        <w:t xml:space="preserve"> </w:t>
      </w:r>
      <w:r>
        <w:rPr>
          <w:b/>
          <w:bCs/>
        </w:rPr>
        <w:t xml:space="preserve">ferredoxine</w:t>
      </w:r>
      <w:r>
        <w:t xml:space="preserve"> </w:t>
      </w:r>
      <w:r>
        <w:t xml:space="preserve">(ou flavodoxine), qui transporte les électrons issus de la</w:t>
      </w:r>
      <w:r>
        <w:t xml:space="preserve"> </w:t>
      </w:r>
      <w:r>
        <w:rPr>
          <w:b/>
          <w:bCs/>
        </w:rPr>
        <w:t xml:space="preserve">pyruvate-ferredoxine oxydoréductase (PFOR)</w:t>
      </w:r>
      <w:r>
        <w:t xml:space="preserve">, enzyme-clé du métabolisme anaérobie. Le radical nitro réduit est instable et se décompose en métabolites cytotoxiques interagissant avec l’</w:t>
      </w:r>
      <w:r>
        <w:rPr>
          <w:b/>
          <w:bCs/>
        </w:rPr>
        <w:t xml:space="preserve">ADN</w:t>
      </w:r>
      <w:r>
        <w:t xml:space="preserve"> </w:t>
      </w:r>
      <w:r>
        <w:t xml:space="preserve">(cassures de brins, altération de la structure hélicoïdale, inhibition de la synthèse et de la réplication) et les</w:t>
      </w:r>
      <w:r>
        <w:t xml:space="preserve"> </w:t>
      </w:r>
      <w:r>
        <w:rPr>
          <w:b/>
          <w:bCs/>
        </w:rPr>
        <w:t xml:space="preserve">protéines cellulaires</w:t>
      </w:r>
      <w:r>
        <w:t xml:space="preserve"> </w:t>
      </w:r>
      <w:r>
        <w:t xml:space="preserve">(liaison covalente aux groupements thiols). Cette action est</w:t>
      </w:r>
      <w:r>
        <w:t xml:space="preserve"> </w:t>
      </w:r>
      <w:r>
        <w:rPr>
          <w:b/>
          <w:bCs/>
        </w:rPr>
        <w:t xml:space="preserve">bactéricide et protozoocide</w:t>
      </w:r>
      <w:r>
        <w:t xml:space="preserve">.</w:t>
      </w:r>
      <w:r>
        <w:t xml:space="preserve"> </w:t>
      </w:r>
      <w:r>
        <w:t xml:space="preserve">- La sélectivité pour les anaérobies et certains protozoaires est liée au fait que la réduction du nitro-imidazolé nécessite un</w:t>
      </w:r>
      <w:r>
        <w:t xml:space="preserve"> </w:t>
      </w:r>
      <w:r>
        <w:rPr>
          <w:b/>
          <w:bCs/>
        </w:rPr>
        <w:t xml:space="preserve">potentiel redox faible (Eh ≈ -300 mV)</w:t>
      </w:r>
      <w:r>
        <w:t xml:space="preserve">, présent uniquement dans les cellules anaérobies strictes et certains protozoaires (Giardia, Trichomonas, Entamoeba) possédant une PFOR. Les cellules aérobies (potentiel redox plus élevé) ne peuvent pas réduire le nitro-imidazolé → pas d’activation → pas de toxicité.</w:t>
      </w:r>
    </w:p>
    <w:p>
      <w:pPr>
        <w:pStyle w:val="BodyText"/>
      </w:pPr>
      <w:r>
        <w:rPr>
          <w:b/>
          <w:bCs/>
        </w:rPr>
        <w:t xml:space="preserve">Profil Pharmacologique :</w:t>
      </w:r>
      <w:r>
        <w:t xml:space="preserve"> </w:t>
      </w:r>
      <w:r>
        <w:t xml:space="preserve">- Indications :</w:t>
      </w:r>
      <w:r>
        <w:t xml:space="preserve"> </w:t>
      </w:r>
      <w:r>
        <w:t xml:space="preserve">-</w:t>
      </w:r>
      <w:r>
        <w:t xml:space="preserve"> </w:t>
      </w:r>
      <w:r>
        <w:rPr>
          <w:b/>
          <w:bCs/>
        </w:rPr>
        <w:t xml:space="preserve">Infections à anaérobies stricts</w:t>
      </w:r>
      <w:r>
        <w:t xml:space="preserve"> </w:t>
      </w:r>
      <w:r>
        <w:t xml:space="preserve">: intra-abdominales (péritonites, abcès), gynécologiques (salpingites, endométrites, pelvi-péritonites, infections post-abortum, post-partum), ORL et dentaires (endocardites à anaérobies, angine de Vincent, abcès péri-amygdalien, cellulites dentaires), pulmonaires (abcès du poumon, pneumopathies d’inhalation), cutanées (gangrène gazeuse, infections des pieds diabétiques),</w:t>
      </w:r>
      <w:r>
        <w:t xml:space="preserve"> </w:t>
      </w:r>
      <w:r>
        <w:rPr>
          <w:b/>
          <w:bCs/>
        </w:rPr>
        <w:t xml:space="preserve">abcès cérébral à anaérobies</w:t>
      </w:r>
      <w:r>
        <w:t xml:space="preserve">, endocardites à anaérobies.</w:t>
      </w:r>
      <w:r>
        <w:t xml:space="preserve"> </w:t>
      </w:r>
      <w:r>
        <w:t xml:space="preserve">-</w:t>
      </w:r>
      <w:r>
        <w:t xml:space="preserve"> </w:t>
      </w:r>
      <w:r>
        <w:rPr>
          <w:b/>
          <w:bCs/>
        </w:rPr>
        <w:t xml:space="preserve">Associations</w:t>
      </w:r>
      <w:r>
        <w:t xml:space="preserve"> </w:t>
      </w:r>
      <w:r>
        <w:t xml:space="preserve">: toujours associé à un antibiotique actif sur aérobies (β-lactamine + aminoside + métronidazole = « triple thérapie » des péritonites communautaires).</w:t>
      </w:r>
      <w:r>
        <w:t xml:space="preserve"> </w:t>
      </w:r>
      <w:r>
        <w:t xml:space="preserve">-</w:t>
      </w:r>
      <w:r>
        <w:t xml:space="preserve"> </w:t>
      </w:r>
      <w:r>
        <w:rPr>
          <w:b/>
          <w:bCs/>
        </w:rPr>
        <w:t xml:space="preserve">Infections à Helicobacter pylori</w:t>
      </w:r>
      <w:r>
        <w:t xml:space="preserve"> </w:t>
      </w:r>
      <w:r>
        <w:t xml:space="preserve">: quadrithérapie bismuth (IPP + bismuth + tétracycline + métronidazole) ou trithérapie (IPP + amoxicilline + métronidazole).</w:t>
      </w:r>
      <w:r>
        <w:t xml:space="preserve"> </w:t>
      </w:r>
      <w:r>
        <w:t xml:space="preserve">-</w:t>
      </w:r>
      <w:r>
        <w:t xml:space="preserve"> </w:t>
      </w:r>
      <w:r>
        <w:rPr>
          <w:b/>
          <w:bCs/>
        </w:rPr>
        <w:t xml:space="preserve">Pseudomembranes coliques (C. difficile)</w:t>
      </w:r>
      <w:r>
        <w:t xml:space="preserve"> </w:t>
      </w:r>
      <w:r>
        <w:t xml:space="preserve">: alternative à la vancomycine en 1re intention dans les formes modérées (500 mg × 3/j PO pendant 10 j) ; en cas de forme grave, vanco PO préférée.</w:t>
      </w:r>
      <w:r>
        <w:t xml:space="preserve"> </w:t>
      </w:r>
      <w:r>
        <w:t xml:space="preserve">-</w:t>
      </w:r>
      <w:r>
        <w:t xml:space="preserve"> </w:t>
      </w:r>
      <w:r>
        <w:rPr>
          <w:b/>
          <w:bCs/>
        </w:rPr>
        <w:t xml:space="preserve">Parasitoses</w:t>
      </w:r>
      <w:r>
        <w:t xml:space="preserve"> </w:t>
      </w:r>
      <w:r>
        <w:t xml:space="preserve">: amibiase intestinale et hépatique (Entamoeba histolytica), giardiose (Giardia lamblia), trichomonase urogénitale (Trichomonas vaginalis).</w:t>
      </w:r>
      <w:r>
        <w:t xml:space="preserve"> </w:t>
      </w:r>
      <w:r>
        <w:t xml:space="preserve">-</w:t>
      </w:r>
      <w:r>
        <w:t xml:space="preserve"> </w:t>
      </w:r>
      <w:r>
        <w:rPr>
          <w:b/>
          <w:bCs/>
        </w:rPr>
        <w:t xml:space="preserve">Vaginose bactérienne</w:t>
      </w:r>
      <w:r>
        <w:t xml:space="preserve"> </w:t>
      </w:r>
      <w:r>
        <w:t xml:space="preserve">(Gardnerella vaginalis) : ovule 500 mg/j × 7 j ou PO 500 mg × 2/j × 7 j.</w:t>
      </w:r>
      <w:r>
        <w:t xml:space="preserve"> </w:t>
      </w:r>
      <w:r>
        <w:t xml:space="preserve">-</w:t>
      </w:r>
      <w:r>
        <w:t xml:space="preserve"> </w:t>
      </w:r>
      <w:r>
        <w:rPr>
          <w:b/>
          <w:bCs/>
        </w:rPr>
        <w:t xml:space="preserve">Rosacée</w:t>
      </w:r>
      <w:r>
        <w:t xml:space="preserve"> </w:t>
      </w:r>
      <w:r>
        <w:t xml:space="preserve">(forme dermique 0,75 %) : papulo-pustuleuse, péri-orale.</w:t>
      </w:r>
      <w:r>
        <w:t xml:space="preserve"> </w:t>
      </w:r>
      <w:r>
        <w:t xml:space="preserve">-</w:t>
      </w:r>
      <w:r>
        <w:t xml:space="preserve"> </w:t>
      </w:r>
      <w:r>
        <w:rPr>
          <w:b/>
          <w:bCs/>
        </w:rPr>
        <w:t xml:space="preserve">Maladie de Crohn</w:t>
      </w:r>
      <w:r>
        <w:t xml:space="preserve"> </w:t>
      </w:r>
      <w:r>
        <w:t xml:space="preserve">colique/péri-anale (adjuvant).</w:t>
      </w:r>
      <w:r>
        <w:t xml:space="preserve"> </w:t>
      </w:r>
      <w:r>
        <w:t xml:space="preserve">-</w:t>
      </w:r>
      <w:r>
        <w:t xml:space="preserve"> </w:t>
      </w:r>
      <w:r>
        <w:rPr>
          <w:b/>
          <w:bCs/>
        </w:rPr>
        <w:t xml:space="preserve">Prophylaxie chirurgicale</w:t>
      </w:r>
      <w:r>
        <w:t xml:space="preserve"> </w:t>
      </w:r>
      <w:r>
        <w:t xml:space="preserve">des interventions digestives et gynécologiques (dose unique 1 g IV à l’induction).</w:t>
      </w:r>
      <w:r>
        <w:t xml:space="preserve"> </w:t>
      </w:r>
      <w:r>
        <w:t xml:space="preserve">- Contre-indications :</w:t>
      </w:r>
      <w:r>
        <w:t xml:space="preserve"> </w:t>
      </w:r>
      <w:r>
        <w:t xml:space="preserve">-</w:t>
      </w:r>
      <w:r>
        <w:t xml:space="preserve"> </w:t>
      </w:r>
      <w:r>
        <w:rPr>
          <w:b/>
          <w:bCs/>
        </w:rPr>
        <w:t xml:space="preserve">Hypersensibilité aux nitro-imidazolés</w:t>
      </w:r>
      <w:r>
        <w:t xml:space="preserve"> </w:t>
      </w:r>
      <w:r>
        <w:t xml:space="preserve">(réaction croisée possible entre métronidazole, tinidazole, ornidazole, sécnidazole).</w:t>
      </w:r>
      <w:r>
        <w:t xml:space="preserve"> </w:t>
      </w:r>
      <w:r>
        <w:t xml:space="preserve">-</w:t>
      </w:r>
      <w:r>
        <w:t xml:space="preserve"> </w:t>
      </w:r>
      <w:r>
        <w:rPr>
          <w:b/>
          <w:bCs/>
        </w:rPr>
        <w:t xml:space="preserve">Premier trimestre de grossesse</w:t>
      </w:r>
      <w:r>
        <w:t xml:space="preserve"> </w:t>
      </w:r>
      <w:r>
        <w:t xml:space="preserve">(potentiel mutagène et tératogène).</w:t>
      </w:r>
      <w:r>
        <w:t xml:space="preserve"> </w:t>
      </w:r>
      <w:r>
        <w:t xml:space="preserve">-</w:t>
      </w:r>
      <w:r>
        <w:t xml:space="preserve"> </w:t>
      </w:r>
      <w:r>
        <w:rPr>
          <w:b/>
          <w:bCs/>
        </w:rPr>
        <w:t xml:space="preserve">Allaitement</w:t>
      </w:r>
      <w:r>
        <w:t xml:space="preserve"> </w:t>
      </w:r>
      <w:r>
        <w:t xml:space="preserve">: suspendre pendant le traitement et 24 h après la dernière prise (passage dans le lait maternel — goût métallique, effet cytotoxique théorique).</w:t>
      </w:r>
      <w:r>
        <w:t xml:space="preserve"> </w:t>
      </w:r>
      <w:r>
        <w:t xml:space="preserve">-</w:t>
      </w:r>
      <w:r>
        <w:t xml:space="preserve"> </w:t>
      </w:r>
      <w:r>
        <w:rPr>
          <w:b/>
          <w:bCs/>
        </w:rPr>
        <w:t xml:space="preserve">Association avec disulfirame</w:t>
      </w:r>
      <w:r>
        <w:t xml:space="preserve"> </w:t>
      </w:r>
      <w:r>
        <w:t xml:space="preserve">(risque de psychose aiguë, confusion, délire).</w:t>
      </w:r>
      <w:r>
        <w:t xml:space="preserve"> </w:t>
      </w:r>
      <w:r>
        <w:t xml:space="preserve">-</w:t>
      </w:r>
      <w:r>
        <w:t xml:space="preserve"> </w:t>
      </w:r>
      <w:r>
        <w:rPr>
          <w:b/>
          <w:bCs/>
        </w:rPr>
        <w:t xml:space="preserve">Association avec alcool</w:t>
      </w:r>
      <w:r>
        <w:t xml:space="preserve"> </w:t>
      </w:r>
      <w:r>
        <w:t xml:space="preserve">(effet antabuse — vomissements, flush, céphalées, hypotension).</w:t>
      </w:r>
      <w:r>
        <w:t xml:space="preserve"> </w:t>
      </w:r>
      <w:r>
        <w:t xml:space="preserve">-</w:t>
      </w:r>
      <w:r>
        <w:t xml:space="preserve"> </w:t>
      </w:r>
      <w:r>
        <w:rPr>
          <w:b/>
          <w:bCs/>
        </w:rPr>
        <w:t xml:space="preserve">Encéphalopathie, neuropathie périphérique préexistante</w:t>
      </w:r>
      <w:r>
        <w:t xml:space="preserve"> </w:t>
      </w:r>
      <w:r>
        <w:t xml:space="preserve">(aggravation).</w:t>
      </w:r>
      <w:r>
        <w:t xml:space="preserve"> </w:t>
      </w:r>
      <w:r>
        <w:t xml:space="preserve">-</w:t>
      </w:r>
      <w:r>
        <w:t xml:space="preserve"> </w:t>
      </w:r>
      <w:r>
        <w:rPr>
          <w:b/>
          <w:bCs/>
        </w:rPr>
        <w:t xml:space="preserve">Porphyrie aiguë</w:t>
      </w:r>
      <w:r>
        <w:t xml:space="preserve"> </w:t>
      </w:r>
      <w:r>
        <w:t xml:space="preserve">(potentialisation).</w:t>
      </w:r>
      <w:r>
        <w:t xml:space="preserve"> </w:t>
      </w:r>
      <w:r>
        <w:t xml:space="preserve">- Effets Indésirables :</w:t>
      </w:r>
      <w:r>
        <w:t xml:space="preserve"> </w:t>
      </w:r>
      <w:r>
        <w:t xml:space="preserve">-</w:t>
      </w:r>
      <w:r>
        <w:t xml:space="preserve"> </w:t>
      </w:r>
      <w:r>
        <w:rPr>
          <w:b/>
          <w:bCs/>
        </w:rPr>
        <w:t xml:space="preserve">Gastro-intestinaux</w:t>
      </w:r>
      <w:r>
        <w:t xml:space="preserve"> </w:t>
      </w:r>
      <w:r>
        <w:t xml:space="preserve">(très fréquents) : goût métallique (cylindrique, dose-dépendant), nausées, vomissements, anorexie, diarrhée, douleurs épigastriques, langue pâteuse, candidose orale.</w:t>
      </w:r>
      <w:r>
        <w:t xml:space="preserve"> </w:t>
      </w:r>
      <w:r>
        <w:t xml:space="preserve">-</w:t>
      </w:r>
      <w:r>
        <w:t xml:space="preserve"> </w:t>
      </w:r>
      <w:r>
        <w:rPr>
          <w:b/>
          <w:bCs/>
        </w:rPr>
        <w:t xml:space="preserve">Neurologiques</w:t>
      </w:r>
      <w:r>
        <w:t xml:space="preserve"> </w:t>
      </w:r>
      <w:r>
        <w:t xml:space="preserve">(gravité liée à la dose cumulée) :</w:t>
      </w:r>
      <w:r>
        <w:t xml:space="preserve"> </w:t>
      </w:r>
      <w:r>
        <w:t xml:space="preserve">-</w:t>
      </w:r>
      <w:r>
        <w:t xml:space="preserve"> </w:t>
      </w:r>
      <w:r>
        <w:rPr>
          <w:b/>
          <w:bCs/>
        </w:rPr>
        <w:t xml:space="preserve">Neuropathie périphérique sensitive</w:t>
      </w:r>
      <w:r>
        <w:t xml:space="preserve"> </w:t>
      </w:r>
      <w:r>
        <w:t xml:space="preserve">(surtout si traitement &gt; 14 j) : paresthésies, dysesthésies des extrémités, souvent régressive à l’arrêt mais pouvant persister ;</w:t>
      </w:r>
      <w:r>
        <w:t xml:space="preserve"> </w:t>
      </w:r>
      <w:r>
        <w:t xml:space="preserve">-</w:t>
      </w:r>
      <w:r>
        <w:t xml:space="preserve"> </w:t>
      </w:r>
      <w:r>
        <w:rPr>
          <w:b/>
          <w:bCs/>
        </w:rPr>
        <w:t xml:space="preserve">Encéphalopathie cérébelleuse</w:t>
      </w:r>
      <w:r>
        <w:t xml:space="preserve"> </w:t>
      </w:r>
      <w:r>
        <w:t xml:space="preserve">(syndrome cérébelleux : ataxie, dysarthrie, nystagmus) ;</w:t>
      </w:r>
      <w:r>
        <w:t xml:space="preserve"> </w:t>
      </w:r>
      <w:r>
        <w:t xml:space="preserve">-</w:t>
      </w:r>
      <w:r>
        <w:t xml:space="preserve"> </w:t>
      </w:r>
      <w:r>
        <w:rPr>
          <w:b/>
          <w:bCs/>
        </w:rPr>
        <w:t xml:space="preserve">Convulsions</w:t>
      </w:r>
      <w:r>
        <w:t xml:space="preserve"> </w:t>
      </w:r>
      <w:r>
        <w:t xml:space="preserve">(doses élevées) ;</w:t>
      </w:r>
      <w:r>
        <w:t xml:space="preserve"> </w:t>
      </w:r>
      <w:r>
        <w:t xml:space="preserve">-</w:t>
      </w:r>
      <w:r>
        <w:t xml:space="preserve"> </w:t>
      </w:r>
      <w:r>
        <w:rPr>
          <w:b/>
          <w:bCs/>
        </w:rPr>
        <w:t xml:space="preserve">Encéphalopathie toxique</w:t>
      </w:r>
      <w:r>
        <w:t xml:space="preserve"> </w:t>
      </w:r>
      <w:r>
        <w:t xml:space="preserve">avec démyélinisation (imagerie IRM : lésions du dentelé cérébelleux et splénium du corps calleux) — réversible à l’arrêt précoce.</w:t>
      </w:r>
      <w:r>
        <w:t xml:space="preserve"> </w:t>
      </w:r>
      <w:r>
        <w:t xml:space="preserve">-</w:t>
      </w:r>
      <w:r>
        <w:t xml:space="preserve"> </w:t>
      </w:r>
      <w:r>
        <w:rPr>
          <w:b/>
          <w:bCs/>
        </w:rPr>
        <w:t xml:space="preserve">Psychiatriques</w:t>
      </w:r>
      <w:r>
        <w:t xml:space="preserve"> </w:t>
      </w:r>
      <w:r>
        <w:t xml:space="preserve">: dysphorie, irritabilité, dépression (rares).</w:t>
      </w:r>
      <w:r>
        <w:t xml:space="preserve"> </w:t>
      </w:r>
      <w:r>
        <w:t xml:space="preserve">-</w:t>
      </w:r>
      <w:r>
        <w:t xml:space="preserve"> </w:t>
      </w:r>
      <w:r>
        <w:rPr>
          <w:b/>
          <w:bCs/>
        </w:rPr>
        <w:t xml:space="preserve">Cutanés</w:t>
      </w:r>
      <w:r>
        <w:t xml:space="preserve"> </w:t>
      </w:r>
      <w:r>
        <w:t xml:space="preserve">: rash, urticaire, prurit, flush ; SJS / TEN (exceptionnel) ; candidose cutanéo-muqueuse.</w:t>
      </w:r>
      <w:r>
        <w:t xml:space="preserve"> </w:t>
      </w:r>
      <w:r>
        <w:t xml:space="preserve">-</w:t>
      </w:r>
      <w:r>
        <w:t xml:space="preserve"> </w:t>
      </w:r>
      <w:r>
        <w:rPr>
          <w:b/>
          <w:bCs/>
        </w:rPr>
        <w:t xml:space="preserve">Hématologiques</w:t>
      </w:r>
      <w:r>
        <w:t xml:space="preserve"> </w:t>
      </w:r>
      <w:r>
        <w:t xml:space="preserve">(rares, traitement prolongé) : leucopénie modérée, thrombopénie, agranulocytose (exceptionnelle).</w:t>
      </w:r>
      <w:r>
        <w:t xml:space="preserve"> </w:t>
      </w:r>
      <w:r>
        <w:t xml:space="preserve">-</w:t>
      </w:r>
      <w:r>
        <w:t xml:space="preserve"> </w:t>
      </w:r>
      <w:r>
        <w:rPr>
          <w:b/>
          <w:bCs/>
        </w:rPr>
        <w:t xml:space="preserve">Hépatiques</w:t>
      </w:r>
      <w:r>
        <w:t xml:space="preserve"> </w:t>
      </w:r>
      <w:r>
        <w:t xml:space="preserve">: élévation modérée des transaminases (dose-dépendante), hépatite cholestatique rare.</w:t>
      </w:r>
      <w:r>
        <w:t xml:space="preserve"> </w:t>
      </w:r>
      <w:r>
        <w:t xml:space="preserve">-</w:t>
      </w:r>
      <w:r>
        <w:t xml:space="preserve"> </w:t>
      </w:r>
      <w:r>
        <w:rPr>
          <w:b/>
          <w:bCs/>
        </w:rPr>
        <w:t xml:space="preserve">Cardiovasculaires</w:t>
      </w:r>
      <w:r>
        <w:t xml:space="preserve"> </w:t>
      </w:r>
      <w:r>
        <w:t xml:space="preserve">: aplatissement de l’onde T à l’ECG (doses élevées, prolongées).</w:t>
      </w:r>
      <w:r>
        <w:t xml:space="preserve"> </w:t>
      </w:r>
      <w:r>
        <w:t xml:space="preserve">-</w:t>
      </w:r>
      <w:r>
        <w:t xml:space="preserve"> </w:t>
      </w:r>
      <w:r>
        <w:rPr>
          <w:b/>
          <w:bCs/>
        </w:rPr>
        <w:t xml:space="preserve">Locaux (forme IV)</w:t>
      </w:r>
      <w:r>
        <w:t xml:space="preserve"> </w:t>
      </w:r>
      <w:r>
        <w:t xml:space="preserve">: thrombophlébite au site de perfusion (administrer lentement).</w:t>
      </w:r>
      <w:r>
        <w:t xml:space="preserve"> </w:t>
      </w:r>
      <w:r>
        <w:t xml:space="preserve">-</w:t>
      </w:r>
      <w:r>
        <w:t xml:space="preserve"> </w:t>
      </w:r>
      <w:r>
        <w:rPr>
          <w:b/>
          <w:bCs/>
        </w:rPr>
        <w:t xml:space="preserve">Locaux (forme topique)</w:t>
      </w:r>
      <w:r>
        <w:t xml:space="preserve"> </w:t>
      </w:r>
      <w:r>
        <w:t xml:space="preserve">: sensation de brûlure transitoire, sécheresse cutanée.</w:t>
      </w:r>
      <w:r>
        <w:t xml:space="preserve"> </w:t>
      </w:r>
      <w:r>
        <w:t xml:space="preserve">-</w:t>
      </w:r>
      <w:r>
        <w:t xml:space="preserve"> </w:t>
      </w:r>
      <w:r>
        <w:rPr>
          <w:b/>
          <w:bCs/>
        </w:rPr>
        <w:t xml:space="preserve">Effet Antabuse</w:t>
      </w:r>
      <w:r>
        <w:t xml:space="preserve"> </w:t>
      </w:r>
      <w:r>
        <w:t xml:space="preserve">(avec alcool) : flush, céphalées pulsatile, nausées, vomissements, hypotension, tachycardie, dyspnée — parfois sévère (hypotension menaçante).</w:t>
      </w:r>
      <w:r>
        <w:t xml:space="preserve"> </w:t>
      </w:r>
      <w:r>
        <w:t xml:space="preserve">-</w:t>
      </w:r>
      <w:r>
        <w:t xml:space="preserve"> </w:t>
      </w:r>
      <w:r>
        <w:rPr>
          <w:b/>
          <w:bCs/>
        </w:rPr>
        <w:t xml:space="preserve">Coloration des urines</w:t>
      </w:r>
      <w:r>
        <w:t xml:space="preserve"> </w:t>
      </w:r>
      <w:r>
        <w:t xml:space="preserve">en rouge-brun (métabolite chromogène).</w:t>
      </w:r>
    </w:p>
    <w:p>
      <w:pPr>
        <w:pStyle w:val="BodyText"/>
      </w:pPr>
      <w:r>
        <w:rPr>
          <w:b/>
          <w:bCs/>
        </w:rPr>
        <w:t xml:space="preserve">Prévention et Gestion des Effets Indésirables :</w:t>
      </w:r>
      <w:r>
        <w:t xml:space="preserve"> </w:t>
      </w:r>
      <w:r>
        <w:t xml:space="preserve">- Mesures Préventives :</w:t>
      </w:r>
      <w:r>
        <w:t xml:space="preserve"> </w:t>
      </w:r>
      <w:r>
        <w:t xml:space="preserve">-</w:t>
      </w:r>
      <w:r>
        <w:t xml:space="preserve"> </w:t>
      </w:r>
      <w:r>
        <w:rPr>
          <w:b/>
          <w:bCs/>
        </w:rPr>
        <w:t xml:space="preserve">Éviction STRICTE de l’alcool</w:t>
      </w:r>
      <w:r>
        <w:t xml:space="preserve"> </w:t>
      </w:r>
      <w:r>
        <w:t xml:space="preserve">pendant le traitement et</w:t>
      </w:r>
      <w:r>
        <w:t xml:space="preserve"> </w:t>
      </w:r>
      <w:r>
        <w:rPr>
          <w:b/>
          <w:bCs/>
        </w:rPr>
        <w:t xml:space="preserve">48 heures après la dernière prise</w:t>
      </w:r>
      <w:r>
        <w:t xml:space="preserve"> </w:t>
      </w:r>
      <w:r>
        <w:t xml:space="preserve">(effet Antabuse).</w:t>
      </w:r>
      <w:r>
        <w:t xml:space="preserve"> </w:t>
      </w:r>
      <w:r>
        <w:t xml:space="preserve">- Limiter la durée de traitement à 7-10 jours en moyenne ; surveillance neurologique au-delà de 14 j (interrogatoire paresthésies, ataxie).</w:t>
      </w:r>
      <w:r>
        <w:t xml:space="preserve"> </w:t>
      </w:r>
      <w:r>
        <w:t xml:space="preserve">- Prise au cours des repas pour réduire EI digestifs.</w:t>
      </w:r>
      <w:r>
        <w:t xml:space="preserve"> </w:t>
      </w:r>
      <w:r>
        <w:t xml:space="preserve">- Surveillance NFS en cas de traitement &gt; 10 j ou cure répétée.</w:t>
      </w:r>
      <w:r>
        <w:t xml:space="preserve"> </w:t>
      </w:r>
      <w:r>
        <w:t xml:space="preserve">- Adaptation posologique en IR (clairance créatinine &lt; 30 mL/min : espacer les prises à toutes les 12 h → 24 h).</w:t>
      </w:r>
      <w:r>
        <w:t xml:space="preserve"> </w:t>
      </w:r>
      <w:r>
        <w:t xml:space="preserve">- Information patient : ne pas conduire si vertiges/ataxie.</w:t>
      </w:r>
      <w:r>
        <w:t xml:space="preserve"> </w:t>
      </w:r>
      <w:r>
        <w:t xml:space="preserve">- Conduite à Tenir :</w:t>
      </w:r>
      <w:r>
        <w:t xml:space="preserve"> </w:t>
      </w:r>
      <w:r>
        <w:t xml:space="preserve">-</w:t>
      </w:r>
      <w:r>
        <w:t xml:space="preserve"> </w:t>
      </w:r>
      <w:r>
        <w:rPr>
          <w:b/>
          <w:bCs/>
        </w:rPr>
        <w:t xml:space="preserve">Apparition de paresthésies, ataxie, dysarthrie, convulsions → ARRÊT IMMÉDIAT</w:t>
      </w:r>
      <w:r>
        <w:t xml:space="preserve">, avis neurologique (IRM cérébrale).</w:t>
      </w:r>
      <w:r>
        <w:t xml:space="preserve"> </w:t>
      </w:r>
      <w:r>
        <w:t xml:space="preserve">- Neuropathie installée : arrêt, vitaminothérapie B1-B6-B12, kinésithérapie ; récupération lente (mois) parfois incomplète.</w:t>
      </w:r>
      <w:r>
        <w:t xml:space="preserve"> </w:t>
      </w:r>
      <w:r>
        <w:t xml:space="preserve">- Effet Antabuse accidentel : arrêt alcool, hydratation, antihistaminiques, surveillance hémodynamique.</w:t>
      </w:r>
    </w:p>
    <w:p>
      <w:pPr>
        <w:pStyle w:val="BodyText"/>
      </w:pPr>
      <w:r>
        <w:rPr>
          <w:b/>
          <w:bCs/>
        </w:rPr>
        <w:t xml:space="preserve">Interactions Importantes :</w:t>
      </w:r>
      <w:r>
        <w:t xml:space="preserve"> </w:t>
      </w:r>
      <w:r>
        <w:t xml:space="preserve">-</w:t>
      </w:r>
      <w:r>
        <w:t xml:space="preserve"> </w:t>
      </w:r>
      <w:r>
        <w:rPr>
          <w:b/>
          <w:bCs/>
        </w:rPr>
        <w:t xml:space="preserve">Métronidazole + alcool</w:t>
      </w:r>
      <w:r>
        <w:t xml:space="preserve"> </w:t>
      </w:r>
      <w:r>
        <w:t xml:space="preserve">:</w:t>
      </w:r>
      <w:r>
        <w:t xml:space="preserve"> </w:t>
      </w:r>
      <w:r>
        <w:rPr>
          <w:b/>
          <w:bCs/>
        </w:rPr>
        <w:t xml:space="preserve">effet Antabuse</w:t>
      </w:r>
      <w:r>
        <w:t xml:space="preserve"> </w:t>
      </w:r>
      <w:r>
        <w:t xml:space="preserve">— inhibition de l’aldéhyde-déshydrogénase (ALDH) par le métronidazole → accumulation d’acétaldéhyde toxique. Éviction alcool pendant traitement et 48 h après (et jusqu’à 72 h pour les doses élevées).</w:t>
      </w:r>
      <w:r>
        <w:t xml:space="preserve"> </w:t>
      </w:r>
      <w:r>
        <w:t xml:space="preserve">-</w:t>
      </w:r>
      <w:r>
        <w:t xml:space="preserve"> </w:t>
      </w:r>
      <w:r>
        <w:rPr>
          <w:b/>
          <w:bCs/>
        </w:rPr>
        <w:t xml:space="preserve">Métronidazole + warfarine / acénocoumarol</w:t>
      </w:r>
      <w:r>
        <w:t xml:space="preserve"> </w:t>
      </w:r>
      <w:r>
        <w:t xml:space="preserve">:</w:t>
      </w:r>
      <w:r>
        <w:t xml:space="preserve"> </w:t>
      </w:r>
      <w:r>
        <w:rPr>
          <w:b/>
          <w:bCs/>
        </w:rPr>
        <w:t xml:space="preserve">augmentation de l’INR</w:t>
      </w:r>
      <w:r>
        <w:t xml:space="preserve"> </w:t>
      </w:r>
      <w:r>
        <w:t xml:space="preserve">par inhibition du CYP2C9 (métabolisme des AVK) → risque hémorragique. Contrôle INR tous les 2-3 j, adaptation posologique AVK (réduction 25-50 %).</w:t>
      </w:r>
      <w:r>
        <w:t xml:space="preserve"> </w:t>
      </w:r>
      <w:r>
        <w:t xml:space="preserve">-</w:t>
      </w:r>
      <w:r>
        <w:t xml:space="preserve"> </w:t>
      </w:r>
      <w:r>
        <w:rPr>
          <w:b/>
          <w:bCs/>
        </w:rPr>
        <w:t xml:space="preserve">Métronidazole + disulfirame</w:t>
      </w:r>
      <w:r>
        <w:t xml:space="preserve"> </w:t>
      </w:r>
      <w:r>
        <w:t xml:space="preserve">:</w:t>
      </w:r>
      <w:r>
        <w:t xml:space="preserve"> </w:t>
      </w:r>
      <w:r>
        <w:rPr>
          <w:b/>
          <w:bCs/>
        </w:rPr>
        <w:t xml:space="preserve">CI absolue</w:t>
      </w:r>
      <w:r>
        <w:t xml:space="preserve"> </w:t>
      </w:r>
      <w:r>
        <w:t xml:space="preserve">(risque de psychose aiguë, confusion, délire paragénital).</w:t>
      </w:r>
      <w:r>
        <w:t xml:space="preserve"> </w:t>
      </w:r>
      <w:r>
        <w:t xml:space="preserve">-</w:t>
      </w:r>
      <w:r>
        <w:t xml:space="preserve"> </w:t>
      </w:r>
      <w:r>
        <w:rPr>
          <w:b/>
          <w:bCs/>
        </w:rPr>
        <w:t xml:space="preserve">Métronidazole + busulfan</w:t>
      </w:r>
      <w:r>
        <w:t xml:space="preserve"> </w:t>
      </w:r>
      <w:r>
        <w:t xml:space="preserve">: augmentation des concentrations de busulfan (inhibition CYP) → toxicité hépatique, VOD (maladie veino-occlusive).</w:t>
      </w:r>
      <w:r>
        <w:t xml:space="preserve"> </w:t>
      </w:r>
      <w:r>
        <w:t xml:space="preserve">-</w:t>
      </w:r>
      <w:r>
        <w:t xml:space="preserve"> </w:t>
      </w:r>
      <w:r>
        <w:rPr>
          <w:b/>
          <w:bCs/>
        </w:rPr>
        <w:t xml:space="preserve">Métronidazole + phénytoïne</w:t>
      </w:r>
      <w:r>
        <w:t xml:space="preserve"> </w:t>
      </w:r>
      <w:r>
        <w:t xml:space="preserve">: inhibition du métabolisme → surdosage phénytoïne (ataxie, nystagmus).</w:t>
      </w:r>
      <w:r>
        <w:t xml:space="preserve"> </w:t>
      </w:r>
      <w:r>
        <w:t xml:space="preserve">-</w:t>
      </w:r>
      <w:r>
        <w:t xml:space="preserve"> </w:t>
      </w:r>
      <w:r>
        <w:rPr>
          <w:b/>
          <w:bCs/>
        </w:rPr>
        <w:t xml:space="preserve">Métronidazole + fluorouracile (5-FU)</w:t>
      </w:r>
      <w:r>
        <w:t xml:space="preserve"> </w:t>
      </w:r>
      <w:r>
        <w:t xml:space="preserve">: diminution de la clairance du 5-FU → toxicité hématologique et digestive majeure.</w:t>
      </w:r>
      <w:r>
        <w:t xml:space="preserve"> </w:t>
      </w:r>
      <w:r>
        <w:t xml:space="preserve">-</w:t>
      </w:r>
      <w:r>
        <w:t xml:space="preserve"> </w:t>
      </w:r>
      <w:r>
        <w:rPr>
          <w:b/>
          <w:bCs/>
        </w:rPr>
        <w:t xml:space="preserve">Métronidazole + lithium</w:t>
      </w:r>
      <w:r>
        <w:t xml:space="preserve"> </w:t>
      </w:r>
      <w:r>
        <w:t xml:space="preserve">: diminution de l’excrétion rénale → toxicité lithium (tremblements, confusion).</w:t>
      </w:r>
      <w:r>
        <w:t xml:space="preserve"> </w:t>
      </w:r>
      <w:r>
        <w:t xml:space="preserve">-</w:t>
      </w:r>
      <w:r>
        <w:t xml:space="preserve"> </w:t>
      </w:r>
      <w:r>
        <w:rPr>
          <w:b/>
          <w:bCs/>
        </w:rPr>
        <w:t xml:space="preserve">Métronidazole + cimétidine</w:t>
      </w:r>
      <w:r>
        <w:t xml:space="preserve"> </w:t>
      </w:r>
      <w:r>
        <w:t xml:space="preserve">: diminution du métabolisme du métronidazole → augmentation concentrations.</w:t>
      </w:r>
      <w:r>
        <w:t xml:space="preserve"> </w:t>
      </w:r>
      <w:r>
        <w:t xml:space="preserve">-</w:t>
      </w:r>
      <w:r>
        <w:t xml:space="preserve"> </w:t>
      </w:r>
      <w:r>
        <w:rPr>
          <w:b/>
          <w:bCs/>
        </w:rPr>
        <w:t xml:space="preserve">Métronidazole + phénobarbital / rifampicine</w:t>
      </w:r>
      <w:r>
        <w:t xml:space="preserve"> </w:t>
      </w:r>
      <w:r>
        <w:t xml:space="preserve">: induction enzymatique → diminution efficacité du métronidazole.</w:t>
      </w:r>
      <w:r>
        <w:t xml:space="preserve"> </w:t>
      </w:r>
      <w:r>
        <w:t xml:space="preserve">-</w:t>
      </w:r>
      <w:r>
        <w:t xml:space="preserve"> </w:t>
      </w:r>
      <w:r>
        <w:rPr>
          <w:b/>
          <w:bCs/>
        </w:rPr>
        <w:t xml:space="preserve">Métronidazole + ciclosporine / tacrolimus</w:t>
      </w:r>
      <w:r>
        <w:t xml:space="preserve"> </w:t>
      </w:r>
      <w:r>
        <w:t xml:space="preserve">: augmentation concentration immunosuppressive (inhibition CYP3A4) → néphrotoxicité.</w:t>
      </w:r>
      <w:r>
        <w:t xml:space="preserve"> </w:t>
      </w:r>
      <w:r>
        <w:t xml:space="preserve">-</w:t>
      </w:r>
      <w:r>
        <w:t xml:space="preserve"> </w:t>
      </w:r>
      <w:r>
        <w:rPr>
          <w:b/>
          <w:bCs/>
        </w:rPr>
        <w:t xml:space="preserve">Métronidazole + contraceptifs oraux</w:t>
      </w:r>
      <w:r>
        <w:t xml:space="preserve"> </w:t>
      </w:r>
      <w:r>
        <w:t xml:space="preserve">: théoriquement efficacité diminuée (modification flore intestinale → diminution recyclage entéro-hépatique des estrogènes) — méthode complémentaire conseillée.</w:t>
      </w:r>
    </w:p>
    <w:p>
      <w:pPr>
        <w:pStyle w:val="BodyText"/>
      </w:pPr>
      <w:r>
        <w:rPr>
          <w:b/>
          <w:bCs/>
        </w:rPr>
        <w:t xml:space="preserve">Grossesse et Allaitement :</w:t>
      </w:r>
      <w:r>
        <w:t xml:space="preserve"> </w:t>
      </w:r>
      <w:r>
        <w:t xml:space="preserve">- Grossesse :</w:t>
      </w:r>
      <w:r>
        <w:t xml:space="preserve"> </w:t>
      </w:r>
      <w:r>
        <w:t xml:space="preserve">-</w:t>
      </w:r>
      <w:r>
        <w:t xml:space="preserve"> </w:t>
      </w:r>
      <w:r>
        <w:rPr>
          <w:b/>
          <w:bCs/>
        </w:rPr>
        <w:t xml:space="preserve">1er trimestre (S1-S13)</w:t>
      </w:r>
      <w:r>
        <w:t xml:space="preserve"> </w:t>
      </w:r>
      <w:r>
        <w:t xml:space="preserve">: CI ABSOLUE (potentiel mutagène et tératogène en raison de l’interaction avec l’ADN) — préférer autres alternatives (clindamycine pour vaginose, spiramycine pour toxoplasmose).</w:t>
      </w:r>
      <w:r>
        <w:t xml:space="preserve"> </w:t>
      </w:r>
      <w:r>
        <w:t xml:space="preserve">-</w:t>
      </w:r>
      <w:r>
        <w:t xml:space="preserve"> </w:t>
      </w:r>
      <w:r>
        <w:rPr>
          <w:b/>
          <w:bCs/>
        </w:rPr>
        <w:t xml:space="preserve">2e et 3e trimestres</w:t>
      </w:r>
      <w:r>
        <w:t xml:space="preserve"> </w:t>
      </w:r>
      <w:r>
        <w:t xml:space="preserve">: usage ponctuel possible (2-3 jours) pour infection documentée à anaérobie ou trichomonase symptomatique, à la dose minimale efficace — en l’absence d’alternative valable.</w:t>
      </w:r>
      <w:r>
        <w:t xml:space="preserve"> </w:t>
      </w:r>
      <w:r>
        <w:t xml:space="preserve">- Vaginose bactérienne asymptomatique chez femme enceinte à risque d’accouchement prématuré : dépistage et traitement au 2e trimestre recommandé (métronidazole PO 500 mg × 2/j × 7 j) — bénéfice &gt; risque materno-fœtal.</w:t>
      </w:r>
      <w:r>
        <w:t xml:space="preserve"> </w:t>
      </w:r>
      <w:r>
        <w:t xml:space="preserve">- Allaitement : suspension de l’allaitement pendant le traitement et</w:t>
      </w:r>
      <w:r>
        <w:t xml:space="preserve"> </w:t>
      </w:r>
      <w:r>
        <w:rPr>
          <w:b/>
          <w:bCs/>
        </w:rPr>
        <w:t xml:space="preserve">24-48 h après la dernière prise</w:t>
      </w:r>
      <w:r>
        <w:t xml:space="preserve"> </w:t>
      </w:r>
      <w:r>
        <w:t xml:space="preserve">(passage dans le lait, goût métallique, effet cytotoxique théorique sur le nourrisson). Tirer et jeter le lait pendant cette période.</w:t>
      </w:r>
      <w:r>
        <w:t xml:space="preserve"> </w:t>
      </w:r>
      <w:r>
        <w:t xml:space="preserve">- Précisions CRAT : le métronidazole en prise unique (2 g) pour trichomonase pendant le 2e/3e trimestre est acceptable (demi-vie d’environ 8 h → 24 h de wash-out).</w:t>
      </w:r>
    </w:p>
    <w:p>
      <w:pPr>
        <w:pStyle w:val="BodyText"/>
      </w:pPr>
      <w:r>
        <w:rPr>
          <w:b/>
          <w:bCs/>
        </w:rPr>
        <w:t xml:space="preserve">Posologie et Mode d’administration (Standard) :</w:t>
      </w:r>
      <w:r>
        <w:t xml:space="preserve"> </w:t>
      </w:r>
      <w:r>
        <w:t xml:space="preserve">- Adulte :</w:t>
      </w:r>
      <w:r>
        <w:t xml:space="preserve"> </w:t>
      </w:r>
      <w:r>
        <w:t xml:space="preserve">-</w:t>
      </w:r>
      <w:r>
        <w:t xml:space="preserve"> </w:t>
      </w:r>
      <w:r>
        <w:rPr>
          <w:b/>
          <w:bCs/>
        </w:rPr>
        <w:t xml:space="preserve">Infection à anaérobies (PO)</w:t>
      </w:r>
      <w:r>
        <w:t xml:space="preserve"> </w:t>
      </w:r>
      <w:r>
        <w:t xml:space="preserve">: 500 mg × 3/j pendant 7-10 j (parfois jusqu’à 14 j pour abcès cérébral, endocardite).</w:t>
      </w:r>
      <w:r>
        <w:t xml:space="preserve"> </w:t>
      </w:r>
      <w:r>
        <w:t xml:space="preserve">-</w:t>
      </w:r>
      <w:r>
        <w:t xml:space="preserve"> </w:t>
      </w:r>
      <w:r>
        <w:rPr>
          <w:b/>
          <w:bCs/>
        </w:rPr>
        <w:t xml:space="preserve">Infection à anaérobies (IV)</w:t>
      </w:r>
      <w:r>
        <w:t xml:space="preserve"> </w:t>
      </w:r>
      <w:r>
        <w:t xml:space="preserve">: 500 mg × 3/j en perfusion de 30-60 min, switch PO dès que possible.</w:t>
      </w:r>
      <w:r>
        <w:t xml:space="preserve"> </w:t>
      </w:r>
      <w:r>
        <w:t xml:space="preserve">-</w:t>
      </w:r>
      <w:r>
        <w:t xml:space="preserve"> </w:t>
      </w:r>
      <w:r>
        <w:rPr>
          <w:b/>
          <w:bCs/>
        </w:rPr>
        <w:t xml:space="preserve">Dose maximale</w:t>
      </w:r>
      <w:r>
        <w:t xml:space="preserve"> </w:t>
      </w:r>
      <w:r>
        <w:t xml:space="preserve">: 4 g/j.</w:t>
      </w:r>
      <w:r>
        <w:t xml:space="preserve"> </w:t>
      </w:r>
      <w:r>
        <w:t xml:space="preserve">-</w:t>
      </w:r>
      <w:r>
        <w:t xml:space="preserve"> </w:t>
      </w:r>
      <w:r>
        <w:rPr>
          <w:b/>
          <w:bCs/>
        </w:rPr>
        <w:t xml:space="preserve">Amibiase intestinale</w:t>
      </w:r>
      <w:r>
        <w:t xml:space="preserve"> </w:t>
      </w:r>
      <w:r>
        <w:t xml:space="preserve">: 1,5 g/j en 3 prises × 7 j.</w:t>
      </w:r>
      <w:r>
        <w:t xml:space="preserve"> </w:t>
      </w:r>
      <w:r>
        <w:t xml:space="preserve">-</w:t>
      </w:r>
      <w:r>
        <w:t xml:space="preserve"> </w:t>
      </w:r>
      <w:r>
        <w:rPr>
          <w:b/>
          <w:bCs/>
        </w:rPr>
        <w:t xml:space="preserve">Amibiase hépatique (abcès)</w:t>
      </w:r>
      <w:r>
        <w:t xml:space="preserve"> </w:t>
      </w:r>
      <w:r>
        <w:t xml:space="preserve">: 1,5 g/j en 3 prises × 10 j (associé à drainage).</w:t>
      </w:r>
      <w:r>
        <w:t xml:space="preserve"> </w:t>
      </w:r>
      <w:r>
        <w:t xml:space="preserve">-</w:t>
      </w:r>
      <w:r>
        <w:t xml:space="preserve"> </w:t>
      </w:r>
      <w:r>
        <w:rPr>
          <w:b/>
          <w:bCs/>
        </w:rPr>
        <w:t xml:space="preserve">Giardiose</w:t>
      </w:r>
      <w:r>
        <w:t xml:space="preserve"> </w:t>
      </w:r>
      <w:r>
        <w:t xml:space="preserve">: 2 g en monodose ou 250-500 mg × 2/j × 5-7 j.</w:t>
      </w:r>
      <w:r>
        <w:t xml:space="preserve"> </w:t>
      </w:r>
      <w:r>
        <w:t xml:space="preserve">-</w:t>
      </w:r>
      <w:r>
        <w:t xml:space="preserve"> </w:t>
      </w:r>
      <w:r>
        <w:rPr>
          <w:b/>
          <w:bCs/>
        </w:rPr>
        <w:t xml:space="preserve">Trichomonase</w:t>
      </w:r>
      <w:r>
        <w:t xml:space="preserve"> </w:t>
      </w:r>
      <w:r>
        <w:t xml:space="preserve">: 2 g en monodose PO ou 500 mg × 2/j × 7 j (traitement du partenaire sexuel systématique).</w:t>
      </w:r>
      <w:r>
        <w:t xml:space="preserve"> </w:t>
      </w:r>
      <w:r>
        <w:t xml:space="preserve">-</w:t>
      </w:r>
      <w:r>
        <w:t xml:space="preserve"> </w:t>
      </w:r>
      <w:r>
        <w:rPr>
          <w:b/>
          <w:bCs/>
        </w:rPr>
        <w:t xml:space="preserve">Vaginose bactérienne</w:t>
      </w:r>
      <w:r>
        <w:t xml:space="preserve"> </w:t>
      </w:r>
      <w:r>
        <w:t xml:space="preserve">: ovule 500 mg/j × 7 j ou PO 500 mg × 2/j × 7 j.</w:t>
      </w:r>
      <w:r>
        <w:t xml:space="preserve"> </w:t>
      </w:r>
      <w:r>
        <w:t xml:space="preserve">-</w:t>
      </w:r>
      <w:r>
        <w:t xml:space="preserve"> </w:t>
      </w:r>
      <w:r>
        <w:rPr>
          <w:b/>
          <w:bCs/>
        </w:rPr>
        <w:t xml:space="preserve">Pseudomembrane colique (C. difficile)</w:t>
      </w:r>
      <w:r>
        <w:t xml:space="preserve"> </w:t>
      </w:r>
      <w:r>
        <w:t xml:space="preserve">: 500 mg × 3-4/j PO × 10-14 j.</w:t>
      </w:r>
      <w:r>
        <w:t xml:space="preserve"> </w:t>
      </w:r>
      <w:r>
        <w:t xml:space="preserve">-</w:t>
      </w:r>
      <w:r>
        <w:t xml:space="preserve"> </w:t>
      </w:r>
      <w:r>
        <w:rPr>
          <w:b/>
          <w:bCs/>
        </w:rPr>
        <w:t xml:space="preserve">Helicobacter pylori</w:t>
      </w:r>
      <w:r>
        <w:t xml:space="preserve"> </w:t>
      </w:r>
      <w:r>
        <w:t xml:space="preserve">: 500 mg × 2-3/j pendant 7-14 j (en quadrithérapie).</w:t>
      </w:r>
      <w:r>
        <w:t xml:space="preserve"> </w:t>
      </w:r>
      <w:r>
        <w:t xml:space="preserve">-</w:t>
      </w:r>
      <w:r>
        <w:t xml:space="preserve"> </w:t>
      </w:r>
      <w:r>
        <w:rPr>
          <w:b/>
          <w:bCs/>
        </w:rPr>
        <w:t xml:space="preserve">Rosacée</w:t>
      </w:r>
      <w:r>
        <w:t xml:space="preserve"> </w:t>
      </w:r>
      <w:r>
        <w:t xml:space="preserve">(gel topique) : application 2×/j pendant 2-9 mois.</w:t>
      </w:r>
      <w:r>
        <w:t xml:space="preserve"> </w:t>
      </w:r>
      <w:r>
        <w:t xml:space="preserve">-</w:t>
      </w:r>
      <w:r>
        <w:t xml:space="preserve"> </w:t>
      </w:r>
      <w:r>
        <w:rPr>
          <w:b/>
          <w:bCs/>
        </w:rPr>
        <w:t xml:space="preserve">Prophylaxie chirurgicale</w:t>
      </w:r>
      <w:r>
        <w:t xml:space="preserve"> </w:t>
      </w:r>
      <w:r>
        <w:t xml:space="preserve">: 500 mg IV à l’induction, renouvelable si intervention &gt; 4 h.</w:t>
      </w:r>
      <w:r>
        <w:t xml:space="preserve"> </w:t>
      </w:r>
      <w:r>
        <w:t xml:space="preserve">- Enfant :</w:t>
      </w:r>
      <w:r>
        <w:t xml:space="preserve"> </w:t>
      </w:r>
      <w:r>
        <w:t xml:space="preserve">- 20-30 mg/kg/j en 3 prises PO ou IV.</w:t>
      </w:r>
      <w:r>
        <w:t xml:space="preserve"> </w:t>
      </w:r>
      <w:r>
        <w:t xml:space="preserve">- Prise unique 30-50 mg/kg pour giardiose/trichomonase.</w:t>
      </w:r>
      <w:r>
        <w:t xml:space="preserve"> </w:t>
      </w:r>
      <w:r>
        <w:t xml:space="preserve">- Mode d’administration :</w:t>
      </w:r>
      <w:r>
        <w:t xml:space="preserve"> </w:t>
      </w:r>
      <w:r>
        <w:t xml:space="preserve">- PO : pendant les repas (réduction EI digestifs), à heures fixes.</w:t>
      </w:r>
      <w:r>
        <w:t xml:space="preserve"> </w:t>
      </w:r>
      <w:r>
        <w:t xml:space="preserve">- IV : perfusion LENTE (30-60 min pour 500 mg) dans 100 mL NaCl 0,9 % ou G5%, jamais en bolus direct.</w:t>
      </w:r>
      <w:r>
        <w:t xml:space="preserve"> </w:t>
      </w:r>
      <w:r>
        <w:t xml:space="preserve">- Ovule : le soir au coucher, profondément dans le vagin, en décubitus dorsal.</w:t>
      </w:r>
      <w:r>
        <w:t xml:space="preserve"> </w:t>
      </w:r>
      <w:r>
        <w:t xml:space="preserve">- Gel dermique : application sur peau propre et sèche, 2×/j, éviter contour des yeux et des lèvres.</w:t>
      </w:r>
    </w:p>
    <w:p>
      <w:pPr>
        <w:pStyle w:val="BodyText"/>
      </w:pPr>
      <w:r>
        <w:rPr>
          <w:b/>
          <w:bCs/>
        </w:rPr>
        <w:t xml:space="preserve">Arbitrage et Bénéfices des Formes Galéniques :</w:t>
      </w:r>
      <w:r>
        <w:t xml:space="preserve"> </w:t>
      </w:r>
      <w:r>
        <w:t xml:space="preserve">-</w:t>
      </w:r>
      <w:r>
        <w:t xml:space="preserve"> </w:t>
      </w:r>
      <w:r>
        <w:rPr>
          <w:b/>
          <w:bCs/>
        </w:rPr>
        <w:t xml:space="preserve">Forme orale comprimé</w:t>
      </w:r>
      <w:r>
        <w:t xml:space="preserve"> </w:t>
      </w:r>
      <w:r>
        <w:t xml:space="preserve">: biodisponibilité ≈ 100 %, équivalence IV/PO — à privilégier (économies, simplification).</w:t>
      </w:r>
      <w:r>
        <w:t xml:space="preserve"> </w:t>
      </w:r>
      <w:r>
        <w:t xml:space="preserve">-</w:t>
      </w:r>
      <w:r>
        <w:t xml:space="preserve"> </w:t>
      </w:r>
      <w:r>
        <w:rPr>
          <w:b/>
          <w:bCs/>
        </w:rPr>
        <w:t xml:space="preserve">Forme suspension buvable</w:t>
      </w:r>
      <w:r>
        <w:t xml:space="preserve"> </w:t>
      </w:r>
      <w:r>
        <w:t xml:space="preserve">: pédiatrie et sujets incapables d’avaler cp.</w:t>
      </w:r>
      <w:r>
        <w:t xml:space="preserve"> </w:t>
      </w:r>
      <w:r>
        <w:t xml:space="preserve">-</w:t>
      </w:r>
      <w:r>
        <w:t xml:space="preserve"> </w:t>
      </w:r>
      <w:r>
        <w:rPr>
          <w:b/>
          <w:bCs/>
        </w:rPr>
        <w:t xml:space="preserve">Forme IV</w:t>
      </w:r>
      <w:r>
        <w:t xml:space="preserve"> </w:t>
      </w:r>
      <w:r>
        <w:t xml:space="preserve">: vomissements, sepsis sévère, impossibilité PO. Switch PO dès tolérance digestive.</w:t>
      </w:r>
      <w:r>
        <w:t xml:space="preserve"> </w:t>
      </w:r>
      <w:r>
        <w:t xml:space="preserve">-</w:t>
      </w:r>
      <w:r>
        <w:t xml:space="preserve"> </w:t>
      </w:r>
      <w:r>
        <w:rPr>
          <w:b/>
          <w:bCs/>
        </w:rPr>
        <w:t xml:space="preserve">Ovule vaginal</w:t>
      </w:r>
      <w:r>
        <w:t xml:space="preserve"> </w:t>
      </w:r>
      <w:r>
        <w:t xml:space="preserve">: traitement local de la vaginose et trichomonase, moins EI systémiques que PO.</w:t>
      </w:r>
      <w:r>
        <w:t xml:space="preserve"> </w:t>
      </w:r>
      <w:r>
        <w:t xml:space="preserve">-</w:t>
      </w:r>
      <w:r>
        <w:t xml:space="preserve"> </w:t>
      </w:r>
      <w:r>
        <w:rPr>
          <w:b/>
          <w:bCs/>
        </w:rPr>
        <w:t xml:space="preserve">Gel dermique 0,75 %</w:t>
      </w:r>
      <w:r>
        <w:t xml:space="preserve"> </w:t>
      </w:r>
      <w:r>
        <w:t xml:space="preserve">: rosacée papulo-pustuleuse ; action anti-inflammatoire locale, faibles concentrations systémiques.</w:t>
      </w:r>
      <w:r>
        <w:t xml:space="preserve"> </w:t>
      </w:r>
      <w:r>
        <w:t xml:space="preserve">- En cas de longue durée (abcès cérébral, endocardite) : surveillance neurologique et IRM si symptômes.</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 </w:t>
      </w:r>
      <w:r>
        <w:rPr>
          <w:b/>
          <w:bCs/>
        </w:rPr>
        <w:t xml:space="preserve">« INTERDICTION ABSOLUE D’ALCOOL pendant tout le traitement ET 48 heures après la dernière prise »</w:t>
      </w:r>
      <w:r>
        <w:t xml:space="preserve"> </w:t>
      </w:r>
      <w:r>
        <w:t xml:space="preserve">— y compris aliments contenant de l’alcool (certaines sauces, sirops antitussifs alcoolisés, elixirs parapharmaceutiques, eaux de Cologne ingérées accidentellement).</w:t>
      </w:r>
      <w:r>
        <w:t xml:space="preserve"> </w:t>
      </w:r>
      <w:r>
        <w:t xml:space="preserve">- « Prenez ce médicament pendant les repas, à heures régulières ».</w:t>
      </w:r>
      <w:r>
        <w:t xml:space="preserve"> </w:t>
      </w:r>
      <w:r>
        <w:t xml:space="preserve">- « Vous pouvez ressentir un goût métallique dans la bouche : c’est normal et transitoire ».</w:t>
      </w:r>
      <w:r>
        <w:t xml:space="preserve"> </w:t>
      </w:r>
      <w:r>
        <w:t xml:space="preserve">- « Vos urines peuvent devenir rouge-brun : c’est normal ».</w:t>
      </w:r>
      <w:r>
        <w:t xml:space="preserve"> </w:t>
      </w:r>
      <w:r>
        <w:t xml:space="preserve">- « Si vous ressentez des fourmillements, des engourdissements, des vertiges ou des difficultés à marcher, arrêtez le traitement et consultez immédiatement ».</w:t>
      </w:r>
      <w:r>
        <w:t xml:space="preserve"> </w:t>
      </w:r>
      <w:r>
        <w:t xml:space="preserve">- « Si vous prenez un anticoagulant, prévenez votre médecin : surveillance rapprochée du sang indispensable ».</w:t>
      </w:r>
      <w:r>
        <w:t xml:space="preserve"> </w:t>
      </w:r>
      <w:r>
        <w:t xml:space="preserve">- Pour la femme allaitante : « Suspendez l’allaitement pendant le traitement et 48 heures après la dernière prise ; tirez et jetez votre lait ».</w:t>
      </w:r>
      <w:r>
        <w:t xml:space="preserve"> </w:t>
      </w:r>
      <w:r>
        <w:t xml:space="preserve">- Mode d’utilisation pratique :</w:t>
      </w:r>
      <w:r>
        <w:t xml:space="preserve"> </w:t>
      </w:r>
      <w:r>
        <w:t xml:space="preserve">- Oubli &lt; 4 h : prendre la dose dès que possible.</w:t>
      </w:r>
      <w:r>
        <w:t xml:space="preserve"> </w:t>
      </w:r>
      <w:r>
        <w:t xml:space="preserve">- Oubli &gt; 4 h : sauter la dose, ne pas doubler.</w:t>
      </w:r>
      <w:r>
        <w:t xml:space="preserve"> </w:t>
      </w:r>
      <w:r>
        <w:t xml:space="preserve">- Ovule : en décubitus dorsal, au coucher, profondément.</w:t>
      </w:r>
      <w:r>
        <w:t xml:space="preserve"> </w:t>
      </w:r>
      <w:r>
        <w:t xml:space="preserve">- Suspension buvable : bien secouer avant chaque prise, utiliser cuillère-mesure.</w:t>
      </w:r>
    </w:p>
    <w:p>
      <w:pPr>
        <w:pStyle w:val="BodyText"/>
      </w:pPr>
      <w:r>
        <w:rPr>
          <w:b/>
          <w:bCs/>
        </w:rPr>
        <w:t xml:space="preserve">Notes, Règles d’Or &amp; Pièges au Comptoir :</w:t>
      </w:r>
      <w:r>
        <w:t xml:space="preserve"> </w:t>
      </w:r>
      <w:r>
        <w:t xml:space="preserve">-</w:t>
      </w:r>
      <w:r>
        <w:t xml:space="preserve"> </w:t>
      </w:r>
      <w:r>
        <w:rPr>
          <w:b/>
          <w:bCs/>
        </w:rPr>
        <w:t xml:space="preserve">Piège classique — Métronidazole + ALCOOL (effet Antabuse)</w:t>
      </w:r>
      <w:r>
        <w:t xml:space="preserve"> </w:t>
      </w:r>
      <w:r>
        <w:t xml:space="preserve">: à demander systématiquement au comptoir ; inclure aliments et médicaments alcoolisés.</w:t>
      </w:r>
      <w:r>
        <w:t xml:space="preserve"> </w:t>
      </w:r>
      <w:r>
        <w:t xml:space="preserve">-</w:t>
      </w:r>
      <w:r>
        <w:t xml:space="preserve"> </w:t>
      </w:r>
      <w:r>
        <w:rPr>
          <w:b/>
          <w:bCs/>
        </w:rPr>
        <w:t xml:space="preserve">Piège classique — Métronidazole + AVK</w:t>
      </w:r>
      <w:r>
        <w:t xml:space="preserve"> </w:t>
      </w:r>
      <w:r>
        <w:t xml:space="preserve">: interaction grave, hémorragie cérébrale possible ; toujours demander « prenez-vous un anticoagulant ? ».</w:t>
      </w:r>
      <w:r>
        <w:t xml:space="preserve"> </w:t>
      </w:r>
      <w:r>
        <w:t xml:space="preserve">-</w:t>
      </w:r>
      <w:r>
        <w:t xml:space="preserve"> </w:t>
      </w:r>
      <w:r>
        <w:rPr>
          <w:b/>
          <w:bCs/>
        </w:rPr>
        <w:t xml:space="preserve">Piège classique — Neuropathie périphérique</w:t>
      </w:r>
      <w:r>
        <w:t xml:space="preserve"> </w:t>
      </w:r>
      <w:r>
        <w:t xml:space="preserve">: traitement prolongé &gt; 14 j → dépister paresthésies ; éviter répétition de cures.</w:t>
      </w:r>
      <w:r>
        <w:t xml:space="preserve"> </w:t>
      </w:r>
      <w:r>
        <w:t xml:space="preserve">-</w:t>
      </w:r>
      <w:r>
        <w:t xml:space="preserve"> </w:t>
      </w:r>
      <w:r>
        <w:rPr>
          <w:b/>
          <w:bCs/>
        </w:rPr>
        <w:t xml:space="preserve">Piège classique — Disulfirame</w:t>
      </w:r>
      <w:r>
        <w:t xml:space="preserve"> </w:t>
      </w:r>
      <w:r>
        <w:t xml:space="preserve">: ne JAMAIS coprescrire (psychose aiguë).</w:t>
      </w:r>
      <w:r>
        <w:t xml:space="preserve"> </w:t>
      </w:r>
      <w:r>
        <w:t xml:space="preserve">-</w:t>
      </w:r>
      <w:r>
        <w:t xml:space="preserve"> </w:t>
      </w:r>
      <w:r>
        <w:rPr>
          <w:b/>
          <w:bCs/>
        </w:rPr>
        <w:t xml:space="preserve">Règle de prise</w:t>
      </w:r>
      <w:r>
        <w:t xml:space="preserve"> </w:t>
      </w:r>
      <w:r>
        <w:t xml:space="preserve">: pendant repas, hydratation normale, pas d’alcool, 48 h après.</w:t>
      </w:r>
      <w:r>
        <w:t xml:space="preserve"> </w:t>
      </w:r>
      <w:r>
        <w:t xml:space="preserve">-</w:t>
      </w:r>
      <w:r>
        <w:t xml:space="preserve"> </w:t>
      </w:r>
      <w:r>
        <w:rPr>
          <w:b/>
          <w:bCs/>
        </w:rPr>
        <w:t xml:space="preserve">Préparation et Conservation</w:t>
      </w:r>
      <w:r>
        <w:t xml:space="preserve"> </w:t>
      </w:r>
      <w:r>
        <w:t xml:space="preserve">: cp/gélule à T° ambiante (&lt; 25 °C) ; susp buv reconstituée ≤ 14 j au réfrigérateur ; sol. inj à conserver à l’abri de la lumière ; ovule à conserver au frais (&lt; 25 °C) ; gel dermique à T° ambiante.</w:t>
      </w:r>
      <w:r>
        <w:t xml:space="preserve"> </w:t>
      </w:r>
      <w:r>
        <w:t xml:space="preserve">-</w:t>
      </w:r>
      <w:r>
        <w:t xml:space="preserve"> </w:t>
      </w:r>
      <w:r>
        <w:rPr>
          <w:b/>
          <w:bCs/>
        </w:rPr>
        <w:t xml:space="preserve">Piège du surdosage / Substitution</w:t>
      </w:r>
      <w:r>
        <w:t xml:space="preserve"> </w:t>
      </w:r>
      <w:r>
        <w:t xml:space="preserve">:</w:t>
      </w:r>
      <w:r>
        <w:t xml:space="preserve"> </w:t>
      </w:r>
      <w:r>
        <w:t xml:space="preserve">- Surdosage : convulsions, neuropathie sévère, ataxie cérébelleuse — pas d’antidote, traitement symptomatique, hémodialyse partielle.</w:t>
      </w:r>
      <w:r>
        <w:t xml:space="preserve"> </w:t>
      </w:r>
      <w:r>
        <w:t xml:space="preserve">- Substitution métronidazole ↔ tinidazole ↔ ornidazole ↔ sécnidazole : possible (réaction croisée d’allergie possible), mais vérifier dose et schéma (monodose vs biquotidien).</w:t>
      </w:r>
      <w:r>
        <w:t xml:space="preserve"> </w:t>
      </w:r>
      <w:r>
        <w:t xml:space="preserve">-</w:t>
      </w:r>
      <w:r>
        <w:t xml:space="preserve"> </w:t>
      </w:r>
      <w:r>
        <w:rPr>
          <w:b/>
          <w:bCs/>
        </w:rPr>
        <w:t xml:space="preserve">Pas de substitution</w:t>
      </w:r>
      <w:r>
        <w:t xml:space="preserve"> </w:t>
      </w:r>
      <w:r>
        <w:t xml:space="preserve">du métronidazole oral par ovule (la forme vaginale ne traite pas le partenaire ni les foyers extragénitaux).</w:t>
      </w:r>
    </w:p>
    <w:p>
      <w:r>
        <w:pict>
          <v:rect style="width:0;height:1.5pt" o:hralign="center" o:hrstd="t" o:hr="t"/>
        </w:pict>
      </w:r>
    </w:p>
    <w:bookmarkEnd w:id="177"/>
    <w:bookmarkStart w:id="178" w:name="dci-tinidazole-seule"/>
    <w:p>
      <w:pPr>
        <w:pStyle w:val="Heading3"/>
      </w:pPr>
      <w:r>
        <w:t xml:space="preserve">6.2.3. DCI : Tinidazole (Seule)</w:t>
      </w:r>
    </w:p>
    <w:p>
      <w:pPr>
        <w:pStyle w:val="FirstParagraph"/>
      </w:pPr>
      <w:r>
        <w:rPr>
          <w:b/>
          <w:bCs/>
        </w:rPr>
        <w:t xml:space="preserve">Liste des Catégories :</w:t>
      </w:r>
      <w:r>
        <w:t xml:space="preserve"> </w:t>
      </w:r>
      <w:r>
        <w:t xml:space="preserve">Antibiotique ; Antibactérien systémique ; Nitro-imidazolé ; Antiparasitaire ; J01XD02.</w:t>
      </w:r>
    </w:p>
    <w:p>
      <w:pPr>
        <w:pStyle w:val="BodyText"/>
      </w:pPr>
      <w:r>
        <w:t xml:space="preserve">Le tinidazole est un nitro-imidazolé de deuxième génération, proche du métronidazole mais caractérisé par une</w:t>
      </w:r>
      <w:r>
        <w:t xml:space="preserve"> </w:t>
      </w:r>
      <w:r>
        <w:rPr>
          <w:b/>
          <w:bCs/>
        </w:rPr>
        <w:t xml:space="preserve">demi-vie plasmatique plus longue</w:t>
      </w:r>
      <w:r>
        <w:t xml:space="preserve"> </w:t>
      </w:r>
      <w:r>
        <w:t xml:space="preserve">(12-14 h vs 8 h pour le métronidazole), permettant une</w:t>
      </w:r>
      <w:r>
        <w:t xml:space="preserve"> </w:t>
      </w:r>
      <w:r>
        <w:rPr>
          <w:b/>
          <w:bCs/>
        </w:rPr>
        <w:t xml:space="preserve">monodose</w:t>
      </w:r>
      <w:r>
        <w:t xml:space="preserve"> </w:t>
      </w:r>
      <w:r>
        <w:t xml:space="preserve">ou une posologie biquotidienne dans la plupart des indications parasitologiques et anaérobies. Sa tolérance digestive est légèrement meilleure, mais son profil d’EI (notamment neurologique) et d’interactions est identique. En Algérie, FAGyx (Biocare) et Fasigyne (Pfizer) sont disponibles en comprimés 500 mg (boîte de 4 — adaptée aux traitements courts).</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FAGYX</w:t>
      </w:r>
      <w:r>
        <w:t xml:space="preserve"> </w:t>
      </w:r>
      <w:r>
        <w:t xml:space="preserve">(BIOCARE)</w:t>
      </w:r>
      <w:r>
        <w:t xml:space="preserve"> </w:t>
      </w:r>
      <w:r>
        <w:t xml:space="preserve">- Forme et Dosage : Comprimé pelliculé 500 mg (B/4)</w:t>
      </w:r>
      <w:r>
        <w:t xml:space="preserve"> </w:t>
      </w:r>
      <w:r>
        <w:t xml:space="preserve">- Liste : Liste I</w:t>
      </w:r>
      <w:r>
        <w:t xml:space="preserve"> </w:t>
      </w:r>
      <w:r>
        <w:t xml:space="preserve">- Statut : Actif</w:t>
      </w:r>
      <w:r>
        <w:t xml:space="preserve"> </w:t>
      </w:r>
      <w:r>
        <w:t xml:space="preserve">-</w:t>
      </w:r>
      <w:r>
        <w:t xml:space="preserve"> </w:t>
      </w:r>
      <w:r>
        <w:rPr>
          <w:b/>
          <w:bCs/>
        </w:rPr>
        <w:t xml:space="preserve">FASIGYNE</w:t>
      </w:r>
      <w:r>
        <w:t xml:space="preserve"> </w:t>
      </w:r>
      <w:r>
        <w:t xml:space="preserve">(PFIZER PHARM ALGERIE)</w:t>
      </w:r>
      <w:r>
        <w:t xml:space="preserve"> </w:t>
      </w:r>
      <w:r>
        <w:t xml:space="preserve">- Forme et Dosage : Comprimé enrobé 500 mg (B/4)</w:t>
      </w:r>
      <w:r>
        <w:t xml:space="preserve"> </w:t>
      </w:r>
      <w:r>
        <w:t xml:space="preserve">- Liste : Liste I</w:t>
      </w:r>
      <w:r>
        <w:t xml:space="preserve"> </w:t>
      </w:r>
      <w:r>
        <w:t xml:space="preserve">- Statut : Actif</w:t>
      </w:r>
      <w:r>
        <w:t xml:space="preserve"> </w:t>
      </w:r>
      <w:r>
        <w:t xml:space="preserve">-</w:t>
      </w:r>
      <w:r>
        <w:t xml:space="preserve"> </w:t>
      </w:r>
      <w:r>
        <w:rPr>
          <w:b/>
          <w:bCs/>
        </w:rPr>
        <w:t xml:space="preserve">PROTOGYN</w:t>
      </w:r>
      <w:r>
        <w:t xml:space="preserve"> </w:t>
      </w:r>
      <w:r>
        <w:t xml:space="preserve">(HAYAT PHARMACEUTICAL INDUSTRIES Co LTD)</w:t>
      </w:r>
      <w:r>
        <w:t xml:space="preserve"> </w:t>
      </w:r>
      <w:r>
        <w:t xml:space="preserve">- Forme et Dosage : Comprimé 500 mg (B/4)</w:t>
      </w:r>
      <w:r>
        <w:t xml:space="preserve"> </w:t>
      </w:r>
      <w:r>
        <w:t xml:space="preserve">- Liste : Liste I</w:t>
      </w:r>
      <w:r>
        <w:t xml:space="preserve"> </w:t>
      </w:r>
      <w:r>
        <w:t xml:space="preserve">- Statut :</w:t>
      </w:r>
      <w:r>
        <w:t xml:space="preserve"> </w:t>
      </w:r>
      <w:r>
        <w:rPr>
          <w:b/>
          <w:bCs/>
        </w:rPr>
        <w:t xml:space="preserve">Non Renouvelable</w:t>
      </w:r>
      <w:r>
        <w:t xml:space="preserve"> </w:t>
      </w:r>
      <w:r>
        <w:t xml:space="preserve">-</w:t>
      </w:r>
      <w:r>
        <w:t xml:space="preserve"> </w:t>
      </w:r>
      <w:r>
        <w:rPr>
          <w:b/>
          <w:bCs/>
        </w:rPr>
        <w:t xml:space="preserve">TINI-500</w:t>
      </w:r>
      <w:r>
        <w:t xml:space="preserve"> </w:t>
      </w:r>
      <w:r>
        <w:t xml:space="preserve">(KOPRAN)</w:t>
      </w:r>
      <w:r>
        <w:t xml:space="preserve"> </w:t>
      </w:r>
      <w:r>
        <w:t xml:space="preserve">- Forme et Dosage : Comprimé 500 mg (B/4)</w:t>
      </w:r>
      <w:r>
        <w:t xml:space="preserve"> </w:t>
      </w:r>
      <w:r>
        <w:t xml:space="preserve">- Liste : Liste I</w:t>
      </w:r>
      <w:r>
        <w:t xml:space="preserve"> </w:t>
      </w:r>
      <w:r>
        <w:t xml:space="preserve">- Statut : Retiré (R)</w:t>
      </w:r>
    </w:p>
    <w:p>
      <w:pPr>
        <w:pStyle w:val="BodyText"/>
      </w:pPr>
      <w:r>
        <w:rPr>
          <w:b/>
          <w:bCs/>
        </w:rPr>
        <w:t xml:space="preserve">Sous-classe et Mécanisme d’action :</w:t>
      </w:r>
      <w:r>
        <w:t xml:space="preserve"> </w:t>
      </w:r>
      <w:r>
        <w:t xml:space="preserve">- Sous-classe : Nitro-imidazolé de 2e génération (5-nitro-imidazolé), demi-vie longue (12-14 h). Bactéricide, protozoocide, amibicide.</w:t>
      </w:r>
      <w:r>
        <w:t xml:space="preserve"> </w:t>
      </w:r>
      <w:r>
        <w:t xml:space="preserve">- Mécanisme d’action : identique au métronidazole —</w:t>
      </w:r>
      <w:r>
        <w:t xml:space="preserve"> </w:t>
      </w:r>
      <w:r>
        <w:rPr>
          <w:b/>
          <w:bCs/>
        </w:rPr>
        <w:t xml:space="preserve">réduction du groupement nitro par la ferredoxine</w:t>
      </w:r>
      <w:r>
        <w:t xml:space="preserve"> </w:t>
      </w:r>
      <w:r>
        <w:t xml:space="preserve">(PFOR) en milieu anaérobie → radical nitro anion cytotoxique → cassures de l’ADN, inhibition de la synthèse et de la réplication, altération des protéines cellulaires.</w:t>
      </w:r>
      <w:r>
        <w:t xml:space="preserve"> </w:t>
      </w:r>
      <w:r>
        <w:t xml:space="preserve">- Spectre : superposable au métronidazole (anaérobies stricts,</w:t>
      </w:r>
      <w:r>
        <w:t xml:space="preserve"> </w:t>
      </w:r>
      <w:r>
        <w:rPr>
          <w:i/>
          <w:iCs/>
        </w:rPr>
        <w:t xml:space="preserve">Trichomonas</w:t>
      </w:r>
      <w:r>
        <w:t xml:space="preserve">,</w:t>
      </w:r>
      <w:r>
        <w:t xml:space="preserve"> </w:t>
      </w:r>
      <w:r>
        <w:rPr>
          <w:i/>
          <w:iCs/>
        </w:rPr>
        <w:t xml:space="preserve">Giardia</w:t>
      </w:r>
      <w:r>
        <w:t xml:space="preserve">,</w:t>
      </w:r>
      <w:r>
        <w:t xml:space="preserve"> </w:t>
      </w:r>
      <w:r>
        <w:rPr>
          <w:i/>
          <w:iCs/>
        </w:rPr>
        <w:t xml:space="preserve">Entamoeba</w:t>
      </w:r>
      <w:r>
        <w:t xml:space="preserve">,</w:t>
      </w:r>
      <w:r>
        <w:t xml:space="preserve"> </w:t>
      </w:r>
      <w:r>
        <w:rPr>
          <w:i/>
          <w:iCs/>
        </w:rPr>
        <w:t xml:space="preserve">H. pylori</w:t>
      </w:r>
      <w:r>
        <w:t xml:space="preserve">,</w:t>
      </w:r>
      <w:r>
        <w:t xml:space="preserve"> </w:t>
      </w:r>
      <w:r>
        <w:rPr>
          <w:i/>
          <w:iCs/>
        </w:rPr>
        <w:t xml:space="preserve">Gardnerella</w:t>
      </w:r>
      <w:r>
        <w:t xml:space="preserve">).</w:t>
      </w:r>
    </w:p>
    <w:p>
      <w:pPr>
        <w:pStyle w:val="BodyText"/>
      </w:pPr>
      <w:r>
        <w:rPr>
          <w:b/>
          <w:bCs/>
        </w:rPr>
        <w:t xml:space="preserve">Profil Pharmacologique :</w:t>
      </w:r>
      <w:r>
        <w:t xml:space="preserve"> </w:t>
      </w:r>
      <w:r>
        <w:t xml:space="preserve">- Indications :</w:t>
      </w:r>
      <w:r>
        <w:t xml:space="preserve"> </w:t>
      </w:r>
      <w:r>
        <w:t xml:space="preserve">-</w:t>
      </w:r>
      <w:r>
        <w:t xml:space="preserve"> </w:t>
      </w:r>
      <w:r>
        <w:rPr>
          <w:b/>
          <w:bCs/>
        </w:rPr>
        <w:t xml:space="preserve">Trichomonase urogénitale</w:t>
      </w:r>
      <w:r>
        <w:t xml:space="preserve"> </w:t>
      </w:r>
      <w:r>
        <w:t xml:space="preserve">: 2 g en monodose (1re intention) — traitement du partenaire systématique.</w:t>
      </w:r>
      <w:r>
        <w:t xml:space="preserve"> </w:t>
      </w:r>
      <w:r>
        <w:t xml:space="preserve">-</w:t>
      </w:r>
      <w:r>
        <w:t xml:space="preserve"> </w:t>
      </w:r>
      <w:r>
        <w:rPr>
          <w:b/>
          <w:bCs/>
        </w:rPr>
        <w:t xml:space="preserve">Giardiose</w:t>
      </w:r>
      <w:r>
        <w:t xml:space="preserve"> </w:t>
      </w:r>
      <w:r>
        <w:t xml:space="preserve">: 2 g en monodose ou 1 g/j × 3 j (alternative au métronidazole).</w:t>
      </w:r>
      <w:r>
        <w:t xml:space="preserve"> </w:t>
      </w:r>
      <w:r>
        <w:t xml:space="preserve">-</w:t>
      </w:r>
      <w:r>
        <w:t xml:space="preserve"> </w:t>
      </w:r>
      <w:r>
        <w:rPr>
          <w:b/>
          <w:bCs/>
        </w:rPr>
        <w:t xml:space="preserve">Amibiase intestinale et hépatique</w:t>
      </w:r>
      <w:r>
        <w:t xml:space="preserve"> </w:t>
      </w:r>
      <w:r>
        <w:t xml:space="preserve">: 2 g/j × 3 j (intestinal) ou × 5 j (hépatique).</w:t>
      </w:r>
      <w:r>
        <w:t xml:space="preserve"> </w:t>
      </w:r>
      <w:r>
        <w:t xml:space="preserve">-</w:t>
      </w:r>
      <w:r>
        <w:t xml:space="preserve"> </w:t>
      </w:r>
      <w:r>
        <w:rPr>
          <w:b/>
          <w:bCs/>
        </w:rPr>
        <w:t xml:space="preserve">Vaginose bactérienne</w:t>
      </w:r>
      <w:r>
        <w:t xml:space="preserve"> </w:t>
      </w:r>
      <w:r>
        <w:t xml:space="preserve">: 2 g en monodose ou 1 g/j × 5 j.</w:t>
      </w:r>
      <w:r>
        <w:t xml:space="preserve"> </w:t>
      </w:r>
      <w:r>
        <w:t xml:space="preserve">-</w:t>
      </w:r>
      <w:r>
        <w:t xml:space="preserve"> </w:t>
      </w:r>
      <w:r>
        <w:rPr>
          <w:b/>
          <w:bCs/>
        </w:rPr>
        <w:t xml:space="preserve">Infections à anaérobies</w:t>
      </w:r>
      <w:r>
        <w:t xml:space="preserve"> </w:t>
      </w:r>
      <w:r>
        <w:t xml:space="preserve">: 2 g dose d’attaque, puis 1 g/j en 1-2 prises pendant 5-6 j (alternative au métronidazole, surtout utile en cas d’allergie ou d’échec).</w:t>
      </w:r>
      <w:r>
        <w:t xml:space="preserve"> </w:t>
      </w:r>
      <w:r>
        <w:t xml:space="preserve">-</w:t>
      </w:r>
      <w:r>
        <w:t xml:space="preserve"> </w:t>
      </w:r>
      <w:r>
        <w:rPr>
          <w:b/>
          <w:bCs/>
        </w:rPr>
        <w:t xml:space="preserve">Prophylaxie chirurgicale</w:t>
      </w:r>
      <w:r>
        <w:t xml:space="preserve"> </w:t>
      </w:r>
      <w:r>
        <w:t xml:space="preserve">(alternative au métronidazole) : 2 g IV à l’induction.</w:t>
      </w:r>
      <w:r>
        <w:t xml:space="preserve"> </w:t>
      </w:r>
      <w:r>
        <w:t xml:space="preserve">-</w:t>
      </w:r>
      <w:r>
        <w:t xml:space="preserve"> </w:t>
      </w:r>
      <w:r>
        <w:rPr>
          <w:b/>
          <w:bCs/>
        </w:rPr>
        <w:t xml:space="preserve">Éradication Helicobacter pylori</w:t>
      </w:r>
      <w:r>
        <w:t xml:space="preserve"> </w:t>
      </w:r>
      <w:r>
        <w:t xml:space="preserve">(alternative au métronidazole, en cas de résistance).</w:t>
      </w:r>
      <w:r>
        <w:t xml:space="preserve"> </w:t>
      </w:r>
      <w:r>
        <w:t xml:space="preserve">-</w:t>
      </w:r>
      <w:r>
        <w:t xml:space="preserve"> </w:t>
      </w:r>
      <w:r>
        <w:rPr>
          <w:b/>
          <w:bCs/>
        </w:rPr>
        <w:t xml:space="preserve">Pseudomembrane colique (C. difficile)</w:t>
      </w:r>
      <w:r>
        <w:t xml:space="preserve"> </w:t>
      </w:r>
      <w:r>
        <w:t xml:space="preserve">: alternative de 2e ligne.</w:t>
      </w:r>
      <w:r>
        <w:t xml:space="preserve"> </w:t>
      </w:r>
      <w:r>
        <w:t xml:space="preserve">- Contre-indications :</w:t>
      </w:r>
      <w:r>
        <w:t xml:space="preserve"> </w:t>
      </w:r>
      <w:r>
        <w:t xml:space="preserve">- Hypersensibilité aux nitro-imidazolés.</w:t>
      </w:r>
      <w:r>
        <w:t xml:space="preserve"> </w:t>
      </w:r>
      <w:r>
        <w:t xml:space="preserve">-</w:t>
      </w:r>
      <w:r>
        <w:t xml:space="preserve"> </w:t>
      </w:r>
      <w:r>
        <w:rPr>
          <w:b/>
          <w:bCs/>
        </w:rPr>
        <w:t xml:space="preserve">1er trimestre de grossesse</w:t>
      </w:r>
      <w:r>
        <w:t xml:space="preserve">.</w:t>
      </w:r>
      <w:r>
        <w:t xml:space="preserve"> </w:t>
      </w:r>
      <w:r>
        <w:t xml:space="preserve">-</w:t>
      </w:r>
      <w:r>
        <w:t xml:space="preserve"> </w:t>
      </w:r>
      <w:r>
        <w:rPr>
          <w:b/>
          <w:bCs/>
        </w:rPr>
        <w:t xml:space="preserve">Allaitement</w:t>
      </w:r>
      <w:r>
        <w:t xml:space="preserve"> </w:t>
      </w:r>
      <w:r>
        <w:t xml:space="preserve">(suspension 72 h après dernière prise en raison de la demi-vie plus longue).</w:t>
      </w:r>
      <w:r>
        <w:t xml:space="preserve"> </w:t>
      </w:r>
      <w:r>
        <w:t xml:space="preserve">- Association avec</w:t>
      </w:r>
      <w:r>
        <w:t xml:space="preserve"> </w:t>
      </w:r>
      <w:r>
        <w:rPr>
          <w:b/>
          <w:bCs/>
        </w:rPr>
        <w:t xml:space="preserve">disulfirame</w:t>
      </w:r>
      <w:r>
        <w:t xml:space="preserve">.</w:t>
      </w:r>
      <w:r>
        <w:t xml:space="preserve"> </w:t>
      </w:r>
      <w:r>
        <w:t xml:space="preserve">- Association avec</w:t>
      </w:r>
      <w:r>
        <w:t xml:space="preserve"> </w:t>
      </w:r>
      <w:r>
        <w:rPr>
          <w:b/>
          <w:bCs/>
        </w:rPr>
        <w:t xml:space="preserve">alcool</w:t>
      </w:r>
      <w:r>
        <w:t xml:space="preserve"> </w:t>
      </w:r>
      <w:r>
        <w:t xml:space="preserve">(pendant et 72 h après la dernière prise — demi-vie plus longue que métronidazole → éviction prolongée).</w:t>
      </w:r>
      <w:r>
        <w:t xml:space="preserve"> </w:t>
      </w:r>
      <w:r>
        <w:t xml:space="preserve">-</w:t>
      </w:r>
      <w:r>
        <w:t xml:space="preserve"> </w:t>
      </w:r>
      <w:r>
        <w:rPr>
          <w:b/>
          <w:bCs/>
        </w:rPr>
        <w:t xml:space="preserve">Neuropathie périphérique préexistante</w:t>
      </w:r>
      <w:r>
        <w:t xml:space="preserve">.</w:t>
      </w:r>
      <w:r>
        <w:t xml:space="preserve"> </w:t>
      </w:r>
      <w:r>
        <w:t xml:space="preserve">-</w:t>
      </w:r>
      <w:r>
        <w:t xml:space="preserve"> </w:t>
      </w:r>
      <w:r>
        <w:rPr>
          <w:b/>
          <w:bCs/>
        </w:rPr>
        <w:t xml:space="preserve">Porphyrie</w:t>
      </w:r>
      <w:r>
        <w:t xml:space="preserve">.</w:t>
      </w:r>
      <w:r>
        <w:t xml:space="preserve"> </w:t>
      </w:r>
      <w:r>
        <w:t xml:space="preserve">- Antécédent d’hémopathie.</w:t>
      </w:r>
      <w:r>
        <w:t xml:space="preserve"> </w:t>
      </w:r>
      <w:r>
        <w:t xml:space="preserve">- Effets Indésirables :</w:t>
      </w:r>
      <w:r>
        <w:t xml:space="preserve"> </w:t>
      </w:r>
      <w:r>
        <w:t xml:space="preserve">- Profil identique au métronidazole (goût métallique, nausées, neuropathie, effet antabuse).</w:t>
      </w:r>
      <w:r>
        <w:t xml:space="preserve"> </w:t>
      </w:r>
      <w:r>
        <w:t xml:space="preserve">- Tolérance digestive globalement supérieure (monodose, dose totale plus faible).</w:t>
      </w:r>
      <w:r>
        <w:t xml:space="preserve"> </w:t>
      </w:r>
      <w:r>
        <w:t xml:space="preserve">- Élévation transitoire des transaminases.</w:t>
      </w:r>
      <w:r>
        <w:t xml:space="preserve"> </w:t>
      </w:r>
      <w:r>
        <w:t xml:space="preserve">- Leucopénie modérée (rare).</w:t>
      </w:r>
      <w:r>
        <w:t xml:space="preserve"> </w:t>
      </w:r>
      <w:r>
        <w:t xml:space="preserve">- Coloration des urines (rare).</w:t>
      </w:r>
    </w:p>
    <w:p>
      <w:pPr>
        <w:pStyle w:val="BodyText"/>
      </w:pPr>
      <w:r>
        <w:rPr>
          <w:b/>
          <w:bCs/>
        </w:rPr>
        <w:t xml:space="preserve">Prévention et Gestion des Effets Indésirables :</w:t>
      </w:r>
      <w:r>
        <w:t xml:space="preserve"> </w:t>
      </w:r>
      <w:r>
        <w:t xml:space="preserve">- Mesures Préventives :</w:t>
      </w:r>
      <w:r>
        <w:t xml:space="preserve"> </w:t>
      </w:r>
      <w:r>
        <w:t xml:space="preserve">-</w:t>
      </w:r>
      <w:r>
        <w:t xml:space="preserve"> </w:t>
      </w:r>
      <w:r>
        <w:rPr>
          <w:b/>
          <w:bCs/>
        </w:rPr>
        <w:t xml:space="preserve">Éviction STRICTE de l’alcool pendant le traitement et 72 heures après la dernière prise</w:t>
      </w:r>
      <w:r>
        <w:t xml:space="preserve"> </w:t>
      </w:r>
      <w:r>
        <w:t xml:space="preserve">(demi-vie plus longue que le métronidazole → éviction prolongée).</w:t>
      </w:r>
      <w:r>
        <w:t xml:space="preserve"> </w:t>
      </w:r>
      <w:r>
        <w:t xml:space="preserve">- Prise au cours d’un repas (réduit EI digestifs).</w:t>
      </w:r>
      <w:r>
        <w:t xml:space="preserve"> </w:t>
      </w:r>
      <w:r>
        <w:t xml:space="preserve">- Surveillance NFS si traitement &gt; 3 jours.</w:t>
      </w:r>
      <w:r>
        <w:t xml:space="preserve"> </w:t>
      </w:r>
      <w:r>
        <w:t xml:space="preserve">- Information patient sur le goût métallique et la coloration des urines.</w:t>
      </w:r>
      <w:r>
        <w:t xml:space="preserve"> </w:t>
      </w:r>
      <w:r>
        <w:t xml:space="preserve">- Conduite à Tenir :</w:t>
      </w:r>
      <w:r>
        <w:t xml:space="preserve"> </w:t>
      </w:r>
      <w:r>
        <w:t xml:space="preserve">- Arrêt en cas de paresthésies, ataxie, dysarthrie, convulsions (neurotoxicité).</w:t>
      </w:r>
      <w:r>
        <w:t xml:space="preserve"> </w:t>
      </w:r>
      <w:r>
        <w:t xml:space="preserve">- Pas de réintroduction en cas de rash sévère.</w:t>
      </w:r>
    </w:p>
    <w:p>
      <w:pPr>
        <w:pStyle w:val="BodyText"/>
      </w:pPr>
      <w:r>
        <w:rPr>
          <w:b/>
          <w:bCs/>
        </w:rPr>
        <w:t xml:space="preserve">Interactions Importantes :</w:t>
      </w:r>
      <w:r>
        <w:t xml:space="preserve"> </w:t>
      </w:r>
      <w:r>
        <w:t xml:space="preserve">- Profil identique au métronidazole :</w:t>
      </w:r>
      <w:r>
        <w:t xml:space="preserve"> </w:t>
      </w:r>
      <w:r>
        <w:t xml:space="preserve">-</w:t>
      </w:r>
      <w:r>
        <w:t xml:space="preserve"> </w:t>
      </w:r>
      <w:r>
        <w:rPr>
          <w:b/>
          <w:bCs/>
        </w:rPr>
        <w:t xml:space="preserve">Tinidazole + alcool</w:t>
      </w:r>
      <w:r>
        <w:t xml:space="preserve"> </w:t>
      </w:r>
      <w:r>
        <w:t xml:space="preserve">: effet Antabuse — éviction pendant et 72 h après (vs 48 h pour métronidazole).</w:t>
      </w:r>
      <w:r>
        <w:t xml:space="preserve"> </w:t>
      </w:r>
      <w:r>
        <w:t xml:space="preserve">-</w:t>
      </w:r>
      <w:r>
        <w:t xml:space="preserve"> </w:t>
      </w:r>
      <w:r>
        <w:rPr>
          <w:b/>
          <w:bCs/>
        </w:rPr>
        <w:t xml:space="preserve">Tinidazole + warfarine / acénocoumarol</w:t>
      </w:r>
      <w:r>
        <w:t xml:space="preserve"> </w:t>
      </w:r>
      <w:r>
        <w:t xml:space="preserve">: augmentation INR — surveillance rapprochée.</w:t>
      </w:r>
      <w:r>
        <w:t xml:space="preserve"> </w:t>
      </w:r>
      <w:r>
        <w:t xml:space="preserve">-</w:t>
      </w:r>
      <w:r>
        <w:t xml:space="preserve"> </w:t>
      </w:r>
      <w:r>
        <w:rPr>
          <w:b/>
          <w:bCs/>
        </w:rPr>
        <w:t xml:space="preserve">Tinidazole + disulfirame</w:t>
      </w:r>
      <w:r>
        <w:t xml:space="preserve"> </w:t>
      </w:r>
      <w:r>
        <w:t xml:space="preserve">: CI absolue (psychose aiguë).</w:t>
      </w:r>
      <w:r>
        <w:t xml:space="preserve"> </w:t>
      </w:r>
      <w:r>
        <w:t xml:space="preserve">-</w:t>
      </w:r>
      <w:r>
        <w:t xml:space="preserve"> </w:t>
      </w:r>
      <w:r>
        <w:rPr>
          <w:b/>
          <w:bCs/>
        </w:rPr>
        <w:t xml:space="preserve">Tinidazole + phénytoïne / fluorouracile / lithium</w:t>
      </w:r>
      <w:r>
        <w:t xml:space="preserve"> </w:t>
      </w:r>
      <w:r>
        <w:t xml:space="preserve">: potentialisation.</w:t>
      </w:r>
      <w:r>
        <w:t xml:space="preserve"> </w:t>
      </w:r>
      <w:r>
        <w:t xml:space="preserve">-</w:t>
      </w:r>
      <w:r>
        <w:t xml:space="preserve"> </w:t>
      </w:r>
      <w:r>
        <w:rPr>
          <w:b/>
          <w:bCs/>
        </w:rPr>
        <w:t xml:space="preserve">Tinidazole + phénobarbital / rifampicine</w:t>
      </w:r>
      <w:r>
        <w:t xml:space="preserve"> </w:t>
      </w:r>
      <w:r>
        <w:t xml:space="preserve">: diminution de l’efficacité du tinidazole (induction enzymatique).</w:t>
      </w:r>
    </w:p>
    <w:p>
      <w:pPr>
        <w:pStyle w:val="BodyText"/>
      </w:pPr>
      <w:r>
        <w:rPr>
          <w:b/>
          <w:bCs/>
        </w:rPr>
        <w:t xml:space="preserve">Grossesse et Allaitement :</w:t>
      </w:r>
      <w:r>
        <w:t xml:space="preserve"> </w:t>
      </w:r>
      <w:r>
        <w:t xml:space="preserve">- Grossesse :</w:t>
      </w:r>
      <w:r>
        <w:t xml:space="preserve"> </w:t>
      </w:r>
      <w:r>
        <w:t xml:space="preserve">- 1er trimestre : CI absolue.</w:t>
      </w:r>
      <w:r>
        <w:t xml:space="preserve"> </w:t>
      </w:r>
      <w:r>
        <w:t xml:space="preserve">- 2e et 3e trimestres : à éviter par prudence, surtout en raison de la demi-vie longue. Préférer métronidazole en cure courte si nécessaire.</w:t>
      </w:r>
      <w:r>
        <w:t xml:space="preserve"> </w:t>
      </w:r>
      <w:r>
        <w:t xml:space="preserve">- Allaitement : suspendre pendant le traitement et</w:t>
      </w:r>
      <w:r>
        <w:t xml:space="preserve"> </w:t>
      </w:r>
      <w:r>
        <w:rPr>
          <w:b/>
          <w:bCs/>
        </w:rPr>
        <w:t xml:space="preserve">72 heures après la dernière prise</w:t>
      </w:r>
      <w:r>
        <w:t xml:space="preserve"> </w:t>
      </w:r>
      <w:r>
        <w:t xml:space="preserve">(vs 24-48 h pour métronidazole) — tirer et jeter le lait.</w:t>
      </w:r>
    </w:p>
    <w:p>
      <w:pPr>
        <w:pStyle w:val="BodyText"/>
      </w:pPr>
      <w:r>
        <w:rPr>
          <w:b/>
          <w:bCs/>
        </w:rPr>
        <w:t xml:space="preserve">Posologie et Mode d’administration (Standard) :</w:t>
      </w:r>
      <w:r>
        <w:t xml:space="preserve"> </w:t>
      </w:r>
      <w:r>
        <w:t xml:space="preserve">- Adulte :</w:t>
      </w:r>
      <w:r>
        <w:t xml:space="preserve"> </w:t>
      </w:r>
      <w:r>
        <w:t xml:space="preserve">-</w:t>
      </w:r>
      <w:r>
        <w:t xml:space="preserve"> </w:t>
      </w:r>
      <w:r>
        <w:rPr>
          <w:b/>
          <w:bCs/>
        </w:rPr>
        <w:t xml:space="preserve">Trichomonase, giardiose, vaginose bactérienne</w:t>
      </w:r>
      <w:r>
        <w:t xml:space="preserve"> </w:t>
      </w:r>
      <w:r>
        <w:t xml:space="preserve">:</w:t>
      </w:r>
      <w:r>
        <w:t xml:space="preserve"> </w:t>
      </w:r>
      <w:r>
        <w:rPr>
          <w:b/>
          <w:bCs/>
        </w:rPr>
        <w:t xml:space="preserve">2 g en monodose</w:t>
      </w:r>
      <w:r>
        <w:t xml:space="preserve"> </w:t>
      </w:r>
      <w:r>
        <w:t xml:space="preserve">(4 cp à 500 mg en une seule prise).</w:t>
      </w:r>
      <w:r>
        <w:t xml:space="preserve"> </w:t>
      </w:r>
      <w:r>
        <w:t xml:space="preserve">-</w:t>
      </w:r>
      <w:r>
        <w:t xml:space="preserve"> </w:t>
      </w:r>
      <w:r>
        <w:rPr>
          <w:b/>
          <w:bCs/>
        </w:rPr>
        <w:t xml:space="preserve">Amibiase intestinale</w:t>
      </w:r>
      <w:r>
        <w:t xml:space="preserve"> </w:t>
      </w:r>
      <w:r>
        <w:t xml:space="preserve">: 2 g/j en 1 prise × 3 j.</w:t>
      </w:r>
      <w:r>
        <w:t xml:space="preserve"> </w:t>
      </w:r>
      <w:r>
        <w:t xml:space="preserve">-</w:t>
      </w:r>
      <w:r>
        <w:t xml:space="preserve"> </w:t>
      </w:r>
      <w:r>
        <w:rPr>
          <w:b/>
          <w:bCs/>
        </w:rPr>
        <w:t xml:space="preserve">Amibiase hépatique</w:t>
      </w:r>
      <w:r>
        <w:t xml:space="preserve"> </w:t>
      </w:r>
      <w:r>
        <w:t xml:space="preserve">: 2 g/j × 5 j (avec drainage chirurgical si gros abcès).</w:t>
      </w:r>
      <w:r>
        <w:t xml:space="preserve"> </w:t>
      </w:r>
      <w:r>
        <w:t xml:space="preserve">-</w:t>
      </w:r>
      <w:r>
        <w:t xml:space="preserve"> </w:t>
      </w:r>
      <w:r>
        <w:rPr>
          <w:b/>
          <w:bCs/>
        </w:rPr>
        <w:t xml:space="preserve">Infections à anaérobies</w:t>
      </w:r>
      <w:r>
        <w:t xml:space="preserve"> </w:t>
      </w:r>
      <w:r>
        <w:t xml:space="preserve">: 2 g PO initial, puis 1 g/j × 5-6 j (ou 500 mg × 2/j).</w:t>
      </w:r>
      <w:r>
        <w:t xml:space="preserve"> </w:t>
      </w:r>
      <w:r>
        <w:t xml:space="preserve">-</w:t>
      </w:r>
      <w:r>
        <w:t xml:space="preserve"> </w:t>
      </w:r>
      <w:r>
        <w:rPr>
          <w:b/>
          <w:bCs/>
        </w:rPr>
        <w:t xml:space="preserve">Prophylaxie chirurgicale</w:t>
      </w:r>
      <w:r>
        <w:t xml:space="preserve"> </w:t>
      </w:r>
      <w:r>
        <w:t xml:space="preserve">: 2 g IV à l’induction.</w:t>
      </w:r>
      <w:r>
        <w:t xml:space="preserve"> </w:t>
      </w:r>
      <w:r>
        <w:t xml:space="preserve">-</w:t>
      </w:r>
      <w:r>
        <w:t xml:space="preserve"> </w:t>
      </w:r>
      <w:r>
        <w:rPr>
          <w:b/>
          <w:bCs/>
        </w:rPr>
        <w:t xml:space="preserve">Helicobacter pylori</w:t>
      </w:r>
      <w:r>
        <w:t xml:space="preserve"> </w:t>
      </w:r>
      <w:r>
        <w:t xml:space="preserve">: 500 mg × 2/j × 7 j (en quadrithérapie).</w:t>
      </w:r>
      <w:r>
        <w:t xml:space="preserve"> </w:t>
      </w:r>
      <w:r>
        <w:t xml:space="preserve">- Enfant &gt; 3 ans :</w:t>
      </w:r>
      <w:r>
        <w:t xml:space="preserve"> </w:t>
      </w:r>
      <w:r>
        <w:t xml:space="preserve">- 50-75 mg/kg en monodose (trichomonase, giardiose) ; max 2 g.</w:t>
      </w:r>
      <w:r>
        <w:t xml:space="preserve"> </w:t>
      </w:r>
      <w:r>
        <w:t xml:space="preserve">- Amibiase : 50-60 mg/kg/j × 3-5 j.</w:t>
      </w:r>
      <w:r>
        <w:t xml:space="preserve"> </w:t>
      </w:r>
      <w:r>
        <w:t xml:space="preserve">- Mode d’administration : PO pendant un repas, monodose de préférence le soir.</w:t>
      </w:r>
    </w:p>
    <w:p>
      <w:pPr>
        <w:pStyle w:val="BodyText"/>
      </w:pPr>
      <w:r>
        <w:rPr>
          <w:b/>
          <w:bCs/>
        </w:rPr>
        <w:t xml:space="preserve">Arbitrage et Bénéfices des Formes Galéniques :</w:t>
      </w:r>
      <w:r>
        <w:t xml:space="preserve"> </w:t>
      </w:r>
      <w:r>
        <w:t xml:space="preserve">-</w:t>
      </w:r>
      <w:r>
        <w:t xml:space="preserve"> </w:t>
      </w:r>
      <w:r>
        <w:rPr>
          <w:b/>
          <w:bCs/>
        </w:rPr>
        <w:t xml:space="preserve">Comprimé 500 mg (B/4)</w:t>
      </w:r>
      <w:r>
        <w:t xml:space="preserve"> </w:t>
      </w:r>
      <w:r>
        <w:t xml:space="preserve">: format adapté aux monodoses et traitements courts (2 cp × 2 g = 4 cp).</w:t>
      </w:r>
      <w:r>
        <w:t xml:space="preserve"> </w:t>
      </w:r>
      <w:r>
        <w:t xml:space="preserve">- Pas de forme IV commercialisée en Algérie (métronidazole IV utilisé en alternative).</w:t>
      </w:r>
      <w:r>
        <w:t xml:space="preserve"> </w:t>
      </w:r>
      <w:r>
        <w:t xml:space="preserve">- Pas de forme pédiatrique en Algérie (préférer métronidazole susp buv).</w:t>
      </w:r>
      <w:r>
        <w:t xml:space="preserve"> </w:t>
      </w:r>
      <w:r>
        <w:t xml:space="preserve">- Pas de forme gynécologique (métronidazole ovule utilisé en alternative).</w:t>
      </w:r>
    </w:p>
    <w:p>
      <w:pPr>
        <w:pStyle w:val="BodyText"/>
      </w:pPr>
      <w:r>
        <w:rPr>
          <w:b/>
          <w:bCs/>
        </w:rPr>
        <w:t xml:space="preserve">Instructions et Conseils au Patient :</w:t>
      </w:r>
      <w:r>
        <w:t xml:space="preserve"> </w:t>
      </w:r>
      <w:r>
        <w:t xml:space="preserve">- Communication au comptoir :</w:t>
      </w:r>
      <w:r>
        <w:t xml:space="preserve"> </w:t>
      </w:r>
      <w:r>
        <w:t xml:space="preserve">- « Ce médicament se prend en UNE seule prise pour les parasitoses (4 comprimés ensemble), avec un repas ».</w:t>
      </w:r>
      <w:r>
        <w:t xml:space="preserve"> </w:t>
      </w:r>
      <w:r>
        <w:t xml:space="preserve">- «</w:t>
      </w:r>
      <w:r>
        <w:t xml:space="preserve"> </w:t>
      </w:r>
      <w:r>
        <w:rPr>
          <w:b/>
          <w:bCs/>
        </w:rPr>
        <w:t xml:space="preserve">PAS D’ALCOOL pendant le traitement ET 72 heures après la dernière prise</w:t>
      </w:r>
      <w:r>
        <w:t xml:space="preserve"> </w:t>
      </w:r>
      <w:r>
        <w:t xml:space="preserve">».</w:t>
      </w:r>
      <w:r>
        <w:t xml:space="preserve"> </w:t>
      </w:r>
      <w:r>
        <w:t xml:space="preserve">- « Prévenez votre médecin si vous prenez un anticoagulant ».</w:t>
      </w:r>
      <w:r>
        <w:t xml:space="preserve"> </w:t>
      </w:r>
      <w:r>
        <w:t xml:space="preserve">- « Goût métallique possible : c’est normal ».</w:t>
      </w:r>
      <w:r>
        <w:t xml:space="preserve"> </w:t>
      </w:r>
      <w:r>
        <w:t xml:space="preserve">- « Si fourmillements, vertiges, difficultés à marcher : arrêtez et consultez ».</w:t>
      </w:r>
      <w:r>
        <w:t xml:space="preserve"> </w:t>
      </w:r>
      <w:r>
        <w:t xml:space="preserve">- Femme allaitante : « Suspendez l’allaitement pendant le traitement et 72 heures après ».</w:t>
      </w:r>
      <w:r>
        <w:t xml:space="preserve"> </w:t>
      </w:r>
      <w:r>
        <w:t xml:space="preserve">- Mode d’utilisation pratique : prise unique le soir au coucher avec un repas ; oubli de monodose → prendre dès que possible dans les 12 h.</w:t>
      </w:r>
    </w:p>
    <w:p>
      <w:pPr>
        <w:pStyle w:val="BodyText"/>
      </w:pPr>
      <w:r>
        <w:rPr>
          <w:b/>
          <w:bCs/>
        </w:rPr>
        <w:t xml:space="preserve">Notes, Règles d’Or &amp; Pièges au Comptoir :</w:t>
      </w:r>
      <w:r>
        <w:t xml:space="preserve"> </w:t>
      </w:r>
      <w:r>
        <w:t xml:space="preserve">-</w:t>
      </w:r>
      <w:r>
        <w:t xml:space="preserve"> </w:t>
      </w:r>
      <w:r>
        <w:rPr>
          <w:b/>
          <w:bCs/>
        </w:rPr>
        <w:t xml:space="preserve">Piège classique — Tinidazole + ALCOOL</w:t>
      </w:r>
      <w:r>
        <w:t xml:space="preserve"> </w:t>
      </w:r>
      <w:r>
        <w:t xml:space="preserve">: éviction 72 h (vs 48 h pour métronidazole) — insister sur ce point.</w:t>
      </w:r>
      <w:r>
        <w:t xml:space="preserve"> </w:t>
      </w:r>
      <w:r>
        <w:t xml:space="preserve">-</w:t>
      </w:r>
      <w:r>
        <w:t xml:space="preserve"> </w:t>
      </w:r>
      <w:r>
        <w:rPr>
          <w:b/>
          <w:bCs/>
        </w:rPr>
        <w:t xml:space="preserve">Piège classique — Demi-vie longue et allaitement</w:t>
      </w:r>
      <w:r>
        <w:t xml:space="preserve"> </w:t>
      </w:r>
      <w:r>
        <w:t xml:space="preserve">: suspension 72 h.</w:t>
      </w:r>
      <w:r>
        <w:t xml:space="preserve"> </w:t>
      </w:r>
      <w:r>
        <w:t xml:space="preserve">-</w:t>
      </w:r>
      <w:r>
        <w:t xml:space="preserve"> </w:t>
      </w:r>
      <w:r>
        <w:rPr>
          <w:b/>
          <w:bCs/>
        </w:rPr>
        <w:t xml:space="preserve">Règle de prise</w:t>
      </w:r>
      <w:r>
        <w:t xml:space="preserve"> </w:t>
      </w:r>
      <w:r>
        <w:t xml:space="preserve">: monodose pendant repas, pas d’alcool 72 h.</w:t>
      </w:r>
      <w:r>
        <w:t xml:space="preserve"> </w:t>
      </w:r>
      <w:r>
        <w:t xml:space="preserve">-</w:t>
      </w:r>
      <w:r>
        <w:t xml:space="preserve"> </w:t>
      </w:r>
      <w:r>
        <w:rPr>
          <w:b/>
          <w:bCs/>
        </w:rPr>
        <w:t xml:space="preserve">Préparation et Conservation</w:t>
      </w:r>
      <w:r>
        <w:t xml:space="preserve"> </w:t>
      </w:r>
      <w:r>
        <w:t xml:space="preserve">: cp à T° ambiante (&lt; 25 °C), à l’abri de l’humidité.</w:t>
      </w:r>
      <w:r>
        <w:t xml:space="preserve"> </w:t>
      </w:r>
      <w:r>
        <w:t xml:space="preserve">-</w:t>
      </w:r>
      <w:r>
        <w:t xml:space="preserve"> </w:t>
      </w:r>
      <w:r>
        <w:rPr>
          <w:b/>
          <w:bCs/>
        </w:rPr>
        <w:t xml:space="preserve">Piège du surdosage / Substitution</w:t>
      </w:r>
      <w:r>
        <w:t xml:space="preserve"> </w:t>
      </w:r>
      <w:r>
        <w:t xml:space="preserve">:</w:t>
      </w:r>
      <w:r>
        <w:t xml:space="preserve"> </w:t>
      </w:r>
      <w:r>
        <w:t xml:space="preserve">- Substitution tinidazole ↔ métronidazole : possible, mais adapter schéma posologique (monodose vs biquotidien).</w:t>
      </w:r>
      <w:r>
        <w:t xml:space="preserve"> </w:t>
      </w:r>
      <w:r>
        <w:t xml:space="preserve">- Boîte de 4 cp = monodose à 2 g (4 × 500 mg) : ne pas délivrer plus sans justification.</w:t>
      </w:r>
    </w:p>
    <w:p>
      <w:r>
        <w:pict>
          <v:rect style="width:0;height:1.5pt" o:hralign="center" o:hrstd="t" o:hr="t"/>
        </w:pict>
      </w:r>
    </w:p>
    <w:bookmarkEnd w:id="178"/>
    <w:bookmarkStart w:id="179" w:name="dci-ornidazole-seule"/>
    <w:p>
      <w:pPr>
        <w:pStyle w:val="Heading3"/>
      </w:pPr>
      <w:r>
        <w:t xml:space="preserve">6.2.4. DCI : Ornidazole (Seule)</w:t>
      </w:r>
    </w:p>
    <w:p>
      <w:pPr>
        <w:pStyle w:val="FirstParagraph"/>
      </w:pPr>
      <w:r>
        <w:rPr>
          <w:b/>
          <w:bCs/>
        </w:rPr>
        <w:t xml:space="preserve">Liste des Catégories :</w:t>
      </w:r>
      <w:r>
        <w:t xml:space="preserve"> </w:t>
      </w:r>
      <w:r>
        <w:t xml:space="preserve">Antibiotique ; Antibactérien systémique ; Nitro-imidazolé ; Antiparasitaire ; Gynécologie ; J01XD03.</w:t>
      </w:r>
    </w:p>
    <w:p>
      <w:pPr>
        <w:pStyle w:val="BodyText"/>
      </w:pPr>
      <w:r>
        <w:t xml:space="preserve">L’ornidazole est un nitro-imidazolé de deuxième génération, structurellement proche du métronidazole mais caractérisé par une</w:t>
      </w:r>
      <w:r>
        <w:t xml:space="preserve"> </w:t>
      </w:r>
      <w:r>
        <w:rPr>
          <w:b/>
          <w:bCs/>
        </w:rPr>
        <w:t xml:space="preserve">demi-vie plasmatique longue (12-13 h)</w:t>
      </w:r>
      <w:r>
        <w:t xml:space="preserve"> </w:t>
      </w:r>
      <w:r>
        <w:t xml:space="preserve">et une meilleure tolérance digestive. Il est utilisé en Algérie principalement en</w:t>
      </w:r>
      <w:r>
        <w:t xml:space="preserve"> </w:t>
      </w:r>
      <w:r>
        <w:rPr>
          <w:b/>
          <w:bCs/>
        </w:rPr>
        <w:t xml:space="preserve">gynécologie</w:t>
      </w:r>
      <w:r>
        <w:t xml:space="preserve"> </w:t>
      </w:r>
      <w:r>
        <w:t xml:space="preserve">(comprimé vaginal 500 mg, traitement des vaginites à trichomonas et vaginoses bactériennes) et en</w:t>
      </w:r>
      <w:r>
        <w:t xml:space="preserve"> </w:t>
      </w:r>
      <w:r>
        <w:rPr>
          <w:b/>
          <w:bCs/>
        </w:rPr>
        <w:t xml:space="preserve">voie orale</w:t>
      </w:r>
      <w:r>
        <w:t xml:space="preserve"> </w:t>
      </w:r>
      <w:r>
        <w:t xml:space="preserve">(comprimé 500 mg) pour les parasitoses et infections à anaérobies. Sa particularité pharmacologique est l’absence d’inhibition de l’aldéhyde-déshydrogénase à doses thérapeutiques → effet Antabuse moins marqué qu’avec le métronidazole (mais prudence reste de mise).</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ORNISID</w:t>
      </w:r>
      <w:r>
        <w:t xml:space="preserve"> </w:t>
      </w:r>
      <w:r>
        <w:t xml:space="preserve">(ABDI IBRAHIM ILAÇ SANAYI VE TICARET A.Ş)</w:t>
      </w:r>
      <w:r>
        <w:t xml:space="preserve"> </w:t>
      </w:r>
      <w:r>
        <w:t xml:space="preserve">- Forme et Dosage : Comprimé vaginal 500 mg (B/3)</w:t>
      </w:r>
      <w:r>
        <w:t xml:space="preserve"> </w:t>
      </w:r>
      <w:r>
        <w:t xml:space="preserve">- Liste : Liste I</w:t>
      </w:r>
      <w:r>
        <w:t xml:space="preserve"> </w:t>
      </w:r>
      <w:r>
        <w:t xml:space="preserve">- Statut : Actif</w:t>
      </w:r>
      <w:r>
        <w:t xml:space="preserve"> </w:t>
      </w:r>
      <w:r>
        <w:t xml:space="preserve">-</w:t>
      </w:r>
      <w:r>
        <w:t xml:space="preserve"> </w:t>
      </w:r>
      <w:r>
        <w:rPr>
          <w:b/>
          <w:bCs/>
        </w:rPr>
        <w:t xml:space="preserve">ORNIVODA</w:t>
      </w:r>
      <w:r>
        <w:t xml:space="preserve"> </w:t>
      </w:r>
      <w:r>
        <w:t xml:space="preserve">(HIKMA PHARMA ALGERIA)</w:t>
      </w:r>
      <w:r>
        <w:t xml:space="preserve"> </w:t>
      </w:r>
      <w:r>
        <w:t xml:space="preserve">- Forme et Dosage : Comprimé pelliculé 500 mg (B/10)</w:t>
      </w:r>
      <w:r>
        <w:t xml:space="preserve"> </w:t>
      </w:r>
      <w:r>
        <w:t xml:space="preserve">- Liste : Liste I</w:t>
      </w:r>
      <w:r>
        <w:t xml:space="preserve"> </w:t>
      </w:r>
      <w:r>
        <w:t xml:space="preserve">- Statut : Actif</w:t>
      </w:r>
    </w:p>
    <w:p>
      <w:pPr>
        <w:pStyle w:val="BodyText"/>
      </w:pPr>
      <w:r>
        <w:rPr>
          <w:b/>
          <w:bCs/>
        </w:rPr>
        <w:t xml:space="preserve">Sous-classe et Mécanisme d’action :</w:t>
      </w:r>
      <w:r>
        <w:t xml:space="preserve"> </w:t>
      </w:r>
      <w:r>
        <w:t xml:space="preserve">- Sous-classe : Nitro-imidazolé de 2e génération (5-nitro-imidazolé), demi-vie longue (12-13 h). Bactéricide, protozoocide, amibicide.</w:t>
      </w:r>
      <w:r>
        <w:t xml:space="preserve"> </w:t>
      </w:r>
      <w:r>
        <w:t xml:space="preserve">- Mécanisme d’action : identique au métronidazole —</w:t>
      </w:r>
      <w:r>
        <w:t xml:space="preserve"> </w:t>
      </w:r>
      <w:r>
        <w:rPr>
          <w:b/>
          <w:bCs/>
        </w:rPr>
        <w:t xml:space="preserve">réduction du groupement nitro par la ferredoxine/PFOR en milieu anaérobie</w:t>
      </w:r>
      <w:r>
        <w:t xml:space="preserve"> </w:t>
      </w:r>
      <w:r>
        <w:t xml:space="preserve">→ radical nitro anion cytotoxique → cassures ADN, inhibition de la synthèse et de la réplication, altération des protéines cellulaires.</w:t>
      </w:r>
      <w:r>
        <w:t xml:space="preserve"> </w:t>
      </w:r>
      <w:r>
        <w:t xml:space="preserve">- Spectre : superposable au métronidazole (anaérobies stricts, Trichomonas, Giardia, Entamoeba, Gardnerella).</w:t>
      </w:r>
      <w:r>
        <w:t xml:space="preserve"> </w:t>
      </w:r>
      <w:r>
        <w:t xml:space="preserve">- Particularité : moindre inhibition de l’aldéhyde-déshydrogénase → effet Antabuse moins marqué (mais prudence reste de mise).</w:t>
      </w:r>
    </w:p>
    <w:p>
      <w:pPr>
        <w:pStyle w:val="BodyText"/>
      </w:pPr>
      <w:r>
        <w:rPr>
          <w:b/>
          <w:bCs/>
        </w:rPr>
        <w:t xml:space="preserve">Profil Pharmacologique :</w:t>
      </w:r>
      <w:r>
        <w:t xml:space="preserve"> </w:t>
      </w:r>
      <w:r>
        <w:t xml:space="preserve">- Indications :</w:t>
      </w:r>
      <w:r>
        <w:t xml:space="preserve"> </w:t>
      </w:r>
      <w:r>
        <w:t xml:space="preserve">-</w:t>
      </w:r>
      <w:r>
        <w:t xml:space="preserve"> </w:t>
      </w:r>
      <w:r>
        <w:rPr>
          <w:b/>
          <w:bCs/>
        </w:rPr>
        <w:t xml:space="preserve">Vaginites à Trichomonas vaginalis</w:t>
      </w:r>
      <w:r>
        <w:t xml:space="preserve"> </w:t>
      </w:r>
      <w:r>
        <w:t xml:space="preserve">(forme vaginale 500 mg) — 1 cp vaginal/j au coucher × 3-7 jours, à associer à un traitement oral du partenaire.</w:t>
      </w:r>
      <w:r>
        <w:t xml:space="preserve"> </w:t>
      </w:r>
      <w:r>
        <w:t xml:space="preserve">-</w:t>
      </w:r>
      <w:r>
        <w:t xml:space="preserve"> </w:t>
      </w:r>
      <w:r>
        <w:rPr>
          <w:b/>
          <w:bCs/>
        </w:rPr>
        <w:t xml:space="preserve">Vaginoses bactériennes</w:t>
      </w:r>
      <w:r>
        <w:t xml:space="preserve"> </w:t>
      </w:r>
      <w:r>
        <w:t xml:space="preserve">(Gardnerella).</w:t>
      </w:r>
      <w:r>
        <w:t xml:space="preserve"> </w:t>
      </w:r>
      <w:r>
        <w:t xml:space="preserve">-</w:t>
      </w:r>
      <w:r>
        <w:t xml:space="preserve"> </w:t>
      </w:r>
      <w:r>
        <w:rPr>
          <w:b/>
          <w:bCs/>
        </w:rPr>
        <w:t xml:space="preserve">Trichomonase urogénitale</w:t>
      </w:r>
      <w:r>
        <w:t xml:space="preserve"> </w:t>
      </w:r>
      <w:r>
        <w:t xml:space="preserve">(PO 1,5 g monodose ou 500 mg × 2/j × 5 j).</w:t>
      </w:r>
      <w:r>
        <w:t xml:space="preserve"> </w:t>
      </w:r>
      <w:r>
        <w:t xml:space="preserve">-</w:t>
      </w:r>
      <w:r>
        <w:t xml:space="preserve"> </w:t>
      </w:r>
      <w:r>
        <w:rPr>
          <w:b/>
          <w:bCs/>
        </w:rPr>
        <w:t xml:space="preserve">Amibiase intestinale et hépatique</w:t>
      </w:r>
      <w:r>
        <w:t xml:space="preserve"> </w:t>
      </w:r>
      <w:r>
        <w:t xml:space="preserve">(PO 1,5 g/j × 3 j intestinal ; × 5 j hépatique).</w:t>
      </w:r>
      <w:r>
        <w:t xml:space="preserve"> </w:t>
      </w:r>
      <w:r>
        <w:t xml:space="preserve">-</w:t>
      </w:r>
      <w:r>
        <w:t xml:space="preserve"> </w:t>
      </w:r>
      <w:r>
        <w:rPr>
          <w:b/>
          <w:bCs/>
        </w:rPr>
        <w:t xml:space="preserve">Giardiose</w:t>
      </w:r>
      <w:r>
        <w:t xml:space="preserve"> </w:t>
      </w:r>
      <w:r>
        <w:t xml:space="preserve">: 1,5-2 g monodose.</w:t>
      </w:r>
      <w:r>
        <w:t xml:space="preserve"> </w:t>
      </w:r>
      <w:r>
        <w:t xml:space="preserve">-</w:t>
      </w:r>
      <w:r>
        <w:t xml:space="preserve"> </w:t>
      </w:r>
      <w:r>
        <w:rPr>
          <w:b/>
          <w:bCs/>
        </w:rPr>
        <w:t xml:space="preserve">Infections à anaérobies</w:t>
      </w:r>
      <w:r>
        <w:t xml:space="preserve"> </w:t>
      </w:r>
      <w:r>
        <w:t xml:space="preserve">(PO ou IV) : alternative au métronidazole.</w:t>
      </w:r>
      <w:r>
        <w:t xml:space="preserve"> </w:t>
      </w:r>
      <w:r>
        <w:t xml:space="preserve">-</w:t>
      </w:r>
      <w:r>
        <w:t xml:space="preserve"> </w:t>
      </w:r>
      <w:r>
        <w:rPr>
          <w:b/>
          <w:bCs/>
        </w:rPr>
        <w:t xml:space="preserve">Prophylaxie chirurgicale</w:t>
      </w:r>
      <w:r>
        <w:t xml:space="preserve"> </w:t>
      </w:r>
      <w:r>
        <w:t xml:space="preserve">(IV) : 1 g à l’induction.</w:t>
      </w:r>
      <w:r>
        <w:t xml:space="preserve"> </w:t>
      </w:r>
      <w:r>
        <w:t xml:space="preserve">- Contre-indications :</w:t>
      </w:r>
      <w:r>
        <w:t xml:space="preserve"> </w:t>
      </w:r>
      <w:r>
        <w:t xml:space="preserve">- Hypersensibilité aux nitro-imidazolés.</w:t>
      </w:r>
      <w:r>
        <w:t xml:space="preserve"> </w:t>
      </w:r>
      <w:r>
        <w:t xml:space="preserve">- 1er trimestre de grossesse.</w:t>
      </w:r>
      <w:r>
        <w:t xml:space="preserve"> </w:t>
      </w:r>
      <w:r>
        <w:t xml:space="preserve">- Allaitement (suspension 72 h après dernière prise).</w:t>
      </w:r>
      <w:r>
        <w:t xml:space="preserve"> </w:t>
      </w:r>
      <w:r>
        <w:t xml:space="preserve">- Association avec disulfirame.</w:t>
      </w:r>
      <w:r>
        <w:t xml:space="preserve"> </w:t>
      </w:r>
      <w:r>
        <w:t xml:space="preserve">- Neuropathie périphérique préexistante.</w:t>
      </w:r>
      <w:r>
        <w:t xml:space="preserve"> </w:t>
      </w:r>
      <w:r>
        <w:t xml:space="preserve">- Porphyrie.</w:t>
      </w:r>
      <w:r>
        <w:t xml:space="preserve"> </w:t>
      </w:r>
      <w:r>
        <w:t xml:space="preserve">- Effets Indésirables :</w:t>
      </w:r>
      <w:r>
        <w:t xml:space="preserve"> </w:t>
      </w:r>
      <w:r>
        <w:t xml:space="preserve">- Profil identique au métronidazole (goût métallique, nausées, neuropathie, effets centraux).</w:t>
      </w:r>
      <w:r>
        <w:t xml:space="preserve"> </w:t>
      </w:r>
      <w:r>
        <w:t xml:space="preserve">-</w:t>
      </w:r>
      <w:r>
        <w:t xml:space="preserve"> </w:t>
      </w:r>
      <w:r>
        <w:rPr>
          <w:b/>
          <w:bCs/>
        </w:rPr>
        <w:t xml:space="preserve">Somnolence, vertiges, ataxie</w:t>
      </w:r>
      <w:r>
        <w:t xml:space="preserve"> </w:t>
      </w:r>
      <w:r>
        <w:t xml:space="preserve">: plus marqués qu’avec le métronidazole — prudence si conduite.</w:t>
      </w:r>
      <w:r>
        <w:t xml:space="preserve"> </w:t>
      </w:r>
      <w:r>
        <w:t xml:space="preserve">- Effet Antabuse moins intense mais présent.</w:t>
      </w:r>
      <w:r>
        <w:t xml:space="preserve"> </w:t>
      </w:r>
      <w:r>
        <w:t xml:space="preserve">- Élévation des transaminases.</w:t>
      </w:r>
      <w:r>
        <w:t xml:space="preserve"> </w:t>
      </w:r>
      <w:r>
        <w:t xml:space="preserve">- Leucopénie modérée (rare).</w:t>
      </w:r>
      <w:r>
        <w:t xml:space="preserve"> </w:t>
      </w:r>
      <w:r>
        <w:t xml:space="preserve">- Coloration des urines.</w:t>
      </w:r>
    </w:p>
    <w:p>
      <w:pPr>
        <w:pStyle w:val="BodyText"/>
      </w:pPr>
      <w:r>
        <w:rPr>
          <w:b/>
          <w:bCs/>
        </w:rPr>
        <w:t xml:space="preserve">Prévention et Gestion des Effets Indésirables :</w:t>
      </w:r>
      <w:r>
        <w:t xml:space="preserve"> </w:t>
      </w:r>
      <w:r>
        <w:t xml:space="preserve">- Mesures Préventives :</w:t>
      </w:r>
      <w:r>
        <w:t xml:space="preserve"> </w:t>
      </w:r>
      <w:r>
        <w:t xml:space="preserve">-</w:t>
      </w:r>
      <w:r>
        <w:t xml:space="preserve"> </w:t>
      </w:r>
      <w:r>
        <w:rPr>
          <w:b/>
          <w:bCs/>
        </w:rPr>
        <w:t xml:space="preserve">Éviction de l’alcool</w:t>
      </w:r>
      <w:r>
        <w:t xml:space="preserve"> </w:t>
      </w:r>
      <w:r>
        <w:t xml:space="preserve">pendant et 72 h après la dernière prise.</w:t>
      </w:r>
      <w:r>
        <w:t xml:space="preserve"> </w:t>
      </w:r>
      <w:r>
        <w:t xml:space="preserve">- Prise au cours des repas.</w:t>
      </w:r>
      <w:r>
        <w:t xml:space="preserve"> </w:t>
      </w:r>
      <w:r>
        <w:t xml:space="preserve">- Information patient : somnolence possible, ne pas conduire en début de traitement.</w:t>
      </w:r>
      <w:r>
        <w:t xml:space="preserve"> </w:t>
      </w:r>
      <w:r>
        <w:t xml:space="preserve">- Conduite à Tenir : identique au métronidazole.</w:t>
      </w:r>
    </w:p>
    <w:p>
      <w:pPr>
        <w:pStyle w:val="BodyText"/>
      </w:pPr>
      <w:r>
        <w:rPr>
          <w:b/>
          <w:bCs/>
        </w:rPr>
        <w:t xml:space="preserve">Interactions Importantes :</w:t>
      </w:r>
      <w:r>
        <w:t xml:space="preserve"> </w:t>
      </w:r>
      <w:r>
        <w:t xml:space="preserve">- Profil identique au métronidazole (alcool, AVK, disulfirame, phénytoïne, lithium, fluorouracile, induction enzymatique par phénobarbital/rifampicine).</w:t>
      </w:r>
      <w:r>
        <w:t xml:space="preserve"> </w:t>
      </w:r>
      <w:r>
        <w:t xml:space="preserve">-</w:t>
      </w:r>
      <w:r>
        <w:t xml:space="preserve"> </w:t>
      </w:r>
      <w:r>
        <w:rPr>
          <w:b/>
          <w:bCs/>
        </w:rPr>
        <w:t xml:space="preserve">Ornidazole + anticoagulants oraux</w:t>
      </w:r>
      <w:r>
        <w:t xml:space="preserve"> </w:t>
      </w:r>
      <w:r>
        <w:t xml:space="preserve">: potentialisation (INR).</w:t>
      </w:r>
      <w:r>
        <w:t xml:space="preserve"> </w:t>
      </w:r>
      <w:r>
        <w:t xml:space="preserve">-</w:t>
      </w:r>
      <w:r>
        <w:t xml:space="preserve"> </w:t>
      </w:r>
      <w:r>
        <w:rPr>
          <w:b/>
          <w:bCs/>
        </w:rPr>
        <w:t xml:space="preserve">Ornidazole + alcool</w:t>
      </w:r>
      <w:r>
        <w:t xml:space="preserve"> </w:t>
      </w:r>
      <w:r>
        <w:t xml:space="preserve">: effet Antabuse (moins marqué qu’avec métronidazole, mais à éviter).</w:t>
      </w:r>
    </w:p>
    <w:p>
      <w:pPr>
        <w:pStyle w:val="BodyText"/>
      </w:pPr>
      <w:r>
        <w:rPr>
          <w:b/>
          <w:bCs/>
        </w:rPr>
        <w:t xml:space="preserve">Grossesse et Allaitement :</w:t>
      </w:r>
      <w:r>
        <w:t xml:space="preserve"> </w:t>
      </w:r>
      <w:r>
        <w:t xml:space="preserve">- Grossesse : 1er trimestre CI ; 2e/3e trimestres usage ponctuel possible si nécessaire (vaginose, trichomonase symptomatique).</w:t>
      </w:r>
      <w:r>
        <w:t xml:space="preserve"> </w:t>
      </w:r>
      <w:r>
        <w:t xml:space="preserve">- Allaitement : suspendre pendant le traitement et 72 h après la dernière prise.</w:t>
      </w:r>
    </w:p>
    <w:p>
      <w:pPr>
        <w:pStyle w:val="BodyText"/>
      </w:pPr>
      <w:r>
        <w:rPr>
          <w:b/>
          <w:bCs/>
        </w:rPr>
        <w:t xml:space="preserve">Posologie et Mode d’administration (Standard) :</w:t>
      </w:r>
      <w:r>
        <w:t xml:space="preserve"> </w:t>
      </w:r>
      <w:r>
        <w:t xml:space="preserve">- Adulte :</w:t>
      </w:r>
      <w:r>
        <w:t xml:space="preserve"> </w:t>
      </w:r>
      <w:r>
        <w:t xml:space="preserve">-</w:t>
      </w:r>
      <w:r>
        <w:t xml:space="preserve"> </w:t>
      </w:r>
      <w:r>
        <w:rPr>
          <w:b/>
          <w:bCs/>
        </w:rPr>
        <w:t xml:space="preserve">Trichomonase / giardiose</w:t>
      </w:r>
      <w:r>
        <w:t xml:space="preserve"> </w:t>
      </w:r>
      <w:r>
        <w:t xml:space="preserve">: 1,5 g en monodose PO (3 cp à 500 mg) ou 500 mg × 2/j × 5 j.</w:t>
      </w:r>
      <w:r>
        <w:t xml:space="preserve"> </w:t>
      </w:r>
      <w:r>
        <w:t xml:space="preserve">-</w:t>
      </w:r>
      <w:r>
        <w:t xml:space="preserve"> </w:t>
      </w:r>
      <w:r>
        <w:rPr>
          <w:b/>
          <w:bCs/>
        </w:rPr>
        <w:t xml:space="preserve">Amibiase</w:t>
      </w:r>
      <w:r>
        <w:t xml:space="preserve"> </w:t>
      </w:r>
      <w:r>
        <w:t xml:space="preserve">: 1,5 g/j × 3 j (intestinal) ou × 5 j (hépatique).</w:t>
      </w:r>
      <w:r>
        <w:t xml:space="preserve"> </w:t>
      </w:r>
      <w:r>
        <w:t xml:space="preserve">-</w:t>
      </w:r>
      <w:r>
        <w:t xml:space="preserve"> </w:t>
      </w:r>
      <w:r>
        <w:rPr>
          <w:b/>
          <w:bCs/>
        </w:rPr>
        <w:t xml:space="preserve">Vaginose bactérienne</w:t>
      </w:r>
      <w:r>
        <w:t xml:space="preserve"> </w:t>
      </w:r>
      <w:r>
        <w:t xml:space="preserve">: 1 cp vaginal 500 mg/j au coucher × 3 j (ou 1,5 g PO monodose).</w:t>
      </w:r>
      <w:r>
        <w:t xml:space="preserve"> </w:t>
      </w:r>
      <w:r>
        <w:t xml:space="preserve">-</w:t>
      </w:r>
      <w:r>
        <w:t xml:space="preserve"> </w:t>
      </w:r>
      <w:r>
        <w:rPr>
          <w:b/>
          <w:bCs/>
        </w:rPr>
        <w:t xml:space="preserve">Infections à anaérobies</w:t>
      </w:r>
      <w:r>
        <w:t xml:space="preserve"> </w:t>
      </w:r>
      <w:r>
        <w:t xml:space="preserve">: 1 g PO/IV initial, puis 500 mg × 2/j × 5-7 j.</w:t>
      </w:r>
      <w:r>
        <w:t xml:space="preserve"> </w:t>
      </w:r>
      <w:r>
        <w:t xml:space="preserve">- Enfant &gt; 3 ans : 25-40 mg/kg/j en 1-2 prises.</w:t>
      </w:r>
      <w:r>
        <w:t xml:space="preserve"> </w:t>
      </w:r>
      <w:r>
        <w:t xml:space="preserve">- Mode d’administration :</w:t>
      </w:r>
      <w:r>
        <w:t xml:space="preserve"> </w:t>
      </w:r>
      <w:r>
        <w:t xml:space="preserve">- PO : pendant les repas.</w:t>
      </w:r>
      <w:r>
        <w:t xml:space="preserve"> </w:t>
      </w:r>
      <w:r>
        <w:t xml:space="preserve">- Vaginal : au coucher, en décubitus dorsal, profondément dans le vagin.</w:t>
      </w:r>
    </w:p>
    <w:p>
      <w:pPr>
        <w:pStyle w:val="BodyText"/>
      </w:pPr>
      <w:r>
        <w:rPr>
          <w:b/>
          <w:bCs/>
        </w:rPr>
        <w:t xml:space="preserve">Arbitrage et Bénéfices des Formes Galéniques :</w:t>
      </w:r>
      <w:r>
        <w:t xml:space="preserve"> </w:t>
      </w:r>
      <w:r>
        <w:t xml:space="preserve">-</w:t>
      </w:r>
      <w:r>
        <w:t xml:space="preserve"> </w:t>
      </w:r>
      <w:r>
        <w:rPr>
          <w:b/>
          <w:bCs/>
        </w:rPr>
        <w:t xml:space="preserve">Comprimé vaginal 500 mg (B/3)</w:t>
      </w:r>
      <w:r>
        <w:t xml:space="preserve"> </w:t>
      </w:r>
      <w:r>
        <w:t xml:space="preserve">: traitement court et bien toléré de la vaginite à trichomonas.</w:t>
      </w:r>
      <w:r>
        <w:t xml:space="preserve"> </w:t>
      </w:r>
      <w:r>
        <w:t xml:space="preserve">-</w:t>
      </w:r>
      <w:r>
        <w:t xml:space="preserve"> </w:t>
      </w:r>
      <w:r>
        <w:rPr>
          <w:b/>
          <w:bCs/>
        </w:rPr>
        <w:t xml:space="preserve">Comprimé pelliculé 500 mg (B/10)</w:t>
      </w:r>
      <w:r>
        <w:t xml:space="preserve"> </w:t>
      </w:r>
      <w:r>
        <w:t xml:space="preserve">: traitement PO court des parasitoses et infections à anaérobies.</w:t>
      </w:r>
      <w:r>
        <w:t xml:space="preserve"> </w:t>
      </w:r>
      <w:r>
        <w:t xml:space="preserve">- Pas de forme IV en Algérie (métronidazole IV utilisé en alternative).</w:t>
      </w:r>
      <w:r>
        <w:t xml:space="preserve"> </w:t>
      </w:r>
      <w:r>
        <w:t xml:space="preserve">- Pas de forme pédiatrique en Algérie.</w:t>
      </w:r>
    </w:p>
    <w:p>
      <w:pPr>
        <w:pStyle w:val="BodyText"/>
      </w:pPr>
      <w:r>
        <w:rPr>
          <w:b/>
          <w:bCs/>
        </w:rPr>
        <w:t xml:space="preserve">Instructions et Conseils au Patient :</w:t>
      </w:r>
      <w:r>
        <w:t xml:space="preserve"> </w:t>
      </w:r>
      <w:r>
        <w:t xml:space="preserve">- Communication au comptoir :</w:t>
      </w:r>
      <w:r>
        <w:t xml:space="preserve"> </w:t>
      </w:r>
      <w:r>
        <w:t xml:space="preserve">- « Pour le comprimé vaginal : 1 comprimé au coucher chaque soir pendant 3 jours, en position allongée sur le dos ».</w:t>
      </w:r>
      <w:r>
        <w:t xml:space="preserve"> </w:t>
      </w:r>
      <w:r>
        <w:t xml:space="preserve">- «</w:t>
      </w:r>
      <w:r>
        <w:t xml:space="preserve"> </w:t>
      </w:r>
      <w:r>
        <w:rPr>
          <w:b/>
          <w:bCs/>
        </w:rPr>
        <w:t xml:space="preserve">PAS D’ALCOOL pendant le traitement ET 72 heures après</w:t>
      </w:r>
      <w:r>
        <w:t xml:space="preserve"> </w:t>
      </w:r>
      <w:r>
        <w:t xml:space="preserve">».</w:t>
      </w:r>
      <w:r>
        <w:t xml:space="preserve"> </w:t>
      </w:r>
      <w:r>
        <w:t xml:space="preserve">- « Prudence si vous conduisez : ce médicament peut provoquer somnolence et vertiges ».</w:t>
      </w:r>
      <w:r>
        <w:t xml:space="preserve"> </w:t>
      </w:r>
      <w:r>
        <w:t xml:space="preserve">- « Prévenez votre médecin si vous prenez un anticoagulant ».</w:t>
      </w:r>
      <w:r>
        <w:t xml:space="preserve"> </w:t>
      </w:r>
      <w:r>
        <w:t xml:space="preserve">- « Traitement du partenaire sexuel nécessaire en cas de trichomonase ».</w:t>
      </w:r>
      <w:r>
        <w:t xml:space="preserve"> </w:t>
      </w:r>
      <w:r>
        <w:t xml:space="preserve">- Mode d’utilisation pratique : lavage des mains avant insertion vaginale ; oubli d’une prise vaginale → appliquer le lendemain sans doubler.</w:t>
      </w:r>
    </w:p>
    <w:p>
      <w:pPr>
        <w:pStyle w:val="BodyText"/>
      </w:pPr>
      <w:r>
        <w:rPr>
          <w:b/>
          <w:bCs/>
        </w:rPr>
        <w:t xml:space="preserve">Notes, Règles d’Or &amp; Pièges au Comptoir :</w:t>
      </w:r>
      <w:r>
        <w:t xml:space="preserve"> </w:t>
      </w:r>
      <w:r>
        <w:t xml:space="preserve">-</w:t>
      </w:r>
      <w:r>
        <w:t xml:space="preserve"> </w:t>
      </w:r>
      <w:r>
        <w:rPr>
          <w:b/>
          <w:bCs/>
        </w:rPr>
        <w:t xml:space="preserve">Piège classique — Somnolence et conduite</w:t>
      </w:r>
      <w:r>
        <w:t xml:space="preserve"> </w:t>
      </w:r>
      <w:r>
        <w:t xml:space="preserve">: informer patient.</w:t>
      </w:r>
      <w:r>
        <w:t xml:space="preserve"> </w:t>
      </w:r>
      <w:r>
        <w:t xml:space="preserve">-</w:t>
      </w:r>
      <w:r>
        <w:t xml:space="preserve"> </w:t>
      </w:r>
      <w:r>
        <w:rPr>
          <w:b/>
          <w:bCs/>
        </w:rPr>
        <w:t xml:space="preserve">Piège classique — Traitement du partenaire</w:t>
      </w:r>
      <w:r>
        <w:t xml:space="preserve"> </w:t>
      </w:r>
      <w:r>
        <w:t xml:space="preserve">: indispensable en cas de trichomonase (réinfection croisée).</w:t>
      </w:r>
      <w:r>
        <w:t xml:space="preserve"> </w:t>
      </w:r>
      <w:r>
        <w:t xml:space="preserve">-</w:t>
      </w:r>
      <w:r>
        <w:t xml:space="preserve"> </w:t>
      </w:r>
      <w:r>
        <w:rPr>
          <w:b/>
          <w:bCs/>
        </w:rPr>
        <w:t xml:space="preserve">Règle de prise</w:t>
      </w:r>
      <w:r>
        <w:t xml:space="preserve"> </w:t>
      </w:r>
      <w:r>
        <w:t xml:space="preserve">: cp vaginal au coucher, PO pendant repas, pas d’alcool 72 h.</w:t>
      </w:r>
      <w:r>
        <w:t xml:space="preserve"> </w:t>
      </w:r>
      <w:r>
        <w:t xml:space="preserve">-</w:t>
      </w:r>
      <w:r>
        <w:t xml:space="preserve"> </w:t>
      </w:r>
      <w:r>
        <w:rPr>
          <w:b/>
          <w:bCs/>
        </w:rPr>
        <w:t xml:space="preserve">Préparation et Conservation</w:t>
      </w:r>
      <w:r>
        <w:t xml:space="preserve"> </w:t>
      </w:r>
      <w:r>
        <w:t xml:space="preserve">: cp à T° ambiante (&lt; 25 °C), à l’abri de l’humidité.</w:t>
      </w:r>
      <w:r>
        <w:t xml:space="preserve"> </w:t>
      </w:r>
      <w:r>
        <w:t xml:space="preserve">-</w:t>
      </w:r>
      <w:r>
        <w:t xml:space="preserve"> </w:t>
      </w:r>
      <w:r>
        <w:rPr>
          <w:b/>
          <w:bCs/>
        </w:rPr>
        <w:t xml:space="preserve">Piège du surdosage / Substitution</w:t>
      </w:r>
      <w:r>
        <w:t xml:space="preserve"> </w:t>
      </w:r>
      <w:r>
        <w:t xml:space="preserve">:</w:t>
      </w:r>
      <w:r>
        <w:t xml:space="preserve"> </w:t>
      </w:r>
      <w:r>
        <w:t xml:space="preserve">- Substitution ornidazole ↔ métronidazole ↔ tinidazole ↔ sécnidazole : possible, mais adapter schéma.</w:t>
      </w:r>
      <w:r>
        <w:t xml:space="preserve"> </w:t>
      </w:r>
      <w:r>
        <w:t xml:space="preserve">- Vérifier absence de grossesse 1er trimestre avant délivrance cp vaginal.</w:t>
      </w:r>
    </w:p>
    <w:p>
      <w:r>
        <w:pict>
          <v:rect style="width:0;height:1.5pt" o:hralign="center" o:hrstd="t" o:hr="t"/>
        </w:pict>
      </w:r>
    </w:p>
    <w:bookmarkEnd w:id="179"/>
    <w:bookmarkStart w:id="180" w:name="dci-sécnidazole-seule"/>
    <w:p>
      <w:pPr>
        <w:pStyle w:val="Heading3"/>
      </w:pPr>
      <w:r>
        <w:t xml:space="preserve">6.2.5. DCI : Sécnidazole (Seule)</w:t>
      </w:r>
    </w:p>
    <w:p>
      <w:pPr>
        <w:pStyle w:val="FirstParagraph"/>
      </w:pPr>
      <w:r>
        <w:rPr>
          <w:b/>
          <w:bCs/>
        </w:rPr>
        <w:t xml:space="preserve">Liste des Catégories :</w:t>
      </w:r>
      <w:r>
        <w:t xml:space="preserve"> </w:t>
      </w:r>
      <w:r>
        <w:t xml:space="preserve">Antibiotique ; Antibactérien systémique ; Nitro-imidazolé ; Antiparasitaire ; Monodose ; J01XD05.</w:t>
      </w:r>
    </w:p>
    <w:p>
      <w:pPr>
        <w:pStyle w:val="BodyText"/>
      </w:pPr>
      <w:r>
        <w:t xml:space="preserve">Le sécnidazole est un nitro-imidazolé de troisième génération caractérisé par une</w:t>
      </w:r>
      <w:r>
        <w:t xml:space="preserve"> </w:t>
      </w:r>
      <w:r>
        <w:rPr>
          <w:b/>
          <w:bCs/>
        </w:rPr>
        <w:t xml:space="preserve">demi-vie plasmatique très longue (17-29 h)</w:t>
      </w:r>
      <w:r>
        <w:t xml:space="preserve">, autorisant une</w:t>
      </w:r>
      <w:r>
        <w:t xml:space="preserve"> </w:t>
      </w:r>
      <w:r>
        <w:rPr>
          <w:b/>
          <w:bCs/>
        </w:rPr>
        <w:t xml:space="preserve">monodose unique</w:t>
      </w:r>
      <w:r>
        <w:t xml:space="preserve"> </w:t>
      </w:r>
      <w:r>
        <w:t xml:space="preserve">dans la plupart des indications parasitologiques (trichomonase, giardiose, amibiase). Sa tolérance digestive est globalement supérieure au métronidazole. En Algérie, SECNIDOLEX (Frater-Razes Forme Sèche) est disponible en sachet-dose de 2 g, en monodose.</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SECNIDOLEX</w:t>
      </w:r>
      <w:r>
        <w:t xml:space="preserve"> </w:t>
      </w:r>
      <w:r>
        <w:t xml:space="preserve">(FRATER-RAZES FORME SECHE)</w:t>
      </w:r>
      <w:r>
        <w:t xml:space="preserve"> </w:t>
      </w:r>
      <w:r>
        <w:t xml:space="preserve">- Forme et Dosage : Microgranules en sachet-dose 2 g (B/1)</w:t>
      </w:r>
      <w:r>
        <w:t xml:space="preserve"> </w:t>
      </w:r>
      <w:r>
        <w:t xml:space="preserve">- Liste : Liste I</w:t>
      </w:r>
      <w:r>
        <w:t xml:space="preserve"> </w:t>
      </w:r>
      <w:r>
        <w:t xml:space="preserve">- Statut : Actif</w:t>
      </w:r>
      <w:r>
        <w:t xml:space="preserve"> </w:t>
      </w:r>
      <w:r>
        <w:t xml:space="preserve">-</w:t>
      </w:r>
      <w:r>
        <w:t xml:space="preserve"> </w:t>
      </w:r>
      <w:r>
        <w:rPr>
          <w:b/>
          <w:bCs/>
        </w:rPr>
        <w:t xml:space="preserve">SECNOL</w:t>
      </w:r>
      <w:r>
        <w:t xml:space="preserve"> </w:t>
      </w:r>
      <w:r>
        <w:t xml:space="preserve">(IPRAD)</w:t>
      </w:r>
      <w:r>
        <w:t xml:space="preserve"> </w:t>
      </w:r>
      <w:r>
        <w:t xml:space="preserve">- Forme et Dosage : Microgranules en sachet-dose 2 g (B/1)</w:t>
      </w:r>
      <w:r>
        <w:t xml:space="preserve"> </w:t>
      </w:r>
      <w:r>
        <w:t xml:space="preserve">- Liste : Liste I</w:t>
      </w:r>
      <w:r>
        <w:t xml:space="preserve"> </w:t>
      </w:r>
      <w:r>
        <w:t xml:space="preserve">- Statut :</w:t>
      </w:r>
      <w:r>
        <w:t xml:space="preserve"> </w:t>
      </w:r>
      <w:r>
        <w:rPr>
          <w:b/>
          <w:bCs/>
        </w:rPr>
        <w:t xml:space="preserve">Non Renouvelable</w:t>
      </w:r>
    </w:p>
    <w:p>
      <w:pPr>
        <w:pStyle w:val="BodyText"/>
      </w:pPr>
      <w:r>
        <w:rPr>
          <w:b/>
          <w:bCs/>
        </w:rPr>
        <w:t xml:space="preserve">Sous-classe et Mécanisme d’action :</w:t>
      </w:r>
      <w:r>
        <w:t xml:space="preserve"> </w:t>
      </w:r>
      <w:r>
        <w:t xml:space="preserve">- Sous-classe : Nitro-imidazolé de 3e génération (5-nitro-imidazolé), demi-vie très longue (17-29 h). Bactéricide, protozoocide, amibicide.</w:t>
      </w:r>
      <w:r>
        <w:t xml:space="preserve"> </w:t>
      </w:r>
      <w:r>
        <w:t xml:space="preserve">- Mécanisme d’action : identique au métronidazole —</w:t>
      </w:r>
      <w:r>
        <w:t xml:space="preserve"> </w:t>
      </w:r>
      <w:r>
        <w:rPr>
          <w:b/>
          <w:bCs/>
        </w:rPr>
        <w:t xml:space="preserve">réduction du groupement nitro par la ferredoxine/PFOR en milieu anaérobie</w:t>
      </w:r>
      <w:r>
        <w:t xml:space="preserve"> </w:t>
      </w:r>
      <w:r>
        <w:t xml:space="preserve">→ radical nitro anion cytotoxique → cassures ADN, inhibition synthèse et réplication, altération protéines cellulaires.</w:t>
      </w:r>
      <w:r>
        <w:t xml:space="preserve"> </w:t>
      </w:r>
      <w:r>
        <w:t xml:space="preserve">- Spectre : superposable au métronidazole (anaérobies stricts, Trichomonas, Giardia, Entamoeba, Gardnerella).</w:t>
      </w:r>
    </w:p>
    <w:p>
      <w:pPr>
        <w:pStyle w:val="BodyText"/>
      </w:pPr>
      <w:r>
        <w:rPr>
          <w:b/>
          <w:bCs/>
        </w:rPr>
        <w:t xml:space="preserve">Profil Pharmacologique :</w:t>
      </w:r>
      <w:r>
        <w:t xml:space="preserve"> </w:t>
      </w:r>
      <w:r>
        <w:t xml:space="preserve">- Indications :</w:t>
      </w:r>
      <w:r>
        <w:t xml:space="preserve"> </w:t>
      </w:r>
      <w:r>
        <w:t xml:space="preserve">-</w:t>
      </w:r>
      <w:r>
        <w:t xml:space="preserve"> </w:t>
      </w:r>
      <w:r>
        <w:rPr>
          <w:b/>
          <w:bCs/>
        </w:rPr>
        <w:t xml:space="preserve">Trichomonase urogénitale</w:t>
      </w:r>
      <w:r>
        <w:t xml:space="preserve"> </w:t>
      </w:r>
      <w:r>
        <w:t xml:space="preserve">: 2 g en monodose PO (1re intention) — traitement du partenaire systématique.</w:t>
      </w:r>
      <w:r>
        <w:t xml:space="preserve"> </w:t>
      </w:r>
      <w:r>
        <w:t xml:space="preserve">-</w:t>
      </w:r>
      <w:r>
        <w:t xml:space="preserve"> </w:t>
      </w:r>
      <w:r>
        <w:rPr>
          <w:b/>
          <w:bCs/>
        </w:rPr>
        <w:t xml:space="preserve">Giardiose</w:t>
      </w:r>
      <w:r>
        <w:t xml:space="preserve"> </w:t>
      </w:r>
      <w:r>
        <w:t xml:space="preserve">: 2 g en monodose PO.</w:t>
      </w:r>
      <w:r>
        <w:t xml:space="preserve"> </w:t>
      </w:r>
      <w:r>
        <w:t xml:space="preserve">-</w:t>
      </w:r>
      <w:r>
        <w:t xml:space="preserve"> </w:t>
      </w:r>
      <w:r>
        <w:rPr>
          <w:b/>
          <w:bCs/>
        </w:rPr>
        <w:t xml:space="preserve">Amibiase intestinale</w:t>
      </w:r>
      <w:r>
        <w:t xml:space="preserve"> </w:t>
      </w:r>
      <w:r>
        <w:t xml:space="preserve">: 2 g/j × 3 j.</w:t>
      </w:r>
      <w:r>
        <w:t xml:space="preserve"> </w:t>
      </w:r>
      <w:r>
        <w:t xml:space="preserve">-</w:t>
      </w:r>
      <w:r>
        <w:t xml:space="preserve"> </w:t>
      </w:r>
      <w:r>
        <w:rPr>
          <w:b/>
          <w:bCs/>
        </w:rPr>
        <w:t xml:space="preserve">Amibiase hépatique</w:t>
      </w:r>
      <w:r>
        <w:t xml:space="preserve"> </w:t>
      </w:r>
      <w:r>
        <w:t xml:space="preserve">: 1,5 g/j × 5-7 j.</w:t>
      </w:r>
      <w:r>
        <w:t xml:space="preserve"> </w:t>
      </w:r>
      <w:r>
        <w:t xml:space="preserve">-</w:t>
      </w:r>
      <w:r>
        <w:t xml:space="preserve"> </w:t>
      </w:r>
      <w:r>
        <w:rPr>
          <w:b/>
          <w:bCs/>
        </w:rPr>
        <w:t xml:space="preserve">Vaginose bactérienne</w:t>
      </w:r>
      <w:r>
        <w:t xml:space="preserve"> </w:t>
      </w:r>
      <w:r>
        <w:t xml:space="preserve">: 2 g monodose (alternative).</w:t>
      </w:r>
      <w:r>
        <w:t xml:space="preserve"> </w:t>
      </w:r>
      <w:r>
        <w:t xml:space="preserve">- Contre-indications :</w:t>
      </w:r>
      <w:r>
        <w:t xml:space="preserve"> </w:t>
      </w:r>
      <w:r>
        <w:t xml:space="preserve">- Hypersensibilité aux nitro-imidazolés.</w:t>
      </w:r>
      <w:r>
        <w:t xml:space="preserve"> </w:t>
      </w:r>
      <w:r>
        <w:t xml:space="preserve">- 1er trimestre de grossesse.</w:t>
      </w:r>
      <w:r>
        <w:t xml:space="preserve"> </w:t>
      </w:r>
      <w:r>
        <w:t xml:space="preserve">- Allaitement (suspension 72 h après dernière prise).</w:t>
      </w:r>
      <w:r>
        <w:t xml:space="preserve"> </w:t>
      </w:r>
      <w:r>
        <w:t xml:space="preserve">- Association avec disulfirame.</w:t>
      </w:r>
      <w:r>
        <w:t xml:space="preserve"> </w:t>
      </w:r>
      <w:r>
        <w:t xml:space="preserve">- Neuropathie périphérique préexistante.</w:t>
      </w:r>
      <w:r>
        <w:t xml:space="preserve"> </w:t>
      </w:r>
      <w:r>
        <w:t xml:space="preserve">- Porphyrie.</w:t>
      </w:r>
      <w:r>
        <w:t xml:space="preserve"> </w:t>
      </w:r>
      <w:r>
        <w:t xml:space="preserve">- Effets Indésirables :</w:t>
      </w:r>
      <w:r>
        <w:t xml:space="preserve"> </w:t>
      </w:r>
      <w:r>
        <w:t xml:space="preserve">- Profil identique au métronidazole mais globalement mieux toléré (monodose).</w:t>
      </w:r>
      <w:r>
        <w:t xml:space="preserve"> </w:t>
      </w:r>
      <w:r>
        <w:t xml:space="preserve">- Goût métallique, nausées, gastralgies.</w:t>
      </w:r>
      <w:r>
        <w:t xml:space="preserve"> </w:t>
      </w:r>
      <w:r>
        <w:t xml:space="preserve">- Neuropathie périphérique (rare en monodose, possible en cures répétées).</w:t>
      </w:r>
      <w:r>
        <w:t xml:space="preserve"> </w:t>
      </w:r>
      <w:r>
        <w:t xml:space="preserve">- Élévation transitoire des transaminases.</w:t>
      </w:r>
      <w:r>
        <w:t xml:space="preserve"> </w:t>
      </w:r>
      <w:r>
        <w:t xml:space="preserve">- Leucopénie modérée (rare).</w:t>
      </w:r>
      <w:r>
        <w:t xml:space="preserve"> </w:t>
      </w:r>
      <w:r>
        <w:t xml:space="preserve">- Effet Antabuse possible (mais moins marqué qu’avec le métronidazole).</w:t>
      </w:r>
    </w:p>
    <w:p>
      <w:pPr>
        <w:pStyle w:val="BodyText"/>
      </w:pPr>
      <w:r>
        <w:rPr>
          <w:b/>
          <w:bCs/>
        </w:rPr>
        <w:t xml:space="preserve">Prévention et Gestion des Effets Indésirables :</w:t>
      </w:r>
      <w:r>
        <w:t xml:space="preserve"> </w:t>
      </w:r>
      <w:r>
        <w:t xml:space="preserve">- Mesures Préventives :</w:t>
      </w:r>
      <w:r>
        <w:t xml:space="preserve"> </w:t>
      </w:r>
      <w:r>
        <w:t xml:space="preserve">-</w:t>
      </w:r>
      <w:r>
        <w:t xml:space="preserve"> </w:t>
      </w:r>
      <w:r>
        <w:rPr>
          <w:b/>
          <w:bCs/>
        </w:rPr>
        <w:t xml:space="preserve">Éviction de l’alcool pendant le traitement et 72 heures après la prise unique</w:t>
      </w:r>
      <w:r>
        <w:t xml:space="preserve">.</w:t>
      </w:r>
      <w:r>
        <w:t xml:space="preserve"> </w:t>
      </w:r>
      <w:r>
        <w:t xml:space="preserve">- Prise pendant un repas.</w:t>
      </w:r>
      <w:r>
        <w:t xml:space="preserve"> </w:t>
      </w:r>
      <w:r>
        <w:t xml:space="preserve">- Conduite à Tenir : identique au métronidazole.</w:t>
      </w:r>
    </w:p>
    <w:p>
      <w:pPr>
        <w:pStyle w:val="BodyText"/>
      </w:pPr>
      <w:r>
        <w:rPr>
          <w:b/>
          <w:bCs/>
        </w:rPr>
        <w:t xml:space="preserve">Interactions Importantes :</w:t>
      </w:r>
      <w:r>
        <w:t xml:space="preserve"> </w:t>
      </w:r>
      <w:r>
        <w:t xml:space="preserve">- Profil identique au métronidazole (alcool, AVK, disulfirame, phénytoïne, lithium, fluorouracile, induction enzymatique).</w:t>
      </w:r>
      <w:r>
        <w:t xml:space="preserve"> </w:t>
      </w:r>
      <w:r>
        <w:t xml:space="preserve">-</w:t>
      </w:r>
      <w:r>
        <w:t xml:space="preserve"> </w:t>
      </w:r>
      <w:r>
        <w:rPr>
          <w:b/>
          <w:bCs/>
        </w:rPr>
        <w:t xml:space="preserve">Sécnidazole + anticoagulants oraux</w:t>
      </w:r>
      <w:r>
        <w:t xml:space="preserve"> </w:t>
      </w:r>
      <w:r>
        <w:t xml:space="preserve">: potentialisation (INR).</w:t>
      </w:r>
      <w:r>
        <w:t xml:space="preserve"> </w:t>
      </w:r>
      <w:r>
        <w:t xml:space="preserve">-</w:t>
      </w:r>
      <w:r>
        <w:t xml:space="preserve"> </w:t>
      </w:r>
      <w:r>
        <w:rPr>
          <w:b/>
          <w:bCs/>
        </w:rPr>
        <w:t xml:space="preserve">Sécnidazole + alcool</w:t>
      </w:r>
      <w:r>
        <w:t xml:space="preserve"> </w:t>
      </w:r>
      <w:r>
        <w:t xml:space="preserve">: effet Antabuse.</w:t>
      </w:r>
    </w:p>
    <w:p>
      <w:pPr>
        <w:pStyle w:val="BodyText"/>
      </w:pPr>
      <w:r>
        <w:rPr>
          <w:b/>
          <w:bCs/>
        </w:rPr>
        <w:t xml:space="preserve">Grossesse et Allaitement :</w:t>
      </w:r>
      <w:r>
        <w:t xml:space="preserve"> </w:t>
      </w:r>
      <w:r>
        <w:t xml:space="preserve">- Grossesse : 1er trimestre CI absolue ; 2e/3e trimestres usage ponctuel possible si nécessaire.</w:t>
      </w:r>
      <w:r>
        <w:t xml:space="preserve"> </w:t>
      </w:r>
      <w:r>
        <w:t xml:space="preserve">- Allaitement : suspendre pendant le traitement et 72 h après la prise (demi-vie longue).</w:t>
      </w:r>
    </w:p>
    <w:p>
      <w:pPr>
        <w:pStyle w:val="BodyText"/>
      </w:pPr>
      <w:r>
        <w:rPr>
          <w:b/>
          <w:bCs/>
        </w:rPr>
        <w:t xml:space="preserve">Posologie et Mode d’administration (Standard) :</w:t>
      </w:r>
      <w:r>
        <w:t xml:space="preserve"> </w:t>
      </w:r>
      <w:r>
        <w:t xml:space="preserve">- Adulte :</w:t>
      </w:r>
      <w:r>
        <w:t xml:space="preserve"> </w:t>
      </w:r>
      <w:r>
        <w:t xml:space="preserve">-</w:t>
      </w:r>
      <w:r>
        <w:t xml:space="preserve"> </w:t>
      </w:r>
      <w:r>
        <w:rPr>
          <w:b/>
          <w:bCs/>
        </w:rPr>
        <w:t xml:space="preserve">Trichomonase, giardiose, vaginose bactérienne</w:t>
      </w:r>
      <w:r>
        <w:t xml:space="preserve"> </w:t>
      </w:r>
      <w:r>
        <w:t xml:space="preserve">:</w:t>
      </w:r>
      <w:r>
        <w:t xml:space="preserve"> </w:t>
      </w:r>
      <w:r>
        <w:rPr>
          <w:b/>
          <w:bCs/>
        </w:rPr>
        <w:t xml:space="preserve">2 g en monodose PO</w:t>
      </w:r>
      <w:r>
        <w:t xml:space="preserve"> </w:t>
      </w:r>
      <w:r>
        <w:t xml:space="preserve">(1 sachet-dose en une prise).</w:t>
      </w:r>
      <w:r>
        <w:t xml:space="preserve"> </w:t>
      </w:r>
      <w:r>
        <w:t xml:space="preserve">-</w:t>
      </w:r>
      <w:r>
        <w:t xml:space="preserve"> </w:t>
      </w:r>
      <w:r>
        <w:rPr>
          <w:b/>
          <w:bCs/>
        </w:rPr>
        <w:t xml:space="preserve">Amibiase intestinale</w:t>
      </w:r>
      <w:r>
        <w:t xml:space="preserve"> </w:t>
      </w:r>
      <w:r>
        <w:t xml:space="preserve">: 2 g/j × 3 j.</w:t>
      </w:r>
      <w:r>
        <w:t xml:space="preserve"> </w:t>
      </w:r>
      <w:r>
        <w:t xml:space="preserve">-</w:t>
      </w:r>
      <w:r>
        <w:t xml:space="preserve"> </w:t>
      </w:r>
      <w:r>
        <w:rPr>
          <w:b/>
          <w:bCs/>
        </w:rPr>
        <w:t xml:space="preserve">Amibiase hépatique</w:t>
      </w:r>
      <w:r>
        <w:t xml:space="preserve"> </w:t>
      </w:r>
      <w:r>
        <w:t xml:space="preserve">: 1,5 g/j × 5-7 j.</w:t>
      </w:r>
      <w:r>
        <w:t xml:space="preserve"> </w:t>
      </w:r>
      <w:r>
        <w:t xml:space="preserve">- Enfant &gt; 3 ans : 30 mg/kg en monodose (trichomonase, giardiose).</w:t>
      </w:r>
      <w:r>
        <w:t xml:space="preserve"> </w:t>
      </w:r>
      <w:r>
        <w:t xml:space="preserve">- Mode d’administration : verser le contenu du sachet dans un demi-verre d’eau, remuer, avaler pendant un repas (le soir de préférence).</w:t>
      </w:r>
    </w:p>
    <w:p>
      <w:pPr>
        <w:pStyle w:val="BodyText"/>
      </w:pPr>
      <w:r>
        <w:rPr>
          <w:b/>
          <w:bCs/>
        </w:rPr>
        <w:t xml:space="preserve">Arbitrage et Bénéfices des Formes Galéniques :</w:t>
      </w:r>
      <w:r>
        <w:t xml:space="preserve"> </w:t>
      </w:r>
      <w:r>
        <w:t xml:space="preserve">-</w:t>
      </w:r>
      <w:r>
        <w:t xml:space="preserve"> </w:t>
      </w:r>
      <w:r>
        <w:rPr>
          <w:b/>
          <w:bCs/>
        </w:rPr>
        <w:t xml:space="preserve">Sachet-dose 2 g (B/1)</w:t>
      </w:r>
      <w:r>
        <w:t xml:space="preserve"> </w:t>
      </w:r>
      <w:r>
        <w:t xml:space="preserve">: format idéal pour monodose ; observance facilitée ; pas de risque d’oubli sur une cure longue.</w:t>
      </w:r>
      <w:r>
        <w:t xml:space="preserve"> </w:t>
      </w:r>
      <w:r>
        <w:t xml:space="preserve">- Pas de forme IV, ni gynécologique, ni pédiatrique en Algérie (alternative : métronidazole).</w:t>
      </w:r>
    </w:p>
    <w:p>
      <w:pPr>
        <w:pStyle w:val="BodyText"/>
      </w:pPr>
      <w:r>
        <w:rPr>
          <w:b/>
          <w:bCs/>
        </w:rPr>
        <w:t xml:space="preserve">Instructions et Conseils au Patient :</w:t>
      </w:r>
      <w:r>
        <w:t xml:space="preserve"> </w:t>
      </w:r>
      <w:r>
        <w:t xml:space="preserve">- Communication au comptoir :</w:t>
      </w:r>
      <w:r>
        <w:t xml:space="preserve"> </w:t>
      </w:r>
      <w:r>
        <w:t xml:space="preserve">- « Verser le sachet dans un demi-verre d’eau, mélanger et boire en une seule prise pendant un repas ».</w:t>
      </w:r>
      <w:r>
        <w:t xml:space="preserve"> </w:t>
      </w:r>
      <w:r>
        <w:t xml:space="preserve">- «</w:t>
      </w:r>
      <w:r>
        <w:t xml:space="preserve"> </w:t>
      </w:r>
      <w:r>
        <w:rPr>
          <w:b/>
          <w:bCs/>
        </w:rPr>
        <w:t xml:space="preserve">PAS D’ALCOOL pendant le traitement ET 72 heures après la prise</w:t>
      </w:r>
      <w:r>
        <w:t xml:space="preserve"> </w:t>
      </w:r>
      <w:r>
        <w:t xml:space="preserve">».</w:t>
      </w:r>
      <w:r>
        <w:t xml:space="preserve"> </w:t>
      </w:r>
      <w:r>
        <w:t xml:space="preserve">- « Prévenez votre médecin si vous prenez un anticoagulant ».</w:t>
      </w:r>
      <w:r>
        <w:t xml:space="preserve"> </w:t>
      </w:r>
      <w:r>
        <w:t xml:space="preserve">- « Goût métallique possible : c’est normal ».</w:t>
      </w:r>
      <w:r>
        <w:t xml:space="preserve"> </w:t>
      </w:r>
      <w:r>
        <w:t xml:space="preserve">- Femme allaitante : « Suspendez l’allaitement pendant 72 heures ; tirez et jetez votre lait ».</w:t>
      </w:r>
      <w:r>
        <w:t xml:space="preserve"> </w:t>
      </w:r>
      <w:r>
        <w:t xml:space="preserve">- Trichomonase : « Traitement du partenaire sexuel nécessaire ».</w:t>
      </w:r>
      <w:r>
        <w:t xml:space="preserve"> </w:t>
      </w:r>
      <w:r>
        <w:t xml:space="preserve">- Mode d’utilisation pratique : prise unique le soir au coucher avec repas ; conservation du sachet non ouvert à T° ambiante.</w:t>
      </w:r>
    </w:p>
    <w:p>
      <w:pPr>
        <w:pStyle w:val="BodyText"/>
      </w:pPr>
      <w:r>
        <w:rPr>
          <w:b/>
          <w:bCs/>
        </w:rPr>
        <w:t xml:space="preserve">Notes, Règles d’Or &amp; Pièges au Comptoir :</w:t>
      </w:r>
      <w:r>
        <w:t xml:space="preserve"> </w:t>
      </w:r>
      <w:r>
        <w:t xml:space="preserve">-</w:t>
      </w:r>
      <w:r>
        <w:t xml:space="preserve"> </w:t>
      </w:r>
      <w:r>
        <w:rPr>
          <w:b/>
          <w:bCs/>
        </w:rPr>
        <w:t xml:space="preserve">Piège classique — Monodose et observance</w:t>
      </w:r>
      <w:r>
        <w:t xml:space="preserve"> </w:t>
      </w:r>
      <w:r>
        <w:t xml:space="preserve">: avantage majeur du sécnidazole vs métronidazole — à valoriser au comptoir.</w:t>
      </w:r>
      <w:r>
        <w:t xml:space="preserve"> </w:t>
      </w:r>
      <w:r>
        <w:t xml:space="preserve">-</w:t>
      </w:r>
      <w:r>
        <w:t xml:space="preserve"> </w:t>
      </w:r>
      <w:r>
        <w:rPr>
          <w:b/>
          <w:bCs/>
        </w:rPr>
        <w:t xml:space="preserve">Piège classique — Demi-vie longue et allaitement</w:t>
      </w:r>
      <w:r>
        <w:t xml:space="preserve"> </w:t>
      </w:r>
      <w:r>
        <w:t xml:space="preserve">: suspension 72 h.</w:t>
      </w:r>
      <w:r>
        <w:t xml:space="preserve"> </w:t>
      </w:r>
      <w:r>
        <w:t xml:space="preserve">-</w:t>
      </w:r>
      <w:r>
        <w:t xml:space="preserve"> </w:t>
      </w:r>
      <w:r>
        <w:rPr>
          <w:b/>
          <w:bCs/>
        </w:rPr>
        <w:t xml:space="preserve">Règle de prise</w:t>
      </w:r>
      <w:r>
        <w:t xml:space="preserve"> </w:t>
      </w:r>
      <w:r>
        <w:t xml:space="preserve">: monodose pendant repas, pas d’alcool 72 h.</w:t>
      </w:r>
      <w:r>
        <w:t xml:space="preserve"> </w:t>
      </w:r>
      <w:r>
        <w:t xml:space="preserve">-</w:t>
      </w:r>
      <w:r>
        <w:t xml:space="preserve"> </w:t>
      </w:r>
      <w:r>
        <w:rPr>
          <w:b/>
          <w:bCs/>
        </w:rPr>
        <w:t xml:space="preserve">Préparation et Conservation</w:t>
      </w:r>
      <w:r>
        <w:t xml:space="preserve"> </w:t>
      </w:r>
      <w:r>
        <w:t xml:space="preserve">: sachet à conserver à T° ambiante (&lt; 25 °C), à l’abri de l’humidité ; après dissolution, consommer immédiatement.</w:t>
      </w:r>
      <w:r>
        <w:t xml:space="preserve"> </w:t>
      </w:r>
      <w:r>
        <w:t xml:space="preserve">-</w:t>
      </w:r>
      <w:r>
        <w:t xml:space="preserve"> </w:t>
      </w:r>
      <w:r>
        <w:rPr>
          <w:b/>
          <w:bCs/>
        </w:rPr>
        <w:t xml:space="preserve">Piège du surdosage / Substitution</w:t>
      </w:r>
      <w:r>
        <w:t xml:space="preserve"> </w:t>
      </w:r>
      <w:r>
        <w:t xml:space="preserve">:</w:t>
      </w:r>
      <w:r>
        <w:t xml:space="preserve"> </w:t>
      </w:r>
      <w:r>
        <w:t xml:space="preserve">- Substitution sécnidazole ↔ métronidazole ↔ tinidazole ↔ ornidazole : possible, mais adapter schéma.</w:t>
      </w:r>
      <w:r>
        <w:t xml:space="preserve"> </w:t>
      </w:r>
      <w:r>
        <w:t xml:space="preserve">- Ne pas délivrer plus d’un sachet sans justification.</w:t>
      </w:r>
    </w:p>
    <w:p>
      <w:r>
        <w:pict>
          <v:rect style="width:0;height:1.5pt" o:hralign="center" o:hrstd="t" o:hr="t"/>
        </w:pict>
      </w:r>
    </w:p>
    <w:bookmarkEnd w:id="180"/>
    <w:bookmarkEnd w:id="181"/>
    <w:bookmarkStart w:id="185" w:name="X556b7c22bae73acfb6b8708c1e8f3c1f69429e3"/>
    <w:p>
      <w:pPr>
        <w:pStyle w:val="Heading2"/>
      </w:pPr>
      <w:r>
        <w:t xml:space="preserve">6.3. Sous-classe : Nitro-imidazolés (associations gynécologiques locales)</w:t>
      </w:r>
    </w:p>
    <w:bookmarkStart w:id="182" w:name="introduction-à-la-sous-classe-2"/>
    <w:p>
      <w:pPr>
        <w:pStyle w:val="Heading3"/>
      </w:pPr>
      <w:r>
        <w:t xml:space="preserve">6.3.1. Introduction à la sous-classe</w:t>
      </w:r>
    </w:p>
    <w:p>
      <w:pPr>
        <w:pStyle w:val="FirstParagraph"/>
      </w:pPr>
      <w:r>
        <w:t xml:space="preserve">Les vaginites et vaginoses sont des pathologies féminines extrêmement fréquentes en Algérie, souvent polymicrobiennes (bactéries + protozoaires + champignons). Pour traiter ces tableaux mixtes en une seule prescription gynécologique, les</w:t>
      </w:r>
      <w:r>
        <w:t xml:space="preserve"> </w:t>
      </w:r>
      <w:r>
        <w:rPr>
          <w:b/>
          <w:bCs/>
        </w:rPr>
        <w:t xml:space="preserve">associations locales</w:t>
      </w:r>
      <w:r>
        <w:t xml:space="preserve"> </w:t>
      </w:r>
      <w:r>
        <w:t xml:space="preserve">de métronidazole avec un antifongique imidazolé (miconazole) ou un antibiotique + antifongique (néomycine + nystatine) ont été développées. Ces associations visent à couvrir simultanément :</w:t>
      </w:r>
      <w:r>
        <w:t xml:space="preserve"> </w:t>
      </w:r>
      <w:r>
        <w:t xml:space="preserve">-</w:t>
      </w:r>
      <w:r>
        <w:t xml:space="preserve"> </w:t>
      </w:r>
      <w:r>
        <w:rPr>
          <w:b/>
          <w:bCs/>
        </w:rPr>
        <w:t xml:space="preserve">Gardnerella vaginalis</w:t>
      </w:r>
      <w:r>
        <w:t xml:space="preserve"> </w:t>
      </w:r>
      <w:r>
        <w:t xml:space="preserve">et bactéries anaérobies (vaginose bactérienne) → métronidazole ;</w:t>
      </w:r>
      <w:r>
        <w:t xml:space="preserve"> </w:t>
      </w:r>
      <w:r>
        <w:t xml:space="preserve">-</w:t>
      </w:r>
      <w:r>
        <w:t xml:space="preserve"> </w:t>
      </w:r>
      <w:r>
        <w:rPr>
          <w:b/>
          <w:bCs/>
        </w:rPr>
        <w:t xml:space="preserve">Candida albicans</w:t>
      </w:r>
      <w:r>
        <w:t xml:space="preserve"> </w:t>
      </w:r>
      <w:r>
        <w:t xml:space="preserve">et autres levures (candidose) → miconazole ou nystatine ;</w:t>
      </w:r>
      <w:r>
        <w:t xml:space="preserve"> </w:t>
      </w:r>
      <w:r>
        <w:t xml:space="preserve">-</w:t>
      </w:r>
      <w:r>
        <w:t xml:space="preserve"> </w:t>
      </w:r>
      <w:r>
        <w:rPr>
          <w:b/>
          <w:bCs/>
        </w:rPr>
        <w:t xml:space="preserve">Bactéries aérobies</w:t>
      </w:r>
      <w:r>
        <w:t xml:space="preserve"> </w:t>
      </w:r>
      <w:r>
        <w:t xml:space="preserve">(streptocoques, staphylocoques, E. coli) → néomycine.</w:t>
      </w:r>
    </w:p>
    <w:p>
      <w:pPr>
        <w:pStyle w:val="BodyText"/>
      </w:pPr>
      <w:r>
        <w:t xml:space="preserve">Le tout sous forme</w:t>
      </w:r>
      <w:r>
        <w:t xml:space="preserve"> </w:t>
      </w:r>
      <w:r>
        <w:rPr>
          <w:b/>
          <w:bCs/>
        </w:rPr>
        <w:t xml:space="preserve">ovule ou comprimé vaginal</w:t>
      </w:r>
      <w:r>
        <w:t xml:space="preserve"> </w:t>
      </w:r>
      <w:r>
        <w:t xml:space="preserve">à libération locale, avec passage systémique minimal mais non nul (notamment pour le métronidazole — même précautions que pour la forme systémique concernant l’alcool, l’allaitement et le 1er trimestre de grossesse).</w:t>
      </w:r>
    </w:p>
    <w:p>
      <w:pPr>
        <w:pStyle w:val="BlockText"/>
      </w:pPr>
      <w:r>
        <w:rPr>
          <w:b/>
          <w:bCs/>
        </w:rPr>
        <w:t xml:space="preserve">Piège pédagogique :</w:t>
      </w:r>
      <w:r>
        <w:t xml:space="preserve"> </w:t>
      </w:r>
      <w:r>
        <w:t xml:space="preserve">Bien que l’administration soit locale (vaginale), le métronidazole contenu dans ces associations passe en partie dans la circulation systémique →</w:t>
      </w:r>
      <w:r>
        <w:t xml:space="preserve"> </w:t>
      </w:r>
      <w:r>
        <w:rPr>
          <w:b/>
          <w:bCs/>
        </w:rPr>
        <w:t xml:space="preserve">l’éviction d’alcool reste de mise</w:t>
      </w:r>
      <w:r>
        <w:t xml:space="preserve"> </w:t>
      </w:r>
      <w:r>
        <w:t xml:space="preserve">pendant le traitement et 48 h après. Le pharmacien doit absolument transmettre ce message.</w:t>
      </w:r>
    </w:p>
    <w:p>
      <w:r>
        <w:pict>
          <v:rect style="width:0;height:1.5pt" o:hralign="center" o:hrstd="t" o:hr="t"/>
        </w:pict>
      </w:r>
    </w:p>
    <w:bookmarkEnd w:id="182"/>
    <w:bookmarkStart w:id="183" w:name="X356e08fa4a309a65f92f6f31a64a2bf28b23c3b"/>
    <w:p>
      <w:pPr>
        <w:pStyle w:val="Heading3"/>
      </w:pPr>
      <w:r>
        <w:t xml:space="preserve">6.3.2. DCI : Métronidazole + Miconazole (En Association, gynécologique)</w:t>
      </w:r>
    </w:p>
    <w:p>
      <w:pPr>
        <w:pStyle w:val="FirstParagraph"/>
      </w:pPr>
      <w:r>
        <w:rPr>
          <w:b/>
          <w:bCs/>
        </w:rPr>
        <w:t xml:space="preserve">Liste des Catégories :</w:t>
      </w:r>
      <w:r>
        <w:t xml:space="preserve"> </w:t>
      </w:r>
      <w:r>
        <w:t xml:space="preserve">Antibiotique + Antifongique ; Topique gynécologique ; Vaginite mixte ; Nitro-imidazolé + Imidazolé antifongique ; G01AF20 + G01AB01.</w:t>
      </w:r>
    </w:p>
    <w:p>
      <w:pPr>
        <w:pStyle w:val="BodyText"/>
      </w:pPr>
      <w:r>
        <w:t xml:space="preserve">Cette association gynécologique combine le</w:t>
      </w:r>
      <w:r>
        <w:t xml:space="preserve"> </w:t>
      </w:r>
      <w:r>
        <w:rPr>
          <w:b/>
          <w:bCs/>
        </w:rPr>
        <w:t xml:space="preserve">métronidazole</w:t>
      </w:r>
      <w:r>
        <w:t xml:space="preserve"> </w:t>
      </w:r>
      <w:r>
        <w:t xml:space="preserve">(anti-anaérobie, anti-trichomonas) avec le</w:t>
      </w:r>
      <w:r>
        <w:t xml:space="preserve"> </w:t>
      </w:r>
      <w:r>
        <w:rPr>
          <w:b/>
          <w:bCs/>
        </w:rPr>
        <w:t xml:space="preserve">miconazole</w:t>
      </w:r>
      <w:r>
        <w:t xml:space="preserve"> </w:t>
      </w:r>
      <w:r>
        <w:t xml:space="preserve">(antifongique imidazolé, anti-Candida) dans un ovule vaginal à libération locale. Elle est indiquée dans les</w:t>
      </w:r>
      <w:r>
        <w:t xml:space="preserve"> </w:t>
      </w:r>
      <w:r>
        <w:rPr>
          <w:b/>
          <w:bCs/>
        </w:rPr>
        <w:t xml:space="preserve">vaginites mixtes</w:t>
      </w:r>
      <w:r>
        <w:t xml:space="preserve"> </w:t>
      </w:r>
      <w:r>
        <w:t xml:space="preserve">associant vaginose bactérienne (Gardnerella) et candidose (Candida albicans), tableaux fréquents chez la femme en âge de procréer. La spécialité LIMENDA (World Medicine, Turquie) est disponible en Algérie en ovule 750 mg/200 mg (boîte de 7 ovules + 7 doigtiers). Une variante LIMENDA-L associe en plus un progestatif (100 mg d’un composé supplémentaire par ovule).</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LIMENDA</w:t>
      </w:r>
      <w:r>
        <w:t xml:space="preserve"> </w:t>
      </w:r>
      <w:r>
        <w:t xml:space="preserve">(WORLD MEDECINE ILAC SAN.VE TIC.AS)</w:t>
      </w:r>
      <w:r>
        <w:t xml:space="preserve"> </w:t>
      </w:r>
      <w:r>
        <w:t xml:space="preserve">- Forme et Dosage : Ovule 750 mg / 200 mg (métronidazole 750 mg + miconazole 200 mg)</w:t>
      </w:r>
      <w:r>
        <w:t xml:space="preserve"> </w:t>
      </w:r>
      <w:r>
        <w:t xml:space="preserve">- Conditionnement : B/7 ovules et 7 doigtiers</w:t>
      </w:r>
      <w:r>
        <w:t xml:space="preserve"> </w:t>
      </w:r>
      <w:r>
        <w:t xml:space="preserve">- Liste : Liste I</w:t>
      </w:r>
      <w:r>
        <w:t xml:space="preserve"> </w:t>
      </w:r>
      <w:r>
        <w:t xml:space="preserve">- Statut : Actif</w:t>
      </w:r>
      <w:r>
        <w:t xml:space="preserve"> </w:t>
      </w:r>
      <w:r>
        <w:t xml:space="preserve">-</w:t>
      </w:r>
      <w:r>
        <w:t xml:space="preserve"> </w:t>
      </w:r>
      <w:r>
        <w:rPr>
          <w:b/>
          <w:bCs/>
        </w:rPr>
        <w:t xml:space="preserve">LIMENDA-L</w:t>
      </w:r>
      <w:r>
        <w:t xml:space="preserve"> </w:t>
      </w:r>
      <w:r>
        <w:t xml:space="preserve">(WORLD MEDECINE ILAC SAN.VE TIC.AS)</w:t>
      </w:r>
      <w:r>
        <w:t xml:space="preserve"> </w:t>
      </w:r>
      <w:r>
        <w:t xml:space="preserve">- Forme et Dosage : Ovule 750 mg / 200 mg / 100 mg (métronidazole 750 mg + miconazole 200 mg + 100 mg d’un troisième composé — généralement lidocaïne ou anti-inflammatoire selon formulation)</w:t>
      </w:r>
      <w:r>
        <w:t xml:space="preserve"> </w:t>
      </w:r>
      <w:r>
        <w:t xml:space="preserve">- Conditionnement : B/7 ovules et 7 doigtiers</w:t>
      </w:r>
      <w:r>
        <w:t xml:space="preserve"> </w:t>
      </w:r>
      <w:r>
        <w:t xml:space="preserve">- Liste : Liste I</w:t>
      </w:r>
      <w:r>
        <w:t xml:space="preserve"> </w:t>
      </w:r>
      <w:r>
        <w:t xml:space="preserve">- Statut : Actif</w:t>
      </w:r>
    </w:p>
    <w:p>
      <w:pPr>
        <w:pStyle w:val="BlockText"/>
      </w:pPr>
      <w:r>
        <w:rPr>
          <w:b/>
          <w:bCs/>
        </w:rPr>
        <w:t xml:space="preserve">Note :</w:t>
      </w:r>
      <w:r>
        <w:t xml:space="preserve"> </w:t>
      </w:r>
      <w:r>
        <w:t xml:space="preserve">Vérifier la composition exacte de LIMENDA-L sur la notice (la nature du 3e composé à 100 mg peut varier selon formulation — généralement lidocaïne pour effet anesthésique local sur vulvite douloureuse associée).</w:t>
      </w:r>
    </w:p>
    <w:p>
      <w:pPr>
        <w:pStyle w:val="FirstParagraph"/>
      </w:pPr>
      <w:r>
        <w:rPr>
          <w:b/>
          <w:bCs/>
        </w:rPr>
        <w:t xml:space="preserve">Sous-classe et Mécanisme d’action :</w:t>
      </w:r>
      <w:r>
        <w:t xml:space="preserve"> </w:t>
      </w:r>
      <w:r>
        <w:t xml:space="preserve">- Sous-classe : Association topique gynécologique d’un nitro-imidazolé (métronidazole) et d’un antifongique imidazolé (miconazole).</w:t>
      </w:r>
      <w:r>
        <w:t xml:space="preserve"> </w:t>
      </w:r>
      <w:r>
        <w:t xml:space="preserve">- Mécanisme d’action :</w:t>
      </w:r>
      <w:r>
        <w:t xml:space="preserve"> </w:t>
      </w:r>
      <w:r>
        <w:t xml:space="preserve">-</w:t>
      </w:r>
      <w:r>
        <w:t xml:space="preserve"> </w:t>
      </w:r>
      <w:r>
        <w:rPr>
          <w:b/>
          <w:bCs/>
        </w:rPr>
        <w:t xml:space="preserve">Métronidazole</w:t>
      </w:r>
      <w:r>
        <w:t xml:space="preserve"> </w:t>
      </w:r>
      <w:r>
        <w:t xml:space="preserve">— identique à la forme systémique (réduction du groupement nitro par ferredoxine en anaérobie → radical cytotoxique → ADN, protéines). Cible</w:t>
      </w:r>
      <w:r>
        <w:t xml:space="preserve"> </w:t>
      </w:r>
      <w:r>
        <w:rPr>
          <w:i/>
          <w:iCs/>
        </w:rPr>
        <w:t xml:space="preserve">Gardnerella vaginalis</w:t>
      </w:r>
      <w:r>
        <w:t xml:space="preserve">,</w:t>
      </w:r>
      <w:r>
        <w:t xml:space="preserve"> </w:t>
      </w:r>
      <w:r>
        <w:rPr>
          <w:i/>
          <w:iCs/>
        </w:rPr>
        <w:t xml:space="preserve">Trichomonas vaginalis</w:t>
      </w:r>
      <w:r>
        <w:t xml:space="preserve">, anaérobies.</w:t>
      </w:r>
      <w:r>
        <w:t xml:space="preserve"> </w:t>
      </w:r>
      <w:r>
        <w:t xml:space="preserve">-</w:t>
      </w:r>
      <w:r>
        <w:t xml:space="preserve"> </w:t>
      </w:r>
      <w:r>
        <w:rPr>
          <w:b/>
          <w:bCs/>
        </w:rPr>
        <w:t xml:space="preserve">Miconazole</w:t>
      </w:r>
      <w:r>
        <w:t xml:space="preserve"> </w:t>
      </w:r>
      <w:r>
        <w:t xml:space="preserve">— antifongique imidazolé : inhibition de la</w:t>
      </w:r>
      <w:r>
        <w:t xml:space="preserve"> </w:t>
      </w:r>
      <w:r>
        <w:rPr>
          <w:b/>
          <w:bCs/>
        </w:rPr>
        <w:t xml:space="preserve">lanostérol 14α-déméthylase</w:t>
      </w:r>
      <w:r>
        <w:t xml:space="preserve"> </w:t>
      </w:r>
      <w:r>
        <w:t xml:space="preserve">(CYP51 fongique) → blocage de la conversion du lanostérol en ergostérol → altération de la membrane cellulaire fongique → perméabilité accrue, fuite ionique, mort cellulaire. Action fongistatique et fongicide sur</w:t>
      </w:r>
      <w:r>
        <w:t xml:space="preserve"> </w:t>
      </w:r>
      <w:r>
        <w:rPr>
          <w:i/>
          <w:iCs/>
        </w:rPr>
        <w:t xml:space="preserve">Candida</w:t>
      </w:r>
      <w:r>
        <w:t xml:space="preserve"> </w:t>
      </w:r>
      <w:r>
        <w:t xml:space="preserve">spp.,</w:t>
      </w:r>
      <w:r>
        <w:t xml:space="preserve"> </w:t>
      </w:r>
      <w:r>
        <w:rPr>
          <w:i/>
          <w:iCs/>
        </w:rPr>
        <w:t xml:space="preserve">Torulopsis</w:t>
      </w:r>
      <w:r>
        <w:t xml:space="preserve">, et certains dermatophytes. Activité secondaire sur certains Gram+ (Streptocoques, Staphylocoques).</w:t>
      </w:r>
      <w:r>
        <w:t xml:space="preserve"> </w:t>
      </w:r>
      <w:r>
        <w:t xml:space="preserve">- L’association couvre simultanément les étiologies bactérienne (vaginose), parasitaire (trichomonase) et fongique (candidose) des vaginites.</w:t>
      </w:r>
    </w:p>
    <w:p>
      <w:pPr>
        <w:pStyle w:val="BodyText"/>
      </w:pPr>
      <w:r>
        <w:rPr>
          <w:b/>
          <w:bCs/>
        </w:rPr>
        <w:t xml:space="preserve">Profil Pharmacologique :</w:t>
      </w:r>
      <w:r>
        <w:t xml:space="preserve"> </w:t>
      </w:r>
      <w:r>
        <w:t xml:space="preserve">- Indications :</w:t>
      </w:r>
      <w:r>
        <w:t xml:space="preserve"> </w:t>
      </w:r>
      <w:r>
        <w:t xml:space="preserve">-</w:t>
      </w:r>
      <w:r>
        <w:t xml:space="preserve"> </w:t>
      </w:r>
      <w:r>
        <w:rPr>
          <w:b/>
          <w:bCs/>
        </w:rPr>
        <w:t xml:space="preserve">Vaginites mixtes</w:t>
      </w:r>
      <w:r>
        <w:t xml:space="preserve"> </w:t>
      </w:r>
      <w:r>
        <w:t xml:space="preserve">: association d’une vaginose bactérienne (Gardnerella, anaérobies) et d’une candidose (Candida albicans).</w:t>
      </w:r>
      <w:r>
        <w:t xml:space="preserve"> </w:t>
      </w:r>
      <w:r>
        <w:t xml:space="preserve">- Vaginites récidivantes à multiple étiologie.</w:t>
      </w:r>
      <w:r>
        <w:t xml:space="preserve"> </w:t>
      </w:r>
      <w:r>
        <w:t xml:space="preserve">- Vaginite avec prurit vulvaire associé (LIMENDA-L avec lidocaïne pour soulagement symptomatique).</w:t>
      </w:r>
      <w:r>
        <w:t xml:space="preserve"> </w:t>
      </w:r>
      <w:r>
        <w:t xml:space="preserve">- Contre-indications :</w:t>
      </w:r>
      <w:r>
        <w:t xml:space="preserve"> </w:t>
      </w:r>
      <w:r>
        <w:t xml:space="preserve">- Hypersensibilité au métronidazole ou au miconazole.</w:t>
      </w:r>
      <w:r>
        <w:t xml:space="preserve"> </w:t>
      </w:r>
      <w:r>
        <w:t xml:space="preserve">- 1er trimestre de grossesse.</w:t>
      </w:r>
      <w:r>
        <w:t xml:space="preserve"> </w:t>
      </w:r>
      <w:r>
        <w:t xml:space="preserve">- Allaitement (passage du métronidazole dans le lait — suspension 24-48 h).</w:t>
      </w:r>
      <w:r>
        <w:t xml:space="preserve"> </w:t>
      </w:r>
      <w:r>
        <w:t xml:space="preserve">- Association avec disulfirame.</w:t>
      </w:r>
      <w:r>
        <w:t xml:space="preserve"> </w:t>
      </w:r>
      <w:r>
        <w:t xml:space="preserve">- Antécédent d’allergie aux imidazolés.</w:t>
      </w:r>
      <w:r>
        <w:t xml:space="preserve"> </w:t>
      </w:r>
      <w:r>
        <w:t xml:space="preserve">- Effets Indésirables :</w:t>
      </w:r>
      <w:r>
        <w:t xml:space="preserve"> </w:t>
      </w:r>
      <w:r>
        <w:t xml:space="preserve">-</w:t>
      </w:r>
      <w:r>
        <w:t xml:space="preserve"> </w:t>
      </w:r>
      <w:r>
        <w:rPr>
          <w:b/>
          <w:bCs/>
        </w:rPr>
        <w:t xml:space="preserve">Locaux</w:t>
      </w:r>
      <w:r>
        <w:t xml:space="preserve"> </w:t>
      </w:r>
      <w:r>
        <w:t xml:space="preserve">: sensation de brûlure transitoire à l’application, prurit, irritation vulvo-vaginale, érythème, leucorrhées accrues (fragments d’ovule), dyspareunie transitoire.</w:t>
      </w:r>
      <w:r>
        <w:t xml:space="preserve"> </w:t>
      </w:r>
      <w:r>
        <w:t xml:space="preserve">-</w:t>
      </w:r>
      <w:r>
        <w:t xml:space="preserve"> </w:t>
      </w:r>
      <w:r>
        <w:rPr>
          <w:b/>
          <w:bCs/>
        </w:rPr>
        <w:t xml:space="preserve">Systémiques</w:t>
      </w:r>
      <w:r>
        <w:t xml:space="preserve"> </w:t>
      </w:r>
      <w:r>
        <w:t xml:space="preserve">(passage du métronidazole) : goût métallique, nausées (rares), effet Antabuse avec alcool, céphalées.</w:t>
      </w:r>
      <w:r>
        <w:t xml:space="preserve"> </w:t>
      </w:r>
      <w:r>
        <w:t xml:space="preserve">-</w:t>
      </w:r>
      <w:r>
        <w:t xml:space="preserve"> </w:t>
      </w:r>
      <w:r>
        <w:rPr>
          <w:b/>
          <w:bCs/>
        </w:rPr>
        <w:t xml:space="preserve">Allergie de contact</w:t>
      </w:r>
      <w:r>
        <w:t xml:space="preserve"> </w:t>
      </w:r>
      <w:r>
        <w:t xml:space="preserve">(miconazole ou excipients).</w:t>
      </w:r>
      <w:r>
        <w:t xml:space="preserve"> </w:t>
      </w:r>
      <w:r>
        <w:t xml:space="preserve">-</w:t>
      </w:r>
      <w:r>
        <w:t xml:space="preserve"> </w:t>
      </w:r>
      <w:r>
        <w:rPr>
          <w:b/>
          <w:bCs/>
        </w:rPr>
        <w:t xml:space="preserve">Cassure du latex</w:t>
      </w:r>
      <w:r>
        <w:t xml:space="preserve"> </w:t>
      </w:r>
      <w:r>
        <w:t xml:space="preserve">(préservatifs, diaphragmes) : excipients gras des ovules endommagent le latex → méthode contraceptive mécanique inefficace pendant traitement et 5 jours après.</w:t>
      </w:r>
    </w:p>
    <w:p>
      <w:pPr>
        <w:pStyle w:val="BodyText"/>
      </w:pPr>
      <w:r>
        <w:rPr>
          <w:b/>
          <w:bCs/>
        </w:rPr>
        <w:t xml:space="preserve">Prévention et Gestion des Effets Indésirables :</w:t>
      </w:r>
      <w:r>
        <w:t xml:space="preserve"> </w:t>
      </w:r>
      <w:r>
        <w:t xml:space="preserve">- Mesures Préventives :</w:t>
      </w:r>
      <w:r>
        <w:t xml:space="preserve"> </w:t>
      </w:r>
      <w:r>
        <w:t xml:space="preserve">-</w:t>
      </w:r>
      <w:r>
        <w:t xml:space="preserve"> </w:t>
      </w:r>
      <w:r>
        <w:rPr>
          <w:b/>
          <w:bCs/>
        </w:rPr>
        <w:t xml:space="preserve">Éviction de l’alcool pendant le traitement et 48 h après la dernière application</w:t>
      </w:r>
      <w:r>
        <w:t xml:space="preserve"> </w:t>
      </w:r>
      <w:r>
        <w:t xml:space="preserve">(passage systémique du métronidazole).</w:t>
      </w:r>
      <w:r>
        <w:t xml:space="preserve"> </w:t>
      </w:r>
      <w:r>
        <w:t xml:space="preserve">- Préférence pour application au coucher (réduction du risque d’expulsion de l’ovule, séjour prolongé).</w:t>
      </w:r>
      <w:r>
        <w:t xml:space="preserve"> </w:t>
      </w:r>
      <w:r>
        <w:t xml:space="preserve">- Information patient : précautions avec préservatifs en latex (inefficaces pendant traitement).</w:t>
      </w:r>
      <w:r>
        <w:t xml:space="preserve"> </w:t>
      </w:r>
      <w:r>
        <w:t xml:space="preserve">-</w:t>
      </w:r>
      <w:r>
        <w:t xml:space="preserve"> </w:t>
      </w:r>
      <w:r>
        <w:rPr>
          <w:b/>
          <w:bCs/>
        </w:rPr>
        <w:t xml:space="preserve">Traitement du partenaire sexuel</w:t>
      </w:r>
      <w:r>
        <w:t xml:space="preserve"> </w:t>
      </w:r>
      <w:r>
        <w:t xml:space="preserve">si trichomonase documentée (le partenaire n’est pas traité par la forme vaginale).</w:t>
      </w:r>
      <w:r>
        <w:t xml:space="preserve"> </w:t>
      </w:r>
      <w:r>
        <w:t xml:space="preserve">- Conduite à Tenir : arrêt en cas d’œdème vulvaire, prurit intense, rash généralisé (allergie).</w:t>
      </w:r>
    </w:p>
    <w:p>
      <w:pPr>
        <w:pStyle w:val="BodyText"/>
      </w:pPr>
      <w:r>
        <w:rPr>
          <w:b/>
          <w:bCs/>
        </w:rPr>
        <w:t xml:space="preserve">Interactions Importantes :</w:t>
      </w:r>
      <w:r>
        <w:t xml:space="preserve"> </w:t>
      </w:r>
      <w:r>
        <w:t xml:space="preserve">-</w:t>
      </w:r>
      <w:r>
        <w:t xml:space="preserve"> </w:t>
      </w:r>
      <w:r>
        <w:rPr>
          <w:b/>
          <w:bCs/>
        </w:rPr>
        <w:t xml:space="preserve">Métronidazole (même local) + alcool</w:t>
      </w:r>
      <w:r>
        <w:t xml:space="preserve"> </w:t>
      </w:r>
      <w:r>
        <w:t xml:space="preserve">: effet Antabuse.</w:t>
      </w:r>
      <w:r>
        <w:t xml:space="preserve"> </w:t>
      </w:r>
      <w:r>
        <w:t xml:space="preserve">-</w:t>
      </w:r>
      <w:r>
        <w:t xml:space="preserve"> </w:t>
      </w:r>
      <w:r>
        <w:rPr>
          <w:b/>
          <w:bCs/>
        </w:rPr>
        <w:t xml:space="preserve">Métronidazole (même local) + AVK</w:t>
      </w:r>
      <w:r>
        <w:t xml:space="preserve"> </w:t>
      </w:r>
      <w:r>
        <w:t xml:space="preserve">: augmentation INR (passage systémique minime mais non nul — surveillance si traitement prolongé ou patient sous AVK à marge étroite).</w:t>
      </w:r>
      <w:r>
        <w:t xml:space="preserve"> </w:t>
      </w:r>
      <w:r>
        <w:t xml:space="preserve">-</w:t>
      </w:r>
      <w:r>
        <w:t xml:space="preserve"> </w:t>
      </w:r>
      <w:r>
        <w:rPr>
          <w:b/>
          <w:bCs/>
        </w:rPr>
        <w:t xml:space="preserve">Miconazole local + AVK</w:t>
      </w:r>
      <w:r>
        <w:t xml:space="preserve"> </w:t>
      </w:r>
      <w:r>
        <w:t xml:space="preserve">(warning important) : absorption systémique du miconazole par muqueuse vaginale →</w:t>
      </w:r>
      <w:r>
        <w:t xml:space="preserve"> </w:t>
      </w:r>
      <w:r>
        <w:rPr>
          <w:b/>
          <w:bCs/>
        </w:rPr>
        <w:t xml:space="preserve">inhibition du CYP2C9</w:t>
      </w:r>
      <w:r>
        <w:t xml:space="preserve"> </w:t>
      </w:r>
      <w:r>
        <w:t xml:space="preserve">→ augmentation importante de l’INR (jusqu’à × 5, cas d’hémorragies cérébrales publiés).</w:t>
      </w:r>
      <w:r>
        <w:t xml:space="preserve"> </w:t>
      </w:r>
      <w:r>
        <w:rPr>
          <w:b/>
          <w:bCs/>
        </w:rPr>
        <w:t xml:space="preserve">Surveillance INR obligatoire</w:t>
      </w:r>
      <w:r>
        <w:t xml:space="preserve"> </w:t>
      </w:r>
      <w:r>
        <w:t xml:space="preserve">si patiente sous AVK et traitement par ovule vaginal à base de miconazole.</w:t>
      </w:r>
      <w:r>
        <w:t xml:space="preserve"> </w:t>
      </w:r>
      <w:r>
        <w:t xml:space="preserve">-</w:t>
      </w:r>
      <w:r>
        <w:t xml:space="preserve"> </w:t>
      </w:r>
      <w:r>
        <w:rPr>
          <w:b/>
          <w:bCs/>
        </w:rPr>
        <w:t xml:space="preserve">Miconazole local + sulfamides hypoglycémiants</w:t>
      </w:r>
      <w:r>
        <w:t xml:space="preserve"> </w:t>
      </w:r>
      <w:r>
        <w:t xml:space="preserve">: potentialisation hypoglycémie.</w:t>
      </w:r>
      <w:r>
        <w:t xml:space="preserve"> </w:t>
      </w:r>
      <w:r>
        <w:t xml:space="preserve">-</w:t>
      </w:r>
      <w:r>
        <w:t xml:space="preserve"> </w:t>
      </w:r>
      <w:r>
        <w:rPr>
          <w:b/>
          <w:bCs/>
        </w:rPr>
        <w:t xml:space="preserve">Miconazole local + statines</w:t>
      </w:r>
      <w:r>
        <w:t xml:space="preserve"> </w:t>
      </w:r>
      <w:r>
        <w:t xml:space="preserve">: rare mais possible majoration toxicité musculaire.</w:t>
      </w:r>
    </w:p>
    <w:p>
      <w:pPr>
        <w:pStyle w:val="BodyText"/>
      </w:pPr>
      <w:r>
        <w:rPr>
          <w:b/>
          <w:bCs/>
        </w:rPr>
        <w:t xml:space="preserve">Grossesse et Allaitement :</w:t>
      </w:r>
      <w:r>
        <w:t xml:space="preserve"> </w:t>
      </w:r>
      <w:r>
        <w:t xml:space="preserve">- Grossesse : 1er trimestre CI absolue (métronidazole). Aux 2e et 3e trimestres, usage ponctuel possible si nécessaire. L’insertion manuelle de l’ovule doit se faire</w:t>
      </w:r>
      <w:r>
        <w:t xml:space="preserve"> </w:t>
      </w:r>
      <w:r>
        <w:rPr>
          <w:b/>
          <w:bCs/>
        </w:rPr>
        <w:t xml:space="preserve">sans applicateur</w:t>
      </w:r>
      <w:r>
        <w:t xml:space="preserve"> </w:t>
      </w:r>
      <w:r>
        <w:t xml:space="preserve">(risque mécanique cervical).</w:t>
      </w:r>
      <w:r>
        <w:t xml:space="preserve"> </w:t>
      </w:r>
      <w:r>
        <w:t xml:space="preserve">- Allaitement : suspension pendant le traitement et 24-48 h après la dernière application.</w:t>
      </w:r>
    </w:p>
    <w:p>
      <w:pPr>
        <w:pStyle w:val="BodyText"/>
      </w:pPr>
      <w:r>
        <w:rPr>
          <w:b/>
          <w:bCs/>
        </w:rPr>
        <w:t xml:space="preserve">Posologie et Mode d’administration (Standard) :</w:t>
      </w:r>
      <w:r>
        <w:t xml:space="preserve"> </w:t>
      </w:r>
      <w:r>
        <w:t xml:space="preserve">- Adulte :</w:t>
      </w:r>
      <w:r>
        <w:t xml:space="preserve"> </w:t>
      </w:r>
      <w:r>
        <w:t xml:space="preserve">- 1 ovule vaginal au coucher profondément dans le vagin, en décubitus dorsal, pendant</w:t>
      </w:r>
      <w:r>
        <w:t xml:space="preserve"> </w:t>
      </w:r>
      <w:r>
        <w:rPr>
          <w:b/>
          <w:bCs/>
        </w:rPr>
        <w:t xml:space="preserve">7 jours consécutifs</w:t>
      </w:r>
      <w:r>
        <w:t xml:space="preserve">.</w:t>
      </w:r>
      <w:r>
        <w:t xml:space="preserve"> </w:t>
      </w:r>
      <w:r>
        <w:t xml:space="preserve">- Utiliser le doigtier fourni pour l’insertion, se laver les mains avant et après.</w:t>
      </w:r>
      <w:r>
        <w:t xml:space="preserve"> </w:t>
      </w:r>
      <w:r>
        <w:t xml:space="preserve">- Mode d’administration : au coucher, en position allongée, jambes légèrement fléchies ; éviter de se lever dans les 30 minutes suivant l’application ; éviter les rapports sexuels pendant le traitement (efficacité + risque de transmission).</w:t>
      </w:r>
    </w:p>
    <w:p>
      <w:pPr>
        <w:pStyle w:val="BodyText"/>
      </w:pPr>
      <w:r>
        <w:rPr>
          <w:b/>
          <w:bCs/>
        </w:rPr>
        <w:t xml:space="preserve">Arbitrage et Bénéfices des Formes Galéniques :</w:t>
      </w:r>
      <w:r>
        <w:t xml:space="preserve"> </w:t>
      </w:r>
      <w:r>
        <w:t xml:space="preserve">- Ovule : libération locale prolongée, bonne observance (1 application/jour).</w:t>
      </w:r>
      <w:r>
        <w:t xml:space="preserve"> </w:t>
      </w:r>
      <w:r>
        <w:t xml:space="preserve">- Doigtier : hygiène et facilité d’insertion.</w:t>
      </w:r>
      <w:r>
        <w:t xml:space="preserve"> </w:t>
      </w:r>
      <w:r>
        <w:t xml:space="preserve">- Crème vaginale associée (parfois disponible) pour application externe sur vulve en cas de prurit.</w:t>
      </w:r>
      <w:r>
        <w:t xml:space="preserve"> </w:t>
      </w:r>
      <w:r>
        <w:t xml:space="preserve">- LIMENDA-L (avec lidocaïne ou composé anesthésique) : utile si vulvite douloureuse associée.</w:t>
      </w:r>
    </w:p>
    <w:p>
      <w:pPr>
        <w:pStyle w:val="BodyText"/>
      </w:pPr>
      <w:r>
        <w:rPr>
          <w:b/>
          <w:bCs/>
        </w:rPr>
        <w:t xml:space="preserve">Instructions et Conseils au Patient :</w:t>
      </w:r>
      <w:r>
        <w:t xml:space="preserve"> </w:t>
      </w:r>
      <w:r>
        <w:t xml:space="preserve">- Communication au comptoir :</w:t>
      </w:r>
      <w:r>
        <w:t xml:space="preserve"> </w:t>
      </w:r>
      <w:r>
        <w:t xml:space="preserve">- « 1 ovule chaque soir au coucher pendant 7 jours, profondément dans le vagin avec le doigtier fourni ».</w:t>
      </w:r>
      <w:r>
        <w:t xml:space="preserve"> </w:t>
      </w:r>
      <w:r>
        <w:t xml:space="preserve">- «</w:t>
      </w:r>
      <w:r>
        <w:t xml:space="preserve"> </w:t>
      </w:r>
      <w:r>
        <w:rPr>
          <w:b/>
          <w:bCs/>
        </w:rPr>
        <w:t xml:space="preserve">PAS D’ALCOOL pendant le traitement ET 48 heures après le dernier ovule</w:t>
      </w:r>
      <w:r>
        <w:t xml:space="preserve"> </w:t>
      </w:r>
      <w:r>
        <w:t xml:space="preserve">».</w:t>
      </w:r>
      <w:r>
        <w:t xml:space="preserve"> </w:t>
      </w:r>
      <w:r>
        <w:t xml:space="preserve">- « Précautions avec préservatifs en latex : inefficaces pendant le traitement (utiliser autre méthode contraceptive si besoin) ».</w:t>
      </w:r>
      <w:r>
        <w:t xml:space="preserve"> </w:t>
      </w:r>
      <w:r>
        <w:t xml:space="preserve">- « Si vous prenez un anticoagulant (Sintrom, Coumadin, Previscan), prévenez votre médecin : surveillance du sang indispensable ».</w:t>
      </w:r>
      <w:r>
        <w:t xml:space="preserve"> </w:t>
      </w:r>
      <w:r>
        <w:t xml:space="preserve">- « Préférez l’application le soir avant le coucher pour éviter l’expulsion de l’ovule ».</w:t>
      </w:r>
      <w:r>
        <w:t xml:space="preserve"> </w:t>
      </w:r>
      <w:r>
        <w:t xml:space="preserve">- « Évitez les rapports sexuels pendant le traitement ».</w:t>
      </w:r>
      <w:r>
        <w:t xml:space="preserve"> </w:t>
      </w:r>
      <w:r>
        <w:t xml:space="preserve">- « En cas de trichomonase, le partenaire doit aussi être traité ».</w:t>
      </w:r>
      <w:r>
        <w:t xml:space="preserve"> </w:t>
      </w:r>
      <w:r>
        <w:t xml:space="preserve">- Mode d’utilisation pratique : lavage des mains, position allongée, jambes fléchies, insertion profonde du doigtier dans le vagin, expulsion de l’ovule, retrait du doigtier, jeter le doigtier, se laver les mains, rester allongée 30 min.</w:t>
      </w:r>
    </w:p>
    <w:p>
      <w:pPr>
        <w:pStyle w:val="BodyText"/>
      </w:pPr>
      <w:r>
        <w:rPr>
          <w:b/>
          <w:bCs/>
        </w:rPr>
        <w:t xml:space="preserve">Notes, Règles d’Or &amp; Pièges au Comptoir :</w:t>
      </w:r>
      <w:r>
        <w:t xml:space="preserve"> </w:t>
      </w:r>
      <w:r>
        <w:t xml:space="preserve">-</w:t>
      </w:r>
      <w:r>
        <w:t xml:space="preserve"> </w:t>
      </w:r>
      <w:r>
        <w:rPr>
          <w:b/>
          <w:bCs/>
        </w:rPr>
        <w:t xml:space="preserve">Piège classique — Métronidazole vaginal + ALCOOL</w:t>
      </w:r>
      <w:r>
        <w:t xml:space="preserve"> </w:t>
      </w:r>
      <w:r>
        <w:t xml:space="preserve">: penser que la voie locale ne dispense pas de l’éviction alcool.</w:t>
      </w:r>
      <w:r>
        <w:t xml:space="preserve"> </w:t>
      </w:r>
      <w:r>
        <w:t xml:space="preserve">-</w:t>
      </w:r>
      <w:r>
        <w:t xml:space="preserve"> </w:t>
      </w:r>
      <w:r>
        <w:rPr>
          <w:b/>
          <w:bCs/>
        </w:rPr>
        <w:t xml:space="preserve">Piège classique — Miconazole vaginal + AVK</w:t>
      </w:r>
      <w:r>
        <w:t xml:space="preserve"> </w:t>
      </w:r>
      <w:r>
        <w:t xml:space="preserve">: interaction grave, hémorragie rapportée — toujours demander si anticoagulant.</w:t>
      </w:r>
      <w:r>
        <w:t xml:space="preserve"> </w:t>
      </w:r>
      <w:r>
        <w:t xml:space="preserve">-</w:t>
      </w:r>
      <w:r>
        <w:t xml:space="preserve"> </w:t>
      </w:r>
      <w:r>
        <w:rPr>
          <w:b/>
          <w:bCs/>
        </w:rPr>
        <w:t xml:space="preserve">Piège classique — Préservatifs en latex</w:t>
      </w:r>
      <w:r>
        <w:t xml:space="preserve"> </w:t>
      </w:r>
      <w:r>
        <w:t xml:space="preserve">: inefficaces pendant traitement (excipients gras).</w:t>
      </w:r>
      <w:r>
        <w:t xml:space="preserve"> </w:t>
      </w:r>
      <w:r>
        <w:t xml:space="preserve">-</w:t>
      </w:r>
      <w:r>
        <w:t xml:space="preserve"> </w:t>
      </w:r>
      <w:r>
        <w:rPr>
          <w:b/>
          <w:bCs/>
        </w:rPr>
        <w:t xml:space="preserve">Règle de prise</w:t>
      </w:r>
      <w:r>
        <w:t xml:space="preserve"> </w:t>
      </w:r>
      <w:r>
        <w:t xml:space="preserve">: 1 ovule/jour au coucher × 7 j, pas d’alcool 48 h.</w:t>
      </w:r>
      <w:r>
        <w:t xml:space="preserve"> </w:t>
      </w:r>
      <w:r>
        <w:t xml:space="preserve">-</w:t>
      </w:r>
      <w:r>
        <w:t xml:space="preserve"> </w:t>
      </w:r>
      <w:r>
        <w:rPr>
          <w:b/>
          <w:bCs/>
        </w:rPr>
        <w:t xml:space="preserve">Préparation et Conservation</w:t>
      </w:r>
      <w:r>
        <w:t xml:space="preserve"> </w:t>
      </w:r>
      <w:r>
        <w:t xml:space="preserve">: ovules à conserver à T° ambiante (&lt; 25 °C), à l’abri de la chaleur (risque de fonte) ; ne pas congeler.</w:t>
      </w:r>
      <w:r>
        <w:t xml:space="preserve"> </w:t>
      </w:r>
      <w:r>
        <w:t xml:space="preserve">-</w:t>
      </w:r>
      <w:r>
        <w:t xml:space="preserve"> </w:t>
      </w:r>
      <w:r>
        <w:rPr>
          <w:b/>
          <w:bCs/>
        </w:rPr>
        <w:t xml:space="preserve">Piège du surdosage / Substitution</w:t>
      </w:r>
      <w:r>
        <w:t xml:space="preserve"> </w:t>
      </w:r>
      <w:r>
        <w:t xml:space="preserve">:</w:t>
      </w:r>
      <w:r>
        <w:t xml:space="preserve"> </w:t>
      </w:r>
      <w:r>
        <w:t xml:space="preserve">- Ne pas substituer LIMENDA par métronidazole seul si candidose associée confirmée.</w:t>
      </w:r>
      <w:r>
        <w:t xml:space="preserve"> </w:t>
      </w:r>
      <w:r>
        <w:t xml:space="preserve">- Vérifier la composition exacte de LIMENDA-L (3e composé à 100 mg) avant délivrance.</w:t>
      </w:r>
    </w:p>
    <w:p>
      <w:r>
        <w:pict>
          <v:rect style="width:0;height:1.5pt" o:hralign="center" o:hrstd="t" o:hr="t"/>
        </w:pict>
      </w:r>
    </w:p>
    <w:bookmarkEnd w:id="183"/>
    <w:bookmarkStart w:id="184" w:name="X325a29de0bb6d16e36e9b60a4304022eeee6f87"/>
    <w:p>
      <w:pPr>
        <w:pStyle w:val="Heading3"/>
      </w:pPr>
      <w:r>
        <w:t xml:space="preserve">6.3.3. DCI : Métronidazole + Néomycine + Nystatine (En Association, gynécologique)</w:t>
      </w:r>
    </w:p>
    <w:p>
      <w:pPr>
        <w:pStyle w:val="FirstParagraph"/>
      </w:pPr>
      <w:r>
        <w:rPr>
          <w:b/>
          <w:bCs/>
        </w:rPr>
        <w:t xml:space="preserve">Liste des Catégories :</w:t>
      </w:r>
      <w:r>
        <w:t xml:space="preserve"> </w:t>
      </w:r>
      <w:r>
        <w:t xml:space="preserve">Antibiotique + Antifongique ; Topique gynécologique ; Vaginite polymicrobienne ; Nitro-imidazolé + Aminoside + Polyène antifongique ; G01AF51 + G01AA01.</w:t>
      </w:r>
    </w:p>
    <w:p>
      <w:pPr>
        <w:pStyle w:val="BodyText"/>
      </w:pPr>
      <w:r>
        <w:t xml:space="preserve">Cette association gynécologique large spectre combine trois anti-infectieux complémentaires dans un comprimé vaginal :</w:t>
      </w:r>
      <w:r>
        <w:t xml:space="preserve"> </w:t>
      </w:r>
      <w:r>
        <w:t xml:space="preserve">-</w:t>
      </w:r>
      <w:r>
        <w:t xml:space="preserve"> </w:t>
      </w:r>
      <w:r>
        <w:rPr>
          <w:b/>
          <w:bCs/>
        </w:rPr>
        <w:t xml:space="preserve">Métronidazole</w:t>
      </w:r>
      <w:r>
        <w:t xml:space="preserve"> </w:t>
      </w:r>
      <w:r>
        <w:t xml:space="preserve">(500 mg) — anaérobies, Gardnerella, Trichomonas ;</w:t>
      </w:r>
      <w:r>
        <w:t xml:space="preserve"> </w:t>
      </w:r>
      <w:r>
        <w:t xml:space="preserve">-</w:t>
      </w:r>
      <w:r>
        <w:t xml:space="preserve"> </w:t>
      </w:r>
      <w:r>
        <w:rPr>
          <w:b/>
          <w:bCs/>
        </w:rPr>
        <w:t xml:space="preserve">Néomycine</w:t>
      </w:r>
      <w:r>
        <w:t xml:space="preserve"> </w:t>
      </w:r>
      <w:r>
        <w:t xml:space="preserve">(65 000 UI ≈ 45 mg) — aminoside large spectre (Gram-, certains Gram+) ;</w:t>
      </w:r>
      <w:r>
        <w:t xml:space="preserve"> </w:t>
      </w:r>
      <w:r>
        <w:t xml:space="preserve">-</w:t>
      </w:r>
      <w:r>
        <w:t xml:space="preserve"> </w:t>
      </w:r>
      <w:r>
        <w:rPr>
          <w:b/>
          <w:bCs/>
        </w:rPr>
        <w:t xml:space="preserve">Nystatine</w:t>
      </w:r>
      <w:r>
        <w:t xml:space="preserve"> </w:t>
      </w:r>
      <w:r>
        <w:t xml:space="preserve">(100 000 UI) — antifongique polyène actif sur Candida.</w:t>
      </w:r>
    </w:p>
    <w:p>
      <w:pPr>
        <w:pStyle w:val="BodyText"/>
      </w:pPr>
      <w:r>
        <w:t xml:space="preserve">Indiquée dans les vaginites polymicrobiennes sévères ou récidivantes associant plusieurs étiologies, elle constitue un traitement « tout-en-un » large spectre. Trois spécialités disponibles en Algérie : GYNOVAL (Biogalenic), TERGYNAN (Bouchara-Recordati), GYNODAN (Biopharm). Toutes actives, sous forme de comprimés vaginaux en boîte de 10.</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GYNOVAL</w:t>
      </w:r>
      <w:r>
        <w:t xml:space="preserve"> </w:t>
      </w:r>
      <w:r>
        <w:t xml:space="preserve">(BIOGALENIC)</w:t>
      </w:r>
      <w:r>
        <w:t xml:space="preserve"> </w:t>
      </w:r>
      <w:r>
        <w:t xml:space="preserve">- Forme et Dosage : Comprimé vaginal 500 mg / 65 000 UI / 100 000 UI (métronidazole 500 mg + néomycine 65 000 UI + nystatine 100 000 UI)</w:t>
      </w:r>
      <w:r>
        <w:t xml:space="preserve"> </w:t>
      </w:r>
      <w:r>
        <w:t xml:space="preserve">- Conditionnement : B/10</w:t>
      </w:r>
      <w:r>
        <w:t xml:space="preserve"> </w:t>
      </w:r>
      <w:r>
        <w:t xml:space="preserve">- Liste : Liste I</w:t>
      </w:r>
      <w:r>
        <w:t xml:space="preserve"> </w:t>
      </w:r>
      <w:r>
        <w:t xml:space="preserve">- Statut : Actif</w:t>
      </w:r>
      <w:r>
        <w:t xml:space="preserve"> </w:t>
      </w:r>
      <w:r>
        <w:t xml:space="preserve">-</w:t>
      </w:r>
      <w:r>
        <w:t xml:space="preserve"> </w:t>
      </w:r>
      <w:r>
        <w:rPr>
          <w:b/>
          <w:bCs/>
        </w:rPr>
        <w:t xml:space="preserve">TERGYNAN</w:t>
      </w:r>
      <w:r>
        <w:t xml:space="preserve"> </w:t>
      </w:r>
      <w:r>
        <w:t xml:space="preserve">(BOUCHARA-RECORDATI)</w:t>
      </w:r>
      <w:r>
        <w:t xml:space="preserve"> </w:t>
      </w:r>
      <w:r>
        <w:t xml:space="preserve">- Forme et Dosage : Comprimé vaginal 500 mg / 65 000 UI / 100 000 UI (métronidazole 500 mg + néomycine 65 000 UI + nystatine 100 000 UI)</w:t>
      </w:r>
      <w:r>
        <w:t xml:space="preserve"> </w:t>
      </w:r>
      <w:r>
        <w:t xml:space="preserve">- Conditionnement : B/10</w:t>
      </w:r>
      <w:r>
        <w:t xml:space="preserve"> </w:t>
      </w:r>
      <w:r>
        <w:t xml:space="preserve">- Liste : Liste I</w:t>
      </w:r>
      <w:r>
        <w:t xml:space="preserve"> </w:t>
      </w:r>
      <w:r>
        <w:t xml:space="preserve">- Statut : Actif</w:t>
      </w:r>
      <w:r>
        <w:t xml:space="preserve"> </w:t>
      </w:r>
      <w:r>
        <w:t xml:space="preserve">-</w:t>
      </w:r>
      <w:r>
        <w:t xml:space="preserve"> </w:t>
      </w:r>
      <w:r>
        <w:rPr>
          <w:b/>
          <w:bCs/>
        </w:rPr>
        <w:t xml:space="preserve">GYNODAN</w:t>
      </w:r>
      <w:r>
        <w:t xml:space="preserve"> </w:t>
      </w:r>
      <w:r>
        <w:t xml:space="preserve">(BIOPHARM)</w:t>
      </w:r>
      <w:r>
        <w:t xml:space="preserve"> </w:t>
      </w:r>
      <w:r>
        <w:t xml:space="preserve">- Forme et Dosage : Ovule 500 mg / 65 000 UI / 100 000 UI (métronidazole 500 mg + néomycine 65 000 UI + nystatine 100 000 UI)</w:t>
      </w:r>
      <w:r>
        <w:t xml:space="preserve"> </w:t>
      </w:r>
      <w:r>
        <w:t xml:space="preserve">- Conditionnement : B/10</w:t>
      </w:r>
      <w:r>
        <w:t xml:space="preserve"> </w:t>
      </w:r>
      <w:r>
        <w:t xml:space="preserve">- Liste : Liste I</w:t>
      </w:r>
      <w:r>
        <w:t xml:space="preserve"> </w:t>
      </w:r>
      <w:r>
        <w:t xml:space="preserve">- Statut : Actif</w:t>
      </w:r>
    </w:p>
    <w:p>
      <w:pPr>
        <w:pStyle w:val="BodyText"/>
      </w:pPr>
      <w:r>
        <w:rPr>
          <w:b/>
          <w:bCs/>
        </w:rPr>
        <w:t xml:space="preserve">Sous-classe et Mécanisme d’action :</w:t>
      </w:r>
      <w:r>
        <w:t xml:space="preserve"> </w:t>
      </w:r>
      <w:r>
        <w:t xml:space="preserve">- Sous-classe : Association topique gynécologique d’un nitro-imidazolé (métronidazole), d’un aminoside (néomycine) et d’un antifongique polyène (nystatine).</w:t>
      </w:r>
      <w:r>
        <w:t xml:space="preserve"> </w:t>
      </w:r>
      <w:r>
        <w:t xml:space="preserve">- Mécanisme d’action :</w:t>
      </w:r>
      <w:r>
        <w:t xml:space="preserve"> </w:t>
      </w:r>
      <w:r>
        <w:t xml:space="preserve">-</w:t>
      </w:r>
      <w:r>
        <w:t xml:space="preserve"> </w:t>
      </w:r>
      <w:r>
        <w:rPr>
          <w:b/>
          <w:bCs/>
        </w:rPr>
        <w:t xml:space="preserve">Métronidazole</w:t>
      </w:r>
      <w:r>
        <w:t xml:space="preserve"> </w:t>
      </w:r>
      <w:r>
        <w:t xml:space="preserve">— identique à la forme systémique (réduction du groupement nitro par ferredoxine en anaérobie → radical cytotoxique → ADN, protéines). Cible</w:t>
      </w:r>
      <w:r>
        <w:t xml:space="preserve"> </w:t>
      </w:r>
      <w:r>
        <w:rPr>
          <w:i/>
          <w:iCs/>
        </w:rPr>
        <w:t xml:space="preserve">Gardnerella vaginalis</w:t>
      </w:r>
      <w:r>
        <w:t xml:space="preserve">,</w:t>
      </w:r>
      <w:r>
        <w:t xml:space="preserve"> </w:t>
      </w:r>
      <w:r>
        <w:rPr>
          <w:i/>
          <w:iCs/>
        </w:rPr>
        <w:t xml:space="preserve">Trichomonas vaginalis</w:t>
      </w:r>
      <w:r>
        <w:t xml:space="preserve">, anaérobies.</w:t>
      </w:r>
      <w:r>
        <w:t xml:space="preserve"> </w:t>
      </w:r>
      <w:r>
        <w:t xml:space="preserve">-</w:t>
      </w:r>
      <w:r>
        <w:t xml:space="preserve"> </w:t>
      </w:r>
      <w:r>
        <w:rPr>
          <w:b/>
          <w:bCs/>
        </w:rPr>
        <w:t xml:space="preserve">Néomycine</w:t>
      </w:r>
      <w:r>
        <w:t xml:space="preserve"> </w:t>
      </w:r>
      <w:r>
        <w:t xml:space="preserve">— aminoside : passage par les porines de la membrane externe des Gram-, puis par les canaux OmpF/PhoE ; transport actif dépendant du potentiel de membrane (donc actif surtout sur aérobies) ; liaison à la sous-unité</w:t>
      </w:r>
      <w:r>
        <w:t xml:space="preserve"> </w:t>
      </w:r>
      <w:r>
        <w:rPr>
          <w:b/>
          <w:bCs/>
        </w:rPr>
        <w:t xml:space="preserve">30S du ribosome bactérien</w:t>
      </w:r>
      <w:r>
        <w:t xml:space="preserve">, décodage erroné de l’ARNm, incorporation d’acides aminés erronés, protéines non fonctionnelles ; inhibition de la translocation. Bactéricide. Cible</w:t>
      </w:r>
      <w:r>
        <w:t xml:space="preserve"> </w:t>
      </w:r>
      <w:r>
        <w:rPr>
          <w:i/>
          <w:iCs/>
        </w:rPr>
        <w:t xml:space="preserve">E. coli</w:t>
      </w:r>
      <w:r>
        <w:t xml:space="preserve">,</w:t>
      </w:r>
      <w:r>
        <w:t xml:space="preserve"> </w:t>
      </w:r>
      <w:r>
        <w:rPr>
          <w:i/>
          <w:iCs/>
        </w:rPr>
        <w:t xml:space="preserve">Klebsiella</w:t>
      </w:r>
      <w:r>
        <w:t xml:space="preserve">,</w:t>
      </w:r>
      <w:r>
        <w:t xml:space="preserve"> </w:t>
      </w:r>
      <w:r>
        <w:rPr>
          <w:i/>
          <w:iCs/>
        </w:rPr>
        <w:t xml:space="preserve">Proteus</w:t>
      </w:r>
      <w:r>
        <w:t xml:space="preserve">,</w:t>
      </w:r>
      <w:r>
        <w:t xml:space="preserve"> </w:t>
      </w:r>
      <w:r>
        <w:rPr>
          <w:i/>
          <w:iCs/>
        </w:rPr>
        <w:t xml:space="preserve">Staphylocoques</w:t>
      </w:r>
      <w:r>
        <w:t xml:space="preserve">. (Peu actif sur streptocoques et entérocoques — résistance naturelle.)</w:t>
      </w:r>
      <w:r>
        <w:t xml:space="preserve"> </w:t>
      </w:r>
      <w:r>
        <w:t xml:space="preserve">-</w:t>
      </w:r>
      <w:r>
        <w:t xml:space="preserve"> </w:t>
      </w:r>
      <w:r>
        <w:rPr>
          <w:b/>
          <w:bCs/>
        </w:rPr>
        <w:t xml:space="preserve">Nystatine</w:t>
      </w:r>
      <w:r>
        <w:t xml:space="preserve"> </w:t>
      </w:r>
      <w:r>
        <w:t xml:space="preserve">— antifongique polyène : liaison à l’</w:t>
      </w:r>
      <w:r>
        <w:rPr>
          <w:b/>
          <w:bCs/>
        </w:rPr>
        <w:t xml:space="preserve">ergostérol</w:t>
      </w:r>
      <w:r>
        <w:t xml:space="preserve"> </w:t>
      </w:r>
      <w:r>
        <w:t xml:space="preserve">de la membrane cellulaire fongique → formation de pores transmembranaires → fuite des ions K+, Mg2+ et métabolites → mort cellulaire. Fungicide. Cible</w:t>
      </w:r>
      <w:r>
        <w:t xml:space="preserve"> </w:t>
      </w:r>
      <w:r>
        <w:rPr>
          <w:i/>
          <w:iCs/>
        </w:rPr>
        <w:t xml:space="preserve">Candida</w:t>
      </w:r>
      <w:r>
        <w:t xml:space="preserve"> </w:t>
      </w:r>
      <w:r>
        <w:t xml:space="preserve">spp. (albicans, glabrata, tropicalis, krusei),</w:t>
      </w:r>
      <w:r>
        <w:t xml:space="preserve"> </w:t>
      </w:r>
      <w:r>
        <w:rPr>
          <w:i/>
          <w:iCs/>
        </w:rPr>
        <w:t xml:space="preserve">Torulopsis</w:t>
      </w:r>
      <w:r>
        <w:t xml:space="preserve">. Pas d’effet systémique (absorption digestive et vaginale négligeable).</w:t>
      </w:r>
      <w:r>
        <w:t xml:space="preserve"> </w:t>
      </w:r>
      <w:r>
        <w:t xml:space="preserve">- L’association couvre simultanément les étiologies bactérienne (anaérobie + aérobie), parasitaire (trichomonase) et fongique (candidose) des vaginites.</w:t>
      </w:r>
    </w:p>
    <w:p>
      <w:pPr>
        <w:pStyle w:val="BodyText"/>
      </w:pPr>
      <w:r>
        <w:rPr>
          <w:b/>
          <w:bCs/>
        </w:rPr>
        <w:t xml:space="preserve">Profil Pharmacologique :</w:t>
      </w:r>
      <w:r>
        <w:t xml:space="preserve"> </w:t>
      </w:r>
      <w:r>
        <w:t xml:space="preserve">- Indications :</w:t>
      </w:r>
      <w:r>
        <w:t xml:space="preserve"> </w:t>
      </w:r>
      <w:r>
        <w:t xml:space="preserve">-</w:t>
      </w:r>
      <w:r>
        <w:t xml:space="preserve"> </w:t>
      </w:r>
      <w:r>
        <w:rPr>
          <w:b/>
          <w:bCs/>
        </w:rPr>
        <w:t xml:space="preserve">Vaginites polymicrobiennes</w:t>
      </w:r>
      <w:r>
        <w:t xml:space="preserve"> </w:t>
      </w:r>
      <w:r>
        <w:t xml:space="preserve">avec composante aérobie + anaérobie + fongique.</w:t>
      </w:r>
      <w:r>
        <w:t xml:space="preserve"> </w:t>
      </w:r>
      <w:r>
        <w:t xml:space="preserve">- Vaginites récidivantes, chroniques.</w:t>
      </w:r>
      <w:r>
        <w:t xml:space="preserve"> </w:t>
      </w:r>
      <w:r>
        <w:t xml:space="preserve">- Préparation pré-chirurgicale gynécologique (réduction de la flore vaginale avant hystérectomie, conisation).</w:t>
      </w:r>
      <w:r>
        <w:t xml:space="preserve"> </w:t>
      </w:r>
      <w:r>
        <w:t xml:space="preserve">- Vaginite post-antibiothérapie (candidose secondaire + surinfection bactérienne).</w:t>
      </w:r>
      <w:r>
        <w:t xml:space="preserve"> </w:t>
      </w:r>
      <w:r>
        <w:t xml:space="preserve">- Contre-indications :</w:t>
      </w:r>
      <w:r>
        <w:t xml:space="preserve"> </w:t>
      </w:r>
      <w:r>
        <w:t xml:space="preserve">- Hypersensibilité au métronidazole, à la néomycine (allergie croisée avec autres aminosides) ou à la nystatine.</w:t>
      </w:r>
      <w:r>
        <w:t xml:space="preserve"> </w:t>
      </w:r>
      <w:r>
        <w:t xml:space="preserve">- 1er trimestre de grossesse.</w:t>
      </w:r>
      <w:r>
        <w:t xml:space="preserve"> </w:t>
      </w:r>
      <w:r>
        <w:t xml:space="preserve">- Allaitement (passage du métronidazole dans le lait — suspension 24-48 h).</w:t>
      </w:r>
      <w:r>
        <w:t xml:space="preserve"> </w:t>
      </w:r>
      <w:r>
        <w:t xml:space="preserve">- Association avec disulfirame.</w:t>
      </w:r>
      <w:r>
        <w:t xml:space="preserve"> </w:t>
      </w:r>
      <w:r>
        <w:t xml:space="preserve">- Myasthénie (prudence avec la néomycine même locale — dépolarisation prolongée).</w:t>
      </w:r>
      <w:r>
        <w:t xml:space="preserve"> </w:t>
      </w:r>
      <w:r>
        <w:t xml:space="preserve">- Effets Indésirables :</w:t>
      </w:r>
      <w:r>
        <w:t xml:space="preserve"> </w:t>
      </w:r>
      <w:r>
        <w:t xml:space="preserve">-</w:t>
      </w:r>
      <w:r>
        <w:t xml:space="preserve"> </w:t>
      </w:r>
      <w:r>
        <w:rPr>
          <w:b/>
          <w:bCs/>
        </w:rPr>
        <w:t xml:space="preserve">Locaux</w:t>
      </w:r>
      <w:r>
        <w:t xml:space="preserve"> </w:t>
      </w:r>
      <w:r>
        <w:t xml:space="preserve">: sensation de brûlure transitoire à l’application, prurit, irritation vulvo-vaginale, érythème, leucorrhées accrues (fragments de cp).</w:t>
      </w:r>
      <w:r>
        <w:t xml:space="preserve"> </w:t>
      </w:r>
      <w:r>
        <w:t xml:space="preserve">-</w:t>
      </w:r>
      <w:r>
        <w:t xml:space="preserve"> </w:t>
      </w:r>
      <w:r>
        <w:rPr>
          <w:b/>
          <w:bCs/>
        </w:rPr>
        <w:t xml:space="preserve">Allergie de contact</w:t>
      </w:r>
      <w:r>
        <w:t xml:space="preserve"> </w:t>
      </w:r>
      <w:r>
        <w:t xml:space="preserve">(néomycine en particulier — sensibilisation cutanée non rare).</w:t>
      </w:r>
      <w:r>
        <w:t xml:space="preserve"> </w:t>
      </w:r>
      <w:r>
        <w:t xml:space="preserve">-</w:t>
      </w:r>
      <w:r>
        <w:t xml:space="preserve"> </w:t>
      </w:r>
      <w:r>
        <w:rPr>
          <w:b/>
          <w:bCs/>
        </w:rPr>
        <w:t xml:space="preserve">Systémiques</w:t>
      </w:r>
      <w:r>
        <w:t xml:space="preserve"> </w:t>
      </w:r>
      <w:r>
        <w:t xml:space="preserve">(passage du métronidazole) : goût métallique, nausées (rares), effet Antabuse avec alcool.</w:t>
      </w:r>
      <w:r>
        <w:t xml:space="preserve"> </w:t>
      </w:r>
      <w:r>
        <w:t xml:space="preserve">-</w:t>
      </w:r>
      <w:r>
        <w:t xml:space="preserve"> </w:t>
      </w:r>
      <w:r>
        <w:rPr>
          <w:b/>
          <w:bCs/>
        </w:rPr>
        <w:t xml:space="preserve">Ototoxicité / néphrotoxicité</w:t>
      </w:r>
      <w:r>
        <w:t xml:space="preserve"> </w:t>
      </w:r>
      <w:r>
        <w:t xml:space="preserve">de la néomycine : exceptionnelles par voie locale vaginale (passage systémique minime), mais à surveiller si traitement prolongé ou surface lésée étendue.</w:t>
      </w:r>
      <w:r>
        <w:t xml:space="preserve"> </w:t>
      </w:r>
      <w:r>
        <w:t xml:space="preserve">- Candidose secondaire possible si déséquilibre de flore.</w:t>
      </w:r>
    </w:p>
    <w:p>
      <w:pPr>
        <w:pStyle w:val="BodyText"/>
      </w:pPr>
      <w:r>
        <w:rPr>
          <w:b/>
          <w:bCs/>
        </w:rPr>
        <w:t xml:space="preserve">Prévention et Gestion des Effets Indésirables :</w:t>
      </w:r>
      <w:r>
        <w:t xml:space="preserve"> </w:t>
      </w:r>
      <w:r>
        <w:t xml:space="preserve">- Mesures Préventives :</w:t>
      </w:r>
      <w:r>
        <w:t xml:space="preserve"> </w:t>
      </w:r>
      <w:r>
        <w:t xml:space="preserve">-</w:t>
      </w:r>
      <w:r>
        <w:t xml:space="preserve"> </w:t>
      </w:r>
      <w:r>
        <w:rPr>
          <w:b/>
          <w:bCs/>
        </w:rPr>
        <w:t xml:space="preserve">Éviction de l’alcool pendant le traitement et 48 h après la dernière application</w:t>
      </w:r>
      <w:r>
        <w:t xml:space="preserve"> </w:t>
      </w:r>
      <w:r>
        <w:t xml:space="preserve">(métronidazole).</w:t>
      </w:r>
      <w:r>
        <w:t xml:space="preserve"> </w:t>
      </w:r>
      <w:r>
        <w:t xml:space="preserve">- Application au coucher.</w:t>
      </w:r>
      <w:r>
        <w:t xml:space="preserve"> </w:t>
      </w:r>
      <w:r>
        <w:t xml:space="preserve">- Limitation de la durée à 10 jours (prévention sensibilisation à la néomycine).</w:t>
      </w:r>
      <w:r>
        <w:t xml:space="preserve"> </w:t>
      </w:r>
      <w:r>
        <w:t xml:space="preserve">- Traitement du partenaire si trichomonase documentée.</w:t>
      </w:r>
      <w:r>
        <w:t xml:space="preserve"> </w:t>
      </w:r>
      <w:r>
        <w:t xml:space="preserve">- Conduite à Tenir : arrêt en cas d’allergie locale (prurit intense, œdème) — suspicion allergie à la néomycine ( tester la sensibilité croisée avec autres aminosides).</w:t>
      </w:r>
    </w:p>
    <w:p>
      <w:pPr>
        <w:pStyle w:val="BodyText"/>
      </w:pPr>
      <w:r>
        <w:rPr>
          <w:b/>
          <w:bCs/>
        </w:rPr>
        <w:t xml:space="preserve">Interactions Importantes :</w:t>
      </w:r>
      <w:r>
        <w:t xml:space="preserve"> </w:t>
      </w:r>
      <w:r>
        <w:t xml:space="preserve">-</w:t>
      </w:r>
      <w:r>
        <w:t xml:space="preserve"> </w:t>
      </w:r>
      <w:r>
        <w:rPr>
          <w:b/>
          <w:bCs/>
        </w:rPr>
        <w:t xml:space="preserve">Métronidazole (même local) + alcool</w:t>
      </w:r>
      <w:r>
        <w:t xml:space="preserve"> </w:t>
      </w:r>
      <w:r>
        <w:t xml:space="preserve">: effet Antabuse.</w:t>
      </w:r>
      <w:r>
        <w:t xml:space="preserve"> </w:t>
      </w:r>
      <w:r>
        <w:t xml:space="preserve">-</w:t>
      </w:r>
      <w:r>
        <w:t xml:space="preserve"> </w:t>
      </w:r>
      <w:r>
        <w:rPr>
          <w:b/>
          <w:bCs/>
        </w:rPr>
        <w:t xml:space="preserve">Métronidazole (même local) + AVK</w:t>
      </w:r>
      <w:r>
        <w:t xml:space="preserve"> </w:t>
      </w:r>
      <w:r>
        <w:t xml:space="preserve">: augmentation INR.</w:t>
      </w:r>
      <w:r>
        <w:t xml:space="preserve"> </w:t>
      </w:r>
      <w:r>
        <w:t xml:space="preserve">-</w:t>
      </w:r>
      <w:r>
        <w:t xml:space="preserve"> </w:t>
      </w:r>
      <w:r>
        <w:rPr>
          <w:b/>
          <w:bCs/>
        </w:rPr>
        <w:t xml:space="preserve">Néomycine (même locale) + autres aminosides systémiques</w:t>
      </w:r>
      <w:r>
        <w:t xml:space="preserve"> </w:t>
      </w:r>
      <w:r>
        <w:t xml:space="preserve">: potentialisation ototoxique/néphrotoxique additive (rare mais à surveiller si patiente déjà sous aminoside IV).</w:t>
      </w:r>
      <w:r>
        <w:t xml:space="preserve"> </w:t>
      </w:r>
      <w:r>
        <w:t xml:space="preserve">-</w:t>
      </w:r>
      <w:r>
        <w:t xml:space="preserve"> </w:t>
      </w:r>
      <w:r>
        <w:rPr>
          <w:b/>
          <w:bCs/>
        </w:rPr>
        <w:t xml:space="preserve">Néomycine + anticoagulants oraux</w:t>
      </w:r>
      <w:r>
        <w:t xml:space="preserve"> </w:t>
      </w:r>
      <w:r>
        <w:t xml:space="preserve">: diminution de l’absorption de la warfarine (modification flore intestinale productrice de vitamine K — effet théorique en usage local vaginal, mais à considérer).</w:t>
      </w:r>
      <w:r>
        <w:t xml:space="preserve"> </w:t>
      </w:r>
      <w:r>
        <w:t xml:space="preserve">-</w:t>
      </w:r>
      <w:r>
        <w:t xml:space="preserve"> </w:t>
      </w:r>
      <w:r>
        <w:rPr>
          <w:b/>
          <w:bCs/>
        </w:rPr>
        <w:t xml:space="preserve">Néomycine + digoxine</w:t>
      </w:r>
      <w:r>
        <w:t xml:space="preserve"> </w:t>
      </w:r>
      <w:r>
        <w:t xml:space="preserve">: diminution de l’absorption de la digoxine.</w:t>
      </w:r>
    </w:p>
    <w:p>
      <w:pPr>
        <w:pStyle w:val="BodyText"/>
      </w:pPr>
      <w:r>
        <w:rPr>
          <w:b/>
          <w:bCs/>
        </w:rPr>
        <w:t xml:space="preserve">Grossesse et Allaitement :</w:t>
      </w:r>
      <w:r>
        <w:t xml:space="preserve"> </w:t>
      </w:r>
      <w:r>
        <w:t xml:space="preserve">- Grossesse : 1er trimestre CI absolue (métronidazole). Aux 2e et 3e trimestres, usage ponctuel possible si nécessaire. Insertion sans applicateur au 3e trimestre.</w:t>
      </w:r>
      <w:r>
        <w:t xml:space="preserve"> </w:t>
      </w:r>
      <w:r>
        <w:t xml:space="preserve">- Allaitement : suspension pendant le traitement et 24-48 h après (métronidazole).</w:t>
      </w:r>
    </w:p>
    <w:p>
      <w:pPr>
        <w:pStyle w:val="BodyText"/>
      </w:pPr>
      <w:r>
        <w:rPr>
          <w:b/>
          <w:bCs/>
        </w:rPr>
        <w:t xml:space="preserve">Posologie et Mode d’administration (Standard) :</w:t>
      </w:r>
      <w:r>
        <w:t xml:space="preserve"> </w:t>
      </w:r>
      <w:r>
        <w:t xml:space="preserve">- Adulte :</w:t>
      </w:r>
      <w:r>
        <w:t xml:space="preserve"> </w:t>
      </w:r>
      <w:r>
        <w:t xml:space="preserve">- 1 comprimé vaginal au coucher profondément dans le vagin, en décubitus dorsal, pendant</w:t>
      </w:r>
      <w:r>
        <w:t xml:space="preserve"> </w:t>
      </w:r>
      <w:r>
        <w:rPr>
          <w:b/>
          <w:bCs/>
        </w:rPr>
        <w:t xml:space="preserve">10 jours consécutifs</w:t>
      </w:r>
      <w:r>
        <w:t xml:space="preserve"> </w:t>
      </w:r>
      <w:r>
        <w:t xml:space="preserve">(parfois 12 jours selon sévérité).</w:t>
      </w:r>
      <w:r>
        <w:t xml:space="preserve"> </w:t>
      </w:r>
      <w:r>
        <w:t xml:space="preserve">- En entretien ou prophylaxie récidive : 1 cp vaginal × 2/semaine pendant 3-6 mois (selon protocole gynéco).</w:t>
      </w:r>
      <w:r>
        <w:t xml:space="preserve"> </w:t>
      </w:r>
      <w:r>
        <w:t xml:space="preserve">- Mode d’administration : au coucher, position allongée, jambes fléchies, insertion profonde avec doigt ou applicateur (selon marque) ; rester allongée 30 min.</w:t>
      </w:r>
    </w:p>
    <w:p>
      <w:pPr>
        <w:pStyle w:val="BodyText"/>
      </w:pPr>
      <w:r>
        <w:rPr>
          <w:b/>
          <w:bCs/>
        </w:rPr>
        <w:t xml:space="preserve">Arbitrage et Bénéfices des Formes Galéniques :</w:t>
      </w:r>
      <w:r>
        <w:t xml:space="preserve"> </w:t>
      </w:r>
      <w:r>
        <w:t xml:space="preserve">- Comprimé vaginal (GYNOVAL, TERGYNAN) vs ovule (GYNODAN) : libération et tolérance équivalentes ; choix selon préférence patiente et disponibilité.</w:t>
      </w:r>
      <w:r>
        <w:t xml:space="preserve"> </w:t>
      </w:r>
      <w:r>
        <w:t xml:space="preserve">- Format B/10 : adapté à une cure complète de 10 jours.</w:t>
      </w:r>
      <w:r>
        <w:t xml:space="preserve"> </w:t>
      </w:r>
      <w:r>
        <w:t xml:space="preserve">- Forme « tout-en-un » : simplifie l’observance (vs prescriptions séparées métronidazole + antifongique + antibactérien).</w:t>
      </w:r>
      <w:r>
        <w:t xml:space="preserve"> </w:t>
      </w:r>
      <w:r>
        <w:t xml:space="preserve">- Alternative : traitements séparés (métronidazole ovule + clotrimazole crème).</w:t>
      </w:r>
    </w:p>
    <w:p>
      <w:pPr>
        <w:pStyle w:val="BodyText"/>
      </w:pPr>
      <w:r>
        <w:rPr>
          <w:b/>
          <w:bCs/>
        </w:rPr>
        <w:t xml:space="preserve">Instructions et Conseils au Patient :</w:t>
      </w:r>
      <w:r>
        <w:t xml:space="preserve"> </w:t>
      </w:r>
      <w:r>
        <w:t xml:space="preserve">- Communication au comptoir :</w:t>
      </w:r>
      <w:r>
        <w:t xml:space="preserve"> </w:t>
      </w:r>
      <w:r>
        <w:t xml:space="preserve">- « 1 comprimé vaginal chaque soir au coucher pendant 10 jours, profondément dans le vagin ».</w:t>
      </w:r>
      <w:r>
        <w:t xml:space="preserve"> </w:t>
      </w:r>
      <w:r>
        <w:t xml:space="preserve">- «</w:t>
      </w:r>
      <w:r>
        <w:t xml:space="preserve"> </w:t>
      </w:r>
      <w:r>
        <w:rPr>
          <w:b/>
          <w:bCs/>
        </w:rPr>
        <w:t xml:space="preserve">PAS D’ALCOOL pendant le traitement ET 48 heures après le dernier comprimé</w:t>
      </w:r>
      <w:r>
        <w:t xml:space="preserve"> </w:t>
      </w:r>
      <w:r>
        <w:t xml:space="preserve">».</w:t>
      </w:r>
      <w:r>
        <w:t xml:space="preserve"> </w:t>
      </w:r>
      <w:r>
        <w:t xml:space="preserve">- « Si vous prenez un anticoagulant, prévenez votre médecin ».</w:t>
      </w:r>
      <w:r>
        <w:t xml:space="preserve"> </w:t>
      </w:r>
      <w:r>
        <w:t xml:space="preserve">- « Évitez les rapports sexuels pendant le traitement ».</w:t>
      </w:r>
      <w:r>
        <w:t xml:space="preserve"> </w:t>
      </w:r>
      <w:r>
        <w:t xml:space="preserve">- « En cas de trichomonase, le partenaire doit aussi être traité ».</w:t>
      </w:r>
      <w:r>
        <w:t xml:space="preserve"> </w:t>
      </w:r>
      <w:r>
        <w:t xml:space="preserve">- « Préférez l’application le soir avant le coucher ».</w:t>
      </w:r>
      <w:r>
        <w:t xml:space="preserve"> </w:t>
      </w:r>
      <w:r>
        <w:t xml:space="preserve">- Mode d’utilisation pratique : lavage des mains, insertion profonde au doigt ou applicateur, décubitus dorsal 30 min, jeter l’applicateur après usage (usage unique).</w:t>
      </w:r>
    </w:p>
    <w:p>
      <w:pPr>
        <w:pStyle w:val="BodyText"/>
      </w:pPr>
      <w:r>
        <w:rPr>
          <w:b/>
          <w:bCs/>
        </w:rPr>
        <w:t xml:space="preserve">Notes, Règles d’Or &amp; Pièges au Comptoir :</w:t>
      </w:r>
      <w:r>
        <w:t xml:space="preserve"> </w:t>
      </w:r>
      <w:r>
        <w:t xml:space="preserve">-</w:t>
      </w:r>
      <w:r>
        <w:t xml:space="preserve"> </w:t>
      </w:r>
      <w:r>
        <w:rPr>
          <w:b/>
          <w:bCs/>
        </w:rPr>
        <w:t xml:space="preserve">Piège classique — Métronidazole vaginal + ALCOOL</w:t>
      </w:r>
      <w:r>
        <w:t xml:space="preserve"> </w:t>
      </w:r>
      <w:r>
        <w:t xml:space="preserve">: rappeler que la voie locale ne dispense pas de l’éviction alcool.</w:t>
      </w:r>
      <w:r>
        <w:t xml:space="preserve"> </w:t>
      </w:r>
      <w:r>
        <w:t xml:space="preserve">-</w:t>
      </w:r>
      <w:r>
        <w:t xml:space="preserve"> </w:t>
      </w:r>
      <w:r>
        <w:rPr>
          <w:b/>
          <w:bCs/>
        </w:rPr>
        <w:t xml:space="preserve">Piège classique — Allergie néomycine</w:t>
      </w:r>
      <w:r>
        <w:t xml:space="preserve"> </w:t>
      </w:r>
      <w:r>
        <w:t xml:space="preserve">: sensibilisation cutanée possible, à rechercher à l’interrogatoire.</w:t>
      </w:r>
      <w:r>
        <w:t xml:space="preserve"> </w:t>
      </w:r>
      <w:r>
        <w:t xml:space="preserve">-</w:t>
      </w:r>
      <w:r>
        <w:t xml:space="preserve"> </w:t>
      </w:r>
      <w:r>
        <w:rPr>
          <w:b/>
          <w:bCs/>
        </w:rPr>
        <w:t xml:space="preserve">Piège classique — Préservatifs en latex</w:t>
      </w:r>
      <w:r>
        <w:t xml:space="preserve"> </w:t>
      </w:r>
      <w:r>
        <w:t xml:space="preserve">: cassés par excipients gras.</w:t>
      </w:r>
      <w:r>
        <w:t xml:space="preserve"> </w:t>
      </w:r>
      <w:r>
        <w:t xml:space="preserve">-</w:t>
      </w:r>
      <w:r>
        <w:t xml:space="preserve"> </w:t>
      </w:r>
      <w:r>
        <w:rPr>
          <w:b/>
          <w:bCs/>
        </w:rPr>
        <w:t xml:space="preserve">Piège classique — Myasthénie</w:t>
      </w:r>
      <w:r>
        <w:t xml:space="preserve"> </w:t>
      </w:r>
      <w:r>
        <w:t xml:space="preserve">: prudence avec la néomycine même en usage local.</w:t>
      </w:r>
      <w:r>
        <w:t xml:space="preserve"> </w:t>
      </w:r>
      <w:r>
        <w:t xml:space="preserve">-</w:t>
      </w:r>
      <w:r>
        <w:t xml:space="preserve"> </w:t>
      </w:r>
      <w:r>
        <w:rPr>
          <w:b/>
          <w:bCs/>
        </w:rPr>
        <w:t xml:space="preserve">Règle de prise</w:t>
      </w:r>
      <w:r>
        <w:t xml:space="preserve"> </w:t>
      </w:r>
      <w:r>
        <w:t xml:space="preserve">: 1 cp vaginal/j au coucher × 10 j, pas d’alcool 48 h.</w:t>
      </w:r>
      <w:r>
        <w:t xml:space="preserve"> </w:t>
      </w:r>
      <w:r>
        <w:t xml:space="preserve">-</w:t>
      </w:r>
      <w:r>
        <w:t xml:space="preserve"> </w:t>
      </w:r>
      <w:r>
        <w:rPr>
          <w:b/>
          <w:bCs/>
        </w:rPr>
        <w:t xml:space="preserve">Préparation et Conservation</w:t>
      </w:r>
      <w:r>
        <w:t xml:space="preserve"> </w:t>
      </w:r>
      <w:r>
        <w:t xml:space="preserve">: comprimés vaginaux à T° ambiante (&lt; 25 °C), à l’abri de l’humidité.</w:t>
      </w:r>
      <w:r>
        <w:t xml:space="preserve"> </w:t>
      </w:r>
      <w:r>
        <w:t xml:space="preserve">-</w:t>
      </w:r>
      <w:r>
        <w:t xml:space="preserve"> </w:t>
      </w:r>
      <w:r>
        <w:rPr>
          <w:b/>
          <w:bCs/>
        </w:rPr>
        <w:t xml:space="preserve">Piège du surdosage / Substitution</w:t>
      </w:r>
      <w:r>
        <w:t xml:space="preserve"> </w:t>
      </w:r>
      <w:r>
        <w:t xml:space="preserve">:</w:t>
      </w:r>
      <w:r>
        <w:t xml:space="preserve"> </w:t>
      </w:r>
      <w:r>
        <w:t xml:space="preserve">- Substitution entre GYNOVAL / TERGYNAN / GYNODAN : possible (même composition).</w:t>
      </w:r>
      <w:r>
        <w:t xml:space="preserve"> </w:t>
      </w:r>
      <w:r>
        <w:t xml:space="preserve">- Ne pas prolonger &gt; 10 jours sans avis médical (résistance, candidose secondaire).</w:t>
      </w:r>
    </w:p>
    <w:p>
      <w:r>
        <w:pict>
          <v:rect style="width:0;height:1.5pt" o:hralign="center" o:hrstd="t" o:hr="t"/>
        </w:pict>
      </w:r>
    </w:p>
    <w:bookmarkEnd w:id="184"/>
    <w:bookmarkEnd w:id="185"/>
    <w:bookmarkStart w:id="189" w:name="sous-classe-nitrofuranes"/>
    <w:p>
      <w:pPr>
        <w:pStyle w:val="Heading2"/>
      </w:pPr>
      <w:r>
        <w:t xml:space="preserve">6.4. Sous-classe : Nitrofuranes</w:t>
      </w:r>
    </w:p>
    <w:bookmarkStart w:id="186" w:name="introduction-à-la-sous-classe-3"/>
    <w:p>
      <w:pPr>
        <w:pStyle w:val="Heading3"/>
      </w:pPr>
      <w:r>
        <w:t xml:space="preserve">6.4.1. Introduction à la sous-classe</w:t>
      </w:r>
    </w:p>
    <w:p>
      <w:pPr>
        <w:pStyle w:val="FirstParagraph"/>
      </w:pPr>
      <w:r>
        <w:t xml:space="preserve">Les nitrofuranes sont des dérivés du</w:t>
      </w:r>
      <w:r>
        <w:t xml:space="preserve"> </w:t>
      </w:r>
      <w:r>
        <w:rPr>
          <w:b/>
          <w:bCs/>
        </w:rPr>
        <w:t xml:space="preserve">noyau furane</w:t>
      </w:r>
      <w:r>
        <w:t xml:space="preserve"> </w:t>
      </w:r>
      <w:r>
        <w:t xml:space="preserve">porteurs d’un</w:t>
      </w:r>
      <w:r>
        <w:t xml:space="preserve"> </w:t>
      </w:r>
      <w:r>
        <w:rPr>
          <w:b/>
          <w:bCs/>
        </w:rPr>
        <w:t xml:space="preserve">groupement nitro (-NO₂)</w:t>
      </w:r>
      <w:r>
        <w:t xml:space="preserve"> </w:t>
      </w:r>
      <w:r>
        <w:t xml:space="preserve">en position 5, qui constitue le pharmacophore essentiel de leur activité antibactérienne. Découverts dans les années 1940-1950, ils ont longtemps été utilisés comme antibiotiques systémiques (nitrofurantoïne pour infections urinaires, furazolidone pour diarrhées bactériennes et infections à</w:t>
      </w:r>
      <w:r>
        <w:t xml:space="preserve"> </w:t>
      </w:r>
      <w:r>
        <w:rPr>
          <w:i/>
          <w:iCs/>
        </w:rPr>
        <w:t xml:space="preserve">H. pylori</w:t>
      </w:r>
      <w:r>
        <w:t xml:space="preserve">, nifuroxazide pour diarrhées bactériennes). En Algérie, deux nitrofuranes sont présents dans la nomenclature : la</w:t>
      </w:r>
      <w:r>
        <w:t xml:space="preserve"> </w:t>
      </w:r>
      <w:r>
        <w:rPr>
          <w:b/>
          <w:bCs/>
        </w:rPr>
        <w:t xml:space="preserve">furazolidone</w:t>
      </w:r>
      <w:r>
        <w:t xml:space="preserve"> </w:t>
      </w:r>
      <w:r>
        <w:t xml:space="preserve">(Non Renouvelable / Retirée) et le</w:t>
      </w:r>
      <w:r>
        <w:t xml:space="preserve"> </w:t>
      </w:r>
      <w:r>
        <w:rPr>
          <w:b/>
          <w:bCs/>
        </w:rPr>
        <w:t xml:space="preserve">nifuroxazide</w:t>
      </w:r>
      <w:r>
        <w:t xml:space="preserve"> </w:t>
      </w:r>
      <w:r>
        <w:t xml:space="preserve">(Actif sous plusieurs marques).</w:t>
      </w:r>
    </w:p>
    <w:p>
      <w:pPr>
        <w:pStyle w:val="BodyText"/>
      </w:pPr>
      <w:r>
        <w:t xml:space="preserve">Le mécanisme d’action repose, comme pour les nitro-imidazolés, sur une</w:t>
      </w:r>
      <w:r>
        <w:t xml:space="preserve"> </w:t>
      </w:r>
      <w:r>
        <w:rPr>
          <w:b/>
          <w:bCs/>
        </w:rPr>
        <w:t xml:space="preserve">activation biotransformative par réduction</w:t>
      </w:r>
      <w:r>
        <w:t xml:space="preserve"> </w:t>
      </w:r>
      <w:r>
        <w:t xml:space="preserve">du groupement nitro. Cependant, à la différence des nitro-imidazolés qui nécessitent un environnement anaérobie strict (potentiel redox très bas), les nitrofuranes sont réduits par des</w:t>
      </w:r>
      <w:r>
        <w:t xml:space="preserve"> </w:t>
      </w:r>
      <w:r>
        <w:rPr>
          <w:b/>
          <w:bCs/>
        </w:rPr>
        <w:t xml:space="preserve">nitroréductases bactériennes</w:t>
      </w:r>
      <w:r>
        <w:t xml:space="preserve"> </w:t>
      </w:r>
      <w:r>
        <w:t xml:space="preserve">présentes aussi bien chez les aérobies que chez les anaérobies. La réduction produit des</w:t>
      </w:r>
      <w:r>
        <w:t xml:space="preserve"> </w:t>
      </w:r>
      <w:r>
        <w:rPr>
          <w:b/>
          <w:bCs/>
        </w:rPr>
        <w:t xml:space="preserve">radicaux libres cytotoxiques</w:t>
      </w:r>
      <w:r>
        <w:t xml:space="preserve"> </w:t>
      </w:r>
      <w:r>
        <w:t xml:space="preserve">et des métabolites interagissant avec :</w:t>
      </w:r>
      <w:r>
        <w:t xml:space="preserve"> </w:t>
      </w:r>
      <w:r>
        <w:t xml:space="preserve">- Les</w:t>
      </w:r>
      <w:r>
        <w:t xml:space="preserve"> </w:t>
      </w:r>
      <w:r>
        <w:rPr>
          <w:b/>
          <w:bCs/>
        </w:rPr>
        <w:t xml:space="preserve">ribosomes bactériens</w:t>
      </w:r>
      <w:r>
        <w:t xml:space="preserve"> </w:t>
      </w:r>
      <w:r>
        <w:t xml:space="preserve">(inhibition de la traduction) ;</w:t>
      </w:r>
      <w:r>
        <w:t xml:space="preserve"> </w:t>
      </w:r>
      <w:r>
        <w:t xml:space="preserve">- L’</w:t>
      </w:r>
      <w:r>
        <w:rPr>
          <w:b/>
          <w:bCs/>
        </w:rPr>
        <w:t xml:space="preserve">ADN bactérien</w:t>
      </w:r>
      <w:r>
        <w:t xml:space="preserve"> </w:t>
      </w:r>
      <w:r>
        <w:t xml:space="preserve">(cassures, altération de la structure) ;</w:t>
      </w:r>
      <w:r>
        <w:t xml:space="preserve"> </w:t>
      </w:r>
      <w:r>
        <w:t xml:space="preserve">- Les</w:t>
      </w:r>
      <w:r>
        <w:t xml:space="preserve"> </w:t>
      </w:r>
      <w:r>
        <w:rPr>
          <w:b/>
          <w:bCs/>
        </w:rPr>
        <w:t xml:space="preserve">protéines cellulaires</w:t>
      </w:r>
      <w:r>
        <w:t xml:space="preserve"> </w:t>
      </w:r>
      <w:r>
        <w:t xml:space="preserve">(liaison covalente, altération fonctionnelle).</w:t>
      </w:r>
    </w:p>
    <w:p>
      <w:pPr>
        <w:pStyle w:val="BodyText"/>
      </w:pPr>
      <w:r>
        <w:t xml:space="preserve">Cette multi-ciblage explique la faible émergence de résistance acquise et l’activité bactéricide. Le spectre couvre les Gram+ (Staphylocoques, Streptocoques, Entérocoques) et de nombreux Gram- (E. coli, Salmonella, Shigella, Enterobacter, mais Pseudomonas et Proteus sont naturellement résistants).</w:t>
      </w:r>
    </w:p>
    <w:p>
      <w:pPr>
        <w:pStyle w:val="BodyText"/>
      </w:pPr>
      <w:r>
        <w:rPr>
          <w:b/>
          <w:bCs/>
        </w:rPr>
        <w:t xml:space="preserve">Particularités PK :</w:t>
      </w:r>
      <w:r>
        <w:t xml:space="preserve"> </w:t>
      </w:r>
      <w:r>
        <w:t xml:space="preserve">- Le nifuroxazide et la furazolidone sont</w:t>
      </w:r>
      <w:r>
        <w:t xml:space="preserve"> </w:t>
      </w:r>
      <w:r>
        <w:rPr>
          <w:b/>
          <w:bCs/>
        </w:rPr>
        <w:t xml:space="preserve">très peu absorbés par voie digestive</w:t>
      </w:r>
      <w:r>
        <w:t xml:space="preserve"> </w:t>
      </w:r>
      <w:r>
        <w:t xml:space="preserve">(biodisponibilité &lt; 5 %) → concentration intestinale élevée → action locale sur la lumière digestive.</w:t>
      </w:r>
      <w:r>
        <w:t xml:space="preserve"> </w:t>
      </w:r>
      <w:r>
        <w:t xml:space="preserve">- La nitrofurantoïne (non couverte ici) est absorbée et excrétée active dans les urines → activité limitée aux infections urinaires basses.</w:t>
      </w:r>
      <w:r>
        <w:t xml:space="preserve"> </w:t>
      </w:r>
      <w:r>
        <w:t xml:space="preserve">- Le faible passage systémique du nifuroxazide explique sa bonne tolérance générale et l’absence d’EI systémiques majeurs (mais des réactions allergiques sont possibles).</w:t>
      </w:r>
      <w:r>
        <w:t xml:space="preserve"> </w:t>
      </w:r>
      <w:r>
        <w:t xml:space="preserve">- EI notable : les nitrofuranes sont</w:t>
      </w:r>
      <w:r>
        <w:t xml:space="preserve"> </w:t>
      </w:r>
      <w:r>
        <w:rPr>
          <w:b/>
          <w:bCs/>
        </w:rPr>
        <w:t xml:space="preserve">potentiellement mutagènes</w:t>
      </w:r>
      <w:r>
        <w:t xml:space="preserve"> </w:t>
      </w:r>
      <w:r>
        <w:t xml:space="preserve">(groupement nitro aromatique → métabolites alkylants), ce qui a conduit au retrait progressif de plusieurs molécules de la classe (furazolidone en particulier) et à des restrictions d’usage (nitrofurantoïne limitée à cystite aiguë non compliquée).</w:t>
      </w:r>
    </w:p>
    <w:p>
      <w:pPr>
        <w:pStyle w:val="BodyText"/>
      </w:pPr>
      <w:r>
        <w:rPr>
          <w:b/>
          <w:bCs/>
        </w:rPr>
        <w:t xml:space="preserve">Spectre d’action :</w:t>
      </w:r>
      <w:r>
        <w:t xml:space="preserve"> </w:t>
      </w:r>
      <w:r>
        <w:t xml:space="preserve">-</w:t>
      </w:r>
      <w:r>
        <w:t xml:space="preserve"> </w:t>
      </w:r>
      <w:r>
        <w:rPr>
          <w:i/>
          <w:iCs/>
        </w:rPr>
        <w:t xml:space="preserve">In vitro</w:t>
      </w:r>
      <w:r>
        <w:t xml:space="preserve"> </w:t>
      </w:r>
      <w:r>
        <w:t xml:space="preserve">: Staphylocoques (y compris S. aureus), Streptocoques (A, B, D, pneumocoque), Entérocoques, E. coli, Salmonella, Shigella, Enterobacter, Citrobacter, Klebsiella, Campylobacter, Vibrio cholerae.</w:t>
      </w:r>
      <w:r>
        <w:t xml:space="preserve"> </w:t>
      </w:r>
      <w:r>
        <w:t xml:space="preserve">- Résistance naturelle :</w:t>
      </w:r>
      <w:r>
        <w:t xml:space="preserve"> </w:t>
      </w:r>
      <w:r>
        <w:rPr>
          <w:b/>
          <w:bCs/>
        </w:rPr>
        <w:t xml:space="preserve">Pseudomonas aeruginosa</w:t>
      </w:r>
      <w:r>
        <w:t xml:space="preserve">,</w:t>
      </w:r>
      <w:r>
        <w:t xml:space="preserve"> </w:t>
      </w:r>
      <w:r>
        <w:rPr>
          <w:b/>
          <w:bCs/>
        </w:rPr>
        <w:t xml:space="preserve">Proteus spp.</w:t>
      </w:r>
      <w:r>
        <w:t xml:space="preserve">,</w:t>
      </w:r>
      <w:r>
        <w:t xml:space="preserve"> </w:t>
      </w:r>
      <w:r>
        <w:rPr>
          <w:b/>
          <w:bCs/>
        </w:rPr>
        <w:t xml:space="preserve">Providencia</w:t>
      </w:r>
      <w:r>
        <w:t xml:space="preserve">,</w:t>
      </w:r>
      <w:r>
        <w:t xml:space="preserve"> </w:t>
      </w:r>
      <w:r>
        <w:rPr>
          <w:b/>
          <w:bCs/>
        </w:rPr>
        <w:t xml:space="preserve">Morganella</w:t>
      </w:r>
      <w:r>
        <w:t xml:space="preserve">,</w:t>
      </w:r>
      <w:r>
        <w:t xml:space="preserve"> </w:t>
      </w:r>
      <w:r>
        <w:rPr>
          <w:b/>
          <w:bCs/>
        </w:rPr>
        <w:t xml:space="preserve">Serratia</w:t>
      </w:r>
      <w:r>
        <w:t xml:space="preserve"> </w:t>
      </w:r>
      <w:r>
        <w:t xml:space="preserve">(uréase → alcalinisation de l’environnement → inactivation).</w:t>
      </w:r>
      <w:r>
        <w:t xml:space="preserve"> </w:t>
      </w:r>
      <w:r>
        <w:t xml:space="preserve">- Inactifs sur virus, champignons.</w:t>
      </w:r>
    </w:p>
    <w:p>
      <w:pPr>
        <w:pStyle w:val="BodyText"/>
      </w:pPr>
      <w:r>
        <w:rPr>
          <w:b/>
          <w:bCs/>
        </w:rPr>
        <w:t xml:space="preserve">Place dans l’arsenal algérien :</w:t>
      </w:r>
      <w:r>
        <w:t xml:space="preserve"> </w:t>
      </w:r>
      <w:r>
        <w:t xml:space="preserve">- Le</w:t>
      </w:r>
      <w:r>
        <w:t xml:space="preserve"> </w:t>
      </w:r>
      <w:r>
        <w:rPr>
          <w:b/>
          <w:bCs/>
        </w:rPr>
        <w:t xml:space="preserve">nifuroxazide</w:t>
      </w:r>
      <w:r>
        <w:t xml:space="preserve"> </w:t>
      </w:r>
      <w:r>
        <w:t xml:space="preserve">reste largement utilisé en automédication pour les diarrhées aiguës présumées bactériennes, mais l’OMS et l’ANSM rappellent que la</w:t>
      </w:r>
      <w:r>
        <w:t xml:space="preserve"> </w:t>
      </w:r>
      <w:r>
        <w:rPr>
          <w:b/>
          <w:bCs/>
        </w:rPr>
        <w:t xml:space="preserve">réhydratation orale reste le pilier du traitement des diarrhées aiguës</w:t>
      </w:r>
      <w:r>
        <w:t xml:space="preserve"> </w:t>
      </w:r>
      <w:r>
        <w:t xml:space="preserve">et que l’antibiothérapie n’est justifiée qu’en cas de diarrhée persistante, dysentérique, ou terrain à risque. Le pharmacien joue un rôle pédagogique majeur au comptoir.</w:t>
      </w:r>
      <w:r>
        <w:t xml:space="preserve"> </w:t>
      </w:r>
      <w:r>
        <w:t xml:space="preserve">- La</w:t>
      </w:r>
      <w:r>
        <w:t xml:space="preserve"> </w:t>
      </w:r>
      <w:r>
        <w:rPr>
          <w:b/>
          <w:bCs/>
        </w:rPr>
        <w:t xml:space="preserve">furazolidone</w:t>
      </w:r>
      <w:r>
        <w:t xml:space="preserve"> </w:t>
      </w:r>
      <w:r>
        <w:t xml:space="preserve">est principalement connue pour son rôle historique dans l’éradication de</w:t>
      </w:r>
      <w:r>
        <w:t xml:space="preserve"> </w:t>
      </w:r>
      <w:r>
        <w:rPr>
          <w:i/>
          <w:iCs/>
        </w:rPr>
        <w:t xml:space="preserve">H. pylori</w:t>
      </w:r>
      <w:r>
        <w:t xml:space="preserve"> </w:t>
      </w:r>
      <w:r>
        <w:t xml:space="preserve">(quadrithérapie) et le traitement des giardioses — aujourd’hui retirée du marché algérien.</w:t>
      </w:r>
    </w:p>
    <w:p>
      <w:r>
        <w:pict>
          <v:rect style="width:0;height:1.5pt" o:hralign="center" o:hrstd="t" o:hr="t"/>
        </w:pict>
      </w:r>
    </w:p>
    <w:bookmarkEnd w:id="186"/>
    <w:bookmarkStart w:id="187" w:name="dci-furazolidone-seule"/>
    <w:p>
      <w:pPr>
        <w:pStyle w:val="Heading3"/>
      </w:pPr>
      <w:r>
        <w:t xml:space="preserve">6.4.2. DCI : Furazolidone (Seule)</w:t>
      </w:r>
    </w:p>
    <w:p>
      <w:pPr>
        <w:pStyle w:val="FirstParagraph"/>
      </w:pPr>
      <w:r>
        <w:rPr>
          <w:b/>
          <w:bCs/>
        </w:rPr>
        <w:t xml:space="preserve">Liste des Catégories :</w:t>
      </w:r>
      <w:r>
        <w:t xml:space="preserve"> </w:t>
      </w:r>
      <w:r>
        <w:t xml:space="preserve">Antibiotique ; Antibactérien intestinal ; Nitrofurane ; Antiparasitaire ; P02CX03.</w:t>
      </w:r>
    </w:p>
    <w:p>
      <w:pPr>
        <w:pStyle w:val="BodyText"/>
      </w:pPr>
      <w:r>
        <w:t xml:space="preserve">La furazolidone est un nitrofurane utilisé historiquement dans le traitement des diarrhées bactériennes (Salmonella, Shigella, E. coli), des giardioses et, en association, dans l’éradication de</w:t>
      </w:r>
      <w:r>
        <w:t xml:space="preserve"> </w:t>
      </w:r>
      <w:r>
        <w:rPr>
          <w:i/>
          <w:iCs/>
        </w:rPr>
        <w:t xml:space="preserve">Helicobacter pylori</w:t>
      </w:r>
      <w:r>
        <w:t xml:space="preserve"> </w:t>
      </w:r>
      <w:r>
        <w:t xml:space="preserve">(quadrithérapie). Sa très faible absorption digestive (&lt; 5 %) permet une action locale intestinale avec peu d’EI systémiques. En Algérie, la spécialité CROFURIL (Crovis Philcom) est actuellement</w:t>
      </w:r>
      <w:r>
        <w:t xml:space="preserve"> </w:t>
      </w:r>
      <w:r>
        <w:rPr>
          <w:b/>
          <w:bCs/>
        </w:rPr>
        <w:t xml:space="preserve">non renouvelable</w:t>
      </w:r>
      <w:r>
        <w:t xml:space="preserve"> </w:t>
      </w:r>
      <w:r>
        <w:t xml:space="preserve">en suspension buvable et</w:t>
      </w:r>
      <w:r>
        <w:t xml:space="preserve"> </w:t>
      </w:r>
      <w:r>
        <w:rPr>
          <w:b/>
          <w:bCs/>
        </w:rPr>
        <w:t xml:space="preserve">retirée</w:t>
      </w:r>
      <w:r>
        <w:t xml:space="preserve"> </w:t>
      </w:r>
      <w:r>
        <w:t xml:space="preserve">en comprimés — la molécule n’est plus disponible en officine. Le pharmacien doit connaître son existence (prescriptions historiques, littérature médicale) et orienter le patient vers les alternatives disponibles (nifuroxazide, métronidazole pour giardiose).</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CROFURIL</w:t>
      </w:r>
      <w:r>
        <w:t xml:space="preserve"> </w:t>
      </w:r>
      <w:r>
        <w:t xml:space="preserve">(CROVIS PHILCOM)</w:t>
      </w:r>
      <w:r>
        <w:t xml:space="preserve"> </w:t>
      </w:r>
      <w:r>
        <w:t xml:space="preserve">- Forme et Dosage : Susp. buv. 344 mg/100 mL (≈ 3,44 mg/mL) (flacon 250 mL)</w:t>
      </w:r>
      <w:r>
        <w:t xml:space="preserve"> </w:t>
      </w:r>
      <w:r>
        <w:t xml:space="preserve">- Liste : Liste II</w:t>
      </w:r>
      <w:r>
        <w:t xml:space="preserve"> </w:t>
      </w:r>
      <w:r>
        <w:t xml:space="preserve">- Statut :</w:t>
      </w:r>
      <w:r>
        <w:t xml:space="preserve"> </w:t>
      </w:r>
      <w:r>
        <w:rPr>
          <w:b/>
          <w:bCs/>
        </w:rPr>
        <w:t xml:space="preserve">Non Renouvelable</w:t>
      </w:r>
      <w:r>
        <w:t xml:space="preserve"> </w:t>
      </w:r>
      <w:r>
        <w:t xml:space="preserve">-</w:t>
      </w:r>
      <w:r>
        <w:t xml:space="preserve"> </w:t>
      </w:r>
      <w:r>
        <w:rPr>
          <w:b/>
          <w:bCs/>
        </w:rPr>
        <w:t xml:space="preserve">CROFURIL</w:t>
      </w:r>
      <w:r>
        <w:t xml:space="preserve"> </w:t>
      </w:r>
      <w:r>
        <w:t xml:space="preserve">(CROVIS PHILCOM)</w:t>
      </w:r>
      <w:r>
        <w:t xml:space="preserve"> </w:t>
      </w:r>
      <w:r>
        <w:t xml:space="preserve">- Forme et Dosage : Comprimé 100 mg (B/30)</w:t>
      </w:r>
      <w:r>
        <w:t xml:space="preserve"> </w:t>
      </w:r>
      <w:r>
        <w:t xml:space="preserve">- Liste : Liste II</w:t>
      </w:r>
      <w:r>
        <w:t xml:space="preserve"> </w:t>
      </w:r>
      <w:r>
        <w:t xml:space="preserve">- Statut : Retiré (R)</w:t>
      </w:r>
    </w:p>
    <w:p>
      <w:pPr>
        <w:pStyle w:val="BodyText"/>
      </w:pPr>
      <w:r>
        <w:rPr>
          <w:b/>
          <w:bCs/>
        </w:rPr>
        <w:t xml:space="preserve">Sous-classe et Mécanisme d’action :</w:t>
      </w:r>
      <w:r>
        <w:t xml:space="preserve"> </w:t>
      </w:r>
      <w:r>
        <w:t xml:space="preserve">- Sous-classe : Nitrofurane intestinal (peu absorbé). Bactéricide, antiparasitaire.</w:t>
      </w:r>
      <w:r>
        <w:t xml:space="preserve"> </w:t>
      </w:r>
      <w:r>
        <w:t xml:space="preserve">- Mécanisme d’action :</w:t>
      </w:r>
      <w:r>
        <w:t xml:space="preserve"> </w:t>
      </w:r>
      <w:r>
        <w:rPr>
          <w:b/>
          <w:bCs/>
        </w:rPr>
        <w:t xml:space="preserve">réduction du groupement nitro par les nitroréductases bactériennes</w:t>
      </w:r>
      <w:r>
        <w:t xml:space="preserve"> </w:t>
      </w:r>
      <w:r>
        <w:t xml:space="preserve">→ radical nitro anion cytotoxique → interaction avec les ribosomes bactériens (inhibition traduction), l’ADN (cassures, altération), et les protéines cellulaires (liaison covalente). Multi-ciblage → faible résistance acquise.</w:t>
      </w:r>
      <w:r>
        <w:t xml:space="preserve"> </w:t>
      </w:r>
      <w:r>
        <w:t xml:space="preserve">- Activité inhibitrice de la</w:t>
      </w:r>
      <w:r>
        <w:t xml:space="preserve"> </w:t>
      </w:r>
      <w:r>
        <w:rPr>
          <w:b/>
          <w:bCs/>
        </w:rPr>
        <w:t xml:space="preserve">monoamine oxydase (MAO)</w:t>
      </w:r>
      <w:r>
        <w:t xml:space="preserve"> </w:t>
      </w:r>
      <w:r>
        <w:t xml:space="preserve">— responsable de l’interaction avec les sympathomimétiques et les aliments riches en tyramine (effet hypertensif).</w:t>
      </w:r>
      <w:r>
        <w:t xml:space="preserve"> </w:t>
      </w:r>
      <w:r>
        <w:t xml:space="preserve">- Spectre intestinal :</w:t>
      </w:r>
      <w:r>
        <w:t xml:space="preserve"> </w:t>
      </w:r>
      <w:r>
        <w:rPr>
          <w:i/>
          <w:iCs/>
        </w:rPr>
        <w:t xml:space="preserve">E. coli</w:t>
      </w:r>
      <w:r>
        <w:t xml:space="preserve">,</w:t>
      </w:r>
      <w:r>
        <w:t xml:space="preserve"> </w:t>
      </w:r>
      <w:r>
        <w:rPr>
          <w:i/>
          <w:iCs/>
        </w:rPr>
        <w:t xml:space="preserve">Salmonella</w:t>
      </w:r>
      <w:r>
        <w:t xml:space="preserve"> </w:t>
      </w:r>
      <w:r>
        <w:t xml:space="preserve">spp.,</w:t>
      </w:r>
      <w:r>
        <w:t xml:space="preserve"> </w:t>
      </w:r>
      <w:r>
        <w:rPr>
          <w:i/>
          <w:iCs/>
        </w:rPr>
        <w:t xml:space="preserve">Shigella</w:t>
      </w:r>
      <w:r>
        <w:t xml:space="preserve"> </w:t>
      </w:r>
      <w:r>
        <w:t xml:space="preserve">spp.,</w:t>
      </w:r>
      <w:r>
        <w:t xml:space="preserve"> </w:t>
      </w:r>
      <w:r>
        <w:rPr>
          <w:i/>
          <w:iCs/>
        </w:rPr>
        <w:t xml:space="preserve">Campylobacter jejuni</w:t>
      </w:r>
      <w:r>
        <w:t xml:space="preserve">,</w:t>
      </w:r>
      <w:r>
        <w:t xml:space="preserve"> </w:t>
      </w:r>
      <w:r>
        <w:rPr>
          <w:i/>
          <w:iCs/>
        </w:rPr>
        <w:t xml:space="preserve">Vibrio cholerae</w:t>
      </w:r>
      <w:r>
        <w:t xml:space="preserve">,</w:t>
      </w:r>
      <w:r>
        <w:t xml:space="preserve"> </w:t>
      </w:r>
      <w:r>
        <w:rPr>
          <w:i/>
          <w:iCs/>
        </w:rPr>
        <w:t xml:space="preserve">Giardia lamblia</w:t>
      </w:r>
      <w:r>
        <w:t xml:space="preserve">,</w:t>
      </w:r>
      <w:r>
        <w:t xml:space="preserve"> </w:t>
      </w:r>
      <w:r>
        <w:rPr>
          <w:i/>
          <w:iCs/>
        </w:rPr>
        <w:t xml:space="preserve">H. pylori</w:t>
      </w:r>
      <w:r>
        <w:t xml:space="preserve">.</w:t>
      </w:r>
    </w:p>
    <w:p>
      <w:pPr>
        <w:pStyle w:val="BodyText"/>
      </w:pPr>
      <w:r>
        <w:rPr>
          <w:b/>
          <w:bCs/>
        </w:rPr>
        <w:t xml:space="preserve">Profil Pharmacologique :</w:t>
      </w:r>
      <w:r>
        <w:t xml:space="preserve"> </w:t>
      </w:r>
      <w:r>
        <w:t xml:space="preserve">- Indications :</w:t>
      </w:r>
      <w:r>
        <w:t xml:space="preserve"> </w:t>
      </w:r>
      <w:r>
        <w:t xml:space="preserve">-</w:t>
      </w:r>
      <w:r>
        <w:t xml:space="preserve"> </w:t>
      </w:r>
      <w:r>
        <w:rPr>
          <w:b/>
          <w:bCs/>
        </w:rPr>
        <w:t xml:space="preserve">Diarrhées bactériennes</w:t>
      </w:r>
      <w:r>
        <w:t xml:space="preserve"> </w:t>
      </w:r>
      <w:r>
        <w:t xml:space="preserve">à germes sensibles (Salmonella, Shigella, E. coli, Campylobacter) — traitement alternatif de 2e ligne.</w:t>
      </w:r>
      <w:r>
        <w:t xml:space="preserve"> </w:t>
      </w:r>
      <w:r>
        <w:t xml:space="preserve">-</w:t>
      </w:r>
      <w:r>
        <w:t xml:space="preserve"> </w:t>
      </w:r>
      <w:r>
        <w:rPr>
          <w:b/>
          <w:bCs/>
        </w:rPr>
        <w:t xml:space="preserve">Giardiose</w:t>
      </w:r>
      <w:r>
        <w:t xml:space="preserve"> </w:t>
      </w:r>
      <w:r>
        <w:t xml:space="preserve">(alternative au métronidazole).</w:t>
      </w:r>
      <w:r>
        <w:t xml:space="preserve"> </w:t>
      </w:r>
      <w:r>
        <w:t xml:space="preserve">-</w:t>
      </w:r>
      <w:r>
        <w:t xml:space="preserve"> </w:t>
      </w:r>
      <w:r>
        <w:rPr>
          <w:b/>
          <w:bCs/>
        </w:rPr>
        <w:t xml:space="preserve">Éradication Helicobacter pylori</w:t>
      </w:r>
      <w:r>
        <w:t xml:space="preserve"> </w:t>
      </w:r>
      <w:r>
        <w:t xml:space="preserve">(quadrithérapie classique : bismuth + tétracycline + métronidazole + IPM, ou alternative avec furazolidone dans pays en développement).</w:t>
      </w:r>
      <w:r>
        <w:t xml:space="preserve"> </w:t>
      </w:r>
      <w:r>
        <w:t xml:space="preserve">-</w:t>
      </w:r>
      <w:r>
        <w:t xml:space="preserve"> </w:t>
      </w:r>
      <w:r>
        <w:rPr>
          <w:b/>
          <w:bCs/>
        </w:rPr>
        <w:t xml:space="preserve">Choléra</w:t>
      </w:r>
      <w:r>
        <w:t xml:space="preserve"> </w:t>
      </w:r>
      <w:r>
        <w:t xml:space="preserve">(alternative).</w:t>
      </w:r>
      <w:r>
        <w:t xml:space="preserve"> </w:t>
      </w:r>
      <w:r>
        <w:t xml:space="preserve">- Contre-indications :</w:t>
      </w:r>
      <w:r>
        <w:t xml:space="preserve"> </w:t>
      </w:r>
      <w:r>
        <w:t xml:space="preserve">- Hypersensibilité aux nitrofuranes.</w:t>
      </w:r>
      <w:r>
        <w:t xml:space="preserve"> </w:t>
      </w:r>
      <w:r>
        <w:t xml:space="preserve">-</w:t>
      </w:r>
      <w:r>
        <w:t xml:space="preserve"> </w:t>
      </w:r>
      <w:r>
        <w:rPr>
          <w:b/>
          <w:bCs/>
        </w:rPr>
        <w:t xml:space="preserve">Déficit en G6PD</w:t>
      </w:r>
      <w:r>
        <w:t xml:space="preserve"> </w:t>
      </w:r>
      <w:r>
        <w:t xml:space="preserve">(hémolyse).</w:t>
      </w:r>
      <w:r>
        <w:t xml:space="preserve"> </w:t>
      </w:r>
      <w:r>
        <w:t xml:space="preserve">-</w:t>
      </w:r>
      <w:r>
        <w:t xml:space="preserve"> </w:t>
      </w:r>
      <w:r>
        <w:rPr>
          <w:b/>
          <w:bCs/>
        </w:rPr>
        <w:t xml:space="preserve">Grossesse (3e trimestre)</w:t>
      </w:r>
      <w:r>
        <w:t xml:space="preserve"> </w:t>
      </w:r>
      <w:r>
        <w:t xml:space="preserve">— hémolyse néonatale.</w:t>
      </w:r>
      <w:r>
        <w:t xml:space="preserve"> </w:t>
      </w:r>
      <w:r>
        <w:t xml:space="preserve">-</w:t>
      </w:r>
      <w:r>
        <w:t xml:space="preserve"> </w:t>
      </w:r>
      <w:r>
        <w:rPr>
          <w:b/>
          <w:bCs/>
        </w:rPr>
        <w:t xml:space="preserve">Nourrisson &lt; 1 mois</w:t>
      </w:r>
      <w:r>
        <w:t xml:space="preserve"> </w:t>
      </w:r>
      <w:r>
        <w:t xml:space="preserve">(hémolyse, anémie hémolytique du nouveau-né).</w:t>
      </w:r>
      <w:r>
        <w:t xml:space="preserve"> </w:t>
      </w:r>
      <w:r>
        <w:t xml:space="preserve">-</w:t>
      </w:r>
      <w:r>
        <w:t xml:space="preserve"> </w:t>
      </w:r>
      <w:r>
        <w:rPr>
          <w:b/>
          <w:bCs/>
        </w:rPr>
        <w:t xml:space="preserve">Insuffisance rénale sévère</w:t>
      </w:r>
      <w:r>
        <w:t xml:space="preserve">.</w:t>
      </w:r>
      <w:r>
        <w:t xml:space="preserve"> </w:t>
      </w:r>
      <w:r>
        <w:t xml:space="preserve">-</w:t>
      </w:r>
      <w:r>
        <w:t xml:space="preserve"> </w:t>
      </w:r>
      <w:r>
        <w:rPr>
          <w:b/>
          <w:bCs/>
        </w:rPr>
        <w:t xml:space="preserve">Porphyrie</w:t>
      </w:r>
      <w:r>
        <w:t xml:space="preserve">.</w:t>
      </w:r>
      <w:r>
        <w:t xml:space="preserve"> </w:t>
      </w:r>
      <w:r>
        <w:t xml:space="preserve">- Association avec</w:t>
      </w:r>
      <w:r>
        <w:t xml:space="preserve"> </w:t>
      </w:r>
      <w:r>
        <w:rPr>
          <w:b/>
          <w:bCs/>
        </w:rPr>
        <w:t xml:space="preserve">IMAO</w:t>
      </w:r>
      <w:r>
        <w:t xml:space="preserve">,</w:t>
      </w:r>
      <w:r>
        <w:t xml:space="preserve"> </w:t>
      </w:r>
      <w:r>
        <w:rPr>
          <w:b/>
          <w:bCs/>
        </w:rPr>
        <w:t xml:space="preserve">sympathomimétiques</w:t>
      </w:r>
      <w:r>
        <w:t xml:space="preserve">,</w:t>
      </w:r>
      <w:r>
        <w:t xml:space="preserve"> </w:t>
      </w:r>
      <w:r>
        <w:rPr>
          <w:b/>
          <w:bCs/>
        </w:rPr>
        <w:t xml:space="preserve">aliments riches en tyramine</w:t>
      </w:r>
      <w:r>
        <w:t xml:space="preserve"> </w:t>
      </w:r>
      <w:r>
        <w:t xml:space="preserve">(fromages fermentés, choucroute, vin rouge, bière, foie de poulet) — risque de crise hypertensive (inhibition MAO).</w:t>
      </w:r>
      <w:r>
        <w:t xml:space="preserve"> </w:t>
      </w:r>
      <w:r>
        <w:t xml:space="preserve">- Association avec</w:t>
      </w:r>
      <w:r>
        <w:t xml:space="preserve"> </w:t>
      </w:r>
      <w:r>
        <w:rPr>
          <w:b/>
          <w:bCs/>
        </w:rPr>
        <w:t xml:space="preserve">alcool</w:t>
      </w:r>
      <w:r>
        <w:t xml:space="preserve"> </w:t>
      </w:r>
      <w:r>
        <w:t xml:space="preserve">(effet antabuse — rare mais décrit).</w:t>
      </w:r>
      <w:r>
        <w:t xml:space="preserve"> </w:t>
      </w:r>
      <w:r>
        <w:t xml:space="preserve">- Effets Indésirables :</w:t>
      </w:r>
      <w:r>
        <w:t xml:space="preserve"> </w:t>
      </w:r>
      <w:r>
        <w:t xml:space="preserve">-</w:t>
      </w:r>
      <w:r>
        <w:t xml:space="preserve"> </w:t>
      </w:r>
      <w:r>
        <w:rPr>
          <w:b/>
          <w:bCs/>
        </w:rPr>
        <w:t xml:space="preserve">Gastro-intestinaux</w:t>
      </w:r>
      <w:r>
        <w:t xml:space="preserve"> </w:t>
      </w:r>
      <w:r>
        <w:t xml:space="preserve">: nausées, vomissements, diarrhée paradoxale, anorexie.</w:t>
      </w:r>
      <w:r>
        <w:t xml:space="preserve"> </w:t>
      </w:r>
      <w:r>
        <w:t xml:space="preserve">-</w:t>
      </w:r>
      <w:r>
        <w:t xml:space="preserve"> </w:t>
      </w:r>
      <w:r>
        <w:rPr>
          <w:b/>
          <w:bCs/>
        </w:rPr>
        <w:t xml:space="preserve">Allergiques</w:t>
      </w:r>
      <w:r>
        <w:t xml:space="preserve"> </w:t>
      </w:r>
      <w:r>
        <w:t xml:space="preserve">: rash, urticaire, œdème de Quincke ; pneumopathie d’hypersensibilité (rare).</w:t>
      </w:r>
      <w:r>
        <w:t xml:space="preserve"> </w:t>
      </w:r>
      <w:r>
        <w:t xml:space="preserve">-</w:t>
      </w:r>
      <w:r>
        <w:t xml:space="preserve"> </w:t>
      </w:r>
      <w:r>
        <w:rPr>
          <w:b/>
          <w:bCs/>
        </w:rPr>
        <w:t xml:space="preserve">Hématologiques</w:t>
      </w:r>
      <w:r>
        <w:t xml:space="preserve"> </w:t>
      </w:r>
      <w:r>
        <w:t xml:space="preserve">: hémolyse (G6PD), anémie hémolytique du nouveau-né (3e trimestre), leucopénie, agranulocytose (rare).</w:t>
      </w:r>
      <w:r>
        <w:t xml:space="preserve"> </w:t>
      </w:r>
      <w:r>
        <w:t xml:space="preserve">-</w:t>
      </w:r>
      <w:r>
        <w:t xml:space="preserve"> </w:t>
      </w:r>
      <w:r>
        <w:rPr>
          <w:b/>
          <w:bCs/>
        </w:rPr>
        <w:t xml:space="preserve">Hépatiques</w:t>
      </w:r>
      <w:r>
        <w:t xml:space="preserve"> </w:t>
      </w:r>
      <w:r>
        <w:t xml:space="preserve">: hépatite cytolytique (rare).</w:t>
      </w:r>
      <w:r>
        <w:t xml:space="preserve"> </w:t>
      </w:r>
      <w:r>
        <w:t xml:space="preserve">-</w:t>
      </w:r>
      <w:r>
        <w:t xml:space="preserve"> </w:t>
      </w:r>
      <w:r>
        <w:rPr>
          <w:b/>
          <w:bCs/>
        </w:rPr>
        <w:t xml:space="preserve">Neurologiques</w:t>
      </w:r>
      <w:r>
        <w:t xml:space="preserve"> </w:t>
      </w:r>
      <w:r>
        <w:t xml:space="preserve">: céphalées, vertiges.</w:t>
      </w:r>
      <w:r>
        <w:t xml:space="preserve"> </w:t>
      </w:r>
      <w:r>
        <w:t xml:space="preserve">-</w:t>
      </w:r>
      <w:r>
        <w:t xml:space="preserve"> </w:t>
      </w:r>
      <w:r>
        <w:rPr>
          <w:b/>
          <w:bCs/>
        </w:rPr>
        <w:t xml:space="preserve">Endocriniens</w:t>
      </w:r>
      <w:r>
        <w:t xml:space="preserve"> </w:t>
      </w:r>
      <w:r>
        <w:t xml:space="preserve">: hypoglycémie (rare).</w:t>
      </w:r>
      <w:r>
        <w:t xml:space="preserve"> </w:t>
      </w:r>
      <w:r>
        <w:t xml:space="preserve">-</w:t>
      </w:r>
      <w:r>
        <w:t xml:space="preserve"> </w:t>
      </w:r>
      <w:r>
        <w:rPr>
          <w:b/>
          <w:bCs/>
        </w:rPr>
        <w:t xml:space="preserve">Coloration des urines</w:t>
      </w:r>
      <w:r>
        <w:t xml:space="preserve"> </w:t>
      </w:r>
      <w:r>
        <w:t xml:space="preserve">en jaune-brun (molécule chromogène).</w:t>
      </w:r>
      <w:r>
        <w:t xml:space="preserve"> </w:t>
      </w:r>
      <w:r>
        <w:t xml:space="preserve">-</w:t>
      </w:r>
      <w:r>
        <w:t xml:space="preserve"> </w:t>
      </w:r>
      <w:r>
        <w:rPr>
          <w:b/>
          <w:bCs/>
        </w:rPr>
        <w:t xml:space="preserve">Effet Antabuse</w:t>
      </w:r>
      <w:r>
        <w:t xml:space="preserve"> </w:t>
      </w:r>
      <w:r>
        <w:t xml:space="preserve">(avec alcool) — rare.</w:t>
      </w:r>
      <w:r>
        <w:t xml:space="preserve"> </w:t>
      </w:r>
      <w:r>
        <w:t xml:space="preserve">-</w:t>
      </w:r>
      <w:r>
        <w:t xml:space="preserve"> </w:t>
      </w:r>
      <w:r>
        <w:rPr>
          <w:b/>
          <w:bCs/>
        </w:rPr>
        <w:t xml:space="preserve">Effet hypertensif</w:t>
      </w:r>
      <w:r>
        <w:t xml:space="preserve"> </w:t>
      </w:r>
      <w:r>
        <w:t xml:space="preserve">(avec tyramine / sympathomimétiques) par inhibition MAO.</w:t>
      </w:r>
    </w:p>
    <w:p>
      <w:pPr>
        <w:pStyle w:val="BodyText"/>
      </w:pPr>
      <w:r>
        <w:rPr>
          <w:b/>
          <w:bCs/>
        </w:rPr>
        <w:t xml:space="preserve">Prévention et Gestion des Effets Indésirables :</w:t>
      </w:r>
      <w:r>
        <w:t xml:space="preserve"> </w:t>
      </w:r>
      <w:r>
        <w:t xml:space="preserve">- Mesures Préventives :</w:t>
      </w:r>
      <w:r>
        <w:t xml:space="preserve"> </w:t>
      </w:r>
      <w:r>
        <w:t xml:space="preserve">-</w:t>
      </w:r>
      <w:r>
        <w:t xml:space="preserve"> </w:t>
      </w:r>
      <w:r>
        <w:rPr>
          <w:b/>
          <w:bCs/>
        </w:rPr>
        <w:t xml:space="preserve">Régime pauvre en tyramine</w:t>
      </w:r>
      <w:r>
        <w:t xml:space="preserve"> </w:t>
      </w:r>
      <w:r>
        <w:t xml:space="preserve">pendant le traitement (pas de fromages fermentés, choucroute, vin rouge, bière, foie de poulet, sauce soja).</w:t>
      </w:r>
      <w:r>
        <w:t xml:space="preserve"> </w:t>
      </w:r>
      <w:r>
        <w:t xml:space="preserve">- Éviction d’alcool pendant et 4 jours après.</w:t>
      </w:r>
      <w:r>
        <w:t xml:space="preserve"> </w:t>
      </w:r>
      <w:r>
        <w:t xml:space="preserve">- Dépistage G6PD avant prescription si patient à risque.</w:t>
      </w:r>
      <w:r>
        <w:t xml:space="preserve"> </w:t>
      </w:r>
      <w:r>
        <w:t xml:space="preserve">- Conduite à Tenir :</w:t>
      </w:r>
      <w:r>
        <w:t xml:space="preserve"> </w:t>
      </w:r>
      <w:r>
        <w:t xml:space="preserve">- Arrêt en cas de rash, fièvre, dyspnée, signes hémolyse (ictère, urines foncées).</w:t>
      </w:r>
    </w:p>
    <w:p>
      <w:pPr>
        <w:pStyle w:val="BodyText"/>
      </w:pPr>
      <w:r>
        <w:rPr>
          <w:b/>
          <w:bCs/>
        </w:rPr>
        <w:t xml:space="preserve">Interactions Importantes :</w:t>
      </w:r>
      <w:r>
        <w:t xml:space="preserve"> </w:t>
      </w:r>
      <w:r>
        <w:t xml:space="preserve">-</w:t>
      </w:r>
      <w:r>
        <w:t xml:space="preserve"> </w:t>
      </w:r>
      <w:r>
        <w:rPr>
          <w:b/>
          <w:bCs/>
        </w:rPr>
        <w:t xml:space="preserve">Furazolidone + IMAO</w:t>
      </w:r>
      <w:r>
        <w:t xml:space="preserve"> </w:t>
      </w:r>
      <w:r>
        <w:t xml:space="preserve">: CI absolue (inhibition MAO additive → crise hypertensive, syndrome sérotoninergique).</w:t>
      </w:r>
      <w:r>
        <w:t xml:space="preserve"> </w:t>
      </w:r>
      <w:r>
        <w:t xml:space="preserve">-</w:t>
      </w:r>
      <w:r>
        <w:t xml:space="preserve"> </w:t>
      </w:r>
      <w:r>
        <w:rPr>
          <w:b/>
          <w:bCs/>
        </w:rPr>
        <w:t xml:space="preserve">Furazolidone + sympathomimétiques</w:t>
      </w:r>
      <w:r>
        <w:t xml:space="preserve"> </w:t>
      </w:r>
      <w:r>
        <w:t xml:space="preserve">(pseudoéphédrine, éphédrine, phényléphrine) : crise hypertensive.</w:t>
      </w:r>
      <w:r>
        <w:t xml:space="preserve"> </w:t>
      </w:r>
      <w:r>
        <w:t xml:space="preserve">-</w:t>
      </w:r>
      <w:r>
        <w:t xml:space="preserve"> </w:t>
      </w:r>
      <w:r>
        <w:rPr>
          <w:b/>
          <w:bCs/>
        </w:rPr>
        <w:t xml:space="preserve">Furazolidone + aliments riches en tyramine</w:t>
      </w:r>
      <w:r>
        <w:t xml:space="preserve"> </w:t>
      </w:r>
      <w:r>
        <w:t xml:space="preserve">(fromages fermentés, choucroute, vin rouge, bière, foie de poulet) : crise hypertensive.</w:t>
      </w:r>
      <w:r>
        <w:t xml:space="preserve"> </w:t>
      </w:r>
      <w:r>
        <w:t xml:space="preserve">-</w:t>
      </w:r>
      <w:r>
        <w:t xml:space="preserve"> </w:t>
      </w:r>
      <w:r>
        <w:rPr>
          <w:b/>
          <w:bCs/>
        </w:rPr>
        <w:t xml:space="preserve">Furazolidone + antidépresseurs tricycliques, IRS</w:t>
      </w:r>
      <w:r>
        <w:t xml:space="preserve"> </w:t>
      </w:r>
      <w:r>
        <w:t xml:space="preserve">: syndrome sérotoninergique (inhibition MAO + recapture sérotonine).</w:t>
      </w:r>
      <w:r>
        <w:t xml:space="preserve"> </w:t>
      </w:r>
      <w:r>
        <w:t xml:space="preserve">-</w:t>
      </w:r>
      <w:r>
        <w:t xml:space="preserve"> </w:t>
      </w:r>
      <w:r>
        <w:rPr>
          <w:b/>
          <w:bCs/>
        </w:rPr>
        <w:t xml:space="preserve">Furazolidone + alcool</w:t>
      </w:r>
      <w:r>
        <w:t xml:space="preserve"> </w:t>
      </w:r>
      <w:r>
        <w:t xml:space="preserve">: effet Antabuse.</w:t>
      </w:r>
      <w:r>
        <w:t xml:space="preserve"> </w:t>
      </w:r>
      <w:r>
        <w:t xml:space="preserve">-</w:t>
      </w:r>
      <w:r>
        <w:t xml:space="preserve"> </w:t>
      </w:r>
      <w:r>
        <w:rPr>
          <w:b/>
          <w:bCs/>
        </w:rPr>
        <w:t xml:space="preserve">Furazolidone + insuline / sulfamides hypoglycémiants</w:t>
      </w:r>
      <w:r>
        <w:t xml:space="preserve"> </w:t>
      </w:r>
      <w:r>
        <w:t xml:space="preserve">: potentialisation hypoglycémie.</w:t>
      </w:r>
    </w:p>
    <w:p>
      <w:pPr>
        <w:pStyle w:val="BodyText"/>
      </w:pPr>
      <w:r>
        <w:rPr>
          <w:b/>
          <w:bCs/>
        </w:rPr>
        <w:t xml:space="preserve">Grossesse et Allaitement :</w:t>
      </w:r>
      <w:r>
        <w:t xml:space="preserve"> </w:t>
      </w:r>
      <w:r>
        <w:t xml:space="preserve">- Grossesse : 3e trimestre CI absolue (hémolyse fœtale). 1er et 2e trimestres à éviter par prudence.</w:t>
      </w:r>
      <w:r>
        <w:t xml:space="preserve"> </w:t>
      </w:r>
      <w:r>
        <w:t xml:space="preserve">- Allaitement : à éviter (passage dans le lait, hémolyse si G6PD).</w:t>
      </w:r>
    </w:p>
    <w:p>
      <w:pPr>
        <w:pStyle w:val="BodyText"/>
      </w:pPr>
      <w:r>
        <w:rPr>
          <w:b/>
          <w:bCs/>
        </w:rPr>
        <w:t xml:space="preserve">Posologie et Mode d’administration (Standard) :</w:t>
      </w:r>
      <w:r>
        <w:t xml:space="preserve"> </w:t>
      </w:r>
      <w:r>
        <w:t xml:space="preserve">- Adulte :</w:t>
      </w:r>
      <w:r>
        <w:t xml:space="preserve"> </w:t>
      </w:r>
      <w:r>
        <w:t xml:space="preserve">- Diarrhée bactérienne : 100 mg × 4/j PO pendant 5-7 jours.</w:t>
      </w:r>
      <w:r>
        <w:t xml:space="preserve"> </w:t>
      </w:r>
      <w:r>
        <w:t xml:space="preserve">- Giardiose : 100 mg × 4/j × 7-10 j (alternative : métronidazole 2 g monodose).</w:t>
      </w:r>
      <w:r>
        <w:t xml:space="preserve"> </w:t>
      </w:r>
      <w:r>
        <w:t xml:space="preserve">- Helicobacter pylori : 100 mg × 4/j × 7 j (en quadrithérapie).</w:t>
      </w:r>
      <w:r>
        <w:t xml:space="preserve"> </w:t>
      </w:r>
      <w:r>
        <w:t xml:space="preserve">- Enfant &gt; 1 mois : 1,25 mg/kg × 4/j.</w:t>
      </w:r>
      <w:r>
        <w:t xml:space="preserve"> </w:t>
      </w:r>
      <w:r>
        <w:t xml:space="preserve">- Mode d’administration : PO pendant les repas, hydratation abondante.</w:t>
      </w:r>
    </w:p>
    <w:p>
      <w:pPr>
        <w:pStyle w:val="BodyText"/>
      </w:pPr>
      <w:r>
        <w:rPr>
          <w:b/>
          <w:bCs/>
        </w:rPr>
        <w:t xml:space="preserve">Arbitrage et Bénéfices des Formes Galéniques :</w:t>
      </w:r>
      <w:r>
        <w:t xml:space="preserve"> </w:t>
      </w:r>
      <w:r>
        <w:t xml:space="preserve">- Susp buv (3,44 mg/mL) : pédiatrie.</w:t>
      </w:r>
      <w:r>
        <w:t xml:space="preserve"> </w:t>
      </w:r>
      <w:r>
        <w:t xml:space="preserve">- Comprimé 100 mg : adulte.</w:t>
      </w:r>
      <w:r>
        <w:t xml:space="preserve"> </w:t>
      </w:r>
      <w:r>
        <w:t xml:space="preserve">- Aujourd’hui non disponible en Algérie → alternatives : nifuroxazide (diarrhée bactérienne), métronidazole (giardiose, H. pylori), amoxicilline + clarithromycine + IPP (H. pylori).</w:t>
      </w:r>
    </w:p>
    <w:p>
      <w:pPr>
        <w:pStyle w:val="BodyText"/>
      </w:pPr>
      <w:r>
        <w:rPr>
          <w:b/>
          <w:bCs/>
        </w:rPr>
        <w:t xml:space="preserve">Instructions et Conseils au Patient :</w:t>
      </w:r>
      <w:r>
        <w:t xml:space="preserve"> </w:t>
      </w:r>
      <w:r>
        <w:t xml:space="preserve">- Communication au comptoir :</w:t>
      </w:r>
      <w:r>
        <w:t xml:space="preserve"> </w:t>
      </w:r>
      <w:r>
        <w:t xml:space="preserve">- « Évitez les fromages fermentés, la choucroute, le vin rouge, la bière et le foie de poulet pendant le traitement ».</w:t>
      </w:r>
      <w:r>
        <w:t xml:space="preserve"> </w:t>
      </w:r>
      <w:r>
        <w:t xml:space="preserve">- « Pas d’alcool pendant le traitement et 4 jours après ».</w:t>
      </w:r>
      <w:r>
        <w:t xml:space="preserve"> </w:t>
      </w:r>
      <w:r>
        <w:t xml:space="preserve">- « Vos urines peuvent devenir jaune-brun : c’est normal ».</w:t>
      </w:r>
      <w:r>
        <w:t xml:space="preserve"> </w:t>
      </w:r>
      <w:r>
        <w:t xml:space="preserve">- Mode d’utilisation pratique : hydratation abondante, prise régulière pendant 5-7 jours.</w:t>
      </w:r>
    </w:p>
    <w:p>
      <w:pPr>
        <w:pStyle w:val="BodyText"/>
      </w:pPr>
      <w:r>
        <w:rPr>
          <w:b/>
          <w:bCs/>
        </w:rPr>
        <w:t xml:space="preserve">Notes, Règles d’Or &amp; Pièges au Comptoir :</w:t>
      </w:r>
      <w:r>
        <w:t xml:space="preserve"> </w:t>
      </w:r>
      <w:r>
        <w:t xml:space="preserve">-</w:t>
      </w:r>
      <w:r>
        <w:t xml:space="preserve"> </w:t>
      </w:r>
      <w:r>
        <w:rPr>
          <w:b/>
          <w:bCs/>
        </w:rPr>
        <w:t xml:space="preserve">Piège classique — Régime hypotyraminique</w:t>
      </w:r>
      <w:r>
        <w:t xml:space="preserve"> </w:t>
      </w:r>
      <w:r>
        <w:t xml:space="preserve">: à transmettre au patient (effet hypertensif).</w:t>
      </w:r>
      <w:r>
        <w:t xml:space="preserve"> </w:t>
      </w:r>
      <w:r>
        <w:t xml:space="preserve">-</w:t>
      </w:r>
      <w:r>
        <w:t xml:space="preserve"> </w:t>
      </w:r>
      <w:r>
        <w:rPr>
          <w:b/>
          <w:bCs/>
        </w:rPr>
        <w:t xml:space="preserve">Piège classique — G6PD</w:t>
      </w:r>
      <w:r>
        <w:t xml:space="preserve"> </w:t>
      </w:r>
      <w:r>
        <w:t xml:space="preserve">: dépistage si risque.</w:t>
      </w:r>
      <w:r>
        <w:t xml:space="preserve"> </w:t>
      </w:r>
      <w:r>
        <w:t xml:space="preserve">-</w:t>
      </w:r>
      <w:r>
        <w:t xml:space="preserve"> </w:t>
      </w:r>
      <w:r>
        <w:rPr>
          <w:b/>
          <w:bCs/>
        </w:rPr>
        <w:t xml:space="preserve">Piège classique — Disponibilité</w:t>
      </w:r>
      <w:r>
        <w:t xml:space="preserve"> </w:t>
      </w:r>
      <w:r>
        <w:t xml:space="preserve">: produit non renouvelable / retiré en Algérie → orienter vers alternatives.</w:t>
      </w:r>
      <w:r>
        <w:t xml:space="preserve"> </w:t>
      </w:r>
      <w:r>
        <w:t xml:space="preserve">-</w:t>
      </w:r>
      <w:r>
        <w:t xml:space="preserve"> </w:t>
      </w:r>
      <w:r>
        <w:rPr>
          <w:b/>
          <w:bCs/>
        </w:rPr>
        <w:t xml:space="preserve">Règle de prise</w:t>
      </w:r>
      <w:r>
        <w:t xml:space="preserve"> </w:t>
      </w:r>
      <w:r>
        <w:t xml:space="preserve">: PO pendant repas, hydratation, régime hypotyraminique.</w:t>
      </w:r>
      <w:r>
        <w:t xml:space="preserve"> </w:t>
      </w:r>
      <w:r>
        <w:t xml:space="preserve">-</w:t>
      </w:r>
      <w:r>
        <w:t xml:space="preserve"> </w:t>
      </w:r>
      <w:r>
        <w:rPr>
          <w:b/>
          <w:bCs/>
        </w:rPr>
        <w:t xml:space="preserve">Préparation et Conservation</w:t>
      </w:r>
      <w:r>
        <w:t xml:space="preserve"> </w:t>
      </w:r>
      <w:r>
        <w:t xml:space="preserve">: susp buv reconstituée ≤ 14 j au réfrigérateur.</w:t>
      </w:r>
      <w:r>
        <w:t xml:space="preserve"> </w:t>
      </w:r>
      <w:r>
        <w:t xml:space="preserve">-</w:t>
      </w:r>
      <w:r>
        <w:t xml:space="preserve"> </w:t>
      </w:r>
      <w:r>
        <w:rPr>
          <w:b/>
          <w:bCs/>
        </w:rPr>
        <w:t xml:space="preserve">Piège du surdosage / Substitution</w:t>
      </w:r>
      <w:r>
        <w:t xml:space="preserve"> </w:t>
      </w:r>
      <w:r>
        <w:t xml:space="preserve">:</w:t>
      </w:r>
      <w:r>
        <w:t xml:space="preserve"> </w:t>
      </w:r>
      <w:r>
        <w:t xml:space="preserve">- Substitution furazolidone → nifuroxazide (diarrhée bactérienne) ou métronidazole (giardiose) : possible mais adapter schéma.</w:t>
      </w:r>
      <w:r>
        <w:t xml:space="preserve"> </w:t>
      </w:r>
      <w:r>
        <w:t xml:space="preserve">- Substitution quadrithérapie H. pylori avec furazolidone → trithérapie classique (amoxicilline + clarithromycine + IPP).</w:t>
      </w:r>
    </w:p>
    <w:p>
      <w:r>
        <w:pict>
          <v:rect style="width:0;height:1.5pt" o:hralign="center" o:hrstd="t" o:hr="t"/>
        </w:pict>
      </w:r>
    </w:p>
    <w:bookmarkEnd w:id="187"/>
    <w:bookmarkStart w:id="188" w:name="dci-nifuroxazide-seule"/>
    <w:p>
      <w:pPr>
        <w:pStyle w:val="Heading3"/>
      </w:pPr>
      <w:r>
        <w:t xml:space="preserve">6.4.3. DCI : Nifuroxazide (Seule)</w:t>
      </w:r>
    </w:p>
    <w:p>
      <w:pPr>
        <w:pStyle w:val="FirstParagraph"/>
      </w:pPr>
      <w:r>
        <w:rPr>
          <w:b/>
          <w:bCs/>
        </w:rPr>
        <w:t xml:space="preserve">Liste des Catégories :</w:t>
      </w:r>
      <w:r>
        <w:t xml:space="preserve"> </w:t>
      </w:r>
      <w:r>
        <w:t xml:space="preserve">Antibiotique ; Antibactérien intestinal ; Nitrofurane ; Antidiarrhéique bactéricide ; P02CV01 / A07AX06.</w:t>
      </w:r>
    </w:p>
    <w:p>
      <w:pPr>
        <w:pStyle w:val="BodyText"/>
      </w:pPr>
      <w:r>
        <w:t xml:space="preserve">Le nifuroxazide est le nitrofurane intestinal le plus prescrit en Algérie, indiqué dans le traitement des</w:t>
      </w:r>
      <w:r>
        <w:t xml:space="preserve"> </w:t>
      </w:r>
      <w:r>
        <w:rPr>
          <w:b/>
          <w:bCs/>
        </w:rPr>
        <w:t xml:space="preserve">diarrhées aiguës bactériennes</w:t>
      </w:r>
      <w:r>
        <w:t xml:space="preserve"> </w:t>
      </w:r>
      <w:r>
        <w:t xml:space="preserve">présumées à germes sensibles (E. coli, Salmonella, Shigella, Campylobacter). Sa très faible absorption digestive (&lt; 5 %) lui confère une action</w:t>
      </w:r>
      <w:r>
        <w:t xml:space="preserve"> </w:t>
      </w:r>
      <w:r>
        <w:rPr>
          <w:b/>
          <w:bCs/>
        </w:rPr>
        <w:t xml:space="preserve">locale intestinale</w:t>
      </w:r>
      <w:r>
        <w:t xml:space="preserve"> </w:t>
      </w:r>
      <w:r>
        <w:t xml:space="preserve">avec peu d’EI systémiques. Sa disponibilité en automédication (Liste II pour certaines marques) en fait un produit de comptoir fréquent, nécessitant un conseil pharmaceutique clair : la</w:t>
      </w:r>
      <w:r>
        <w:t xml:space="preserve"> </w:t>
      </w:r>
      <w:r>
        <w:rPr>
          <w:b/>
          <w:bCs/>
        </w:rPr>
        <w:t xml:space="preserve">réhydratation orale reste le pilier du traitement</w:t>
      </w:r>
      <w:r>
        <w:t xml:space="preserve"> </w:t>
      </w:r>
      <w:r>
        <w:t xml:space="preserve">des diarrhées aiguës, et l’antibiothérapie n’est indiquée qu’en cas de diarrhée persistante, dysentérique (sang, glaires, fièvre), ou terrain à risque. Trois marques sont actuellement actives en Algérie : DYSENTYL (Merinal), NIFUROXAZIDE PHYSIOPHARM (Physiopharm), XEFURYL (Biogalenic).</w:t>
      </w:r>
    </w:p>
    <w:p>
      <w:pPr>
        <w:pStyle w:val="BodyText"/>
      </w:pPr>
      <w:r>
        <w:rPr>
          <w:b/>
          <w:bCs/>
        </w:rPr>
        <w:t xml:space="preserve">Médicaments disponibles en Algérie (Marques, Laboratoires, Formes et Dosages) :</w:t>
      </w:r>
    </w:p>
    <w:p>
      <w:pPr>
        <w:pStyle w:val="BodyText"/>
      </w:pPr>
      <w:r>
        <w:rPr>
          <w:i/>
          <w:iCs/>
        </w:rPr>
        <w:t xml:space="preserve">Spécialités actives :</w:t>
      </w:r>
      <w:r>
        <w:t xml:space="preserve"> </w:t>
      </w:r>
      <w:r>
        <w:t xml:space="preserve">-</w:t>
      </w:r>
      <w:r>
        <w:t xml:space="preserve"> </w:t>
      </w:r>
      <w:r>
        <w:rPr>
          <w:b/>
          <w:bCs/>
        </w:rPr>
        <w:t xml:space="preserve">DYSENTYL</w:t>
      </w:r>
      <w:r>
        <w:t xml:space="preserve"> </w:t>
      </w:r>
      <w:r>
        <w:t xml:space="preserve">(LABORATOIRES MERINAL)</w:t>
      </w:r>
      <w:r>
        <w:t xml:space="preserve"> </w:t>
      </w:r>
      <w:r>
        <w:t xml:space="preserve">- Forme et Dosage : Gélule 200 mg (B/30)</w:t>
      </w:r>
      <w:r>
        <w:t xml:space="preserve"> </w:t>
      </w:r>
      <w:r>
        <w:t xml:space="preserve">- Liste : Liste I</w:t>
      </w:r>
      <w:r>
        <w:t xml:space="preserve"> </w:t>
      </w:r>
      <w:r>
        <w:t xml:space="preserve">- Statut : Actif</w:t>
      </w:r>
      <w:r>
        <w:t xml:space="preserve"> </w:t>
      </w:r>
      <w:r>
        <w:t xml:space="preserve">-</w:t>
      </w:r>
      <w:r>
        <w:t xml:space="preserve"> </w:t>
      </w:r>
      <w:r>
        <w:rPr>
          <w:b/>
          <w:bCs/>
        </w:rPr>
        <w:t xml:space="preserve">NIFUROXAZIDE PHYSIOPHARM</w:t>
      </w:r>
      <w:r>
        <w:t xml:space="preserve"> </w:t>
      </w:r>
      <w:r>
        <w:t xml:space="preserve">(PHYSIOPHARM LABORATOIRES)</w:t>
      </w:r>
      <w:r>
        <w:t xml:space="preserve"> </w:t>
      </w:r>
      <w:r>
        <w:t xml:space="preserve">- Forme et Dosage : Gélule 200 mg (B/30)</w:t>
      </w:r>
      <w:r>
        <w:t xml:space="preserve"> </w:t>
      </w:r>
      <w:r>
        <w:t xml:space="preserve">- Liste : Liste I</w:t>
      </w:r>
      <w:r>
        <w:t xml:space="preserve"> </w:t>
      </w:r>
      <w:r>
        <w:t xml:space="preserve">- Statut : Actif</w:t>
      </w:r>
      <w:r>
        <w:t xml:space="preserve"> </w:t>
      </w:r>
      <w:r>
        <w:t xml:space="preserve">-</w:t>
      </w:r>
      <w:r>
        <w:t xml:space="preserve"> </w:t>
      </w:r>
      <w:r>
        <w:rPr>
          <w:b/>
          <w:bCs/>
        </w:rPr>
        <w:t xml:space="preserve">XEFURYL</w:t>
      </w:r>
      <w:r>
        <w:t xml:space="preserve"> </w:t>
      </w:r>
      <w:r>
        <w:t xml:space="preserve">(BIOGALENIC)</w:t>
      </w:r>
      <w:r>
        <w:t xml:space="preserve"> </w:t>
      </w:r>
      <w:r>
        <w:t xml:space="preserve">- Forme et Dosage : Gélule 200 mg (B/28)</w:t>
      </w:r>
      <w:r>
        <w:t xml:space="preserve"> </w:t>
      </w:r>
      <w:r>
        <w:t xml:space="preserve">- Liste : Liste II</w:t>
      </w:r>
      <w:r>
        <w:t xml:space="preserve"> </w:t>
      </w:r>
      <w:r>
        <w:t xml:space="preserve">- Statut : Actif</w:t>
      </w:r>
    </w:p>
    <w:p>
      <w:pPr>
        <w:pStyle w:val="BodyText"/>
      </w:pPr>
      <w:r>
        <w:rPr>
          <w:i/>
          <w:iCs/>
        </w:rPr>
        <w:t xml:space="preserve">Spécialités non renouvelables :</w:t>
      </w:r>
      <w:r>
        <w:t xml:space="preserve"> </w:t>
      </w:r>
      <w:r>
        <w:t xml:space="preserve">-</w:t>
      </w:r>
      <w:r>
        <w:t xml:space="preserve"> </w:t>
      </w:r>
      <w:r>
        <w:rPr>
          <w:b/>
          <w:bCs/>
        </w:rPr>
        <w:t xml:space="preserve">NIFUROXAZIDE IVAL</w:t>
      </w:r>
      <w:r>
        <w:t xml:space="preserve"> </w:t>
      </w:r>
      <w:r>
        <w:t xml:space="preserve">(PHARMA IVAL) — Gélules 200 mg (B/30) — Liste II — Non Renouvelable</w:t>
      </w:r>
    </w:p>
    <w:p>
      <w:pPr>
        <w:pStyle w:val="BodyText"/>
      </w:pPr>
      <w:r>
        <w:rPr>
          <w:i/>
          <w:iCs/>
        </w:rPr>
        <w:t xml:space="preserve">Spécialités retirées (R) — à connaître pour pharmacovigilance historique :</w:t>
      </w:r>
      <w:r>
        <w:t xml:space="preserve"> </w:t>
      </w:r>
      <w:r>
        <w:t xml:space="preserve">- ERCEFURYL 100 mg (SYNTHELABO) — Gélules 100 mg (B/30) — Retiré</w:t>
      </w:r>
      <w:r>
        <w:t xml:space="preserve"> </w:t>
      </w:r>
      <w:r>
        <w:t xml:space="preserve">- ERCEFURYL 200 mg (SANOFI SYNTHELABO) — Gélules 200 mg (B/28) — Retiré</w:t>
      </w:r>
      <w:r>
        <w:t xml:space="preserve"> </w:t>
      </w:r>
      <w:r>
        <w:t xml:space="preserve">- SEPTINAL 100 mg et 200 mg (GALENICA) — Retiré</w:t>
      </w:r>
      <w:r>
        <w:t xml:space="preserve"> </w:t>
      </w:r>
      <w:r>
        <w:t xml:space="preserve">- DIAFURYL 100 mg (CUKUROVA DIS TICARET AS) — Retiré</w:t>
      </w:r>
      <w:r>
        <w:t xml:space="preserve"> </w:t>
      </w:r>
      <w:r>
        <w:t xml:space="preserve">- NIFUR RATIOPHARM 100 mg et 200 mg (LAFON RATIOPHARM) — Retiré</w:t>
      </w:r>
      <w:r>
        <w:t xml:space="preserve"> </w:t>
      </w:r>
      <w:r>
        <w:t xml:space="preserve">- NOVAFURYL 200 mg (NOVA ARGENTIA) — Retiré</w:t>
      </w:r>
      <w:r>
        <w:t xml:space="preserve"> </w:t>
      </w:r>
      <w:r>
        <w:t xml:space="preserve">- PANFUREX 200 mg et susp (BOUCHARA-RECORDATI) — Retiré</w:t>
      </w:r>
      <w:r>
        <w:t xml:space="preserve"> </w:t>
      </w:r>
      <w:r>
        <w:t xml:space="preserve">- NIFUROZID 200 mg (SOLUPHARM) — Retiré</w:t>
      </w:r>
      <w:r>
        <w:t xml:space="preserve"> </w:t>
      </w:r>
      <w:r>
        <w:t xml:space="preserve">- NIFROZID 200 mg et susp (COOPER) — Retiré</w:t>
      </w:r>
      <w:r>
        <w:t xml:space="preserve"> </w:t>
      </w:r>
      <w:r>
        <w:t xml:space="preserve">- NIFUROXAZIDE RIVO susp (RIVOPHARM) — Retiré</w:t>
      </w:r>
      <w:r>
        <w:t xml:space="preserve"> </w:t>
      </w:r>
      <w:r>
        <w:t xml:space="preserve">- ERCEFURYL susp 220 mg/5 mL (SYNTHELABO) — Retiré</w:t>
      </w:r>
      <w:r>
        <w:t xml:space="preserve"> </w:t>
      </w:r>
      <w:r>
        <w:t xml:space="preserve">- NIFUROXAZIDE LPA susp 220 mg/5 mL (LPA) — Retiré</w:t>
      </w:r>
      <w:r>
        <w:t xml:space="preserve"> </w:t>
      </w:r>
      <w:r>
        <w:t xml:space="preserve">- NIFROZID susp 0,04 (COOPER MAROC) — Retiré</w:t>
      </w:r>
      <w:r>
        <w:t xml:space="preserve"> </w:t>
      </w:r>
      <w:r>
        <w:t xml:space="preserve">- FUROXID susp 0,04 (LAD PHARMA) — Retiré</w:t>
      </w:r>
      <w:r>
        <w:t xml:space="preserve"> </w:t>
      </w:r>
      <w:r>
        <w:t xml:space="preserve">- IFFUROXAZIDE susp 220 mg/5 mL (INPHA-MEDIS) — Retiré</w:t>
      </w:r>
      <w:r>
        <w:t xml:space="preserve"> </w:t>
      </w:r>
      <w:r>
        <w:t xml:space="preserve">- MEROXAZIDE susp 0,04 (SOMEDIAL) — Retiré</w:t>
      </w:r>
      <w:r>
        <w:t xml:space="preserve"> </w:t>
      </w:r>
      <w:r>
        <w:t xml:space="preserve">- NIFAZIDE susp 220 mg/5 mL (SAIDAL) — Retiré</w:t>
      </w:r>
      <w:r>
        <w:t xml:space="preserve"> </w:t>
      </w:r>
      <w:r>
        <w:t xml:space="preserve">- NIFUROXAZIDE AFRO susp 0,04 (AFROPHARM SPA) — Retiré</w:t>
      </w:r>
      <w:r>
        <w:t xml:space="preserve"> </w:t>
      </w:r>
      <w:r>
        <w:t xml:space="preserve">- NIFUROXAZIDE PHYSIOPHARM susp 0,04 (PHYSIOPHARM) — Retiré</w:t>
      </w:r>
      <w:r>
        <w:t xml:space="preserve"> </w:t>
      </w:r>
      <w:r>
        <w:t xml:space="preserve">- DIAFEX susp 220 mg/5 mL (GROUPE SANTE) — Retiré</w:t>
      </w:r>
      <w:r>
        <w:t xml:space="preserve"> </w:t>
      </w:r>
      <w:r>
        <w:t xml:space="preserve">- NIFUROXAZIDE susp 0,04 (PHARMAGHREB) — Retiré</w:t>
      </w:r>
    </w:p>
    <w:p>
      <w:pPr>
        <w:pStyle w:val="BodyText"/>
      </w:pPr>
      <w:r>
        <w:rPr>
          <w:b/>
          <w:bCs/>
        </w:rPr>
        <w:t xml:space="preserve">Sous-classe et Mécanisme d’action :</w:t>
      </w:r>
      <w:r>
        <w:t xml:space="preserve"> </w:t>
      </w:r>
      <w:r>
        <w:t xml:space="preserve">- Sous-classe : Nitrofurane intestinal (peu absorbé). Bactéricide à large spectre intestinal.</w:t>
      </w:r>
      <w:r>
        <w:t xml:space="preserve"> </w:t>
      </w:r>
      <w:r>
        <w:t xml:space="preserve">- Mécanisme d’action :</w:t>
      </w:r>
      <w:r>
        <w:t xml:space="preserve"> </w:t>
      </w:r>
      <w:r>
        <w:rPr>
          <w:b/>
          <w:bCs/>
        </w:rPr>
        <w:t xml:space="preserve">réduction du groupement nitro par les nitroréductases bactériennes</w:t>
      </w:r>
      <w:r>
        <w:t xml:space="preserve"> </w:t>
      </w:r>
      <w:r>
        <w:t xml:space="preserve">→ radical nitro anion cytotoxique → interaction avec :</w:t>
      </w:r>
      <w:r>
        <w:t xml:space="preserve"> </w:t>
      </w:r>
      <w:r>
        <w:t xml:space="preserve">- Les</w:t>
      </w:r>
      <w:r>
        <w:t xml:space="preserve"> </w:t>
      </w:r>
      <w:r>
        <w:rPr>
          <w:b/>
          <w:bCs/>
        </w:rPr>
        <w:t xml:space="preserve">ribosomes bactériens</w:t>
      </w:r>
      <w:r>
        <w:t xml:space="preserve"> </w:t>
      </w:r>
      <w:r>
        <w:t xml:space="preserve">(inhibition de la traduction, blocage de la synthèse protéique) ;</w:t>
      </w:r>
      <w:r>
        <w:t xml:space="preserve"> </w:t>
      </w:r>
      <w:r>
        <w:t xml:space="preserve">- L’</w:t>
      </w:r>
      <w:r>
        <w:rPr>
          <w:b/>
          <w:bCs/>
        </w:rPr>
        <w:t xml:space="preserve">ADN bactérien</w:t>
      </w:r>
      <w:r>
        <w:t xml:space="preserve"> </w:t>
      </w:r>
      <w:r>
        <w:t xml:space="preserve">(cassures de brins, altération de la structure hélicoïdale, inhibition de la réplication) ;</w:t>
      </w:r>
      <w:r>
        <w:t xml:space="preserve"> </w:t>
      </w:r>
      <w:r>
        <w:t xml:space="preserve">- Les</w:t>
      </w:r>
      <w:r>
        <w:t xml:space="preserve"> </w:t>
      </w:r>
      <w:r>
        <w:rPr>
          <w:b/>
          <w:bCs/>
        </w:rPr>
        <w:t xml:space="preserve">protéines cellulaires</w:t>
      </w:r>
      <w:r>
        <w:t xml:space="preserve"> </w:t>
      </w:r>
      <w:r>
        <w:t xml:space="preserve">(liaison covalente aux groupements thiols, dénaturation).</w:t>
      </w:r>
      <w:r>
        <w:t xml:space="preserve"> </w:t>
      </w:r>
      <w:r>
        <w:t xml:space="preserve">- Multi-ciblage → faible émergence de résistance acquise, action bactéricide.</w:t>
      </w:r>
      <w:r>
        <w:t xml:space="preserve"> </w:t>
      </w:r>
      <w:r>
        <w:t xml:space="preserve">- Spectre intestinal large :</w:t>
      </w:r>
      <w:r>
        <w:t xml:space="preserve"> </w:t>
      </w:r>
      <w:r>
        <w:rPr>
          <w:i/>
          <w:iCs/>
        </w:rPr>
        <w:t xml:space="preserve">E. coli</w:t>
      </w:r>
      <w:r>
        <w:t xml:space="preserve">,</w:t>
      </w:r>
      <w:r>
        <w:t xml:space="preserve"> </w:t>
      </w:r>
      <w:r>
        <w:rPr>
          <w:i/>
          <w:iCs/>
        </w:rPr>
        <w:t xml:space="preserve">Salmonella</w:t>
      </w:r>
      <w:r>
        <w:t xml:space="preserve"> </w:t>
      </w:r>
      <w:r>
        <w:t xml:space="preserve">spp.,</w:t>
      </w:r>
      <w:r>
        <w:t xml:space="preserve"> </w:t>
      </w:r>
      <w:r>
        <w:rPr>
          <w:i/>
          <w:iCs/>
        </w:rPr>
        <w:t xml:space="preserve">Shigella</w:t>
      </w:r>
      <w:r>
        <w:t xml:space="preserve"> </w:t>
      </w:r>
      <w:r>
        <w:t xml:space="preserve">spp.,</w:t>
      </w:r>
      <w:r>
        <w:t xml:space="preserve"> </w:t>
      </w:r>
      <w:r>
        <w:rPr>
          <w:i/>
          <w:iCs/>
        </w:rPr>
        <w:t xml:space="preserve">Campylobacter jejuni</w:t>
      </w:r>
      <w:r>
        <w:t xml:space="preserve">,</w:t>
      </w:r>
      <w:r>
        <w:t xml:space="preserve"> </w:t>
      </w:r>
      <w:r>
        <w:rPr>
          <w:i/>
          <w:iCs/>
        </w:rPr>
        <w:t xml:space="preserve">Vibrio cholerae</w:t>
      </w:r>
      <w:r>
        <w:t xml:space="preserve">,</w:t>
      </w:r>
      <w:r>
        <w:t xml:space="preserve"> </w:t>
      </w:r>
      <w:r>
        <w:rPr>
          <w:i/>
          <w:iCs/>
        </w:rPr>
        <w:t xml:space="preserve">Staphylococcus aureus</w:t>
      </w:r>
      <w:r>
        <w:t xml:space="preserve">,</w:t>
      </w:r>
      <w:r>
        <w:t xml:space="preserve"> </w:t>
      </w:r>
      <w:r>
        <w:rPr>
          <w:i/>
          <w:iCs/>
        </w:rPr>
        <w:t xml:space="preserve">Streptococcus</w:t>
      </w:r>
      <w:r>
        <w:t xml:space="preserve"> </w:t>
      </w:r>
      <w:r>
        <w:t xml:space="preserve">spp.,</w:t>
      </w:r>
      <w:r>
        <w:t xml:space="preserve"> </w:t>
      </w:r>
      <w:r>
        <w:rPr>
          <w:i/>
          <w:iCs/>
        </w:rPr>
        <w:t xml:space="preserve">Enterococcus</w:t>
      </w:r>
      <w:r>
        <w:t xml:space="preserve">,</w:t>
      </w:r>
      <w:r>
        <w:t xml:space="preserve"> </w:t>
      </w:r>
      <w:r>
        <w:rPr>
          <w:i/>
          <w:iCs/>
        </w:rPr>
        <w:t xml:space="preserve">Klebsiella</w:t>
      </w:r>
      <w:r>
        <w:t xml:space="preserve">,</w:t>
      </w:r>
      <w:r>
        <w:t xml:space="preserve"> </w:t>
      </w:r>
      <w:r>
        <w:rPr>
          <w:i/>
          <w:iCs/>
        </w:rPr>
        <w:t xml:space="preserve">Enterobacter</w:t>
      </w:r>
      <w:r>
        <w:t xml:space="preserve">,</w:t>
      </w:r>
      <w:r>
        <w:t xml:space="preserve"> </w:t>
      </w:r>
      <w:r>
        <w:rPr>
          <w:i/>
          <w:iCs/>
        </w:rPr>
        <w:t xml:space="preserve">Citrobacter</w:t>
      </w:r>
      <w:r>
        <w:t xml:space="preserve">.</w:t>
      </w:r>
      <w:r>
        <w:t xml:space="preserve"> </w:t>
      </w:r>
      <w:r>
        <w:t xml:space="preserve">- Résistance naturelle :</w:t>
      </w:r>
      <w:r>
        <w:t xml:space="preserve"> </w:t>
      </w:r>
      <w:r>
        <w:rPr>
          <w:b/>
          <w:bCs/>
        </w:rPr>
        <w:t xml:space="preserve">Pseudomonas aeruginosa</w:t>
      </w:r>
      <w:r>
        <w:t xml:space="preserve">,</w:t>
      </w:r>
      <w:r>
        <w:t xml:space="preserve"> </w:t>
      </w:r>
      <w:r>
        <w:rPr>
          <w:b/>
          <w:bCs/>
        </w:rPr>
        <w:t xml:space="preserve">Proteus spp.</w:t>
      </w:r>
      <w:r>
        <w:t xml:space="preserve">,</w:t>
      </w:r>
      <w:r>
        <w:t xml:space="preserve"> </w:t>
      </w:r>
      <w:r>
        <w:rPr>
          <w:b/>
          <w:bCs/>
        </w:rPr>
        <w:t xml:space="preserve">Providencia</w:t>
      </w:r>
      <w:r>
        <w:t xml:space="preserve">,</w:t>
      </w:r>
      <w:r>
        <w:t xml:space="preserve"> </w:t>
      </w:r>
      <w:r>
        <w:rPr>
          <w:b/>
          <w:bCs/>
        </w:rPr>
        <w:t xml:space="preserve">Morganella</w:t>
      </w:r>
      <w:r>
        <w:t xml:space="preserve"> </w:t>
      </w:r>
      <w:r>
        <w:t xml:space="preserve">(uréase → alcalinisation → inactivation).</w:t>
      </w:r>
      <w:r>
        <w:t xml:space="preserve"> </w:t>
      </w:r>
      <w:r>
        <w:t xml:space="preserve">- Le nifuroxazide agit également en</w:t>
      </w:r>
      <w:r>
        <w:t xml:space="preserve"> </w:t>
      </w:r>
      <w:r>
        <w:rPr>
          <w:b/>
          <w:bCs/>
        </w:rPr>
        <w:t xml:space="preserve">réduisant la sécrétion intestinale d’eau et d’électrolytes</w:t>
      </w:r>
      <w:r>
        <w:t xml:space="preserve"> </w:t>
      </w:r>
      <w:r>
        <w:t xml:space="preserve">induite par certaines entérotoxines bactériennes (effet antisécrétoire partiel), ce qui contribue à son effet symptomatique.</w:t>
      </w:r>
    </w:p>
    <w:p>
      <w:pPr>
        <w:pStyle w:val="BodyText"/>
      </w:pPr>
      <w:r>
        <w:rPr>
          <w:b/>
          <w:bCs/>
        </w:rPr>
        <w:t xml:space="preserve">Profil Pharmacologique :</w:t>
      </w:r>
      <w:r>
        <w:t xml:space="preserve"> </w:t>
      </w:r>
      <w:r>
        <w:t xml:space="preserve">- Indications :</w:t>
      </w:r>
      <w:r>
        <w:t xml:space="preserve"> </w:t>
      </w:r>
      <w:r>
        <w:t xml:space="preserve">-</w:t>
      </w:r>
      <w:r>
        <w:t xml:space="preserve"> </w:t>
      </w:r>
      <w:r>
        <w:rPr>
          <w:b/>
          <w:bCs/>
        </w:rPr>
        <w:t xml:space="preserve">Diarrhée aiguë bactérienne</w:t>
      </w:r>
      <w:r>
        <w:t xml:space="preserve"> </w:t>
      </w:r>
      <w:r>
        <w:t xml:space="preserve">présumée ou documentée à germes sensibles (E. coli, Salmonella, Shigella, Campylobacter), en complément de la réhydratation orale.</w:t>
      </w:r>
      <w:r>
        <w:t xml:space="preserve"> </w:t>
      </w:r>
      <w:r>
        <w:t xml:space="preserve">- Diarrhée du voyageur (alternative à la fluoroquinolone ou azithromycine selon terrain).</w:t>
      </w:r>
      <w:r>
        <w:t xml:space="preserve"> </w:t>
      </w:r>
      <w:r>
        <w:t xml:space="preserve">- Diarrhée post-antibiotique (à germes sensibles — en alternance avec saccharomyces boulardii).</w:t>
      </w:r>
      <w:r>
        <w:t xml:space="preserve"> </w:t>
      </w:r>
      <w:r>
        <w:t xml:space="preserve">- Contre-indications :</w:t>
      </w:r>
      <w:r>
        <w:t xml:space="preserve"> </w:t>
      </w:r>
      <w:r>
        <w:t xml:space="preserve">- Hypersensibilité aux nitrofuranes.</w:t>
      </w:r>
      <w:r>
        <w:t xml:space="preserve"> </w:t>
      </w:r>
      <w:r>
        <w:t xml:space="preserve">-</w:t>
      </w:r>
      <w:r>
        <w:t xml:space="preserve"> </w:t>
      </w:r>
      <w:r>
        <w:rPr>
          <w:b/>
          <w:bCs/>
        </w:rPr>
        <w:t xml:space="preserve">Diarrhée invasive avec syndrome dysentérique sévère</w:t>
      </w:r>
      <w:r>
        <w:t xml:space="preserve"> </w:t>
      </w:r>
      <w:r>
        <w:t xml:space="preserve">(sang, fièvre élevée) — à réserver à prescription médicale (avis infectiologique).</w:t>
      </w:r>
      <w:r>
        <w:t xml:space="preserve"> </w:t>
      </w:r>
      <w:r>
        <w:t xml:space="preserve">-</w:t>
      </w:r>
      <w:r>
        <w:t xml:space="preserve"> </w:t>
      </w:r>
      <w:r>
        <w:rPr>
          <w:b/>
          <w:bCs/>
        </w:rPr>
        <w:t xml:space="preserve">Déficit en G6PD</w:t>
      </w:r>
      <w:r>
        <w:t xml:space="preserve"> </w:t>
      </w:r>
      <w:r>
        <w:t xml:space="preserve">(hémolyse — rare mais à dépister).</w:t>
      </w:r>
      <w:r>
        <w:t xml:space="preserve"> </w:t>
      </w:r>
      <w:r>
        <w:t xml:space="preserve">-</w:t>
      </w:r>
      <w:r>
        <w:t xml:space="preserve"> </w:t>
      </w:r>
      <w:r>
        <w:rPr>
          <w:b/>
          <w:bCs/>
        </w:rPr>
        <w:t xml:space="preserve">Nourrisson &lt; 1 mois</w:t>
      </w:r>
      <w:r>
        <w:t xml:space="preserve"> </w:t>
      </w:r>
      <w:r>
        <w:t xml:space="preserve">(risque hémolyse, anémie hémolytique néonatale).</w:t>
      </w:r>
      <w:r>
        <w:t xml:space="preserve"> </w:t>
      </w:r>
      <w:r>
        <w:t xml:space="preserve">-</w:t>
      </w:r>
      <w:r>
        <w:t xml:space="preserve"> </w:t>
      </w:r>
      <w:r>
        <w:rPr>
          <w:b/>
          <w:bCs/>
        </w:rPr>
        <w:t xml:space="preserve">Allaitement prématuré / nouveau-né &lt; 1 mois</w:t>
      </w:r>
      <w:r>
        <w:t xml:space="preserve">.</w:t>
      </w:r>
      <w:r>
        <w:t xml:space="preserve"> </w:t>
      </w:r>
      <w:r>
        <w:t xml:space="preserve">- Diarrhée virale pure (rotavirus, norovirus) — inefficacité attendue, mésusage antibiotique.</w:t>
      </w:r>
      <w:r>
        <w:t xml:space="preserve"> </w:t>
      </w:r>
      <w:r>
        <w:t xml:space="preserve">- Effets Indésirables :</w:t>
      </w:r>
      <w:r>
        <w:t xml:space="preserve"> </w:t>
      </w:r>
      <w:r>
        <w:t xml:space="preserve">-</w:t>
      </w:r>
      <w:r>
        <w:t xml:space="preserve"> </w:t>
      </w:r>
      <w:r>
        <w:rPr>
          <w:b/>
          <w:bCs/>
        </w:rPr>
        <w:t xml:space="preserve">Gastro-intestinaux</w:t>
      </w:r>
      <w:r>
        <w:t xml:space="preserve"> </w:t>
      </w:r>
      <w:r>
        <w:t xml:space="preserve">(rares) : nausées, vomissements, douleurs abdominales.</w:t>
      </w:r>
      <w:r>
        <w:t xml:space="preserve"> </w:t>
      </w:r>
      <w:r>
        <w:t xml:space="preserve">-</w:t>
      </w:r>
      <w:r>
        <w:t xml:space="preserve"> </w:t>
      </w:r>
      <w:r>
        <w:rPr>
          <w:b/>
          <w:bCs/>
        </w:rPr>
        <w:t xml:space="preserve">Allergiques</w:t>
      </w:r>
      <w:r>
        <w:t xml:space="preserve"> </w:t>
      </w:r>
      <w:r>
        <w:t xml:space="preserve">: rash, urticaire, prurit, œdème de Quincke (rare) ; réactions croisées possibles avec autres nitrofuranes (nitrofurantoïne).</w:t>
      </w:r>
      <w:r>
        <w:t xml:space="preserve"> </w:t>
      </w:r>
      <w:r>
        <w:t xml:space="preserve">-</w:t>
      </w:r>
      <w:r>
        <w:t xml:space="preserve"> </w:t>
      </w:r>
      <w:r>
        <w:rPr>
          <w:b/>
          <w:bCs/>
        </w:rPr>
        <w:t xml:space="preserve">Hématologiques</w:t>
      </w:r>
      <w:r>
        <w:t xml:space="preserve"> </w:t>
      </w:r>
      <w:r>
        <w:t xml:space="preserve">(exceptionnels en raison de la faible absorption) : hémolyse (G6PD), anémie hémolytique du nouveau-né (3e trimestre).</w:t>
      </w:r>
      <w:r>
        <w:t xml:space="preserve"> </w:t>
      </w:r>
      <w:r>
        <w:t xml:space="preserve">-</w:t>
      </w:r>
      <w:r>
        <w:t xml:space="preserve"> </w:t>
      </w:r>
      <w:r>
        <w:rPr>
          <w:b/>
          <w:bCs/>
        </w:rPr>
        <w:t xml:space="preserve">Hépatiques</w:t>
      </w:r>
      <w:r>
        <w:t xml:space="preserve"> </w:t>
      </w:r>
      <w:r>
        <w:t xml:space="preserve">(exceptionnels) : hépatite cytolytique.</w:t>
      </w:r>
      <w:r>
        <w:t xml:space="preserve"> </w:t>
      </w:r>
      <w:r>
        <w:t xml:space="preserve">-</w:t>
      </w:r>
      <w:r>
        <w:t xml:space="preserve"> </w:t>
      </w:r>
      <w:r>
        <w:rPr>
          <w:b/>
          <w:bCs/>
        </w:rPr>
        <w:t xml:space="preserve">Coloration des urines</w:t>
      </w:r>
      <w:r>
        <w:t xml:space="preserve"> </w:t>
      </w:r>
      <w:r>
        <w:t xml:space="preserve">en jaune-brun (molécule chromogène).</w:t>
      </w:r>
      <w:r>
        <w:t xml:space="preserve"> </w:t>
      </w:r>
      <w:r>
        <w:t xml:space="preserve">- Pas d’effet antabuse cliniquement significatif (à la différence de la furazolidone).</w:t>
      </w:r>
      <w:r>
        <w:t xml:space="preserve"> </w:t>
      </w:r>
      <w:r>
        <w:t xml:space="preserve">- Pas d’inhibition MAO cliniquement significative (à la différence de la furazolidone).</w:t>
      </w:r>
    </w:p>
    <w:p>
      <w:pPr>
        <w:pStyle w:val="BodyText"/>
      </w:pPr>
      <w:r>
        <w:rPr>
          <w:b/>
          <w:bCs/>
        </w:rPr>
        <w:t xml:space="preserve">Prévention et Gestion des Effets Indésirables :</w:t>
      </w:r>
      <w:r>
        <w:t xml:space="preserve"> </w:t>
      </w:r>
      <w:r>
        <w:t xml:space="preserve">- Mesures Préventives :</w:t>
      </w:r>
      <w:r>
        <w:t xml:space="preserve"> </w:t>
      </w:r>
      <w:r>
        <w:t xml:space="preserve">-</w:t>
      </w:r>
      <w:r>
        <w:t xml:space="preserve"> </w:t>
      </w:r>
      <w:r>
        <w:rPr>
          <w:b/>
          <w:bCs/>
        </w:rPr>
        <w:t xml:space="preserve">Réhydratation orale systématique</w:t>
      </w:r>
      <w:r>
        <w:t xml:space="preserve"> </w:t>
      </w:r>
      <w:r>
        <w:t xml:space="preserve">(SRO OMS) — pilier du traitement des diarrhées aiguës.</w:t>
      </w:r>
      <w:r>
        <w:t xml:space="preserve"> </w:t>
      </w:r>
      <w:r>
        <w:t xml:space="preserve">- Hydratation abondante (eau, bouillons, tisanes).</w:t>
      </w:r>
      <w:r>
        <w:t xml:space="preserve"> </w:t>
      </w:r>
      <w:r>
        <w:t xml:space="preserve">- Arrêt du lait et produits laitiers pendant la diarrhée (intolérance secondaire au lactose).</w:t>
      </w:r>
      <w:r>
        <w:t xml:space="preserve"> </w:t>
      </w:r>
      <w:r>
        <w:t xml:space="preserve">- Alimentation précoce (riz, banane, compote de pommes, etc.) — reprise progressive.</w:t>
      </w:r>
      <w:r>
        <w:t xml:space="preserve"> </w:t>
      </w:r>
      <w:r>
        <w:t xml:space="preserve">- Dépistage G6PD avant prescription si risque (Méditerranée, Afrique).</w:t>
      </w:r>
      <w:r>
        <w:t xml:space="preserve"> </w:t>
      </w:r>
      <w:r>
        <w:t xml:space="preserve">- Conduite à Tenir :</w:t>
      </w:r>
      <w:r>
        <w:t xml:space="preserve"> </w:t>
      </w:r>
      <w:r>
        <w:t xml:space="preserve">-</w:t>
      </w:r>
      <w:r>
        <w:t xml:space="preserve"> </w:t>
      </w:r>
      <w:r>
        <w:rPr>
          <w:b/>
          <w:bCs/>
        </w:rPr>
        <w:t xml:space="preserve">Arrêt et avis médical en cas de</w:t>
      </w:r>
      <w:r>
        <w:t xml:space="preserve"> </w:t>
      </w:r>
      <w:r>
        <w:t xml:space="preserve">: diarrhée persistante &gt; 3 jours, présence de sang/glaires, fièvre élevée &gt; 38,5 °C, signes de déshydratation sévère (soif intense, pli cutané, yeux creux, oligurie), vomissements incoercibles.</w:t>
      </w:r>
      <w:r>
        <w:t xml:space="preserve"> </w:t>
      </w:r>
      <w:r>
        <w:t xml:space="preserve">- Pas d’automédication chez femme enceinte 3e trimestre, nourrisson &lt; 1 mois, sujet âgé fragile, immunodéprimé.</w:t>
      </w:r>
    </w:p>
    <w:p>
      <w:pPr>
        <w:pStyle w:val="BodyText"/>
      </w:pPr>
      <w:r>
        <w:rPr>
          <w:b/>
          <w:bCs/>
        </w:rPr>
        <w:t xml:space="preserve">Interactions Importantes :</w:t>
      </w:r>
      <w:r>
        <w:t xml:space="preserve"> </w:t>
      </w:r>
      <w:r>
        <w:t xml:space="preserve">-</w:t>
      </w:r>
      <w:r>
        <w:t xml:space="preserve"> </w:t>
      </w:r>
      <w:r>
        <w:rPr>
          <w:b/>
          <w:bCs/>
        </w:rPr>
        <w:t xml:space="preserve">Nifuroxazide + autres nitrofuranes</w:t>
      </w:r>
      <w:r>
        <w:t xml:space="preserve"> </w:t>
      </w:r>
      <w:r>
        <w:t xml:space="preserve">(nitrofurantoïne) : allergie croisée possible.</w:t>
      </w:r>
      <w:r>
        <w:t xml:space="preserve"> </w:t>
      </w:r>
      <w:r>
        <w:t xml:space="preserve">-</w:t>
      </w:r>
      <w:r>
        <w:t xml:space="preserve"> </w:t>
      </w:r>
      <w:r>
        <w:rPr>
          <w:b/>
          <w:bCs/>
        </w:rPr>
        <w:t xml:space="preserve">Nifuroxazide + sulfamides hypoglycémiants</w:t>
      </w:r>
      <w:r>
        <w:t xml:space="preserve"> </w:t>
      </w:r>
      <w:r>
        <w:t xml:space="preserve">: théorique potentialisation hypoglycémie (faible risque en raison de l’absorption minime).</w:t>
      </w:r>
      <w:r>
        <w:t xml:space="preserve"> </w:t>
      </w:r>
      <w:r>
        <w:t xml:space="preserve">-</w:t>
      </w:r>
      <w:r>
        <w:t xml:space="preserve"> </w:t>
      </w:r>
      <w:r>
        <w:rPr>
          <w:b/>
          <w:bCs/>
        </w:rPr>
        <w:t xml:space="preserve">Nifuroxazide + anticoagulants oraux</w:t>
      </w:r>
      <w:r>
        <w:t xml:space="preserve"> </w:t>
      </w:r>
      <w:r>
        <w:t xml:space="preserve">: pas d’interaction significative (absorption minime).</w:t>
      </w:r>
      <w:r>
        <w:t xml:space="preserve"> </w:t>
      </w:r>
      <w:r>
        <w:t xml:space="preserve">- Pas d’interaction avec alcool (à la différence de la furazolidone).</w:t>
      </w:r>
      <w:r>
        <w:t xml:space="preserve"> </w:t>
      </w:r>
      <w:r>
        <w:t xml:space="preserve">- Pas d’inhibition MAO (à la différence de la furazolidone).</w:t>
      </w:r>
    </w:p>
    <w:p>
      <w:pPr>
        <w:pStyle w:val="BodyText"/>
      </w:pPr>
      <w:r>
        <w:rPr>
          <w:b/>
          <w:bCs/>
        </w:rPr>
        <w:t xml:space="preserve">Grossesse et Allaitement :</w:t>
      </w:r>
      <w:r>
        <w:t xml:space="preserve"> </w:t>
      </w:r>
      <w:r>
        <w:t xml:space="preserve">- Grossesse : à éviter au 3e trimestre (hémolyse fœtale théorique par passage minime). Aux 1er et 2e trimestres, usage ponctuel possible si nécessaire (alternative : pas d’antibiothérapie en cas de diarrhée simple virale).</w:t>
      </w:r>
      <w:r>
        <w:t xml:space="preserve"> </w:t>
      </w:r>
      <w:r>
        <w:t xml:space="preserve">- Allaitement : compatible chez enfant &gt; 1 mois, né à terme, sans G6PD. À éviter chez prématuré / nouveau-né &lt; 1 mois.</w:t>
      </w:r>
    </w:p>
    <w:p>
      <w:pPr>
        <w:pStyle w:val="BodyText"/>
      </w:pPr>
      <w:r>
        <w:rPr>
          <w:b/>
          <w:bCs/>
        </w:rPr>
        <w:t xml:space="preserve">Posologie et Mode d’administration (Standard) :</w:t>
      </w:r>
      <w:r>
        <w:t xml:space="preserve"> </w:t>
      </w:r>
      <w:r>
        <w:t xml:space="preserve">- Adulte :</w:t>
      </w:r>
      <w:r>
        <w:t xml:space="preserve"> </w:t>
      </w:r>
      <w:r>
        <w:t xml:space="preserve">-</w:t>
      </w:r>
      <w:r>
        <w:t xml:space="preserve"> </w:t>
      </w:r>
      <w:r>
        <w:rPr>
          <w:b/>
          <w:bCs/>
        </w:rPr>
        <w:t xml:space="preserve">Gélule 200 mg</w:t>
      </w:r>
      <w:r>
        <w:t xml:space="preserve"> </w:t>
      </w:r>
      <w:r>
        <w:t xml:space="preserve">: 1 gélule × 4/j PO pendant 5-7 jours.</w:t>
      </w:r>
      <w:r>
        <w:t xml:space="preserve"> </w:t>
      </w:r>
      <w:r>
        <w:t xml:space="preserve">- Dose maximale : 800 mg/j.</w:t>
      </w:r>
      <w:r>
        <w:t xml:space="preserve"> </w:t>
      </w:r>
      <w:r>
        <w:t xml:space="preserve">- Enfant :</w:t>
      </w:r>
      <w:r>
        <w:t xml:space="preserve"> </w:t>
      </w:r>
      <w:r>
        <w:t xml:space="preserve">- &gt; 6 ans : 200 mg × 2-3/j (forme gélule si l’enfant peut avaler).</w:t>
      </w:r>
      <w:r>
        <w:t xml:space="preserve"> </w:t>
      </w:r>
      <w:r>
        <w:t xml:space="preserve">- 1 mois-6 ans : susp buv 220 mg/5 mL à raison de 5 mg/kg/j en 2-3 prises (à adapter selon disponibilité — forme susp buv retirée en Algérie).</w:t>
      </w:r>
      <w:r>
        <w:t xml:space="preserve"> </w:t>
      </w:r>
      <w:r>
        <w:t xml:space="preserve">- Mode d’administration : PO à distance des repas, hydratation abondante.</w:t>
      </w:r>
    </w:p>
    <w:p>
      <w:pPr>
        <w:pStyle w:val="BodyText"/>
      </w:pPr>
      <w:r>
        <w:rPr>
          <w:b/>
          <w:bCs/>
        </w:rPr>
        <w:t xml:space="preserve">Arbitrage et Bénéfices des Formes Galéniques :</w:t>
      </w:r>
      <w:r>
        <w:t xml:space="preserve"> </w:t>
      </w:r>
      <w:r>
        <w:t xml:space="preserve">-</w:t>
      </w:r>
      <w:r>
        <w:t xml:space="preserve"> </w:t>
      </w:r>
      <w:r>
        <w:rPr>
          <w:b/>
          <w:bCs/>
        </w:rPr>
        <w:t xml:space="preserve">Gélule 200 mg (B/28 ou B/30)</w:t>
      </w:r>
      <w:r>
        <w:t xml:space="preserve"> </w:t>
      </w:r>
      <w:r>
        <w:t xml:space="preserve">: forme adulte de référence, en Liste II pour XEFURYL (automédication possible) ou Liste I pour DYSENTYL et NIFUROXAZIDE PHYSIOPHARM (prescription médicale).</w:t>
      </w:r>
      <w:r>
        <w:t xml:space="preserve"> </w:t>
      </w:r>
      <w:r>
        <w:t xml:space="preserve">- Suspension buvable pédiatrique 220 mg/5 mL :</w:t>
      </w:r>
      <w:r>
        <w:t xml:space="preserve"> </w:t>
      </w:r>
      <w:r>
        <w:rPr>
          <w:b/>
          <w:bCs/>
        </w:rPr>
        <w:t xml:space="preserve">retirée</w:t>
      </w:r>
      <w:r>
        <w:t xml:space="preserve"> </w:t>
      </w:r>
      <w:r>
        <w:t xml:space="preserve">en Algérie — alternative : smecta + SRO pour diarrhée de l’enfant, ou prescription médicale d’azithromycine si bactérienne sévère.</w:t>
      </w:r>
      <w:r>
        <w:t xml:space="preserve"> </w:t>
      </w:r>
      <w:r>
        <w:t xml:space="preserve">- Format B/28 ou B/30 : adapté à une cure de 5-7 jours.</w:t>
      </w:r>
      <w:r>
        <w:t xml:space="preserve"> </w:t>
      </w:r>
      <w:r>
        <w:t xml:space="preserve">- Coût modeste : accessible à la majorité de la population algérienne.</w:t>
      </w:r>
    </w:p>
    <w:p>
      <w:pPr>
        <w:pStyle w:val="BodyText"/>
      </w:pPr>
      <w:r>
        <w:rPr>
          <w:b/>
          <w:bCs/>
        </w:rPr>
        <w:t xml:space="preserve">Instructions et Conseils au Patient :</w:t>
      </w:r>
      <w:r>
        <w:t xml:space="preserve"> </w:t>
      </w:r>
      <w:r>
        <w:t xml:space="preserve">- Communication au comptoir :</w:t>
      </w:r>
      <w:r>
        <w:t xml:space="preserve"> </w:t>
      </w:r>
      <w:r>
        <w:t xml:space="preserve">- « La priorité absolue est la</w:t>
      </w:r>
      <w:r>
        <w:t xml:space="preserve"> </w:t>
      </w:r>
      <w:r>
        <w:rPr>
          <w:b/>
          <w:bCs/>
        </w:rPr>
        <w:t xml:space="preserve">réhydratation</w:t>
      </w:r>
      <w:r>
        <w:t xml:space="preserve"> </w:t>
      </w:r>
      <w:r>
        <w:t xml:space="preserve">: prenez des solutions de réhydratation orale (SRO), de l’eau, des bouillons, des tisanes, en petites quantités fractionnées ».</w:t>
      </w:r>
      <w:r>
        <w:t xml:space="preserve"> </w:t>
      </w:r>
      <w:r>
        <w:t xml:space="preserve">- « Le nifuroxazide est un antibiotique intestinal : 1 gélule 4 fois par jour pendant 5 à 7 jours ».</w:t>
      </w:r>
      <w:r>
        <w:t xml:space="preserve"> </w:t>
      </w:r>
      <w:r>
        <w:t xml:space="preserve">- «</w:t>
      </w:r>
      <w:r>
        <w:t xml:space="preserve"> </w:t>
      </w:r>
      <w:r>
        <w:rPr>
          <w:b/>
          <w:bCs/>
        </w:rPr>
        <w:t xml:space="preserve">Consultez un médecin si</w:t>
      </w:r>
      <w:r>
        <w:t xml:space="preserve"> </w:t>
      </w:r>
      <w:r>
        <w:t xml:space="preserve">: diarrhée qui dure plus de 3 jours, présence de sang dans les selles, fièvre élevée, signes de déshydratation (soif intense, urines rares, vertiges) ».</w:t>
      </w:r>
      <w:r>
        <w:t xml:space="preserve"> </w:t>
      </w:r>
      <w:r>
        <w:t xml:space="preserve">- « Évitez le lait et les produits laitiers pendant la diarrhée ».</w:t>
      </w:r>
      <w:r>
        <w:t xml:space="preserve"> </w:t>
      </w:r>
      <w:r>
        <w:t xml:space="preserve">- « Mangez du riz, des bananes, des compotes de pommes, des carottes cuites ».</w:t>
      </w:r>
      <w:r>
        <w:t xml:space="preserve"> </w:t>
      </w:r>
      <w:r>
        <w:t xml:space="preserve">- « Vos urines peuvent devenir jaune-brun : c’est normal ».</w:t>
      </w:r>
      <w:r>
        <w:t xml:space="preserve"> </w:t>
      </w:r>
      <w:r>
        <w:t xml:space="preserve">- Mode d’utilisation pratique :</w:t>
      </w:r>
      <w:r>
        <w:t xml:space="preserve"> </w:t>
      </w:r>
      <w:r>
        <w:t xml:space="preserve">- Oubli &lt; 4 h : prendre dès que possible.</w:t>
      </w:r>
      <w:r>
        <w:t xml:space="preserve"> </w:t>
      </w:r>
      <w:r>
        <w:t xml:space="preserve">- Oubli &gt; 4 h : sauter la dose, ne pas doubler.</w:t>
      </w:r>
      <w:r>
        <w:t xml:space="preserve"> </w:t>
      </w:r>
      <w:r>
        <w:t xml:space="preserve">- Hydratation fractionnée (1-2 gorgées toutes les 5-10 min en cas de vomissements).</w:t>
      </w:r>
      <w:r>
        <w:t xml:space="preserve"> </w:t>
      </w:r>
      <w:r>
        <w:t xml:space="preserve">- Arrêt du traitement à la fin de la prescription même si amélioration précoce (prévention résistance).</w:t>
      </w:r>
    </w:p>
    <w:p>
      <w:pPr>
        <w:pStyle w:val="BodyText"/>
      </w:pPr>
      <w:r>
        <w:rPr>
          <w:b/>
          <w:bCs/>
        </w:rPr>
        <w:t xml:space="preserve">Notes, Règles d’Or &amp; Pièges au Comptoir :</w:t>
      </w:r>
      <w:r>
        <w:t xml:space="preserve"> </w:t>
      </w:r>
      <w:r>
        <w:t xml:space="preserve">-</w:t>
      </w:r>
      <w:r>
        <w:t xml:space="preserve"> </w:t>
      </w:r>
      <w:r>
        <w:rPr>
          <w:b/>
          <w:bCs/>
        </w:rPr>
        <w:t xml:space="preserve">Piège classique — Diarrhée virale et mésusage</w:t>
      </w:r>
      <w:r>
        <w:t xml:space="preserve"> </w:t>
      </w:r>
      <w:r>
        <w:t xml:space="preserve">: la majorité des diarrhées aiguës en Algérie sont virales (rotavirus, norovirus, adénovirus) — le nifuroxazide n’est pas indiqué. Le pharmacien doit privilégier SRO + smecta + réhydratation.</w:t>
      </w:r>
      <w:r>
        <w:t xml:space="preserve"> </w:t>
      </w:r>
      <w:r>
        <w:t xml:space="preserve">-</w:t>
      </w:r>
      <w:r>
        <w:t xml:space="preserve"> </w:t>
      </w:r>
      <w:r>
        <w:rPr>
          <w:b/>
          <w:bCs/>
        </w:rPr>
        <w:t xml:space="preserve">Piège classique — Diarrhée dysentérique</w:t>
      </w:r>
      <w:r>
        <w:t xml:space="preserve"> </w:t>
      </w:r>
      <w:r>
        <w:t xml:space="preserve">: sang + fièvre = consultation médicale obligatoire (suspicion Salmonella, Shigella, Campylobacter, EHEC) — ne pas traiter en automédication.</w:t>
      </w:r>
      <w:r>
        <w:t xml:space="preserve"> </w:t>
      </w:r>
      <w:r>
        <w:t xml:space="preserve">-</w:t>
      </w:r>
      <w:r>
        <w:t xml:space="preserve"> </w:t>
      </w:r>
      <w:r>
        <w:rPr>
          <w:b/>
          <w:bCs/>
        </w:rPr>
        <w:t xml:space="preserve">Piège classique — Nourrisson &lt; 1 mois et prématuré</w:t>
      </w:r>
      <w:r>
        <w:t xml:space="preserve"> </w:t>
      </w:r>
      <w:r>
        <w:t xml:space="preserve">: CI absolue (hémolyse).</w:t>
      </w:r>
      <w:r>
        <w:t xml:space="preserve"> </w:t>
      </w:r>
      <w:r>
        <w:t xml:space="preserve">-</w:t>
      </w:r>
      <w:r>
        <w:t xml:space="preserve"> </w:t>
      </w:r>
      <w:r>
        <w:rPr>
          <w:b/>
          <w:bCs/>
        </w:rPr>
        <w:t xml:space="preserve">Piège classique — G6PD</w:t>
      </w:r>
      <w:r>
        <w:t xml:space="preserve"> </w:t>
      </w:r>
      <w:r>
        <w:t xml:space="preserve">: dépistage si patient à risque.</w:t>
      </w:r>
      <w:r>
        <w:t xml:space="preserve"> </w:t>
      </w:r>
      <w:r>
        <w:t xml:space="preserve">-</w:t>
      </w:r>
      <w:r>
        <w:t xml:space="preserve"> </w:t>
      </w:r>
      <w:r>
        <w:rPr>
          <w:b/>
          <w:bCs/>
        </w:rPr>
        <w:t xml:space="preserve">Règle de prise</w:t>
      </w:r>
      <w:r>
        <w:t xml:space="preserve"> </w:t>
      </w:r>
      <w:r>
        <w:t xml:space="preserve">: SRO systématique, 1 gélule × 4/j pendant 5-7 j, hydratation fractionnée.</w:t>
      </w:r>
      <w:r>
        <w:t xml:space="preserve"> </w:t>
      </w:r>
      <w:r>
        <w:t xml:space="preserve">-</w:t>
      </w:r>
      <w:r>
        <w:t xml:space="preserve"> </w:t>
      </w:r>
      <w:r>
        <w:rPr>
          <w:b/>
          <w:bCs/>
        </w:rPr>
        <w:t xml:space="preserve">Préparation et Conservation</w:t>
      </w:r>
      <w:r>
        <w:t xml:space="preserve"> </w:t>
      </w:r>
      <w:r>
        <w:t xml:space="preserve">: gélules à T° ambiante (&lt; 25 °C), à l’abri de l’humidité.</w:t>
      </w:r>
      <w:r>
        <w:t xml:space="preserve"> </w:t>
      </w:r>
      <w:r>
        <w:t xml:space="preserve">-</w:t>
      </w:r>
      <w:r>
        <w:t xml:space="preserve"> </w:t>
      </w:r>
      <w:r>
        <w:rPr>
          <w:b/>
          <w:bCs/>
        </w:rPr>
        <w:t xml:space="preserve">Piège du surdosage / Substitution</w:t>
      </w:r>
      <w:r>
        <w:t xml:space="preserve"> </w:t>
      </w:r>
      <w:r>
        <w:t xml:space="preserve">:</w:t>
      </w:r>
      <w:r>
        <w:t xml:space="preserve"> </w:t>
      </w:r>
      <w:r>
        <w:t xml:space="preserve">- Substitution DYSENTYL ↔ NIFUROXAZIDE PHYSIOPHARM ↔ XEFURYL : possible (même DCI, même dosage 200 mg).</w:t>
      </w:r>
      <w:r>
        <w:t xml:space="preserve"> </w:t>
      </w:r>
      <w:r>
        <w:t xml:space="preserve">- Ne pas prolonger &gt; 7 jours sans avis médical.</w:t>
      </w:r>
      <w:r>
        <w:t xml:space="preserve"> </w:t>
      </w:r>
      <w:r>
        <w:t xml:space="preserve">- Ne pas associer à un ralentisseur du transit (lopéramide) en cas de diarrhée bactérienne invasive (risque de côlon toxique).</w:t>
      </w:r>
      <w:r>
        <w:t xml:space="preserve"> </w:t>
      </w:r>
      <w:r>
        <w:t xml:space="preserve">- Disponibilité de la forme susp buv : retirée en Algérie — orienter le patient pédiatrique vers smecta + SRO ou consultation médicale.</w:t>
      </w:r>
    </w:p>
    <w:p>
      <w:r>
        <w:pict>
          <v:rect style="width:0;height:1.5pt" o:hralign="center" o:hrstd="t" o:hr="t"/>
        </w:pict>
      </w:r>
    </w:p>
    <w:bookmarkEnd w:id="188"/>
    <w:bookmarkEnd w:id="189"/>
    <w:bookmarkStart w:id="190" w:name="X829fdeb47796a703baacf7e2e1c24d92a0202ac"/>
    <w:p>
      <w:pPr>
        <w:pStyle w:val="Heading2"/>
      </w:pPr>
      <w:r>
        <w:t xml:space="preserve">6.5. Tableau Comparatif Synthétique des 13 DCI</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w:t>
            </w:r>
          </w:p>
        </w:tc>
        <w:tc>
          <w:tcPr/>
          <w:p>
            <w:pPr>
              <w:pStyle w:val="Compact"/>
              <w:jc w:val="left"/>
            </w:pPr>
            <w:r>
              <w:t xml:space="preserve">DCI</w:t>
            </w:r>
          </w:p>
        </w:tc>
        <w:tc>
          <w:tcPr/>
          <w:p>
            <w:pPr>
              <w:pStyle w:val="Compact"/>
              <w:jc w:val="left"/>
            </w:pPr>
            <w:r>
              <w:t xml:space="preserve">Sous-classe</w:t>
            </w:r>
          </w:p>
        </w:tc>
        <w:tc>
          <w:tcPr/>
          <w:p>
            <w:pPr>
              <w:pStyle w:val="Compact"/>
              <w:jc w:val="left"/>
            </w:pPr>
            <w:r>
              <w:t xml:space="preserve">Spectre principal</w:t>
            </w:r>
          </w:p>
        </w:tc>
        <w:tc>
          <w:tcPr/>
          <w:p>
            <w:pPr>
              <w:pStyle w:val="Compact"/>
              <w:jc w:val="left"/>
            </w:pPr>
            <w:r>
              <w:t xml:space="preserve">Demi-vie (h)</w:t>
            </w:r>
          </w:p>
        </w:tc>
        <w:tc>
          <w:tcPr/>
          <w:p>
            <w:pPr>
              <w:pStyle w:val="Compact"/>
              <w:jc w:val="left"/>
            </w:pPr>
            <w:r>
              <w:t xml:space="preserve">Élimination</w:t>
            </w:r>
          </w:p>
        </w:tc>
        <w:tc>
          <w:tcPr/>
          <w:p>
            <w:pPr>
              <w:pStyle w:val="Compact"/>
              <w:jc w:val="left"/>
            </w:pPr>
            <w:r>
              <w:t xml:space="preserve">Posologie adulte standard</w:t>
            </w:r>
          </w:p>
        </w:tc>
        <w:tc>
          <w:tcPr/>
          <w:p>
            <w:pPr>
              <w:pStyle w:val="Compact"/>
              <w:jc w:val="left"/>
            </w:pPr>
            <w:r>
              <w:t xml:space="preserve">CI majeures</w:t>
            </w:r>
          </w:p>
        </w:tc>
        <w:tc>
          <w:tcPr/>
          <w:p>
            <w:pPr>
              <w:pStyle w:val="Compact"/>
              <w:jc w:val="left"/>
            </w:pPr>
            <w:r>
              <w:t xml:space="preserve">Grossesse</w:t>
            </w:r>
          </w:p>
        </w:tc>
        <w:tc>
          <w:tcPr/>
          <w:p>
            <w:pPr>
              <w:pStyle w:val="Compact"/>
              <w:jc w:val="left"/>
            </w:pPr>
            <w:r>
              <w:t xml:space="preserve">Interactions clés</w:t>
            </w:r>
          </w:p>
        </w:tc>
      </w:tr>
      <w:tr>
        <w:tc>
          <w:tcPr/>
          <w:p>
            <w:pPr>
              <w:pStyle w:val="Compact"/>
              <w:jc w:val="left"/>
            </w:pPr>
            <w:r>
              <w:t xml:space="preserve">1</w:t>
            </w:r>
          </w:p>
        </w:tc>
        <w:tc>
          <w:tcPr/>
          <w:p>
            <w:pPr>
              <w:pStyle w:val="Compact"/>
              <w:jc w:val="left"/>
            </w:pPr>
            <w:r>
              <w:t xml:space="preserve">Sulfaméthoxazole + Triméthoprime (Cotrimoxazole)</w:t>
            </w:r>
          </w:p>
        </w:tc>
        <w:tc>
          <w:tcPr/>
          <w:p>
            <w:pPr>
              <w:pStyle w:val="Compact"/>
              <w:jc w:val="left"/>
            </w:pPr>
            <w:r>
              <w:t xml:space="preserve">Sulfamide + DHFR inhibiteur</w:t>
            </w:r>
          </w:p>
        </w:tc>
        <w:tc>
          <w:tcPr/>
          <w:p>
            <w:pPr>
              <w:pStyle w:val="Compact"/>
              <w:jc w:val="left"/>
            </w:pPr>
            <w:r>
              <w:t xml:space="preserve">Gram+, Gram-, Pneumocystis, Toxoplasma, Stenotrophomonas</w:t>
            </w:r>
          </w:p>
        </w:tc>
        <w:tc>
          <w:tcPr/>
          <w:p>
            <w:pPr>
              <w:pStyle w:val="Compact"/>
              <w:jc w:val="left"/>
            </w:pPr>
            <w:r>
              <w:t xml:space="preserve">SMX 10 / TMP 11</w:t>
            </w:r>
          </w:p>
        </w:tc>
        <w:tc>
          <w:tcPr/>
          <w:p>
            <w:pPr>
              <w:pStyle w:val="Compact"/>
              <w:jc w:val="left"/>
            </w:pPr>
            <w:r>
              <w:t xml:space="preserve">Rénale (métabolites)</w:t>
            </w:r>
          </w:p>
        </w:tc>
        <w:tc>
          <w:tcPr/>
          <w:p>
            <w:pPr>
              <w:pStyle w:val="Compact"/>
              <w:jc w:val="left"/>
            </w:pPr>
            <w:r>
              <w:t xml:space="preserve">800/160 mg × 2/j ; PCP 15-20 mg/kg/j TMP</w:t>
            </w:r>
          </w:p>
        </w:tc>
        <w:tc>
          <w:tcPr/>
          <w:p>
            <w:pPr>
              <w:pStyle w:val="Compact"/>
              <w:jc w:val="left"/>
            </w:pPr>
            <w:r>
              <w:t xml:space="preserve">IR sévère, G6PD, 1er T, 3e T, allaitement prématuré</w:t>
            </w:r>
          </w:p>
        </w:tc>
        <w:tc>
          <w:tcPr/>
          <w:p>
            <w:pPr>
              <w:pStyle w:val="Compact"/>
              <w:jc w:val="left"/>
            </w:pPr>
            <w:r>
              <w:t xml:space="preserve">CI 1er T (anti-folique) ; 3e T (kernictère) ; 2e T si nécessaire + acide folinique</w:t>
            </w:r>
          </w:p>
        </w:tc>
        <w:tc>
          <w:tcPr/>
          <w:p>
            <w:pPr>
              <w:pStyle w:val="Compact"/>
              <w:jc w:val="left"/>
            </w:pPr>
            <w:r>
              <w:t xml:space="preserve">AVK (INR↑), IEC/AINS (K+↑), dofétilide, phénytoïne, MTX</w:t>
            </w:r>
          </w:p>
        </w:tc>
      </w:tr>
      <w:tr>
        <w:tc>
          <w:tcPr/>
          <w:p>
            <w:pPr>
              <w:pStyle w:val="Compact"/>
              <w:jc w:val="left"/>
            </w:pPr>
            <w:r>
              <w:t xml:space="preserve">2</w:t>
            </w:r>
          </w:p>
        </w:tc>
        <w:tc>
          <w:tcPr/>
          <w:p>
            <w:pPr>
              <w:pStyle w:val="Compact"/>
              <w:jc w:val="left"/>
            </w:pPr>
            <w:r>
              <w:t xml:space="preserve">Sulfadiazine</w:t>
            </w:r>
          </w:p>
        </w:tc>
        <w:tc>
          <w:tcPr/>
          <w:p>
            <w:pPr>
              <w:pStyle w:val="Compact"/>
              <w:jc w:val="left"/>
            </w:pPr>
            <w:r>
              <w:t xml:space="preserve">Sulfamide</w:t>
            </w:r>
          </w:p>
        </w:tc>
        <w:tc>
          <w:tcPr/>
          <w:p>
            <w:pPr>
              <w:pStyle w:val="Compact"/>
              <w:jc w:val="left"/>
            </w:pPr>
            <w:r>
              <w:t xml:space="preserve">Toxoplasma, Gram+</w:t>
            </w:r>
          </w:p>
        </w:tc>
        <w:tc>
          <w:tcPr/>
          <w:p>
            <w:pPr>
              <w:pStyle w:val="Compact"/>
              <w:jc w:val="left"/>
            </w:pPr>
            <w:r>
              <w:t xml:space="preserve">10-17</w:t>
            </w:r>
          </w:p>
        </w:tc>
        <w:tc>
          <w:tcPr/>
          <w:p>
            <w:pPr>
              <w:pStyle w:val="Compact"/>
              <w:jc w:val="left"/>
            </w:pPr>
            <w:r>
              <w:t xml:space="preserve">Rénale</w:t>
            </w:r>
          </w:p>
        </w:tc>
        <w:tc>
          <w:tcPr/>
          <w:p>
            <w:pPr>
              <w:pStyle w:val="Compact"/>
              <w:jc w:val="left"/>
            </w:pPr>
            <w:r>
              <w:t xml:space="preserve">1-1,5 g × 4/j (toxo cérébrale)</w:t>
            </w:r>
          </w:p>
        </w:tc>
        <w:tc>
          <w:tcPr/>
          <w:p>
            <w:pPr>
              <w:pStyle w:val="Compact"/>
              <w:jc w:val="left"/>
            </w:pPr>
            <w:r>
              <w:t xml:space="preserve">1er T, 3e T, G6PD, IR, porphyrie</w:t>
            </w:r>
          </w:p>
        </w:tc>
        <w:tc>
          <w:tcPr/>
          <w:p>
            <w:pPr>
              <w:pStyle w:val="Compact"/>
              <w:jc w:val="left"/>
            </w:pPr>
            <w:r>
              <w:t xml:space="preserve">1er T CI ; 3e T CI (kernictère) ; 2e T si toxo fœtale + acide folinique</w:t>
            </w:r>
          </w:p>
        </w:tc>
        <w:tc>
          <w:tcPr/>
          <w:p>
            <w:pPr>
              <w:pStyle w:val="Compact"/>
              <w:jc w:val="left"/>
            </w:pPr>
            <w:r>
              <w:t xml:space="preserve">AVK, MTX, phénytoïne, ciclosporine</w:t>
            </w:r>
          </w:p>
        </w:tc>
      </w:tr>
      <w:tr>
        <w:tc>
          <w:tcPr/>
          <w:p>
            <w:pPr>
              <w:pStyle w:val="Compact"/>
              <w:jc w:val="left"/>
            </w:pPr>
            <w:r>
              <w:t xml:space="preserve">3</w:t>
            </w:r>
          </w:p>
        </w:tc>
        <w:tc>
          <w:tcPr/>
          <w:p>
            <w:pPr>
              <w:pStyle w:val="Compact"/>
              <w:jc w:val="left"/>
            </w:pPr>
            <w:r>
              <w:t xml:space="preserve">Sulfadiazine argentique</w:t>
            </w:r>
          </w:p>
        </w:tc>
        <w:tc>
          <w:tcPr/>
          <w:p>
            <w:pPr>
              <w:pStyle w:val="Compact"/>
              <w:jc w:val="left"/>
            </w:pPr>
            <w:r>
              <w:t xml:space="preserve">Sulfamide + sel d’argent (topique)</w:t>
            </w:r>
          </w:p>
        </w:tc>
        <w:tc>
          <w:tcPr/>
          <w:p>
            <w:pPr>
              <w:pStyle w:val="Compact"/>
              <w:jc w:val="left"/>
            </w:pPr>
            <w:r>
              <w:t xml:space="preserve">Topique brûlures : Gram+, Gram-,</w:t>
            </w:r>
            <w:r>
              <w:t xml:space="preserve"> </w:t>
            </w:r>
            <w:r>
              <w:rPr>
                <w:i/>
                <w:iCs/>
              </w:rPr>
              <w:t xml:space="preserve">Pseudomonas</w:t>
            </w:r>
            <w:r>
              <w:t xml:space="preserve">, Candida</w:t>
            </w:r>
          </w:p>
        </w:tc>
        <w:tc>
          <w:tcPr/>
          <w:p>
            <w:pPr>
              <w:pStyle w:val="Compact"/>
              <w:jc w:val="left"/>
            </w:pPr>
            <w:r>
              <w:t xml:space="preserve">Locale</w:t>
            </w:r>
          </w:p>
        </w:tc>
        <w:tc>
          <w:tcPr/>
          <w:p>
            <w:pPr>
              <w:pStyle w:val="Compact"/>
              <w:jc w:val="left"/>
            </w:pPr>
            <w:r>
              <w:t xml:space="preserve">Locale</w:t>
            </w:r>
          </w:p>
        </w:tc>
        <w:tc>
          <w:tcPr/>
          <w:p>
            <w:pPr>
              <w:pStyle w:val="Compact"/>
              <w:jc w:val="left"/>
            </w:pPr>
            <w:r>
              <w:t xml:space="preserve">Crème 1 %, 1-2×/j sur brûlure</w:t>
            </w:r>
          </w:p>
        </w:tc>
        <w:tc>
          <w:tcPr/>
          <w:p>
            <w:pPr>
              <w:pStyle w:val="Compact"/>
              <w:jc w:val="left"/>
            </w:pPr>
            <w:r>
              <w:t xml:space="preserve">Hypersensibilité sulfamides, 3e T, prématuré, G6PD, brûlure &gt; 20 % IR</w:t>
            </w:r>
          </w:p>
        </w:tc>
        <w:tc>
          <w:tcPr/>
          <w:p>
            <w:pPr>
              <w:pStyle w:val="Compact"/>
              <w:jc w:val="left"/>
            </w:pPr>
            <w:r>
              <w:t xml:space="preserve">3e T à éviter ; 1er-2e T ponctuel</w:t>
            </w:r>
          </w:p>
        </w:tc>
        <w:tc>
          <w:tcPr/>
          <w:p>
            <w:pPr>
              <w:pStyle w:val="Compact"/>
              <w:jc w:val="left"/>
            </w:pPr>
            <w:r>
              <w:t xml:space="preserve">Enzymes protéolytiques, antiseptiques iodés</w:t>
            </w:r>
          </w:p>
        </w:tc>
      </w:tr>
      <w:tr>
        <w:tc>
          <w:tcPr/>
          <w:p>
            <w:pPr>
              <w:pStyle w:val="Compact"/>
              <w:jc w:val="left"/>
            </w:pPr>
            <w:r>
              <w:t xml:space="preserve">4</w:t>
            </w:r>
          </w:p>
        </w:tc>
        <w:tc>
          <w:tcPr/>
          <w:p>
            <w:pPr>
              <w:pStyle w:val="Compact"/>
              <w:jc w:val="left"/>
            </w:pPr>
            <w:r>
              <w:t xml:space="preserve">Sulfacétamide + Chloramphénicol</w:t>
            </w:r>
          </w:p>
        </w:tc>
        <w:tc>
          <w:tcPr/>
          <w:p>
            <w:pPr>
              <w:pStyle w:val="Compact"/>
              <w:jc w:val="left"/>
            </w:pPr>
            <w:r>
              <w:t xml:space="preserve">Sulfamide + Amphénicolé (topique ophtalmo)</w:t>
            </w:r>
          </w:p>
        </w:tc>
        <w:tc>
          <w:tcPr/>
          <w:p>
            <w:pPr>
              <w:pStyle w:val="Compact"/>
              <w:jc w:val="left"/>
            </w:pPr>
            <w:r>
              <w:t xml:space="preserve">Conjonctivites bactériennes + Chlamydia</w:t>
            </w:r>
          </w:p>
        </w:tc>
        <w:tc>
          <w:tcPr/>
          <w:p>
            <w:pPr>
              <w:pStyle w:val="Compact"/>
              <w:jc w:val="left"/>
            </w:pPr>
            <w:r>
              <w:t xml:space="preserve">Locale</w:t>
            </w:r>
          </w:p>
        </w:tc>
        <w:tc>
          <w:tcPr/>
          <w:p>
            <w:pPr>
              <w:pStyle w:val="Compact"/>
              <w:jc w:val="left"/>
            </w:pPr>
            <w:r>
              <w:t xml:space="preserve">Locale</w:t>
            </w:r>
          </w:p>
        </w:tc>
        <w:tc>
          <w:tcPr/>
          <w:p>
            <w:pPr>
              <w:pStyle w:val="Compact"/>
              <w:jc w:val="left"/>
            </w:pPr>
            <w:r>
              <w:t xml:space="preserve">1 goutte × 4-6/j × 5-7 j</w:t>
            </w:r>
          </w:p>
        </w:tc>
        <w:tc>
          <w:tcPr/>
          <w:p>
            <w:pPr>
              <w:pStyle w:val="Compact"/>
              <w:jc w:val="left"/>
            </w:pPr>
            <w:r>
              <w:t xml:space="preserve">Allergie sulfamides/chloramphénicol, G6PD, lentilles, 3e T</w:t>
            </w:r>
          </w:p>
        </w:tc>
        <w:tc>
          <w:tcPr/>
          <w:p>
            <w:pPr>
              <w:pStyle w:val="Compact"/>
              <w:jc w:val="left"/>
            </w:pPr>
            <w:r>
              <w:t xml:space="preserve">3e T à éviter</w:t>
            </w:r>
          </w:p>
        </w:tc>
        <w:tc>
          <w:tcPr/>
          <w:p>
            <w:pPr>
              <w:pStyle w:val="Compact"/>
              <w:jc w:val="left"/>
            </w:pPr>
            <w:r>
              <w:t xml:space="preserve">Espacer autres collyres 15 min</w:t>
            </w:r>
          </w:p>
        </w:tc>
      </w:tr>
      <w:tr>
        <w:tc>
          <w:tcPr/>
          <w:p>
            <w:pPr>
              <w:pStyle w:val="Compact"/>
              <w:jc w:val="left"/>
            </w:pPr>
            <w:r>
              <w:t xml:space="preserve">5</w:t>
            </w:r>
          </w:p>
        </w:tc>
        <w:tc>
          <w:tcPr/>
          <w:p>
            <w:pPr>
              <w:pStyle w:val="Compact"/>
              <w:jc w:val="left"/>
            </w:pPr>
            <w:r>
              <w:t xml:space="preserve">Salazosulfapyridine (Sulfasalazine)</w:t>
            </w:r>
          </w:p>
        </w:tc>
        <w:tc>
          <w:tcPr/>
          <w:p>
            <w:pPr>
              <w:pStyle w:val="Compact"/>
              <w:jc w:val="left"/>
            </w:pPr>
            <w:r>
              <w:t xml:space="preserve">Prodrogue azoïque → 5-ASA + sulfapyridine</w:t>
            </w:r>
          </w:p>
        </w:tc>
        <w:tc>
          <w:tcPr/>
          <w:p>
            <w:pPr>
              <w:pStyle w:val="Compact"/>
              <w:jc w:val="left"/>
            </w:pPr>
            <w:r>
              <w:t xml:space="preserve">Anti-inflammatoire intestinal (RCH, Crohn colique) ; DMARD (PR)</w:t>
            </w:r>
          </w:p>
        </w:tc>
        <w:tc>
          <w:tcPr/>
          <w:p>
            <w:pPr>
              <w:pStyle w:val="Compact"/>
              <w:jc w:val="left"/>
            </w:pPr>
            <w:r>
              <w:t xml:space="preserve">6-10</w:t>
            </w:r>
          </w:p>
        </w:tc>
        <w:tc>
          <w:tcPr/>
          <w:p>
            <w:pPr>
              <w:pStyle w:val="Compact"/>
              <w:jc w:val="left"/>
            </w:pPr>
            <w:r>
              <w:t xml:space="preserve">Rénale + fécale</w:t>
            </w:r>
          </w:p>
        </w:tc>
        <w:tc>
          <w:tcPr/>
          <w:p>
            <w:pPr>
              <w:pStyle w:val="Compact"/>
              <w:jc w:val="left"/>
            </w:pPr>
            <w:r>
              <w:t xml:space="preserve">2-3 g/j PO (progressif)</w:t>
            </w:r>
          </w:p>
        </w:tc>
        <w:tc>
          <w:tcPr/>
          <w:p>
            <w:pPr>
              <w:pStyle w:val="Compact"/>
              <w:jc w:val="left"/>
            </w:pPr>
            <w:r>
              <w:t xml:space="preserve">G6PD, IR sévère, 3e T &gt; 2 g/j, porphyrie</w:t>
            </w:r>
          </w:p>
        </w:tc>
        <w:tc>
          <w:tcPr/>
          <w:p>
            <w:pPr>
              <w:pStyle w:val="Compact"/>
              <w:jc w:val="left"/>
            </w:pPr>
            <w:r>
              <w:t xml:space="preserve">Compatible à ≤ 2 g/j ; supplémentation acide folique</w:t>
            </w:r>
          </w:p>
        </w:tc>
        <w:tc>
          <w:tcPr/>
          <w:p>
            <w:pPr>
              <w:pStyle w:val="Compact"/>
              <w:jc w:val="left"/>
            </w:pPr>
            <w:r>
              <w:t xml:space="preserve">AVK, digoxine, folates, fer, MTX</w:t>
            </w:r>
          </w:p>
        </w:tc>
      </w:tr>
      <w:tr>
        <w:tc>
          <w:tcPr/>
          <w:p>
            <w:pPr>
              <w:pStyle w:val="Compact"/>
              <w:jc w:val="left"/>
            </w:pPr>
            <w:r>
              <w:t xml:space="preserve">6</w:t>
            </w:r>
          </w:p>
        </w:tc>
        <w:tc>
          <w:tcPr/>
          <w:p>
            <w:pPr>
              <w:pStyle w:val="Compact"/>
              <w:jc w:val="left"/>
            </w:pPr>
            <w:r>
              <w:t xml:space="preserve">Métronidazole</w:t>
            </w:r>
          </w:p>
        </w:tc>
        <w:tc>
          <w:tcPr/>
          <w:p>
            <w:pPr>
              <w:pStyle w:val="Compact"/>
              <w:jc w:val="left"/>
            </w:pPr>
            <w:r>
              <w:t xml:space="preserve">Nitro-imidazolé</w:t>
            </w:r>
          </w:p>
        </w:tc>
        <w:tc>
          <w:tcPr/>
          <w:p>
            <w:pPr>
              <w:pStyle w:val="Compact"/>
              <w:jc w:val="left"/>
            </w:pPr>
            <w:r>
              <w:t xml:space="preserve">Anaérobies stricts,</w:t>
            </w:r>
            <w:r>
              <w:t xml:space="preserve"> </w:t>
            </w:r>
            <w:r>
              <w:rPr>
                <w:i/>
                <w:iCs/>
              </w:rPr>
              <w:t xml:space="preserve">Trichomonas</w:t>
            </w:r>
            <w:r>
              <w:t xml:space="preserve">,</w:t>
            </w:r>
            <w:r>
              <w:t xml:space="preserve"> </w:t>
            </w:r>
            <w:r>
              <w:rPr>
                <w:i/>
                <w:iCs/>
              </w:rPr>
              <w:t xml:space="preserve">Giardia</w:t>
            </w:r>
            <w:r>
              <w:t xml:space="preserve">,</w:t>
            </w:r>
            <w:r>
              <w:t xml:space="preserve"> </w:t>
            </w:r>
            <w:r>
              <w:rPr>
                <w:i/>
                <w:iCs/>
              </w:rPr>
              <w:t xml:space="preserve">Entamoeba</w:t>
            </w:r>
            <w:r>
              <w:t xml:space="preserve">,</w:t>
            </w:r>
            <w:r>
              <w:t xml:space="preserve"> </w:t>
            </w:r>
            <w:r>
              <w:rPr>
                <w:i/>
                <w:iCs/>
              </w:rPr>
              <w:t xml:space="preserve">H. pylori</w:t>
            </w:r>
            <w:r>
              <w:t xml:space="preserve">,</w:t>
            </w:r>
            <w:r>
              <w:t xml:space="preserve"> </w:t>
            </w:r>
            <w:r>
              <w:rPr>
                <w:i/>
                <w:iCs/>
              </w:rPr>
              <w:t xml:space="preserve">Gardnerella</w:t>
            </w:r>
          </w:p>
        </w:tc>
        <w:tc>
          <w:tcPr/>
          <w:p>
            <w:pPr>
              <w:pStyle w:val="Compact"/>
              <w:jc w:val="left"/>
            </w:pPr>
            <w:r>
              <w:t xml:space="preserve">8</w:t>
            </w:r>
          </w:p>
        </w:tc>
        <w:tc>
          <w:tcPr/>
          <w:p>
            <w:pPr>
              <w:pStyle w:val="Compact"/>
              <w:jc w:val="left"/>
            </w:pPr>
            <w:r>
              <w:t xml:space="preserve">Rénale (métabolites)</w:t>
            </w:r>
          </w:p>
        </w:tc>
        <w:tc>
          <w:tcPr/>
          <w:p>
            <w:pPr>
              <w:pStyle w:val="Compact"/>
              <w:jc w:val="left"/>
            </w:pPr>
            <w:r>
              <w:t xml:space="preserve">500 mg × 3/j ; 2 g monodose (trichomonase)</w:t>
            </w:r>
          </w:p>
        </w:tc>
        <w:tc>
          <w:tcPr/>
          <w:p>
            <w:pPr>
              <w:pStyle w:val="Compact"/>
              <w:jc w:val="left"/>
            </w:pPr>
            <w:r>
              <w:t xml:space="preserve">1er T, alcool, disulfirame, neuropathie</w:t>
            </w:r>
          </w:p>
        </w:tc>
        <w:tc>
          <w:tcPr/>
          <w:p>
            <w:pPr>
              <w:pStyle w:val="Compact"/>
              <w:jc w:val="left"/>
            </w:pPr>
            <w:r>
              <w:t xml:space="preserve">1er T CI ; 2e-3e T ponctuel ; allaitement suspendre 24-48 h</w:t>
            </w:r>
          </w:p>
        </w:tc>
        <w:tc>
          <w:tcPr/>
          <w:p>
            <w:pPr>
              <w:pStyle w:val="Compact"/>
              <w:jc w:val="left"/>
            </w:pPr>
            <w:r>
              <w:t xml:space="preserve">Alcool (Antabuse), AVK (INR↑), disulfirame (CI), busulfan, phénytoïne</w:t>
            </w:r>
          </w:p>
        </w:tc>
      </w:tr>
      <w:tr>
        <w:tc>
          <w:tcPr/>
          <w:p>
            <w:pPr>
              <w:pStyle w:val="Compact"/>
              <w:jc w:val="left"/>
            </w:pPr>
            <w:r>
              <w:t xml:space="preserve">7</w:t>
            </w:r>
          </w:p>
        </w:tc>
        <w:tc>
          <w:tcPr/>
          <w:p>
            <w:pPr>
              <w:pStyle w:val="Compact"/>
              <w:jc w:val="left"/>
            </w:pPr>
            <w:r>
              <w:t xml:space="preserve">Tinidazole</w:t>
            </w:r>
          </w:p>
        </w:tc>
        <w:tc>
          <w:tcPr/>
          <w:p>
            <w:pPr>
              <w:pStyle w:val="Compact"/>
              <w:jc w:val="left"/>
            </w:pPr>
            <w:r>
              <w:t xml:space="preserve">Nitro-imidazolé</w:t>
            </w:r>
          </w:p>
        </w:tc>
        <w:tc>
          <w:tcPr/>
          <w:p>
            <w:pPr>
              <w:pStyle w:val="Compact"/>
              <w:jc w:val="left"/>
            </w:pPr>
            <w:r>
              <w:t xml:space="preserve">Idem métronidazole</w:t>
            </w:r>
          </w:p>
        </w:tc>
        <w:tc>
          <w:tcPr/>
          <w:p>
            <w:pPr>
              <w:pStyle w:val="Compact"/>
              <w:jc w:val="left"/>
            </w:pPr>
            <w:r>
              <w:t xml:space="preserve">12-14</w:t>
            </w:r>
          </w:p>
        </w:tc>
        <w:tc>
          <w:tcPr/>
          <w:p>
            <w:pPr>
              <w:pStyle w:val="Compact"/>
              <w:jc w:val="left"/>
            </w:pPr>
            <w:r>
              <w:t xml:space="preserve">Rénale</w:t>
            </w:r>
          </w:p>
        </w:tc>
        <w:tc>
          <w:tcPr/>
          <w:p>
            <w:pPr>
              <w:pStyle w:val="Compact"/>
              <w:jc w:val="left"/>
            </w:pPr>
            <w:r>
              <w:t xml:space="preserve">2 g monodose ; 1 g/j × 5 j</w:t>
            </w:r>
          </w:p>
        </w:tc>
        <w:tc>
          <w:tcPr/>
          <w:p>
            <w:pPr>
              <w:pStyle w:val="Compact"/>
              <w:jc w:val="left"/>
            </w:pPr>
            <w:r>
              <w:t xml:space="preserve">1er T, alcool, disulfirame</w:t>
            </w:r>
          </w:p>
        </w:tc>
        <w:tc>
          <w:tcPr/>
          <w:p>
            <w:pPr>
              <w:pStyle w:val="Compact"/>
              <w:jc w:val="left"/>
            </w:pPr>
            <w:r>
              <w:t xml:space="preserve">1er T CI ; allaitement suspendre 72 h</w:t>
            </w:r>
          </w:p>
        </w:tc>
        <w:tc>
          <w:tcPr/>
          <w:p>
            <w:pPr>
              <w:pStyle w:val="Compact"/>
              <w:jc w:val="left"/>
            </w:pPr>
            <w:r>
              <w:t xml:space="preserve">Alcool (Antabuse 72 h), AVK, disulfirame</w:t>
            </w:r>
          </w:p>
        </w:tc>
      </w:tr>
      <w:tr>
        <w:tc>
          <w:tcPr/>
          <w:p>
            <w:pPr>
              <w:pStyle w:val="Compact"/>
              <w:jc w:val="left"/>
            </w:pPr>
            <w:r>
              <w:t xml:space="preserve">8</w:t>
            </w:r>
          </w:p>
        </w:tc>
        <w:tc>
          <w:tcPr/>
          <w:p>
            <w:pPr>
              <w:pStyle w:val="Compact"/>
              <w:jc w:val="left"/>
            </w:pPr>
            <w:r>
              <w:t xml:space="preserve">Ornidazole</w:t>
            </w:r>
          </w:p>
        </w:tc>
        <w:tc>
          <w:tcPr/>
          <w:p>
            <w:pPr>
              <w:pStyle w:val="Compact"/>
              <w:jc w:val="left"/>
            </w:pPr>
            <w:r>
              <w:t xml:space="preserve">Nitro-imidazolé</w:t>
            </w:r>
          </w:p>
        </w:tc>
        <w:tc>
          <w:tcPr/>
          <w:p>
            <w:pPr>
              <w:pStyle w:val="Compact"/>
              <w:jc w:val="left"/>
            </w:pPr>
            <w:r>
              <w:t xml:space="preserve">Idem métronidazole</w:t>
            </w:r>
          </w:p>
        </w:tc>
        <w:tc>
          <w:tcPr/>
          <w:p>
            <w:pPr>
              <w:pStyle w:val="Compact"/>
              <w:jc w:val="left"/>
            </w:pPr>
            <w:r>
              <w:t xml:space="preserve">12-13</w:t>
            </w:r>
          </w:p>
        </w:tc>
        <w:tc>
          <w:tcPr/>
          <w:p>
            <w:pPr>
              <w:pStyle w:val="Compact"/>
              <w:jc w:val="left"/>
            </w:pPr>
            <w:r>
              <w:t xml:space="preserve">Rénale</w:t>
            </w:r>
          </w:p>
        </w:tc>
        <w:tc>
          <w:tcPr/>
          <w:p>
            <w:pPr>
              <w:pStyle w:val="Compact"/>
              <w:jc w:val="left"/>
            </w:pPr>
            <w:r>
              <w:t xml:space="preserve">1,5 g monodose ; 500 mg × 2/j × 5 j</w:t>
            </w:r>
          </w:p>
        </w:tc>
        <w:tc>
          <w:tcPr/>
          <w:p>
            <w:pPr>
              <w:pStyle w:val="Compact"/>
              <w:jc w:val="left"/>
            </w:pPr>
            <w:r>
              <w:t xml:space="preserve">1er T, alcool, disulfirame, somnolence</w:t>
            </w:r>
          </w:p>
        </w:tc>
        <w:tc>
          <w:tcPr/>
          <w:p>
            <w:pPr>
              <w:pStyle w:val="Compact"/>
              <w:jc w:val="left"/>
            </w:pPr>
            <w:r>
              <w:t xml:space="preserve">1er T CI ; allaitement suspendre 72 h</w:t>
            </w:r>
          </w:p>
        </w:tc>
        <w:tc>
          <w:tcPr/>
          <w:p>
            <w:pPr>
              <w:pStyle w:val="Compact"/>
              <w:jc w:val="left"/>
            </w:pPr>
            <w:r>
              <w:t xml:space="preserve">Alcool, AVK, disulfirame ; prudence conduite</w:t>
            </w:r>
          </w:p>
        </w:tc>
      </w:tr>
      <w:tr>
        <w:tc>
          <w:tcPr/>
          <w:p>
            <w:pPr>
              <w:pStyle w:val="Compact"/>
              <w:jc w:val="left"/>
            </w:pPr>
            <w:r>
              <w:t xml:space="preserve">9</w:t>
            </w:r>
          </w:p>
        </w:tc>
        <w:tc>
          <w:tcPr/>
          <w:p>
            <w:pPr>
              <w:pStyle w:val="Compact"/>
              <w:jc w:val="left"/>
            </w:pPr>
            <w:r>
              <w:t xml:space="preserve">Sécnidazole</w:t>
            </w:r>
          </w:p>
        </w:tc>
        <w:tc>
          <w:tcPr/>
          <w:p>
            <w:pPr>
              <w:pStyle w:val="Compact"/>
              <w:jc w:val="left"/>
            </w:pPr>
            <w:r>
              <w:t xml:space="preserve">Nitro-imidazolé</w:t>
            </w:r>
          </w:p>
        </w:tc>
        <w:tc>
          <w:tcPr/>
          <w:p>
            <w:pPr>
              <w:pStyle w:val="Compact"/>
              <w:jc w:val="left"/>
            </w:pPr>
            <w:r>
              <w:t xml:space="preserve">Idem métronidazole</w:t>
            </w:r>
          </w:p>
        </w:tc>
        <w:tc>
          <w:tcPr/>
          <w:p>
            <w:pPr>
              <w:pStyle w:val="Compact"/>
              <w:jc w:val="left"/>
            </w:pPr>
            <w:r>
              <w:t xml:space="preserve">17-29</w:t>
            </w:r>
          </w:p>
        </w:tc>
        <w:tc>
          <w:tcPr/>
          <w:p>
            <w:pPr>
              <w:pStyle w:val="Compact"/>
              <w:jc w:val="left"/>
            </w:pPr>
            <w:r>
              <w:t xml:space="preserve">Rénale</w:t>
            </w:r>
          </w:p>
        </w:tc>
        <w:tc>
          <w:tcPr/>
          <w:p>
            <w:pPr>
              <w:pStyle w:val="Compact"/>
              <w:jc w:val="left"/>
            </w:pPr>
            <w:r>
              <w:t xml:space="preserve">2 g monodose (sachet)</w:t>
            </w:r>
          </w:p>
        </w:tc>
        <w:tc>
          <w:tcPr/>
          <w:p>
            <w:pPr>
              <w:pStyle w:val="Compact"/>
              <w:jc w:val="left"/>
            </w:pPr>
            <w:r>
              <w:t xml:space="preserve">1er T, alcool, disulfirame</w:t>
            </w:r>
          </w:p>
        </w:tc>
        <w:tc>
          <w:tcPr/>
          <w:p>
            <w:pPr>
              <w:pStyle w:val="Compact"/>
              <w:jc w:val="left"/>
            </w:pPr>
            <w:r>
              <w:t xml:space="preserve">1er T CI ; allaitement suspendre 72 h</w:t>
            </w:r>
          </w:p>
        </w:tc>
        <w:tc>
          <w:tcPr/>
          <w:p>
            <w:pPr>
              <w:pStyle w:val="Compact"/>
              <w:jc w:val="left"/>
            </w:pPr>
            <w:r>
              <w:t xml:space="preserve">Alcool, AVK, disulfirame</w:t>
            </w:r>
          </w:p>
        </w:tc>
      </w:tr>
      <w:tr>
        <w:tc>
          <w:tcPr/>
          <w:p>
            <w:pPr>
              <w:pStyle w:val="Compact"/>
              <w:jc w:val="left"/>
            </w:pPr>
            <w:r>
              <w:t xml:space="preserve">10</w:t>
            </w:r>
          </w:p>
        </w:tc>
        <w:tc>
          <w:tcPr/>
          <w:p>
            <w:pPr>
              <w:pStyle w:val="Compact"/>
              <w:jc w:val="left"/>
            </w:pPr>
            <w:r>
              <w:t xml:space="preserve">Métronidazole + Miconazole</w:t>
            </w:r>
          </w:p>
        </w:tc>
        <w:tc>
          <w:tcPr/>
          <w:p>
            <w:pPr>
              <w:pStyle w:val="Compact"/>
              <w:jc w:val="left"/>
            </w:pPr>
            <w:r>
              <w:t xml:space="preserve">Nitro-imidazolé + Imidazolé antifongique (gynéco)</w:t>
            </w:r>
          </w:p>
        </w:tc>
        <w:tc>
          <w:tcPr/>
          <w:p>
            <w:pPr>
              <w:pStyle w:val="Compact"/>
              <w:jc w:val="left"/>
            </w:pPr>
            <w:r>
              <w:t xml:space="preserve">Vaginite mixte (Gardnerella + Candida + Trichomonas)</w:t>
            </w:r>
          </w:p>
        </w:tc>
        <w:tc>
          <w:tcPr/>
          <w:p>
            <w:pPr>
              <w:pStyle w:val="Compact"/>
              <w:jc w:val="left"/>
            </w:pPr>
            <w:r>
              <w:t xml:space="preserve">Locale + systémique minime</w:t>
            </w:r>
          </w:p>
        </w:tc>
        <w:tc>
          <w:tcPr/>
          <w:p>
            <w:pPr>
              <w:pStyle w:val="Compact"/>
              <w:jc w:val="left"/>
            </w:pPr>
            <w:r>
              <w:t xml:space="preserve">Variable</w:t>
            </w:r>
          </w:p>
        </w:tc>
        <w:tc>
          <w:tcPr/>
          <w:p>
            <w:pPr>
              <w:pStyle w:val="Compact"/>
              <w:jc w:val="left"/>
            </w:pPr>
            <w:r>
              <w:t xml:space="preserve">1 ovule 750/200 mg/j × 7 j</w:t>
            </w:r>
          </w:p>
        </w:tc>
        <w:tc>
          <w:tcPr/>
          <w:p>
            <w:pPr>
              <w:pStyle w:val="Compact"/>
              <w:jc w:val="left"/>
            </w:pPr>
            <w:r>
              <w:t xml:space="preserve">1er T, alcool, latex, AVK</w:t>
            </w:r>
          </w:p>
        </w:tc>
        <w:tc>
          <w:tcPr/>
          <w:p>
            <w:pPr>
              <w:pStyle w:val="Compact"/>
              <w:jc w:val="left"/>
            </w:pPr>
            <w:r>
              <w:t xml:space="preserve">1er T CI ; 2e-3e T ponctuel ; allaitement suspendre 24-48 h</w:t>
            </w:r>
          </w:p>
        </w:tc>
        <w:tc>
          <w:tcPr/>
          <w:p>
            <w:pPr>
              <w:pStyle w:val="Compact"/>
              <w:jc w:val="left"/>
            </w:pPr>
            <w:r>
              <w:t xml:space="preserve">Alcool, AVK (métronidazole + miconazole → INR↑), latex</w:t>
            </w:r>
          </w:p>
        </w:tc>
      </w:tr>
      <w:tr>
        <w:tc>
          <w:tcPr/>
          <w:p>
            <w:pPr>
              <w:pStyle w:val="Compact"/>
              <w:jc w:val="left"/>
            </w:pPr>
            <w:r>
              <w:t xml:space="preserve">11</w:t>
            </w:r>
          </w:p>
        </w:tc>
        <w:tc>
          <w:tcPr/>
          <w:p>
            <w:pPr>
              <w:pStyle w:val="Compact"/>
              <w:jc w:val="left"/>
            </w:pPr>
            <w:r>
              <w:t xml:space="preserve">Métronidazole + Néomycine + Nystatine</w:t>
            </w:r>
          </w:p>
        </w:tc>
        <w:tc>
          <w:tcPr/>
          <w:p>
            <w:pPr>
              <w:pStyle w:val="Compact"/>
              <w:jc w:val="left"/>
            </w:pPr>
            <w:r>
              <w:t xml:space="preserve">Nitro-imidazolé + Aminoside + Polyène (gynéco)</w:t>
            </w:r>
          </w:p>
        </w:tc>
        <w:tc>
          <w:tcPr/>
          <w:p>
            <w:pPr>
              <w:pStyle w:val="Compact"/>
              <w:jc w:val="left"/>
            </w:pPr>
            <w:r>
              <w:t xml:space="preserve">Vaginite polymicrobienne (anaérobie + aérobie + Candida + Trichomonas)</w:t>
            </w:r>
          </w:p>
        </w:tc>
        <w:tc>
          <w:tcPr/>
          <w:p>
            <w:pPr>
              <w:pStyle w:val="Compact"/>
              <w:jc w:val="left"/>
            </w:pPr>
            <w:r>
              <w:t xml:space="preserve">Locale + systémique minime</w:t>
            </w:r>
          </w:p>
        </w:tc>
        <w:tc>
          <w:tcPr/>
          <w:p>
            <w:pPr>
              <w:pStyle w:val="Compact"/>
              <w:jc w:val="left"/>
            </w:pPr>
            <w:r>
              <w:t xml:space="preserve">Variable</w:t>
            </w:r>
          </w:p>
        </w:tc>
        <w:tc>
          <w:tcPr/>
          <w:p>
            <w:pPr>
              <w:pStyle w:val="Compact"/>
              <w:jc w:val="left"/>
            </w:pPr>
            <w:r>
              <w:t xml:space="preserve">1 cp vaginal/j × 10 j</w:t>
            </w:r>
          </w:p>
        </w:tc>
        <w:tc>
          <w:tcPr/>
          <w:p>
            <w:pPr>
              <w:pStyle w:val="Compact"/>
              <w:jc w:val="left"/>
            </w:pPr>
            <w:r>
              <w:t xml:space="preserve">1er T, alcool, latex, néomycine (myasthénie)</w:t>
            </w:r>
          </w:p>
        </w:tc>
        <w:tc>
          <w:tcPr/>
          <w:p>
            <w:pPr>
              <w:pStyle w:val="Compact"/>
              <w:jc w:val="left"/>
            </w:pPr>
            <w:r>
              <w:t xml:space="preserve">1er T CI ; 2e-3e T ponctuel ; allaitement suspendre 24-48 h</w:t>
            </w:r>
          </w:p>
        </w:tc>
        <w:tc>
          <w:tcPr/>
          <w:p>
            <w:pPr>
              <w:pStyle w:val="Compact"/>
              <w:jc w:val="left"/>
            </w:pPr>
            <w:r>
              <w:t xml:space="preserve">Alcool, AVK, néomycine (allergie croisée aminosides)</w:t>
            </w:r>
          </w:p>
        </w:tc>
      </w:tr>
      <w:tr>
        <w:tc>
          <w:tcPr/>
          <w:p>
            <w:pPr>
              <w:pStyle w:val="Compact"/>
              <w:jc w:val="left"/>
            </w:pPr>
            <w:r>
              <w:t xml:space="preserve">12</w:t>
            </w:r>
          </w:p>
        </w:tc>
        <w:tc>
          <w:tcPr/>
          <w:p>
            <w:pPr>
              <w:pStyle w:val="Compact"/>
              <w:jc w:val="left"/>
            </w:pPr>
            <w:r>
              <w:t xml:space="preserve">Furazolidone</w:t>
            </w:r>
          </w:p>
        </w:tc>
        <w:tc>
          <w:tcPr/>
          <w:p>
            <w:pPr>
              <w:pStyle w:val="Compact"/>
              <w:jc w:val="left"/>
            </w:pPr>
            <w:r>
              <w:t xml:space="preserve">Nitrofurane</w:t>
            </w:r>
          </w:p>
        </w:tc>
        <w:tc>
          <w:tcPr/>
          <w:p>
            <w:pPr>
              <w:pStyle w:val="Compact"/>
              <w:jc w:val="left"/>
            </w:pPr>
            <w:r>
              <w:t xml:space="preserve">Diarrhée bactérienne,</w:t>
            </w:r>
            <w:r>
              <w:t xml:space="preserve"> </w:t>
            </w:r>
            <w:r>
              <w:rPr>
                <w:i/>
                <w:iCs/>
              </w:rPr>
              <w:t xml:space="preserve">Giardia</w:t>
            </w:r>
            <w:r>
              <w:t xml:space="preserve">,</w:t>
            </w:r>
            <w:r>
              <w:t xml:space="preserve"> </w:t>
            </w:r>
            <w:r>
              <w:rPr>
                <w:i/>
                <w:iCs/>
              </w:rPr>
              <w:t xml:space="preserve">H. pylori</w:t>
            </w:r>
          </w:p>
        </w:tc>
        <w:tc>
          <w:tcPr/>
          <w:p>
            <w:pPr>
              <w:pStyle w:val="Compact"/>
              <w:jc w:val="left"/>
            </w:pPr>
            <w:r>
              <w:t xml:space="preserve">4-5 (locale)</w:t>
            </w:r>
          </w:p>
        </w:tc>
        <w:tc>
          <w:tcPr/>
          <w:p>
            <w:pPr>
              <w:pStyle w:val="Compact"/>
              <w:jc w:val="left"/>
            </w:pPr>
            <w:r>
              <w:t xml:space="preserve">Fécale + rénale</w:t>
            </w:r>
          </w:p>
        </w:tc>
        <w:tc>
          <w:tcPr/>
          <w:p>
            <w:pPr>
              <w:pStyle w:val="Compact"/>
              <w:jc w:val="left"/>
            </w:pPr>
            <w:r>
              <w:t xml:space="preserve">100 mg × 4/j × 5-7 j</w:t>
            </w:r>
          </w:p>
        </w:tc>
        <w:tc>
          <w:tcPr/>
          <w:p>
            <w:pPr>
              <w:pStyle w:val="Compact"/>
              <w:jc w:val="left"/>
            </w:pPr>
            <w:r>
              <w:t xml:space="preserve">G6PD, 3e T, nourrisson &lt; 1 mois, IMAO, tyramine</w:t>
            </w:r>
          </w:p>
        </w:tc>
        <w:tc>
          <w:tcPr/>
          <w:p>
            <w:pPr>
              <w:pStyle w:val="Compact"/>
              <w:jc w:val="left"/>
            </w:pPr>
            <w:r>
              <w:t xml:space="preserve">3e T CI ; allaitement à éviter</w:t>
            </w:r>
          </w:p>
        </w:tc>
        <w:tc>
          <w:tcPr/>
          <w:p>
            <w:pPr>
              <w:pStyle w:val="Compact"/>
              <w:jc w:val="left"/>
            </w:pPr>
            <w:r>
              <w:t xml:space="preserve">IMAO (CI), tyramine, sympathomimétiques, IRS, alcool</w:t>
            </w:r>
          </w:p>
        </w:tc>
      </w:tr>
      <w:tr>
        <w:tc>
          <w:tcPr/>
          <w:p>
            <w:pPr>
              <w:pStyle w:val="Compact"/>
              <w:jc w:val="left"/>
            </w:pPr>
            <w:r>
              <w:t xml:space="preserve">13</w:t>
            </w:r>
          </w:p>
        </w:tc>
        <w:tc>
          <w:tcPr/>
          <w:p>
            <w:pPr>
              <w:pStyle w:val="Compact"/>
              <w:jc w:val="left"/>
            </w:pPr>
            <w:r>
              <w:t xml:space="preserve">Nifuroxazide</w:t>
            </w:r>
          </w:p>
        </w:tc>
        <w:tc>
          <w:tcPr/>
          <w:p>
            <w:pPr>
              <w:pStyle w:val="Compact"/>
              <w:jc w:val="left"/>
            </w:pPr>
            <w:r>
              <w:t xml:space="preserve">Nitrofurane (intestinal)</w:t>
            </w:r>
          </w:p>
        </w:tc>
        <w:tc>
          <w:tcPr/>
          <w:p>
            <w:pPr>
              <w:pStyle w:val="Compact"/>
              <w:jc w:val="left"/>
            </w:pPr>
            <w:r>
              <w:t xml:space="preserve">Diarrhée bactérienne (E. coli, Salmonella, Shigella, Campylobacter)</w:t>
            </w:r>
          </w:p>
        </w:tc>
        <w:tc>
          <w:tcPr/>
          <w:p>
            <w:pPr>
              <w:pStyle w:val="Compact"/>
              <w:jc w:val="left"/>
            </w:pPr>
            <w:r>
              <w:t xml:space="preserve">Locale</w:t>
            </w:r>
          </w:p>
        </w:tc>
        <w:tc>
          <w:tcPr/>
          <w:p>
            <w:pPr>
              <w:pStyle w:val="Compact"/>
              <w:jc w:val="left"/>
            </w:pPr>
            <w:r>
              <w:t xml:space="preserve">Fécale</w:t>
            </w:r>
          </w:p>
        </w:tc>
        <w:tc>
          <w:tcPr/>
          <w:p>
            <w:pPr>
              <w:pStyle w:val="Compact"/>
              <w:jc w:val="left"/>
            </w:pPr>
            <w:r>
              <w:t xml:space="preserve">200 mg × 4/j × 5-7 j</w:t>
            </w:r>
          </w:p>
        </w:tc>
        <w:tc>
          <w:tcPr/>
          <w:p>
            <w:pPr>
              <w:pStyle w:val="Compact"/>
              <w:jc w:val="left"/>
            </w:pPr>
            <w:r>
              <w:t xml:space="preserve">G6PD, nourrisson &lt; 1 mois, 3e T</w:t>
            </w:r>
          </w:p>
        </w:tc>
        <w:tc>
          <w:tcPr/>
          <w:p>
            <w:pPr>
              <w:pStyle w:val="Compact"/>
              <w:jc w:val="left"/>
            </w:pPr>
            <w:r>
              <w:t xml:space="preserve">3e T à éviter ; allaitement prématuré CI</w:t>
            </w:r>
          </w:p>
        </w:tc>
        <w:tc>
          <w:tcPr/>
          <w:p>
            <w:pPr>
              <w:pStyle w:val="Compact"/>
              <w:jc w:val="left"/>
            </w:pPr>
            <w:r>
              <w:t xml:space="preserve">Allergie croisée nitrofuranes</w:t>
            </w:r>
          </w:p>
        </w:tc>
      </w:tr>
    </w:tbl>
    <w:p>
      <w:r>
        <w:pict>
          <v:rect style="width:0;height:1.5pt" o:hralign="center" o:hrstd="t" o:hr="t"/>
        </w:pict>
      </w:r>
    </w:p>
    <w:bookmarkEnd w:id="190"/>
    <w:bookmarkStart w:id="191" w:name="X9170cd10f04741efa4705073c05abe9ac611570"/>
    <w:p>
      <w:pPr>
        <w:pStyle w:val="Heading2"/>
      </w:pPr>
      <w:r>
        <w:t xml:space="preserve">6.6. Synthèse pédagogique pour la pratique pharmaceutique algérienne</w:t>
      </w:r>
    </w:p>
    <w:p>
      <w:pPr>
        <w:numPr>
          <w:ilvl w:val="0"/>
          <w:numId w:val="1322"/>
        </w:numPr>
      </w:pPr>
      <w:r>
        <w:rPr>
          <w:b/>
          <w:bCs/>
        </w:rPr>
        <w:t xml:space="preserve">Cotrimoxazole = antibiotique à « double blocage » folates</w:t>
      </w:r>
      <w:r>
        <w:t xml:space="preserve"> </w:t>
      </w:r>
      <w:r>
        <w:t xml:space="preserve">: SMX inhibe DHPS (amont), TMP inhibe DHFR (aval) → synergie bactéricide séquentielle. À maîtriser : hyperkaliémie (TMP amiloride-like), interactions AVK/IEC/AINS, rash grave (SJS/TEN, surtout VIH), cristallurie (hydratation +), déficit G6PD, CI 1er/3e trimestre grossesse.</w:t>
      </w:r>
    </w:p>
    <w:p>
      <w:pPr>
        <w:numPr>
          <w:ilvl w:val="0"/>
          <w:numId w:val="1322"/>
        </w:numPr>
      </w:pPr>
      <w:r>
        <w:rPr>
          <w:b/>
          <w:bCs/>
        </w:rPr>
        <w:t xml:space="preserve">Sulfadiazine = toxoplasmose</w:t>
      </w:r>
      <w:r>
        <w:t xml:space="preserve"> </w:t>
      </w:r>
      <w:r>
        <w:t xml:space="preserve">: orale retirée du marché algérien — circuit hospitalier pour toxoplasmose congénitale/cérébrale ; alternative cotrimoxazole dans toxoplasmose cérébrale du VIH. Sulfadiazine argentique = topique des brûlures (ion Ag⁺ + sulfadiazine, double action bactéricide).</w:t>
      </w:r>
    </w:p>
    <w:p>
      <w:pPr>
        <w:numPr>
          <w:ilvl w:val="0"/>
          <w:numId w:val="1322"/>
        </w:numPr>
      </w:pPr>
      <w:r>
        <w:rPr>
          <w:b/>
          <w:bCs/>
        </w:rPr>
        <w:t xml:space="preserve">Sulfasalazine = prodrogue azoïque</w:t>
      </w:r>
      <w:r>
        <w:t xml:space="preserve"> </w:t>
      </w:r>
      <w:r>
        <w:t xml:space="preserve">: clivée par azoreductases coliques → 5-ASA (anti-inflammatoire) + sulfapyridine (DMARD rhumato). Pas un antibiotique malgré sa classification. Pièges : oligospermie réversible chez l’homme, coloration jaune, EI immunoallergiques.</w:t>
      </w:r>
    </w:p>
    <w:p>
      <w:pPr>
        <w:numPr>
          <w:ilvl w:val="0"/>
          <w:numId w:val="1322"/>
        </w:numPr>
      </w:pPr>
      <w:r>
        <w:rPr>
          <w:b/>
          <w:bCs/>
        </w:rPr>
        <w:t xml:space="preserve">Métronidazole = chef de file des nitro-imidazolés</w:t>
      </w:r>
      <w:r>
        <w:t xml:space="preserve"> </w:t>
      </w:r>
      <w:r>
        <w:t xml:space="preserve">: activation par ferredoxine/PFOR en anaérobie → radical nitro cytotoxique → ADN, protéines. Pièges majeurs :</w:t>
      </w:r>
      <w:r>
        <w:t xml:space="preserve"> </w:t>
      </w:r>
      <w:r>
        <w:rPr>
          <w:b/>
          <w:bCs/>
        </w:rPr>
        <w:t xml:space="preserve">alcool (effet Antabuse — éviction pendant + 48 h)</w:t>
      </w:r>
      <w:r>
        <w:t xml:space="preserve">,</w:t>
      </w:r>
      <w:r>
        <w:t xml:space="preserve"> </w:t>
      </w:r>
      <w:r>
        <w:rPr>
          <w:b/>
          <w:bCs/>
        </w:rPr>
        <w:t xml:space="preserve">AVK (INR↑)</w:t>
      </w:r>
      <w:r>
        <w:t xml:space="preserve">,</w:t>
      </w:r>
      <w:r>
        <w:t xml:space="preserve"> </w:t>
      </w:r>
      <w:r>
        <w:rPr>
          <w:b/>
          <w:bCs/>
        </w:rPr>
        <w:t xml:space="preserve">disulfirame (CI absolue, psychose)</w:t>
      </w:r>
      <w:r>
        <w:t xml:space="preserve">,</w:t>
      </w:r>
      <w:r>
        <w:t xml:space="preserve"> </w:t>
      </w:r>
      <w:r>
        <w:rPr>
          <w:b/>
          <w:bCs/>
        </w:rPr>
        <w:t xml:space="preserve">neuropathie périphérique (traitement &gt; 14 j)</w:t>
      </w:r>
      <w:r>
        <w:t xml:space="preserve">,</w:t>
      </w:r>
      <w:r>
        <w:t xml:space="preserve"> </w:t>
      </w:r>
      <w:r>
        <w:rPr>
          <w:b/>
          <w:bCs/>
        </w:rPr>
        <w:t xml:space="preserve">CI 1er trimestre grossesse</w:t>
      </w:r>
      <w:r>
        <w:t xml:space="preserve">.</w:t>
      </w:r>
    </w:p>
    <w:p>
      <w:pPr>
        <w:numPr>
          <w:ilvl w:val="0"/>
          <w:numId w:val="1322"/>
        </w:numPr>
      </w:pPr>
      <w:r>
        <w:rPr>
          <w:b/>
          <w:bCs/>
        </w:rPr>
        <w:t xml:space="preserve">Tinidazole, ornidazole, sécnidazole = alternatives monodose</w:t>
      </w:r>
      <w:r>
        <w:t xml:space="preserve"> </w:t>
      </w:r>
      <w:r>
        <w:t xml:space="preserve">: demi-vie plus longue (12-29 h) → monodose ou biquotidien ; même profil d’EI et d’interactions ; éviction alcool prolongée à 72 h (vs 48 h pour métronidazole).</w:t>
      </w:r>
    </w:p>
    <w:p>
      <w:pPr>
        <w:numPr>
          <w:ilvl w:val="0"/>
          <w:numId w:val="1322"/>
        </w:numPr>
      </w:pPr>
      <w:r>
        <w:rPr>
          <w:b/>
          <w:bCs/>
        </w:rPr>
        <w:t xml:space="preserve">Associations gynécologiques locales</w:t>
      </w:r>
      <w:r>
        <w:t xml:space="preserve"> </w:t>
      </w:r>
      <w:r>
        <w:t xml:space="preserve">: métronidazole + miconazole (LIMENDA), métronidazole + néomycine + nystatine (TERGYNAN, GYNOVAL, GYNODAN) — traitement « tout-en-un » des vaginites polymicrobiennes.</w:t>
      </w:r>
      <w:r>
        <w:t xml:space="preserve"> </w:t>
      </w:r>
      <w:r>
        <w:rPr>
          <w:b/>
          <w:bCs/>
        </w:rPr>
        <w:t xml:space="preserve">Piège : passage systémique du métronidazole → éviction alcool pendant + 48 h, surveillance AVK, miconazole → INR↑++</w:t>
      </w:r>
      <w:r>
        <w:t xml:space="preserve">.</w:t>
      </w:r>
    </w:p>
    <w:p>
      <w:pPr>
        <w:numPr>
          <w:ilvl w:val="0"/>
          <w:numId w:val="1322"/>
        </w:numPr>
      </w:pPr>
      <w:r>
        <w:rPr>
          <w:b/>
          <w:bCs/>
        </w:rPr>
        <w:t xml:space="preserve">Nifuroxazide = nitrofurane intestinal</w:t>
      </w:r>
      <w:r>
        <w:t xml:space="preserve"> </w:t>
      </w:r>
      <w:r>
        <w:t xml:space="preserve">: faible absorption, action locale, EI systémiques rares. À réserver aux diarrhées bactériennes présumées (sans sang, sans fièvre élevée), après avoir privilégié</w:t>
      </w:r>
      <w:r>
        <w:t xml:space="preserve"> </w:t>
      </w:r>
      <w:r>
        <w:rPr>
          <w:b/>
          <w:bCs/>
        </w:rPr>
        <w:t xml:space="preserve">SRO (pilier du traitement)</w:t>
      </w:r>
      <w:r>
        <w:t xml:space="preserve"> </w:t>
      </w:r>
      <w:r>
        <w:t xml:space="preserve">+ smecta. CI : nourrisson &lt; 1 mois, prématuré, G6PD, 3e trimestre grossesse.</w:t>
      </w:r>
    </w:p>
    <w:p>
      <w:pPr>
        <w:numPr>
          <w:ilvl w:val="0"/>
          <w:numId w:val="1322"/>
        </w:numPr>
      </w:pPr>
      <w:r>
        <w:rPr>
          <w:b/>
          <w:bCs/>
        </w:rPr>
        <w:t xml:space="preserve">Furazolidone = nitrofurane retiré</w:t>
      </w:r>
      <w:r>
        <w:t xml:space="preserve"> </w:t>
      </w:r>
      <w:r>
        <w:t xml:space="preserve">: plus disponible en Algérie, mais connaissance nécessaire (littérature médicale). Pièges historiques : IMAO (tyramine, sympathomimétiques, IRS), effet Antabuse, G6PD.</w:t>
      </w:r>
    </w:p>
    <w:p>
      <w:pPr>
        <w:numPr>
          <w:ilvl w:val="0"/>
          <w:numId w:val="1322"/>
        </w:numPr>
      </w:pPr>
      <w:r>
        <w:rPr>
          <w:b/>
          <w:bCs/>
        </w:rPr>
        <w:t xml:space="preserve">Règle d’or — Hydratation</w:t>
      </w:r>
      <w:r>
        <w:t xml:space="preserve"> </w:t>
      </w:r>
      <w:r>
        <w:t xml:space="preserve">: cotrimoxazole (cristallurie), sulfadiazine (cristallurie ++), nifuroxazide (diarrhée déshydratante) → toujours associer hydratation abondante (≥ 2 L/j adulte, SRO chez l’enfant).</w:t>
      </w:r>
    </w:p>
    <w:p>
      <w:pPr>
        <w:numPr>
          <w:ilvl w:val="0"/>
          <w:numId w:val="1322"/>
        </w:numPr>
      </w:pPr>
      <w:r>
        <w:rPr>
          <w:b/>
          <w:bCs/>
        </w:rPr>
        <w:t xml:space="preserve">Règle d’or — Éviction alcool</w:t>
      </w:r>
      <w:r>
        <w:t xml:space="preserve"> </w:t>
      </w:r>
      <w:r>
        <w:t xml:space="preserve">: pour tous les nitro-imidazolés (métronidazole, tinidazole, ornidazole, sécnidazole) — y compris les associations locales gynécologiques. Durée : pendant traitement + 48 h (métronidazole) ou 72 h (tinidazole, ornidazole, sécnidazole). Pour la furazolidone (retirée) : + 4 jours. Le pharmacien doit afficher cette règle au comptoir.</w:t>
      </w:r>
    </w:p>
    <w:p>
      <w:pPr>
        <w:numPr>
          <w:ilvl w:val="0"/>
          <w:numId w:val="1322"/>
        </w:numPr>
      </w:pPr>
      <w:r>
        <w:rPr>
          <w:b/>
          <w:bCs/>
        </w:rPr>
        <w:t xml:space="preserve">Règle d’or — Grossesse</w:t>
      </w:r>
      <w:r>
        <w:t xml:space="preserve"> </w:t>
      </w:r>
      <w:r>
        <w:t xml:space="preserve">: cotrimoxazole, sulfadiazine, métronidazole et apparentés = CI 1er trimestre (anti-folique ou mutagène). Cotrimoxazole et sulfadiazine = CI 3e trimestre (kernictère). Préférer alternatives : phénicollés hors 1er T, céphalosporines, pénicillines, nitrofurantoïne (2e T uniquement), fosfomycine monodose (cystite).</w:t>
      </w:r>
    </w:p>
    <w:p>
      <w:pPr>
        <w:numPr>
          <w:ilvl w:val="0"/>
          <w:numId w:val="1322"/>
        </w:numPr>
      </w:pPr>
      <w:r>
        <w:rPr>
          <w:b/>
          <w:bCs/>
        </w:rPr>
        <w:t xml:space="preserve">Règle d’or — Surveillance NF et fonction rénale</w:t>
      </w:r>
      <w:r>
        <w:t xml:space="preserve"> </w:t>
      </w:r>
      <w:r>
        <w:t xml:space="preserve">: cotrimoxazole (NFS, K+, créatinine), sulfadiazine (NFS, BU, créatinine), sulfasalazine (NFS, transaminases, créatinine tous les 6 mois), métronidazole (NFS si &gt; 10 j).</w:t>
      </w:r>
    </w:p>
    <w:p>
      <w:pPr>
        <w:numPr>
          <w:ilvl w:val="0"/>
          <w:numId w:val="1322"/>
        </w:numPr>
      </w:pPr>
      <w:r>
        <w:rPr>
          <w:b/>
          <w:bCs/>
        </w:rPr>
        <w:t xml:space="preserve">Disponibilité algérienne</w:t>
      </w:r>
      <w:r>
        <w:t xml:space="preserve"> </w:t>
      </w:r>
      <w:r>
        <w:t xml:space="preserve">: le marché algérien est dominé par le métronidazole (40+ marques actives) et le cotrimoxazole (8+ marques actives). La sulfadiazine orale, la furazolidone et plusieurs formes historiques (BACTRIM, FLAGYL original) sont retirées/non renouvelées. Le pharmacien doit connaître les alternatives à proposer et les circuits spécialisés (hospitalo-universitaires pour sulfadiazine toxoplasmose).</w:t>
      </w:r>
    </w:p>
    <w:p>
      <w:r>
        <w:pict>
          <v:rect style="width:0;height:1.5pt" o:hralign="center" o:hrstd="t" o:hr="t"/>
        </w:pict>
      </w:r>
    </w:p>
    <w:p>
      <w:pPr>
        <w:pStyle w:val="BlockText"/>
      </w:pPr>
      <w:r>
        <w:rPr>
          <w:b/>
          <w:bCs/>
        </w:rPr>
        <w:t xml:space="preserve">Fin de la Section 6 — Sulfamides-Antifoliques, Nitro-imidazolés et Nitrofuranes.</w:t>
      </w:r>
    </w:p>
    <w:p>
      <w:pPr>
        <w:pStyle w:val="BlockText"/>
      </w:pPr>
      <w:r>
        <w:rPr>
          <w:b/>
          <w:bCs/>
        </w:rPr>
        <w:t xml:space="preserve">Total DCI traitées : 13</w:t>
      </w:r>
      <w:r>
        <w:t xml:space="preserve"> </w:t>
      </w:r>
      <w:r>
        <w:t xml:space="preserve">(5 sulfamides + 4 nitro-imidazolés systémiques + 2 associations gynécologiques + 2 nitrofuranes).</w:t>
      </w:r>
    </w:p>
    <w:p>
      <w:pPr>
        <w:pStyle w:val="BlockText"/>
      </w:pPr>
      <w:r>
        <w:rPr>
          <w:b/>
          <w:bCs/>
        </w:rPr>
        <w:t xml:space="preserve">Préparation à la compilation :</w:t>
      </w:r>
      <w:r>
        <w:t xml:space="preserve"> </w:t>
      </w:r>
      <w:r>
        <w:t xml:space="preserve">Cette section est prête pour intégration dans le document final (Tâche 9). Vérifier cohérence avec Section 6-a (fluoroquinolones) si traitée séparément.</w:t>
      </w:r>
    </w:p>
    <w:p>
      <w:r>
        <w:pict>
          <v:rect style="width:0;height:1.5pt" o:hralign="center" o:hrstd="t" o:hr="t"/>
        </w:pict>
      </w:r>
    </w:p>
    <w:bookmarkEnd w:id="191"/>
    <w:bookmarkEnd w:id="192"/>
    <w:bookmarkStart w:id="222" w:name="X66b4602e78ae2de5b885f43f810dab870189174"/>
    <w:p>
      <w:pPr>
        <w:pStyle w:val="Heading1"/>
      </w:pPr>
      <w:r>
        <w:t xml:space="preserve">SECTION 7 — GLYCOPEPTIDES, POLYPEPTIDES, LIPOPEPTIDES, AMPHÉNICOLÉS, ACIDE FUSIDIQUE, FOSFOMYCINE</w:t>
      </w:r>
    </w:p>
    <w:bookmarkStart w:id="193" w:name="introduction-générale-de-la-section"/>
    <w:p>
      <w:pPr>
        <w:pStyle w:val="Heading2"/>
      </w:pPr>
      <w:r>
        <w:t xml:space="preserve">7.0 Introduction générale de la section</w:t>
      </w:r>
    </w:p>
    <w:p>
      <w:pPr>
        <w:pStyle w:val="FirstParagraph"/>
      </w:pPr>
      <w:r>
        <w:t xml:space="preserve">Cette section regroupe des antibiotiques de structures chimiques très hétérogènes, mais qui partagent plusieurs caractéristiques communes : (i) ils sont pour la plupart issus de fermentation de</w:t>
      </w:r>
      <w:r>
        <w:t xml:space="preserve"> </w:t>
      </w:r>
      <w:r>
        <w:rPr>
          <w:i/>
          <w:iCs/>
        </w:rPr>
        <w:t xml:space="preserve">Streptomyces</w:t>
      </w:r>
      <w:r>
        <w:t xml:space="preserve"> </w:t>
      </w:r>
      <w:r>
        <w:t xml:space="preserve">ou de</w:t>
      </w:r>
      <w:r>
        <w:t xml:space="preserve"> </w:t>
      </w:r>
      <w:r>
        <w:rPr>
          <w:i/>
          <w:iCs/>
        </w:rPr>
        <w:t xml:space="preserve">Bacillus</w:t>
      </w:r>
      <w:r>
        <w:t xml:space="preserve"> </w:t>
      </w:r>
      <w:r>
        <w:t xml:space="preserve">; (ii) ils sont utilisés essentiellement comme antibiotiques de réserve face aux bactéries multirésistantes (BMR) — staphylocoques résistants à la méticilline (SARM), entérocoques résistants aux glycopeptides (ERV),</w:t>
      </w:r>
      <w:r>
        <w:t xml:space="preserve"> </w:t>
      </w:r>
      <w:r>
        <w:rPr>
          <w:i/>
          <w:iCs/>
        </w:rPr>
        <w:t xml:space="preserve">Pseudomonas aeruginosa</w:t>
      </w:r>
      <w:r>
        <w:t xml:space="preserve"> </w:t>
      </w:r>
      <w:r>
        <w:t xml:space="preserve">et</w:t>
      </w:r>
      <w:r>
        <w:t xml:space="preserve"> </w:t>
      </w:r>
      <w:r>
        <w:rPr>
          <w:i/>
          <w:iCs/>
        </w:rPr>
        <w:t xml:space="preserve">Acinetobacter baumannii</w:t>
      </w:r>
      <w:r>
        <w:t xml:space="preserve"> </w:t>
      </w:r>
      <w:r>
        <w:t xml:space="preserve">producteurs de carbapénémases ; (iii) plusieurs d’entre eux présentent un index thérapeutique étroit imposant un dosage plasmatique (vancomycine, teicoplanine, colistine, aminosides en synergie) ; (iv) enfin, ils couvrent des cibles moléculaires originales — paroi (glycopeptides, bacitracine, fosfomycine), membrane cytoplasmique (lipopeptides, polymyxines), ribosome 50S (amphénicolés), facteur d’élongation G (acide fusidique).</w:t>
      </w:r>
    </w:p>
    <w:p>
      <w:pPr>
        <w:pStyle w:val="BodyText"/>
      </w:pPr>
      <w:r>
        <w:t xml:space="preserve">La disponibilité algérienne de ces molécules est inégale : si la vancomycine, la teicoplanine, la colistine, l’acide fusidique et la fosfomycine orale sont bien représentés par plusieurs fabricants (JULPHAR, HIKMA, VIATRIS, SAIDAL, BIOCARE, ZAMBON, LEO), la daptomycine n’est disponible que sous une seule marque (DAPTOCIN, GENSENTA), le thiamphénicol et la bacitracine ne sont plus commercialisés (NON_RENOUVELABLE ou RETRAIT), et le chloramphénicol systémique a disparu au profit d’usages strictement ophtalmologiques. Cette diversité doit être maîtrisée par le futur pharmacien d’officine algérien, qui sera fréquemment sollicité pour la dispensation de ces molécules critiques, notamment en milieu hospitalier ou pour les prescriptions de ville concernant l’acide fusidique, la fosfomycine et les formes ophtalmologiques/dermiques.</w:t>
      </w:r>
    </w:p>
    <w:p>
      <w:pPr>
        <w:pStyle w:val="BodyText"/>
      </w:pPr>
      <w:r>
        <w:t xml:space="preserve">L’organisation pédagogique de la section suit l’ordre des sous-classes de la nomenclature officielle algérienne (Avril 2026) : Glycopeptides → Polypeptides → Polypeptides (associations locales) → Lipopeptides → Amphénicolés → Acide fusidique → Fosfomycine.</w:t>
      </w:r>
    </w:p>
    <w:p>
      <w:r>
        <w:pict>
          <v:rect style="width:0;height:1.5pt" o:hralign="center" o:hrstd="t" o:hr="t"/>
        </w:pict>
      </w:r>
    </w:p>
    <w:bookmarkEnd w:id="193"/>
    <w:bookmarkStart w:id="197" w:name="sous-classe-glycopeptides"/>
    <w:p>
      <w:pPr>
        <w:pStyle w:val="Heading2"/>
      </w:pPr>
      <w:r>
        <w:t xml:space="preserve">7.1 Sous-classe : Glycopeptides</w:t>
      </w:r>
    </w:p>
    <w:bookmarkStart w:id="194" w:name="introduction-à-la-sous-classe-4"/>
    <w:p>
      <w:pPr>
        <w:pStyle w:val="Heading3"/>
      </w:pPr>
      <w:r>
        <w:t xml:space="preserve">Introduction à la sous-classe</w:t>
      </w:r>
    </w:p>
    <w:p>
      <w:pPr>
        <w:pStyle w:val="FirstParagraph"/>
      </w:pPr>
      <w:r>
        <w:t xml:space="preserve">Les glycopeptides sont des antibiotiques naturels de haut poids moléculaire (1 400–1 900 Da) produits par des actinomycètes du genre</w:t>
      </w:r>
      <w:r>
        <w:t xml:space="preserve"> </w:t>
      </w:r>
      <w:r>
        <w:rPr>
          <w:i/>
          <w:iCs/>
        </w:rPr>
        <w:t xml:space="preserve">Amycolatopsis</w:t>
      </w:r>
      <w:r>
        <w:t xml:space="preserve"> </w:t>
      </w:r>
      <w:r>
        <w:t xml:space="preserve">(vancomycine) et</w:t>
      </w:r>
      <w:r>
        <w:t xml:space="preserve"> </w:t>
      </w:r>
      <w:r>
        <w:rPr>
          <w:i/>
          <w:iCs/>
        </w:rPr>
        <w:t xml:space="preserve">Actinoplanes teichomyceticus</w:t>
      </w:r>
      <w:r>
        <w:t xml:space="preserve"> </w:t>
      </w:r>
      <w:r>
        <w:t xml:space="preserve">(teicoplanine). Ils sont exclusivement actifs sur les bactéries à Gram positif, qu’ils tuent en inhibant la polymérisation du peptidoglycane pariétal par liaison non covalente au motif terminal D-alanyl-D-alanine (D-Ala-D-Ala) des précurseurs de la paroi. Leur spectre englobe les staphylocoques (y compris SARM), les streptocoques, les entérocoques, les pneumocoques pénicillino-résistants,</w:t>
      </w:r>
      <w:r>
        <w:t xml:space="preserve"> </w:t>
      </w:r>
      <w:r>
        <w:rPr>
          <w:i/>
          <w:iCs/>
        </w:rPr>
        <w:t xml:space="preserve">Listeria monocytogenes</w:t>
      </w:r>
      <w:r>
        <w:t xml:space="preserve">,</w:t>
      </w:r>
      <w:r>
        <w:t xml:space="preserve"> </w:t>
      </w:r>
      <w:r>
        <w:rPr>
          <w:i/>
          <w:iCs/>
        </w:rPr>
        <w:t xml:space="preserve">Corynebacterium jeikeium</w:t>
      </w:r>
      <w:r>
        <w:t xml:space="preserve">,</w:t>
      </w:r>
      <w:r>
        <w:t xml:space="preserve"> </w:t>
      </w:r>
      <w:r>
        <w:rPr>
          <w:i/>
          <w:iCs/>
        </w:rPr>
        <w:t xml:space="preserve">Clostridium difficile</w:t>
      </w:r>
      <w:r>
        <w:t xml:space="preserve"> </w:t>
      </w:r>
      <w:r>
        <w:t xml:space="preserve">et les anaérobies à Gram positif. Ils sont inactifs sur les Gram négatifs en raison de l’imperméabilité de la membrane externe.</w:t>
      </w:r>
    </w:p>
    <w:p>
      <w:pPr>
        <w:pStyle w:val="BodyText"/>
      </w:pPr>
      <w:r>
        <w:t xml:space="preserve">Leur pharmacocinétique commune se caractérise par : (i) une absence d’absorption digestive (vancomycine PO utilisée uniquement comme anti-</w:t>
      </w:r>
      <w:r>
        <w:rPr>
          <w:i/>
          <w:iCs/>
        </w:rPr>
        <w:t xml:space="preserve">C. difficile</w:t>
      </w:r>
      <w:r>
        <w:t xml:space="preserve"> </w:t>
      </w:r>
      <w:r>
        <w:t xml:space="preserve">non absorbé) ; (ii) une distribution exclusivement extracellulaire (Vd ~ 0,5–0,9 L/kg) avec faible pénétration intracellulaire, méningée et biliaire ; (iii) une élimination rénale prédominante (&gt; 80 % sous forme inchangée) imposant une adaptation à la fonction rénale ; (iv) une demi-vie d’élimination de 6 à 12 h permettant un espacement des doses (vancomycine : 12 h ; teicoplanine : 24 h). Leur pharmacodynamie est de type bactéricide</w:t>
      </w:r>
      <w:r>
        <w:t xml:space="preserve"> </w:t>
      </w:r>
      <w:r>
        <w:rPr>
          <w:b/>
          <w:bCs/>
        </w:rPr>
        <w:t xml:space="preserve">temps-dépendant</w:t>
      </w:r>
      <w:r>
        <w:t xml:space="preserve"> </w:t>
      </w:r>
      <w:r>
        <w:t xml:space="preserve">avec un index thérapeutique optimal AUC₀₋₂₄/CMI (vancomycine ≥ 400 pour SARM).</w:t>
      </w:r>
    </w:p>
    <w:p>
      <w:pPr>
        <w:pStyle w:val="BodyText"/>
      </w:pPr>
      <w:r>
        <w:t xml:space="preserve">Les glycopeptides constituent, avec les β-lactamines, les antibiotiques de première ligne dans les infections sévères à SARM (bactériémie, endocardite, ostéomyélite, méningite, pneumonie nosocomiale). La vancomycine reste la pierre angulaire ; la teicoplanine offre une meilleure tolérance locale (pas de syndrome de l’homme rouge), une administration unique quotidienne et une possibilité de voie IM, mais une diffusion hématoméningée et pulmonaire moindre. L’émergence des entérocoques résistants (ERV) et des SARM à sensibilité diminuée (CMI vancomycine &gt; 1,5 mg/L, vancomycine</w:t>
      </w:r>
      <w:r>
        <w:t xml:space="preserve"> </w:t>
      </w:r>
      <w:r>
        <w:t xml:space="preserve">“</w:t>
      </w:r>
      <w:r>
        <w:t xml:space="preserve">hétérorésistante</w:t>
      </w:r>
      <w:r>
        <w:t xml:space="preserve">”</w:t>
      </w:r>
      <w:r>
        <w:t xml:space="preserve">) a justifié le développement des lipopeptides (daptomycine), des oxazolidinones (linézolide) et des céphalosporines de 5e génération (ceftaroline).</w:t>
      </w:r>
    </w:p>
    <w:p>
      <w:r>
        <w:pict>
          <v:rect style="width:0;height:1.5pt" o:hralign="center" o:hrstd="t" o:hr="t"/>
        </w:pict>
      </w:r>
    </w:p>
    <w:bookmarkEnd w:id="194"/>
    <w:bookmarkStart w:id="195" w:name="dci-vancomycine-seule"/>
    <w:p>
      <w:pPr>
        <w:pStyle w:val="Heading3"/>
      </w:pPr>
      <w:r>
        <w:t xml:space="preserve">7.1.1 DCI : Vancomycine (Seule)</w:t>
      </w:r>
    </w:p>
    <w:p>
      <w:pPr>
        <w:pStyle w:val="FirstParagraph"/>
      </w:pPr>
      <w:r>
        <w:rPr>
          <w:b/>
          <w:bCs/>
        </w:rPr>
        <w:t xml:space="preserve">Liste des Catégories :</w:t>
      </w:r>
      <w:r>
        <w:t xml:space="preserve"> </w:t>
      </w:r>
      <w:r>
        <w:t xml:space="preserve">Glycopeptides ; Antibiotique de réserve anti-Gram positif ; LISTE I.</w:t>
      </w:r>
    </w:p>
    <w:p>
      <w:pPr>
        <w:pStyle w:val="BodyText"/>
      </w:pPr>
      <w:r>
        <w:t xml:space="preserve">La vancomycine, isolée en 1956 à partir d’</w:t>
      </w:r>
      <w:r>
        <w:rPr>
          <w:i/>
          <w:iCs/>
        </w:rPr>
        <w:t xml:space="preserve">Amycolatopsis orientalis</w:t>
      </w:r>
      <w:r>
        <w:t xml:space="preserve">, tire son nom de l’anglais</w:t>
      </w:r>
      <w:r>
        <w:t xml:space="preserve"> </w:t>
      </w:r>
      <w:r>
        <w:t xml:space="preserve">“</w:t>
      </w:r>
      <w:r>
        <w:rPr>
          <w:i/>
          <w:iCs/>
        </w:rPr>
        <w:t xml:space="preserve">vanquish</w:t>
      </w:r>
      <w:r>
        <w:t xml:space="preserve">”</w:t>
      </w:r>
      <w:r>
        <w:t xml:space="preserve"> </w:t>
      </w:r>
      <w:r>
        <w:t xml:space="preserve">(vaincre). Première molécule de la classe des glycopeptides, elle fut longtemps considérée comme le</w:t>
      </w:r>
      <w:r>
        <w:t xml:space="preserve"> </w:t>
      </w:r>
      <w:r>
        <w:t xml:space="preserve">“</w:t>
      </w:r>
      <w:r>
        <w:t xml:space="preserve">dernier rempart</w:t>
      </w:r>
      <w:r>
        <w:t xml:space="preserve">”</w:t>
      </w:r>
      <w:r>
        <w:t xml:space="preserve"> </w:t>
      </w:r>
      <w:r>
        <w:t xml:space="preserve">face au SARM avant l’arrivée du linézolide, de la daptomycine et de la ceftaroline. Particularité PK majeure : la vancomycine n’est</w:t>
      </w:r>
      <w:r>
        <w:t xml:space="preserve"> </w:t>
      </w:r>
      <w:r>
        <w:rPr>
          <w:b/>
          <w:bCs/>
        </w:rPr>
        <w:t xml:space="preserve">pas absorbée par voie orale</w:t>
      </w:r>
      <w:r>
        <w:t xml:space="preserve"> </w:t>
      </w:r>
      <w:r>
        <w:t xml:space="preserve">— la forme PO est donc exclusivement réservée au traitement des infections à</w:t>
      </w:r>
      <w:r>
        <w:t xml:space="preserve"> </w:t>
      </w:r>
      <w:r>
        <w:rPr>
          <w:i/>
          <w:iCs/>
        </w:rPr>
        <w:t xml:space="preserve">Clostridium difficile</w:t>
      </w:r>
      <w:r>
        <w:t xml:space="preserve"> </w:t>
      </w:r>
      <w:r>
        <w:t xml:space="preserve">(colite pseudomembraneuse), où elle agit par effet de luminal. Pour les infections systémiques (bactériémie, endocardite, méningite), seule la voie IV est active. La vancomycine impose une surveillance thérapeutique obligatoire avec dosage de la concentration résiduelle (Cmin) à l’équilibre, ciblée entre 15 et 20 mg/L dans les infections sévères.</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VANCOLON</w:t>
      </w:r>
      <w:r>
        <w:t xml:space="preserve"> </w:t>
      </w:r>
      <w:r>
        <w:t xml:space="preserve">(GULF PHARMACEUTICAL INDUSTRIES — JULPHAR)</w:t>
      </w:r>
      <w:r>
        <w:t xml:space="preserve"> </w:t>
      </w:r>
      <w:r>
        <w:t xml:space="preserve">- Formes et Dosages : Poudre pour solution injectable IV, 500 mg/flacon</w:t>
      </w:r>
      <w:r>
        <w:t xml:space="preserve"> </w:t>
      </w:r>
      <w:r>
        <w:t xml:space="preserve">- Statut : Actif</w:t>
      </w:r>
      <w:r>
        <w:t xml:space="preserve"> </w:t>
      </w:r>
      <w:r>
        <w:t xml:space="preserve">-</w:t>
      </w:r>
      <w:r>
        <w:t xml:space="preserve"> </w:t>
      </w:r>
      <w:r>
        <w:rPr>
          <w:b/>
          <w:bCs/>
        </w:rPr>
        <w:t xml:space="preserve">HIKMA VANCO</w:t>
      </w:r>
      <w:r>
        <w:t xml:space="preserve"> </w:t>
      </w:r>
      <w:r>
        <w:t xml:space="preserve">(HIKMA PHARMA ALGERIA)</w:t>
      </w:r>
      <w:r>
        <w:t xml:space="preserve"> </w:t>
      </w:r>
      <w:r>
        <w:t xml:space="preserve">- Formes et Dosages : Lyophilisat pour solution à diluer pour perfusion IV, 500 mg/flacon de 10 mL</w:t>
      </w:r>
      <w:r>
        <w:t xml:space="preserve"> </w:t>
      </w:r>
      <w:r>
        <w:t xml:space="preserve">- Statut : Actif</w:t>
      </w:r>
      <w:r>
        <w:t xml:space="preserve"> </w:t>
      </w:r>
      <w:r>
        <w:t xml:space="preserve">-</w:t>
      </w:r>
      <w:r>
        <w:t xml:space="preserve"> </w:t>
      </w:r>
      <w:r>
        <w:rPr>
          <w:b/>
          <w:bCs/>
        </w:rPr>
        <w:t xml:space="preserve">VANCOMYCINE VIATRIS</w:t>
      </w:r>
      <w:r>
        <w:t xml:space="preserve"> </w:t>
      </w:r>
      <w:r>
        <w:t xml:space="preserve">(VIATRIS SANTE)</w:t>
      </w:r>
      <w:r>
        <w:t xml:space="preserve"> </w:t>
      </w:r>
      <w:r>
        <w:t xml:space="preserve">- Formes et Dosages : Poudre pour solution à diluer pour perfusion ou pour solution buvable, 500 mg/flacon</w:t>
      </w:r>
      <w:r>
        <w:t xml:space="preserve"> </w:t>
      </w:r>
      <w:r>
        <w:t xml:space="preserve">- Statut : Actif</w:t>
      </w:r>
      <w:r>
        <w:t xml:space="preserve"> </w:t>
      </w:r>
      <w:r>
        <w:t xml:space="preserve">-</w:t>
      </w:r>
      <w:r>
        <w:t xml:space="preserve"> </w:t>
      </w:r>
      <w:r>
        <w:rPr>
          <w:b/>
          <w:bCs/>
        </w:rPr>
        <w:t xml:space="preserve">VINKAMINE</w:t>
      </w:r>
      <w:r>
        <w:t xml:space="preserve"> </w:t>
      </w:r>
      <w:r>
        <w:t xml:space="preserve">(MS PHARMA — JORDAN)</w:t>
      </w:r>
      <w:r>
        <w:t xml:space="preserve"> </w:t>
      </w:r>
      <w:r>
        <w:t xml:space="preserve">- Formes et Dosages : Poudre pour reconstitution pour solution pour perfusion, 500 mg/flacon</w:t>
      </w:r>
      <w:r>
        <w:t xml:space="preserve"> </w:t>
      </w:r>
      <w:r>
        <w:t xml:space="preserve">- Statut : Actif</w:t>
      </w:r>
      <w:r>
        <w:t xml:space="preserve"> </w:t>
      </w:r>
      <w:r>
        <w:t xml:space="preserve">-</w:t>
      </w:r>
      <w:r>
        <w:t xml:space="preserve"> </w:t>
      </w:r>
      <w:r>
        <w:rPr>
          <w:b/>
          <w:bCs/>
        </w:rPr>
        <w:t xml:space="preserve">VANCOMYCINE WYETH LEDERLE</w:t>
      </w:r>
      <w:r>
        <w:t xml:space="preserve"> </w:t>
      </w:r>
      <w:r>
        <w:t xml:space="preserve">(WYETH LEDERLE)</w:t>
      </w:r>
      <w:r>
        <w:t xml:space="preserve"> </w:t>
      </w:r>
      <w:r>
        <w:t xml:space="preserve">- Formes et Dosages : Poudre pour solution injectable, 500 mg/10 mL</w:t>
      </w:r>
      <w:r>
        <w:t xml:space="preserve"> </w:t>
      </w:r>
      <w:r>
        <w:t xml:space="preserve">- Statut : Non Renouvelable</w:t>
      </w:r>
      <w:r>
        <w:t xml:space="preserve"> </w:t>
      </w:r>
      <w:r>
        <w:t xml:space="preserve">-</w:t>
      </w:r>
      <w:r>
        <w:t xml:space="preserve"> </w:t>
      </w:r>
      <w:r>
        <w:rPr>
          <w:b/>
          <w:bCs/>
        </w:rPr>
        <w:t xml:space="preserve">VANCOMYCINE</w:t>
      </w:r>
      <w:r>
        <w:t xml:space="preserve"> </w:t>
      </w:r>
      <w:r>
        <w:t xml:space="preserve">(MEDICUBA)</w:t>
      </w:r>
      <w:r>
        <w:t xml:space="preserve"> </w:t>
      </w:r>
      <w:r>
        <w:t xml:space="preserve">- Formes et Dosages : Lyophilisat injectable IV, 500 mg/15 mL</w:t>
      </w:r>
      <w:r>
        <w:t xml:space="preserve"> </w:t>
      </w:r>
      <w:r>
        <w:t xml:space="preserve">- Statut : Retiré (R)</w:t>
      </w:r>
    </w:p>
    <w:p>
      <w:pPr>
        <w:pStyle w:val="BodyText"/>
      </w:pPr>
      <w:r>
        <w:rPr>
          <w:b/>
          <w:bCs/>
        </w:rPr>
        <w:t xml:space="preserve">Sous-classe et Mécanisme d’action :</w:t>
      </w:r>
      <w:r>
        <w:t xml:space="preserve"> </w:t>
      </w:r>
      <w:r>
        <w:t xml:space="preserve">- Sous-classe : Glycopeptides de première génération (anti-Gram positif de réserve).</w:t>
      </w:r>
      <w:r>
        <w:t xml:space="preserve"> </w:t>
      </w:r>
      <w:r>
        <w:t xml:space="preserve">- Mécanisme d’action : La vancomycine est un inhibiteur de la synthèse du peptidoglycane pariétal, mais à un stade différent des β-lactamines. Elle se lie par 5 liaisons hydrogène au motif terminal</w:t>
      </w:r>
      <w:r>
        <w:t xml:space="preserve"> </w:t>
      </w:r>
      <w:r>
        <w:rPr>
          <w:b/>
          <w:bCs/>
        </w:rPr>
        <w:t xml:space="preserve">D-alanyl-D-alanine (D-Ala-D-Ala)</w:t>
      </w:r>
      <w:r>
        <w:t xml:space="preserve"> </w:t>
      </w:r>
      <w:r>
        <w:t xml:space="preserve">des précurseurs muréiniques (UDP-MurNAc-pentapeptide) nouvellement synthétisés à la face externe de la membrane cytoplasmique. Cette liaison stérique massive bloque l’action des enzymes de polymérisation pariétale : transglycosylases (qui allongent les chaînes de glycanes) et transpeptidases (qui créent les ponts inter-peptidiques). Le résultat est une inhibition de la réticulation du peptidoglycane, avec accumulation de précurseurs cytoplasmiques et mort cellulaire par lyse osmotique. La vancomycine est</w:t>
      </w:r>
      <w:r>
        <w:t xml:space="preserve"> </w:t>
      </w:r>
      <w:r>
        <w:rPr>
          <w:b/>
          <w:bCs/>
        </w:rPr>
        <w:t xml:space="preserve">bactéricide temps-dépendante</w:t>
      </w:r>
      <w:r>
        <w:t xml:space="preserve"> </w:t>
      </w:r>
      <w:r>
        <w:t xml:space="preserve">(mais bactériostatique sur les entérocoques). Elle présente une action synergique avec les aminosides (gentamicine) sur les entérocoques et les SARM par attaque combinée paroi + ribosome.</w:t>
      </w:r>
    </w:p>
    <w:p>
      <w:pPr>
        <w:pStyle w:val="BodyText"/>
      </w:pPr>
      <w:r>
        <w:rPr>
          <w:b/>
          <w:bCs/>
        </w:rPr>
        <w:t xml:space="preserve">Profil Pharmacologique :</w:t>
      </w:r>
      <w:r>
        <w:t xml:space="preserve"> </w:t>
      </w:r>
      <w:r>
        <w:t xml:space="preserve">- Indications : (1) Infections sévères à Gram positif multirésistant : bactériémie, endocardite (valve native et prothétique en association), méningite à SARM, pneumonie nosocomiale, ostéomyélite, arthrite septique, infections de cathéter ; (2) Infections à entérocoques résistants aux β-lactamines (ampicilline) ; (3) Prophylaxie chirurgicale chez les patients allergiques aux β-lactamines (cardiaque, orthopédique avec matériel) ; (4) Per os : colite à</w:t>
      </w:r>
      <w:r>
        <w:t xml:space="preserve"> </w:t>
      </w:r>
      <w:r>
        <w:rPr>
          <w:i/>
          <w:iCs/>
        </w:rPr>
        <w:t xml:space="preserve">Clostridium difficile</w:t>
      </w:r>
      <w:r>
        <w:t xml:space="preserve"> </w:t>
      </w:r>
      <w:r>
        <w:t xml:space="preserve">modérée à sévère en deuxième intention après métronidazole, ou en cas d’échec/échec de la fidaxomicine ; (5) Per os : staphylococcie intestinale. Spectre : SARM, SRCoNS, streptocoques (A, B, C, G,</w:t>
      </w:r>
      <w:r>
        <w:t xml:space="preserve"> </w:t>
      </w:r>
      <w:r>
        <w:rPr>
          <w:i/>
          <w:iCs/>
        </w:rPr>
        <w:t xml:space="preserve">S. pneumoniae</w:t>
      </w:r>
      <w:r>
        <w:t xml:space="preserve"> </w:t>
      </w:r>
      <w:r>
        <w:t xml:space="preserve">PRP), entérocoques (sensibles — attention ERV),</w:t>
      </w:r>
      <w:r>
        <w:t xml:space="preserve"> </w:t>
      </w:r>
      <w:r>
        <w:rPr>
          <w:i/>
          <w:iCs/>
        </w:rPr>
        <w:t xml:space="preserve">Listeria</w:t>
      </w:r>
      <w:r>
        <w:t xml:space="preserve">,</w:t>
      </w:r>
      <w:r>
        <w:t xml:space="preserve"> </w:t>
      </w:r>
      <w:r>
        <w:rPr>
          <w:i/>
          <w:iCs/>
        </w:rPr>
        <w:t xml:space="preserve">Corynebacterium jeikeium</w:t>
      </w:r>
      <w:r>
        <w:t xml:space="preserve">,</w:t>
      </w:r>
      <w:r>
        <w:t xml:space="preserve"> </w:t>
      </w:r>
      <w:r>
        <w:rPr>
          <w:i/>
          <w:iCs/>
        </w:rPr>
        <w:t xml:space="preserve">Clostridium difficile</w:t>
      </w:r>
      <w:r>
        <w:t xml:space="preserve">,</w:t>
      </w:r>
      <w:r>
        <w:t xml:space="preserve"> </w:t>
      </w:r>
      <w:r>
        <w:rPr>
          <w:i/>
          <w:iCs/>
        </w:rPr>
        <w:t xml:space="preserve">Peptostreptococcus</w:t>
      </w:r>
      <w:r>
        <w:t xml:space="preserve">,</w:t>
      </w:r>
      <w:r>
        <w:t xml:space="preserve"> </w:t>
      </w:r>
      <w:r>
        <w:rPr>
          <w:i/>
          <w:iCs/>
        </w:rPr>
        <w:t xml:space="preserve">Propionibacterium acnes</w:t>
      </w:r>
      <w:r>
        <w:t xml:space="preserve">. Inactif sur tous les Gram négatifs.</w:t>
      </w:r>
      <w:r>
        <w:t xml:space="preserve"> </w:t>
      </w:r>
      <w:r>
        <w:t xml:space="preserve">- Contre-indications : (1) Hypersensibilité à la vancomycine ; (2) Allaitement (voir plus bas) ; (3) Précautions : insuffisance rénale (adaptation obligatoire), ototoxicité préexistante, co-prescription de néphrotoxiques.</w:t>
      </w:r>
      <w:r>
        <w:t xml:space="preserve"> </w:t>
      </w:r>
      <w:r>
        <w:t xml:space="preserve">- Effets Indésirables : (1)</w:t>
      </w:r>
      <w:r>
        <w:t xml:space="preserve"> </w:t>
      </w:r>
      <w:r>
        <w:rPr>
          <w:b/>
          <w:bCs/>
        </w:rPr>
        <w:t xml:space="preserve">Syndrome de l’homme rouge</w:t>
      </w:r>
      <w:r>
        <w:t xml:space="preserve"> </w:t>
      </w:r>
      <w:r>
        <w:t xml:space="preserve">(</w:t>
      </w:r>
      <w:r>
        <w:rPr>
          <w:i/>
          <w:iCs/>
        </w:rPr>
        <w:t xml:space="preserve">Red Man Syndrome</w:t>
      </w:r>
      <w:r>
        <w:t xml:space="preserve">) — réaction anaphylactoïde non IgE-dépendante liée à la libération massive d’histamine par les mastocytes lors d’une perfusion trop rapide (&gt; 500 mg en &lt; 30 min) ; se manifeste par érythème du visage, du cou et du haut du tronc, prurit, hypotension, tachycardie ; disparaît à l’arrêt ou au ralentissement de la perfusion, sans contre-indiquer la poursuite du traitement ; prévenu par perfusion ≥ 60 min pour 1 g et prémédication par antihistaminique H1 si antécédent. (2)</w:t>
      </w:r>
      <w:r>
        <w:t xml:space="preserve"> </w:t>
      </w:r>
      <w:r>
        <w:rPr>
          <w:b/>
          <w:bCs/>
        </w:rPr>
        <w:t xml:space="preserve">Néphrotoxicité</w:t>
      </w:r>
      <w:r>
        <w:t xml:space="preserve"> </w:t>
      </w:r>
      <w:r>
        <w:t xml:space="preserve">— fréquence 5–15 %, liée à l’accumulation tubulaire (transporteur OAT4) et aggravée par les aminosides, les diurétiques de l’anse, les AINS, les produits de contraste iodés ; se manifeste par élévation de la créatinine et du BUN en 5–7 jours ; souvent réversible à l’arrêt. (3)</w:t>
      </w:r>
      <w:r>
        <w:t xml:space="preserve"> </w:t>
      </w:r>
      <w:r>
        <w:rPr>
          <w:b/>
          <w:bCs/>
        </w:rPr>
        <w:t xml:space="preserve">Ototoxicité</w:t>
      </w:r>
      <w:r>
        <w:t xml:space="preserve"> </w:t>
      </w:r>
      <w:r>
        <w:t xml:space="preserve">— rare, mais irréversible (atteinte cochléaire prédominante), favorisée par les fortes concentrations (&gt; 40 mg/L), l’âge avancé et l’association aux aminosides. (4) Thrombopénie et neutropénie (réactions immuno-allergiques, 2e semaine). (5) Phlébite au site de perfusion. (6) Chills et fièvre (réaction pyrogène). (7) Forme PO : nausées, goût métallique.</w:t>
      </w:r>
    </w:p>
    <w:p>
      <w:pPr>
        <w:pStyle w:val="BodyText"/>
      </w:pPr>
      <w:r>
        <w:rPr>
          <w:b/>
          <w:bCs/>
        </w:rPr>
        <w:t xml:space="preserve">Prévention et Gestion des Effets Indésirables :</w:t>
      </w:r>
      <w:r>
        <w:t xml:space="preserve"> </w:t>
      </w:r>
      <w:r>
        <w:t xml:space="preserve">- Mesures Préventives : (a)</w:t>
      </w:r>
      <w:r>
        <w:t xml:space="preserve"> </w:t>
      </w:r>
      <w:r>
        <w:rPr>
          <w:b/>
          <w:bCs/>
        </w:rPr>
        <w:t xml:space="preserve">Perfusion IV lente</w:t>
      </w:r>
      <w:r>
        <w:t xml:space="preserve"> </w:t>
      </w:r>
      <w:r>
        <w:t xml:space="preserve">≥ 60 min pour 1 g (≥ 30 min pour 500 mg) diluée dans 250–500 mL de NaCl 0,9 % ou G5 %, jamais en bolus IV direct ; concentration maximale 5 mg/mL en perfusion périphérique, 10 mg/mL sur voie centrale. (b) Prémédication par antihistaminique H1 (cétirizine 10 mg PO 30 min avant) chez les patients avec antécédent de syndrome de l’homme rouge. (c) Surveillance de la</w:t>
      </w:r>
      <w:r>
        <w:t xml:space="preserve"> </w:t>
      </w:r>
      <w:r>
        <w:rPr>
          <w:b/>
          <w:bCs/>
        </w:rPr>
        <w:t xml:space="preserve">créatininémie</w:t>
      </w:r>
      <w:r>
        <w:t xml:space="preserve"> </w:t>
      </w:r>
      <w:r>
        <w:t xml:space="preserve">à J0, J3, J7 puis 2×/semaine ; clairance créatinine selon Cockcroft. (d)</w:t>
      </w:r>
      <w:r>
        <w:t xml:space="preserve"> </w:t>
      </w:r>
      <w:r>
        <w:rPr>
          <w:b/>
          <w:bCs/>
        </w:rPr>
        <w:t xml:space="preserve">Dosage plasmatique</w:t>
      </w:r>
      <w:r>
        <w:t xml:space="preserve"> </w:t>
      </w:r>
      <w:r>
        <w:t xml:space="preserve">obligatoire : concentration résiduelle (Cmin) avant la 4e perfusion (à l’équilibre à J3–J4) — cible 15–20 mg/L (infections sévères : bactériémie, endocardite, méningite, pneumonie) ou 10–15 mg/L (infections moins sévères). Concentration maximale (Cmax) non mesurée en routine. (e) Surveillance de l’audition chez les patients à risque (âge &gt; 60 ans, IR, aminosides associés).</w:t>
      </w:r>
      <w:r>
        <w:t xml:space="preserve"> </w:t>
      </w:r>
      <w:r>
        <w:t xml:space="preserve">- Conduite à Tenir : (a) En cas de syndrome de l’homme rouge :</w:t>
      </w:r>
      <w:r>
        <w:t xml:space="preserve"> </w:t>
      </w:r>
      <w:r>
        <w:rPr>
          <w:b/>
          <w:bCs/>
        </w:rPr>
        <w:t xml:space="preserve">interrompre la perfusion immédiatement</w:t>
      </w:r>
      <w:r>
        <w:t xml:space="preserve">, réévaluer le patient (TA, FC, saturation), administrer un antihistaminique IV (prométhazine 25 mg ou chlorphénamine 10 mg), puis reprendre la perfusion à débit 2 fois plus lent (sur 2–4 h) après disparition des symptômes ; ne pas confondre avec une véritable allergie IgE-médiée (rare, nécessite arrêt définitif). (b) En cas de néphrotoxicité (créatinine × 1,5) : vérifier la Cmin, allonger l’intervalle entre doses (par exemple passer de 12 h à 24 h ou 48 h), corriger l’hypovolémie, arrêter les néphrotoxiques associés, discuter le switch vers la teicoplanine ou la daptomycine. (c) En cas d’ototoxicité : arrêt définitif et orientation ORL.</w:t>
      </w:r>
    </w:p>
    <w:p>
      <w:pPr>
        <w:pStyle w:val="BodyText"/>
      </w:pPr>
      <w:r>
        <w:rPr>
          <w:b/>
          <w:bCs/>
        </w:rPr>
        <w:t xml:space="preserve">Interactions Importantes :</w:t>
      </w:r>
      <w:r>
        <w:t xml:space="preserve"> </w:t>
      </w:r>
      <w:r>
        <w:t xml:space="preserve">- Aminosides (gentamicine, amikacine) : néphrotoxicité et ototoxicité additives voire synergiques — surveiller étroitement, justifier par la sévérité de l’infection (endocardite à entérocoque).</w:t>
      </w:r>
      <w:r>
        <w:t xml:space="preserve"> </w:t>
      </w:r>
      <w:r>
        <w:t xml:space="preserve">- Diurétiques de l’anse (furosémide) : majoration de la néphrotoxicité et surtout de l’ototoxicité — éviter si possible.</w:t>
      </w:r>
      <w:r>
        <w:t xml:space="preserve"> </w:t>
      </w:r>
      <w:r>
        <w:t xml:space="preserve">- AINS (ibuprofène, kétoprofène) : diminution de la perfusion rénale et majoration de la néphrotoxicité.</w:t>
      </w:r>
      <w:r>
        <w:t xml:space="preserve"> </w:t>
      </w:r>
      <w:r>
        <w:t xml:space="preserve">- Produits de contraste iodés : néphrotoxicité additive — espacer de 48–72 h si possible.</w:t>
      </w:r>
      <w:r>
        <w:t xml:space="preserve"> </w:t>
      </w:r>
      <w:r>
        <w:t xml:space="preserve">- Ciclosporine, tacrolimus : néphrotoxicité synergique — surveillance rapprochée.</w:t>
      </w:r>
      <w:r>
        <w:t xml:space="preserve"> </w:t>
      </w:r>
      <w:r>
        <w:t xml:space="preserve">- Anesthésiques généraux (propofol, sufentanil) : risque d’hypotension et de bouffée histaminique en perfusion peri-opératoire.</w:t>
      </w:r>
      <w:r>
        <w:t xml:space="preserve"> </w:t>
      </w:r>
      <w:r>
        <w:t xml:space="preserve">- Vaccin anti-typhoïdique oral vivant atténué : inhibition de la réponse immunitaire (vancomycine PO active sur la souche vaccinale Ty21a) — espacer de 3 jours.</w:t>
      </w:r>
    </w:p>
    <w:p>
      <w:pPr>
        <w:pStyle w:val="BodyText"/>
      </w:pPr>
      <w:r>
        <w:rPr>
          <w:b/>
          <w:bCs/>
        </w:rPr>
        <w:t xml:space="preserve">Grossesse et Allaitement :</w:t>
      </w:r>
      <w:r>
        <w:t xml:space="preserve"> </w:t>
      </w:r>
      <w:r>
        <w:t xml:space="preserve">- Grossesse : Le CRAT classe la vancomycine en</w:t>
      </w:r>
      <w:r>
        <w:t xml:space="preserve"> </w:t>
      </w:r>
      <w:r>
        <w:t xml:space="preserve">“</w:t>
      </w:r>
      <w:r>
        <w:rPr>
          <w:b/>
          <w:bCs/>
        </w:rPr>
        <w:t xml:space="preserve">envisageable</w:t>
      </w:r>
      <w:r>
        <w:t xml:space="preserve">”</w:t>
      </w:r>
      <w:r>
        <w:t xml:space="preserve"> </w:t>
      </w:r>
      <w:r>
        <w:t xml:space="preserve">à toutes les phases de la grossesse. Les données prospectives (plusieurs milliers de grossesses exposées) ne montrent pas d’augmentation de malformations, de mort fœtale ou de prématurité. La vancomycine traverse le placenta (rapport fœto-maternel ~ 0,5–0,7) avec des concentrations amniotiques et fœtales atteignant 5–10 mg/L après 1 g IV maternel. Indications retenues : endocardite, bactériémie, méningite à SARM, colite sévère à</w:t>
      </w:r>
      <w:r>
        <w:t xml:space="preserve"> </w:t>
      </w:r>
      <w:r>
        <w:rPr>
          <w:i/>
          <w:iCs/>
        </w:rPr>
        <w:t xml:space="preserve">C. difficile</w:t>
      </w:r>
      <w:r>
        <w:t xml:space="preserve"> </w:t>
      </w:r>
      <w:r>
        <w:t xml:space="preserve">(PO). Pour les perfusions : surveiller la perfusion maternelle (syndrome de l’homme rouge mal toléré en raison de l’hypotension pouvant compromettre le retour veineux cave).</w:t>
      </w:r>
      <w:r>
        <w:t xml:space="preserve"> </w:t>
      </w:r>
      <w:r>
        <w:t xml:space="preserve">- Allaitement : Le CRAT considère la vancomycine</w:t>
      </w:r>
      <w:r>
        <w:t xml:space="preserve"> </w:t>
      </w:r>
      <w:r>
        <w:t xml:space="preserve">“</w:t>
      </w:r>
      <w:r>
        <w:rPr>
          <w:b/>
          <w:bCs/>
        </w:rPr>
        <w:t xml:space="preserve">compatible</w:t>
      </w:r>
      <w:r>
        <w:t xml:space="preserve">”</w:t>
      </w:r>
      <w:r>
        <w:t xml:space="preserve"> </w:t>
      </w:r>
      <w:r>
        <w:t xml:space="preserve">avec l’allaitement. Le passage dans le lait maternel est faible (rapport lait/plasma ~ 0,2–0,6), et la biodisponibilité orale chez le nourrisson est quasi nulle (&lt; 1 %), de sorte que l’exposition systémique de l’enfant allaité est négligeable. Seule une modification transitoire de la flore intestinale du nourrisson (diarrhée, candidose) est possible. À signaler à la mère et au pédiatre.</w:t>
      </w:r>
      <w:r>
        <w:t xml:space="preserve"> </w:t>
      </w:r>
      <w:r>
        <w:t xml:space="preserve">- Précisions : La vancomycine PO ne pose aucun problème chez la femme enceinte ou allaitante (absorption nulle). La vancomycine IV en bolus rapide est formellement proscrite chez la femme enceinte (risque d’hypotension aiguë compromettant la perfusion utéro-placentaire).</w:t>
      </w:r>
    </w:p>
    <w:p>
      <w:pPr>
        <w:pStyle w:val="BodyText"/>
      </w:pPr>
      <w:r>
        <w:rPr>
          <w:b/>
          <w:bCs/>
        </w:rPr>
        <w:t xml:space="preserve">Posologie et Mode d’administration (Standard) :</w:t>
      </w:r>
      <w:r>
        <w:t xml:space="preserve"> </w:t>
      </w:r>
      <w:r>
        <w:t xml:space="preserve">- Adulte : (1) Forme IV :</w:t>
      </w:r>
      <w:r>
        <w:t xml:space="preserve"> </w:t>
      </w:r>
      <w:r>
        <w:rPr>
          <w:b/>
          <w:bCs/>
        </w:rPr>
        <w:t xml:space="preserve">15–20 mg/kg toutes les 12 h</w:t>
      </w:r>
      <w:r>
        <w:t xml:space="preserve"> </w:t>
      </w:r>
      <w:r>
        <w:t xml:space="preserve">(soit ~ 1 g/12 h pour 70 kg) en perfusion ≥ 60 min ; dose de charge optionnelle 25–30 mg/kg en perfusion prolongée ≥ 2 h pour atteindre plus vite la cible (endocardite, sepsis sévère). Adaptation par dosage de la Cmin (15–20 mg/L dans les infections sévères). (2) Forme PO : 125 mg × 4/jour pendant 10 jours (colite à</w:t>
      </w:r>
      <w:r>
        <w:t xml:space="preserve"> </w:t>
      </w:r>
      <w:r>
        <w:rPr>
          <w:i/>
          <w:iCs/>
        </w:rPr>
        <w:t xml:space="preserve">C. difficile</w:t>
      </w:r>
      <w:r>
        <w:t xml:space="preserve"> </w:t>
      </w:r>
      <w:r>
        <w:t xml:space="preserve">modérée-sévère) ; 500 mg × 4/jour pendant 10–14 jours dans les formes sévères ou récidivantes ; alternative : 500 mg × 4/jour × 7 jours suivi de 125 mg × 4/jour × 7 jours puis 125 mg × 4/jour × 7 jours ( stratégie de</w:t>
      </w:r>
      <w:r>
        <w:t xml:space="preserve"> </w:t>
      </w:r>
      <w:r>
        <w:rPr>
          <w:i/>
          <w:iCs/>
        </w:rPr>
        <w:t xml:space="preserve">tapering</w:t>
      </w:r>
      <w:r>
        <w:t xml:space="preserve">). (3) Adaptation à l’IR : selon Clairance Créatinine — 30–50 mL/min : 1 g/24–48 h ; 10–30 mL/min : 1 g/48–96 h ; &lt; 10 mL/min : 1 g/5–7 j ou après dialyse (la vancomycine n’est pas dialysable significativement).</w:t>
      </w:r>
      <w:r>
        <w:t xml:space="preserve"> </w:t>
      </w:r>
      <w:r>
        <w:t xml:space="preserve">- Enfant : IV :</w:t>
      </w:r>
      <w:r>
        <w:t xml:space="preserve"> </w:t>
      </w:r>
      <w:r>
        <w:rPr>
          <w:b/>
          <w:bCs/>
        </w:rPr>
        <w:t xml:space="preserve">40–60 mg/kg/jour</w:t>
      </w:r>
      <w:r>
        <w:t xml:space="preserve"> </w:t>
      </w:r>
      <w:r>
        <w:t xml:space="preserve">en 4 perfusions (néonate &gt; 7 j : 10–15 mg/kg/8–12 h) ; prématuré : 15 mg/kg/12–18 h. PO (colite à</w:t>
      </w:r>
      <w:r>
        <w:t xml:space="preserve"> </w:t>
      </w:r>
      <w:r>
        <w:rPr>
          <w:i/>
          <w:iCs/>
        </w:rPr>
        <w:t xml:space="preserve">C. difficile</w:t>
      </w:r>
      <w:r>
        <w:t xml:space="preserve">) : 10 mg/kg × 4/jour × 10 j (max 125 mg × 4/jour si &lt; 12,5 kg ; 500 mg × 4/jour si &gt; 12,5 kg).</w:t>
      </w:r>
      <w:r>
        <w:t xml:space="preserve"> </w:t>
      </w:r>
      <w:r>
        <w:t xml:space="preserve">- Durée : Bactériémie : 14 j ; endocardite valve native : 4–6 semaines ; endocardite prothétique : ≥ 6 semaines ; ostéomyélite : 6 semaines ; méningite : 14–21 j ; colite à</w:t>
      </w:r>
      <w:r>
        <w:t xml:space="preserve"> </w:t>
      </w:r>
      <w:r>
        <w:rPr>
          <w:i/>
          <w:iCs/>
        </w:rPr>
        <w:t xml:space="preserve">C. difficile</w:t>
      </w:r>
      <w:r>
        <w:t xml:space="preserve"> </w:t>
      </w:r>
      <w:r>
        <w:t xml:space="preserve">: 10 j.</w:t>
      </w:r>
      <w:r>
        <w:t xml:space="preserve"> </w:t>
      </w:r>
      <w:r>
        <w:t xml:space="preserve">- Moment de prise : Perfusion IV à débit constant, à heures fixes pour maintenir la Cmin à l’équilibre. Forme PO : à jeun de préférence, 1 h avant ou 2 h après les repas.</w:t>
      </w:r>
    </w:p>
    <w:p>
      <w:pPr>
        <w:pStyle w:val="BodyText"/>
      </w:pPr>
      <w:r>
        <w:rPr>
          <w:b/>
          <w:bCs/>
        </w:rPr>
        <w:t xml:space="preserve">Arbitrage et Bénéfices des Formes Galéniques :</w:t>
      </w:r>
      <w:r>
        <w:t xml:space="preserve"> </w:t>
      </w:r>
      <w:r>
        <w:t xml:space="preserve">La vancomycine présente une particularité galénique unique :</w:t>
      </w:r>
      <w:r>
        <w:t xml:space="preserve"> </w:t>
      </w:r>
      <w:r>
        <w:rPr>
          <w:b/>
          <w:bCs/>
        </w:rPr>
        <w:t xml:space="preserve">la même poudre (chlorhydrate de vancomycine) peut être utilisée pour la voie IV et pour la voie orale</w:t>
      </w:r>
      <w:r>
        <w:t xml:space="preserve">. Cependant, en Algérie, les spécialités disponibles (VANCOLON, HIKMA VANCO, VANCOMYCINE VIATRIS, VINKAMINE) ont toutes l’AMM pour la voie IV (lyophilisat/poudre pour perfusion) ; la VANCOMYCINE VIATRIS mentionne explicitement</w:t>
      </w:r>
      <w:r>
        <w:t xml:space="preserve"> </w:t>
      </w:r>
      <w:r>
        <w:t xml:space="preserve">“</w:t>
      </w:r>
      <w:r>
        <w:t xml:space="preserve">ou pour solution buvable</w:t>
      </w:r>
      <w:r>
        <w:t xml:space="preserve">”</w:t>
      </w:r>
      <w:r>
        <w:t xml:space="preserve">. Pour l’usage PO comme anti-</w:t>
      </w:r>
      <w:r>
        <w:rPr>
          <w:i/>
          <w:iCs/>
        </w:rPr>
        <w:t xml:space="preserve">C. difficile</w:t>
      </w:r>
      <w:r>
        <w:t xml:space="preserve">, la pratique consiste à reconstituer le flacon IV de 500 mg dans 10 mL d’eau pour préparation injectable, puis à administrer la solution buvable (125 mg = 2,5 mL ; 500 mg = 10 mL). Cette pratique dite</w:t>
      </w:r>
      <w:r>
        <w:t xml:space="preserve"> </w:t>
      </w:r>
      <w:r>
        <w:t xml:space="preserve">“</w:t>
      </w:r>
      <w:r>
        <w:rPr>
          <w:b/>
          <w:bCs/>
        </w:rPr>
        <w:t xml:space="preserve">hors AMM spécifique</w:t>
      </w:r>
      <w:r>
        <w:t xml:space="preserve">”</w:t>
      </w:r>
      <w:r>
        <w:t xml:space="preserve"> </w:t>
      </w:r>
      <w:r>
        <w:t xml:space="preserve">est largement répandue et recommandée par les sociétés savantes (IDSA, ESCMID). Pour les perfusions continues en réanimation, la vancomycine peut être administrée en perfusion continue après dose de charge (15 mg/kg puis 30–60 mg/kg/24 h adaptée à la Cmin prélevée à H24) ; cette stratégie permet de cibler plus rapidement la concentration plateau de 20–25 mg/L. Concernant la voie IM : la vancomycine est</w:t>
      </w:r>
      <w:r>
        <w:t xml:space="preserve"> </w:t>
      </w:r>
      <w:r>
        <w:rPr>
          <w:b/>
          <w:bCs/>
        </w:rPr>
        <w:t xml:space="preserve">trop douloureuse</w:t>
      </w:r>
      <w:r>
        <w:t xml:space="preserve"> </w:t>
      </w:r>
      <w:r>
        <w:t xml:space="preserve">et trop nécrosante en IM — voie proscrite (à la différence de la teicoplanine qui peut être administrée en IM).</w:t>
      </w:r>
    </w:p>
    <w:p>
      <w:pPr>
        <w:pStyle w:val="BodyText"/>
      </w:pPr>
      <w:r>
        <w:rPr>
          <w:b/>
          <w:bCs/>
        </w:rPr>
        <w:t xml:space="preserve">Instructions et Conseils au Patient :</w:t>
      </w:r>
      <w:r>
        <w:t xml:space="preserve"> </w:t>
      </w:r>
      <w:r>
        <w:t xml:space="preserve">- Communication au comptoir (officine) :</w:t>
      </w:r>
      <w:r>
        <w:t xml:space="preserve"> </w:t>
      </w:r>
      <w:r>
        <w:t xml:space="preserve">“</w:t>
      </w:r>
      <w:r>
        <w:t xml:space="preserve">Ce médicament est un antibiotique de réserve qui s’utilise à l’hôpital ou à domicile sur prescription spécialisée. Pour la forme en sachet/flacon à reconstituer pour perfusion, l’infirmière devra respecter un débit lent (au moins 1 heure pour un flacon). En cas de prise par voie orale (colite à</w:t>
      </w:r>
      <w:r>
        <w:t xml:space="preserve"> </w:t>
      </w:r>
      <w:r>
        <w:rPr>
          <w:i/>
          <w:iCs/>
        </w:rPr>
        <w:t xml:space="preserve">C. difficile</w:t>
      </w:r>
      <w:r>
        <w:t xml:space="preserve">), il faut respecter les horaires réguliers toutes les 6 heures, et finir le traitement même si la diarrhée s’arrête.</w:t>
      </w:r>
      <w:r>
        <w:t xml:space="preserve">”</w:t>
      </w:r>
      <w:r>
        <w:t xml:space="preserve"> </w:t>
      </w:r>
      <w:r>
        <w:t xml:space="preserve">- Mode d’utilisation pratique : (1) Conserver les flacons à température &lt; 25 °C, à l’abri de la lumière. (2) Reconstitution avec NaCl 0,9 % ou G5 % exclusivement (jamais d’eau bactériostatique avec alcool benzylique chez le nourrisson). (3) La solution reconstituée est stable 24 h à température ambiante, 14 j au réfrigérateur. (4) Ne jamais administrer en IV directe (bolus) — uniquement en perfusion lente. (5) Prévenir le médecin si survenue d’éruption rouge du visage, de frissons, de vertiges pendant la perfusion.</w:t>
      </w:r>
    </w:p>
    <w:p>
      <w:pPr>
        <w:pStyle w:val="BodyText"/>
      </w:pPr>
      <w:r>
        <w:rPr>
          <w:b/>
          <w:bCs/>
        </w:rPr>
        <w:t xml:space="preserve">Notes, Règles d’Or &amp; Pièges au Comptoir :</w:t>
      </w:r>
      <w:r>
        <w:t xml:space="preserve"> </w:t>
      </w:r>
      <w:r>
        <w:t xml:space="preserve">- Piège classique n°1 :</w:t>
      </w:r>
      <w:r>
        <w:t xml:space="preserve"> </w:t>
      </w:r>
      <w:r>
        <w:rPr>
          <w:b/>
          <w:bCs/>
        </w:rPr>
        <w:t xml:space="preserve">La perfusion IV trop rapide de vancomycine provoque le syndrome de l’homme rouge</w:t>
      </w:r>
      <w:r>
        <w:t xml:space="preserve">, qui n’est PAS une allergie — c’est une réaction anaphylactoïde histaminique dose-dépendante, évitée par la lenteur de perfusion. Ne pas prétendre</w:t>
      </w:r>
      <w:r>
        <w:t xml:space="preserve"> </w:t>
      </w:r>
      <w:r>
        <w:t xml:space="preserve">“</w:t>
      </w:r>
      <w:r>
        <w:t xml:space="preserve">allergique à la vancomycine</w:t>
      </w:r>
      <w:r>
        <w:t xml:space="preserve">”</w:t>
      </w:r>
      <w:r>
        <w:t xml:space="preserve"> </w:t>
      </w:r>
      <w:r>
        <w:t xml:space="preserve">sans vérifier la cinétique de la réaction ; un syndrome de l’homme rouge n’impose pas l’arrêt définitif, mais un ralentissement.</w:t>
      </w:r>
      <w:r>
        <w:t xml:space="preserve"> </w:t>
      </w:r>
      <w:r>
        <w:t xml:space="preserve">- Piège classique n°2 :</w:t>
      </w:r>
      <w:r>
        <w:t xml:space="preserve"> </w:t>
      </w:r>
      <w:r>
        <w:rPr>
          <w:b/>
          <w:bCs/>
        </w:rPr>
        <w:t xml:space="preserve">Vancomycine PO ne traite PAS une infection systémique</w:t>
      </w:r>
      <w:r>
        <w:t xml:space="preserve"> </w:t>
      </w:r>
      <w:r>
        <w:t xml:space="preserve">(septicémie, endocardite) — elle reste dans la lumière intestinale. Le pharmacien doit vérifier que la prescription PO correspond à une indication</w:t>
      </w:r>
      <w:r>
        <w:t xml:space="preserve"> </w:t>
      </w:r>
      <w:r>
        <w:rPr>
          <w:i/>
          <w:iCs/>
        </w:rPr>
        <w:t xml:space="preserve">C. difficile</w:t>
      </w:r>
      <w:r>
        <w:t xml:space="preserve"> </w:t>
      </w:r>
      <w:r>
        <w:t xml:space="preserve">ou staphylococcie intestinale. Une prescription de vancomycine PO pour une angine, une pneumonie ou une bactériémie est une erreur médicale.</w:t>
      </w:r>
      <w:r>
        <w:t xml:space="preserve"> </w:t>
      </w:r>
      <w:r>
        <w:t xml:space="preserve">- Piège classique n°3 :</w:t>
      </w:r>
      <w:r>
        <w:t xml:space="preserve"> </w:t>
      </w:r>
      <w:r>
        <w:rPr>
          <w:b/>
          <w:bCs/>
        </w:rPr>
        <w:t xml:space="preserve">Vancomycine et IR non adaptée = néphrotoxicité grave</w:t>
      </w:r>
      <w:r>
        <w:t xml:space="preserve">. Toute prescription doit être accompagnée d’un dosage de la créatinine initiale et d’un calcul de clairance. La cible Cmin 15–20 mg/L doit être recherchée pour les infections sévères (mais 10–15 mg/L suffit pour les infections moins sévères).</w:t>
      </w:r>
      <w:r>
        <w:t xml:space="preserve"> </w:t>
      </w:r>
      <w:r>
        <w:t xml:space="preserve">- Règle de prise : perfusion ≥ 60 min pour 1 g ; surveillance Cmin avant 4e dose ; surveiller créatinine 2×/semaine.</w:t>
      </w:r>
      <w:r>
        <w:t xml:space="preserve"> </w:t>
      </w:r>
      <w:r>
        <w:t xml:space="preserve">- Préparation et Conservation : poudre lyophilisée stable jusqu’à la date de péremption ; solution reconstituée : 24 h à T° ambiante, 14 j à 2–8 °C.</w:t>
      </w:r>
      <w:r>
        <w:t xml:space="preserve"> </w:t>
      </w:r>
      <w:r>
        <w:t xml:space="preserve">- Piège du surdosage / Substitution : (a) Surdosage aigu (Cmin &gt; 40 mg/L) : néphrotoxicité, ototoxicité — arrêter, hydrater, envisager hémodialyse à haute perméabilité (vancomycine ~ 1,4 kDa, dialysable avec membranes high-flux). (b) Substitution entre spécialités : VANCOLON, HIKMA VANCO, VANCOMYCINE VIATRIS, VINKAMINE sont considérés comme bioéquivalents pour la vancomycine IV — la substitution est possible mais la surveillance Cmin reste obligatoire. (c) Confusion possible avec la</w:t>
      </w:r>
      <w:r>
        <w:t xml:space="preserve"> </w:t>
      </w:r>
      <w:r>
        <w:rPr>
          <w:b/>
          <w:bCs/>
        </w:rPr>
        <w:t xml:space="preserve">VINKAMINE</w:t>
      </w:r>
      <w:r>
        <w:t xml:space="preserve"> </w:t>
      </w:r>
      <w:r>
        <w:t xml:space="preserve">(spécialité MS PHARMA Jordan) qui est de la vancomycine et non pas l’alcaloïde vasoactif vincamine — bien vérifier la prescription.</w:t>
      </w:r>
    </w:p>
    <w:p>
      <w:r>
        <w:pict>
          <v:rect style="width:0;height:1.5pt" o:hralign="center" o:hrstd="t" o:hr="t"/>
        </w:pict>
      </w:r>
    </w:p>
    <w:bookmarkEnd w:id="195"/>
    <w:bookmarkStart w:id="196" w:name="dci-teicoplanine-seule"/>
    <w:p>
      <w:pPr>
        <w:pStyle w:val="Heading3"/>
      </w:pPr>
      <w:r>
        <w:t xml:space="preserve">7.1.2 DCI : Teicoplanine (Seule)</w:t>
      </w:r>
    </w:p>
    <w:p>
      <w:pPr>
        <w:pStyle w:val="FirstParagraph"/>
      </w:pPr>
      <w:r>
        <w:rPr>
          <w:b/>
          <w:bCs/>
        </w:rPr>
        <w:t xml:space="preserve">Liste des Catégories :</w:t>
      </w:r>
      <w:r>
        <w:t xml:space="preserve"> </w:t>
      </w:r>
      <w:r>
        <w:t xml:space="preserve">Glycopeptides ; Antibiotique de réserve anti-Gram positif ; LISTE I.</w:t>
      </w:r>
    </w:p>
    <w:p>
      <w:pPr>
        <w:pStyle w:val="BodyText"/>
      </w:pPr>
      <w:r>
        <w:t xml:space="preserve">La teicoplanine, isolée en 1976 à partir d’</w:t>
      </w:r>
      <w:r>
        <w:rPr>
          <w:i/>
          <w:iCs/>
        </w:rPr>
        <w:t xml:space="preserve">Actinoplanes teichomyceticus</w:t>
      </w:r>
      <w:r>
        <w:t xml:space="preserve"> </w:t>
      </w:r>
      <w:r>
        <w:t xml:space="preserve">et commercialisée en France dès 1988, est un glycopeptide de seconde génération partageant le même mécanisme que la vancomycine mais s’en distinguant par : (i) une</w:t>
      </w:r>
      <w:r>
        <w:t xml:space="preserve"> </w:t>
      </w:r>
      <w:r>
        <w:rPr>
          <w:b/>
          <w:bCs/>
        </w:rPr>
        <w:t xml:space="preserve">demi-vie longue (~ 100 h)</w:t>
      </w:r>
      <w:r>
        <w:t xml:space="preserve"> </w:t>
      </w:r>
      <w:r>
        <w:t xml:space="preserve">autorisant une seule injection par jour ; (ii) une</w:t>
      </w:r>
      <w:r>
        <w:t xml:space="preserve"> </w:t>
      </w:r>
      <w:r>
        <w:rPr>
          <w:b/>
          <w:bCs/>
        </w:rPr>
        <w:t xml:space="preserve">liposolubilité supérieure</w:t>
      </w:r>
      <w:r>
        <w:t xml:space="preserve"> </w:t>
      </w:r>
      <w:r>
        <w:t xml:space="preserve">(chaîne acyl-gras sur le noyau heptapeptidique) permettant une meilleure pénétration tissulaire (foie, bile, os, peau) et une administration IM possible ; (iii) une</w:t>
      </w:r>
      <w:r>
        <w:t xml:space="preserve"> </w:t>
      </w:r>
      <w:r>
        <w:rPr>
          <w:b/>
          <w:bCs/>
        </w:rPr>
        <w:t xml:space="preserve">meilleure tolérance locale</w:t>
      </w:r>
      <w:r>
        <w:t xml:space="preserve"> </w:t>
      </w:r>
      <w:r>
        <w:t xml:space="preserve">avec absence de syndrome de l’homme rouge (libération d’histamine moindre) ; (iv) un profil d’EI global un peu meilleur que la vancomycine. Elle est donc souvent proposée en relais de la vancomycine en cas d’intolérance ou pour faciliter la prise en charge ambulatoire (une injection/jour au lieu de 2). Cependant, sa diffusion hématoméningée et pulmonaire est inférieure à celle de la vancomycine, ce qui la contre-indique dans la méningite à SARM et la fait discuter dans la pneumonie.</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TARGOCID</w:t>
      </w:r>
      <w:r>
        <w:t xml:space="preserve"> </w:t>
      </w:r>
      <w:r>
        <w:t xml:space="preserve">(SANOFI AVENTIS FRANCE)</w:t>
      </w:r>
      <w:r>
        <w:t xml:space="preserve"> </w:t>
      </w:r>
      <w:r>
        <w:t xml:space="preserve">- Formes et Dosages : Lyophilisat et solvant pour usage parentéral IM/IV, 200 mg/flacon + ampoule de 3,2 mL de solvant (EPPI)</w:t>
      </w:r>
      <w:r>
        <w:t xml:space="preserve"> </w:t>
      </w:r>
      <w:r>
        <w:t xml:space="preserve">- Statut : Actif</w:t>
      </w:r>
      <w:r>
        <w:t xml:space="preserve"> </w:t>
      </w:r>
      <w:r>
        <w:t xml:space="preserve">-</w:t>
      </w:r>
      <w:r>
        <w:t xml:space="preserve"> </w:t>
      </w:r>
      <w:r>
        <w:rPr>
          <w:b/>
          <w:bCs/>
        </w:rPr>
        <w:t xml:space="preserve">TARGOCID</w:t>
      </w:r>
      <w:r>
        <w:t xml:space="preserve"> </w:t>
      </w:r>
      <w:r>
        <w:t xml:space="preserve">(SANOFI AVENTIS FRANCE)</w:t>
      </w:r>
      <w:r>
        <w:t xml:space="preserve"> </w:t>
      </w:r>
      <w:r>
        <w:t xml:space="preserve">- Formes et Dosages : Lyophilisat et solvant pour usage parentéral IM/IV, 400 mg/flacon + ampoule de 3,2 mL de solvant (EPPI)</w:t>
      </w:r>
      <w:r>
        <w:t xml:space="preserve"> </w:t>
      </w:r>
      <w:r>
        <w:t xml:space="preserve">- Statut : Actif</w:t>
      </w:r>
      <w:r>
        <w:t xml:space="preserve"> </w:t>
      </w:r>
      <w:r>
        <w:t xml:space="preserve">-</w:t>
      </w:r>
      <w:r>
        <w:t xml:space="preserve"> </w:t>
      </w:r>
      <w:r>
        <w:rPr>
          <w:b/>
          <w:bCs/>
        </w:rPr>
        <w:t xml:space="preserve">TARGOPLANIN</w:t>
      </w:r>
      <w:r>
        <w:t xml:space="preserve"> </w:t>
      </w:r>
      <w:r>
        <w:t xml:space="preserve">(HIKMA PHARMA ALGERIA)</w:t>
      </w:r>
      <w:r>
        <w:t xml:space="preserve"> </w:t>
      </w:r>
      <w:r>
        <w:t xml:space="preserve">- Formes et Dosages : Lyophilisat pour usage parentéral IM/IV/IP, 200 mg/flacon</w:t>
      </w:r>
      <w:r>
        <w:t xml:space="preserve"> </w:t>
      </w:r>
      <w:r>
        <w:t xml:space="preserve">- Statut : Actif</w:t>
      </w:r>
    </w:p>
    <w:p>
      <w:pPr>
        <w:pStyle w:val="BodyText"/>
      </w:pPr>
      <w:r>
        <w:rPr>
          <w:b/>
          <w:bCs/>
        </w:rPr>
        <w:t xml:space="preserve">Sous-classe et Mécanisme d’action :</w:t>
      </w:r>
      <w:r>
        <w:t xml:space="preserve"> </w:t>
      </w:r>
      <w:r>
        <w:t xml:space="preserve">- Sous-classe : Glycopeptides de seconde génération (teicoplanine = rhamnose + acide gras lié à un heptapeptide, plus lipophile que la vancomycine).</w:t>
      </w:r>
      <w:r>
        <w:t xml:space="preserve"> </w:t>
      </w:r>
      <w:r>
        <w:t xml:space="preserve">- Mécanisme d’action : Identique à la vancomycine — liaison par 5 liaisons hydrogène au motif D-Ala-D-Ala des précurseurs muréiniques, inhibition des transglycosylases et transpeptidases, blocage de la polymérisation du peptidoglycane, mort cellulaire par lyse osmotique. Bactéricide temps-dépendante. La teicoplanine conserve une activité sur certains entérocoques de phétype VanB (résistance acquise par transposon), mais est inactive sur les VanA (qui modifient D-Ala-D-Ala en D-Ala-D-Lac). Elle est aussi active sur</w:t>
      </w:r>
      <w:r>
        <w:t xml:space="preserve"> </w:t>
      </w:r>
      <w:r>
        <w:rPr>
          <w:i/>
          <w:iCs/>
        </w:rPr>
        <w:t xml:space="preserve">Clostridium difficile</w:t>
      </w:r>
      <w:r>
        <w:t xml:space="preserve"> </w:t>
      </w:r>
      <w:r>
        <w:t xml:space="preserve">mais son usage PO n’est pas validé en Algérie (la vancomycine PO est préférée).</w:t>
      </w:r>
    </w:p>
    <w:p>
      <w:pPr>
        <w:pStyle w:val="BodyText"/>
      </w:pPr>
      <w:r>
        <w:rPr>
          <w:b/>
          <w:bCs/>
        </w:rPr>
        <w:t xml:space="preserve">Profil Pharmacologique :</w:t>
      </w:r>
      <w:r>
        <w:t xml:space="preserve"> </w:t>
      </w:r>
      <w:r>
        <w:t xml:space="preserve">- Indications : (1) Infections sévères à Gram positif : bactériémie, endocardite, ostéomyélite, arthrite septique, infections de peau et tissus mous, infections de cathéter, péritonite ; (2) SARM en relais de vancomycine pour faciliter l’ambulatoire (1 injection/jour) ; (3) Prophylaxie chirurgicale chez allergiques aux β-lactamines (cardiaque, vasculaire, orthopédique) ; (4) Infections à entérocoques sensibles (y compris certaines souches VanB). Spectre identique à la vancomycine sauf activité moindre sur certains coagulases-négatifs (S. epidermidis hétérorésistant) et absence d’indication méningée.</w:t>
      </w:r>
      <w:r>
        <w:t xml:space="preserve"> </w:t>
      </w:r>
      <w:r>
        <w:t xml:space="preserve">- Contre-indications : (1) Hypersensibilité à la teicoplanine ou à la vancomycine (allergie croisée possible mais incomplète) ; (2) Allaitement (voir plus bas).</w:t>
      </w:r>
      <w:r>
        <w:t xml:space="preserve"> </w:t>
      </w:r>
      <w:r>
        <w:t xml:space="preserve">- Effets Indésirables : Profil global meilleur que la vancomycine. (1)</w:t>
      </w:r>
      <w:r>
        <w:t xml:space="preserve"> </w:t>
      </w:r>
      <w:r>
        <w:rPr>
          <w:b/>
          <w:bCs/>
        </w:rPr>
        <w:t xml:space="preserve">Pas de syndrome de l’homme rouge</w:t>
      </w:r>
      <w:r>
        <w:t xml:space="preserve"> </w:t>
      </w:r>
      <w:r>
        <w:t xml:space="preserve">(la teicoplanine libère moins d’histamine) — permet une administration IM et une perfusion IV plus rapide. (2) Néphrotoxicité (2–8 %), moindre que la vancomycine mais réelle, surtout en association aux aminosides, diurétiques, AINS. (3) Ototoxicité rare. (4) Réactions cutanées : éruption, prurit, érythème (5–10 %). (5) Thrombopénie, éosinophilie, leucopénie. (6) Augmentation transitoire des transaminases. (7) Fièvre. (8) Réactions au site d’injection IM (douleur locale). (9) Réactions anaphylactiques vraies (IgE) rares mais possibles.</w:t>
      </w:r>
    </w:p>
    <w:p>
      <w:pPr>
        <w:pStyle w:val="BodyText"/>
      </w:pPr>
      <w:r>
        <w:rPr>
          <w:b/>
          <w:bCs/>
        </w:rPr>
        <w:t xml:space="preserve">Prévention et Gestion des Effets Indésirables :</w:t>
      </w:r>
      <w:r>
        <w:t xml:space="preserve"> </w:t>
      </w:r>
      <w:r>
        <w:t xml:space="preserve">- Mesures Préventives : (a) Administration IV lente (3–5 min en IV directe ou en perfusion courte 30 min) ou IM profonde (deltoid, gluteal) — sans nécessité de perfusion ≥ 1 h. (b)</w:t>
      </w:r>
      <w:r>
        <w:t xml:space="preserve"> </w:t>
      </w:r>
      <w:r>
        <w:rPr>
          <w:b/>
          <w:bCs/>
        </w:rPr>
        <w:t xml:space="preserve">Dose de charge</w:t>
      </w:r>
      <w:r>
        <w:t xml:space="preserve"> </w:t>
      </w:r>
      <w:r>
        <w:t xml:space="preserve">les premiers jours (voir posologie) pour atteindre rapidement la Cmin cible ≥ 15 mg/L. (c) Surveillance créatinine 2×/semaine. (d)</w:t>
      </w:r>
      <w:r>
        <w:t xml:space="preserve"> </w:t>
      </w:r>
      <w:r>
        <w:rPr>
          <w:b/>
          <w:bCs/>
        </w:rPr>
        <w:t xml:space="preserve">Dosage plasmatique</w:t>
      </w:r>
      <w:r>
        <w:t xml:space="preserve"> </w:t>
      </w:r>
      <w:r>
        <w:t xml:space="preserve">recommandé dans les infections sévères : Cmin à J3–J4, cible 15–30 mg/L (endocardite, bactériémie, ostéomyélite, infection osseuse) ; non requis pour les infections simples. (e) Surveillance hématologique hebdomadaire (NFS, plaquettes) si traitement &gt; 14 j.</w:t>
      </w:r>
      <w:r>
        <w:t xml:space="preserve"> </w:t>
      </w:r>
      <w:r>
        <w:t xml:space="preserve">- Conduite à Tenir : (a) En cas de réaction d’hypersensibilité vraie (urticaire généralisé, bronchospasme, hypotension) : arrêt définitif de la teicoplanine, traitement par antihistaminiques ± corticoïdes ± adrénaline selon sévérité, signalement. (b) En cas d’élévation de la créatinine : allonger l’intervalle (de 24 h à 48 h ou 72 h), ajuster selon Cmin. (c) En cas d’éruption cutanée bénigne : poursuivre sous antihistaminique, surveillance.</w:t>
      </w:r>
    </w:p>
    <w:p>
      <w:pPr>
        <w:pStyle w:val="BodyText"/>
      </w:pPr>
      <w:r>
        <w:rPr>
          <w:b/>
          <w:bCs/>
        </w:rPr>
        <w:t xml:space="preserve">Interactions Importantes :</w:t>
      </w:r>
      <w:r>
        <w:t xml:space="preserve"> </w:t>
      </w:r>
      <w:r>
        <w:t xml:space="preserve">- Aminosides (gentamicine, amikacine, nétilmicine) : néphrotoxicité et ototoxicité additives — surveillance obligatoire, justification par l’indication (endocardite).</w:t>
      </w:r>
      <w:r>
        <w:t xml:space="preserve"> </w:t>
      </w:r>
      <w:r>
        <w:t xml:space="preserve">- Diurétiques de l’anse (furosémide, bumétanide) : majoration ototoxicité.</w:t>
      </w:r>
      <w:r>
        <w:t xml:space="preserve"> </w:t>
      </w:r>
      <w:r>
        <w:t xml:space="preserve">- AINS : majoration néphrotoxicité.</w:t>
      </w:r>
      <w:r>
        <w:t xml:space="preserve"> </w:t>
      </w:r>
      <w:r>
        <w:t xml:space="preserve">- Ciclosporine, tacrolimus : néphrotoxicité synergique.</w:t>
      </w:r>
      <w:r>
        <w:t xml:space="preserve"> </w:t>
      </w:r>
      <w:r>
        <w:t xml:space="preserve">- Anticoagulants oraux (warfarine, acénocoumarol) : rares cas de majoration de l’INR par modification de la flore intestinale (moins pertinent pour la teicoplanine que pour les β-lactamines larges spectres, mais possible).</w:t>
      </w:r>
      <w:r>
        <w:t xml:space="preserve"> </w:t>
      </w:r>
      <w:r>
        <w:t xml:space="preserve">- Héparine (et apparentés) : incompatibilité physique dans la même ligne de perfusion (précipitation) — rincer la ligne.</w:t>
      </w:r>
    </w:p>
    <w:p>
      <w:pPr>
        <w:pStyle w:val="BodyText"/>
      </w:pPr>
      <w:r>
        <w:rPr>
          <w:b/>
          <w:bCs/>
        </w:rPr>
        <w:t xml:space="preserve">Grossesse et Allaitement :</w:t>
      </w:r>
      <w:r>
        <w:t xml:space="preserve"> </w:t>
      </w:r>
      <w:r>
        <w:t xml:space="preserve">- Grossesse : Le CRAT classe la teicoplanine en</w:t>
      </w:r>
      <w:r>
        <w:t xml:space="preserve"> </w:t>
      </w:r>
      <w:r>
        <w:t xml:space="preserve">“</w:t>
      </w:r>
      <w:r>
        <w:rPr>
          <w:b/>
          <w:bCs/>
        </w:rPr>
        <w:t xml:space="preserve">envisageable</w:t>
      </w:r>
      <w:r>
        <w:t xml:space="preserve">”</w:t>
      </w:r>
      <w:r>
        <w:t xml:space="preserve"> </w:t>
      </w:r>
      <w:r>
        <w:t xml:space="preserve">à toutes les phases de la grossesse. Les données animales n’ont pas montré d’effet tératogène, et les données humaines limitées (séries de cas) ne montrent pas d’effet malformatif. Passage transplacentaire documenté (rapport fœto-maternel ~ 0,3). À réserver aux infections sévères à Gram positif justifiant un glycopeptide, en l’absence d’alternative (SARM, ERV, allergie aux β-lactamines).</w:t>
      </w:r>
      <w:r>
        <w:t xml:space="preserve"> </w:t>
      </w:r>
      <w:r>
        <w:t xml:space="preserve">- Allaitement : Le CRAT considère la teicoplanine</w:t>
      </w:r>
      <w:r>
        <w:t xml:space="preserve"> </w:t>
      </w:r>
      <w:r>
        <w:t xml:space="preserve">“</w:t>
      </w:r>
      <w:r>
        <w:rPr>
          <w:b/>
          <w:bCs/>
        </w:rPr>
        <w:t xml:space="preserve">déconseillée mais compatible</w:t>
      </w:r>
      <w:r>
        <w:t xml:space="preserve">”</w:t>
      </w:r>
      <w:r>
        <w:t xml:space="preserve"> </w:t>
      </w:r>
      <w:r>
        <w:t xml:space="preserve">en pratique — en effet, le passage dans le lait maternel est documenté mais faible (rapport lait/plasma ~ 0,2), la biodisponibilité orale de l’enfant est quasi nulle (&lt; 1 %), et l’absorption intestinale du nourrisson est négligeable. L’allaitement peut être poursuivi en surveillant la flore intestinale de l’enfant (diarrhée, candidose). Dans le doute, suspender l’allaitement pendant le traitement (élimination lente due à la demi-vie ~ 100 h, plusieurs jours nécessaires).</w:t>
      </w:r>
      <w:r>
        <w:t xml:space="preserve"> </w:t>
      </w:r>
      <w:r>
        <w:t xml:space="preserve">- Précisions : La teicoplanine IV en perfusion lente est bien tolérée chez la femme enceinte (pas de syndrome de l’homme rouge), ce qui peut la faire préférer à la vancomycine en cas d’infection sévère à SARM chez la femme enceinte.</w:t>
      </w:r>
    </w:p>
    <w:p>
      <w:pPr>
        <w:pStyle w:val="BodyText"/>
      </w:pPr>
      <w:r>
        <w:rPr>
          <w:b/>
          <w:bCs/>
        </w:rPr>
        <w:t xml:space="preserve">Posologie et Mode d’administration (Standard) :</w:t>
      </w:r>
      <w:r>
        <w:t xml:space="preserve"> </w:t>
      </w:r>
      <w:r>
        <w:t xml:space="preserve">- Adulte : (1)</w:t>
      </w:r>
      <w:r>
        <w:t xml:space="preserve"> </w:t>
      </w:r>
      <w:r>
        <w:rPr>
          <w:b/>
          <w:bCs/>
        </w:rPr>
        <w:t xml:space="preserve">Dose de charge</w:t>
      </w:r>
      <w:r>
        <w:t xml:space="preserve"> </w:t>
      </w:r>
      <w:r>
        <w:t xml:space="preserve">: 6 mg/kg IV ou IM toutes les 12 h pour 3 à 5 doses (soit à H0, H12, H24, H36 et H48), puis</w:t>
      </w:r>
      <w:r>
        <w:t xml:space="preserve"> </w:t>
      </w:r>
      <w:r>
        <w:rPr>
          <w:b/>
          <w:bCs/>
        </w:rPr>
        <w:t xml:space="preserve">dose d’entretien</w:t>
      </w:r>
      <w:r>
        <w:t xml:space="preserve"> </w:t>
      </w:r>
      <w:r>
        <w:t xml:space="preserve">: 6 mg/kg une fois par jour (IV ou IM). (2) Infections sévères (endocardite, bactériémie, ostéomyélite, infection osseuse, méningite à SARM — hors AMM) : charge 12 mg/kg/12 h × 3–5 doses, puis 12 mg/kg une fois par jour (adapter pour Cmin 20–30 mg/L). (3) Prophylaxie chirurgicale : dose unique 6 mg/kg IV à l’induction anesthésique (1 h avant incision). (4) Adaptation à l’IR : ClCr &gt; 40 : 6 mg/kg/24 h ; 20–40 : 6 mg/kg/48 h ; 10–20 : 6 mg/kg/72 h ; &lt; 10 : 6 mg/kg/sem ou après dialyse (peu dialysable).</w:t>
      </w:r>
      <w:r>
        <w:t xml:space="preserve"> </w:t>
      </w:r>
      <w:r>
        <w:t xml:space="preserve">- Enfant : &gt; 2 mois : charge 10 mg/kg/12 h × 3, puis entretien 6–10 mg/kg/24 h ; néonate : charge 16 mg/kg, puis 8 mg/kg/24 h.</w:t>
      </w:r>
      <w:r>
        <w:t xml:space="preserve"> </w:t>
      </w:r>
      <w:r>
        <w:t xml:space="preserve">- Durée : Selon indication : bactériémie 14 j ; endocardite 4–6 semaines ; ostéomyélite 6 semaines ; infections cutanées 7–14 j.</w:t>
      </w:r>
      <w:r>
        <w:t xml:space="preserve"> </w:t>
      </w:r>
      <w:r>
        <w:t xml:space="preserve">- Moment de prise : Perfusions IV à débit modéré (30 min pour la perfusion courte, ou injection directe IV lente 3–5 min via voie centrale) ; injection IM profonde dans le deltoïde ou la région glutéale. Administrer à heure fixe quotidienne.</w:t>
      </w:r>
    </w:p>
    <w:p>
      <w:pPr>
        <w:pStyle w:val="BodyText"/>
      </w:pPr>
      <w:r>
        <w:rPr>
          <w:b/>
          <w:bCs/>
        </w:rPr>
        <w:t xml:space="preserve">Arbitrage et Bénéfices des Formes Galéniques :</w:t>
      </w:r>
      <w:r>
        <w:t xml:space="preserve"> </w:t>
      </w:r>
      <w:r>
        <w:t xml:space="preserve">La teicoplanine est disponible en Algérie sous trois spécialités : TARGOCID (Sanofi-Aventis, deux dosages 200 et 400 mg) et TARGOPLANIN (Hikma, 200 mg). Le choix entre 200 et 400 mg dépend de la dose à administrer (calculée en mg/kg) : 400 mg est plus pratique pour les patients de 60–80 kg nécessitant 400 mg/jour. Le TARGOPLANIN mentionne spécifiquement la voie</w:t>
      </w:r>
      <w:r>
        <w:t xml:space="preserve"> </w:t>
      </w:r>
      <w:r>
        <w:rPr>
          <w:b/>
          <w:bCs/>
        </w:rPr>
        <w:t xml:space="preserve">intrapéritonéale (IP)</w:t>
      </w:r>
      <w:r>
        <w:t xml:space="preserve"> </w:t>
      </w:r>
      <w:r>
        <w:t xml:space="preserve">dans l’AMM — utile pour les patients en dialyse péritonéale ambulatoire continue (DPCA) traités pour péritonite à Gram positif. Le grand avantage galénique de la teicoplanine sur la vancomycine est la</w:t>
      </w:r>
      <w:r>
        <w:t xml:space="preserve"> </w:t>
      </w:r>
      <w:r>
        <w:rPr>
          <w:b/>
          <w:bCs/>
        </w:rPr>
        <w:t xml:space="preserve">voie IM</w:t>
      </w:r>
      <w:r>
        <w:t xml:space="preserve"> </w:t>
      </w:r>
      <w:r>
        <w:t xml:space="preserve">: elle autorise un traitement ambulatoire sans perfusion (1 injection IM/jour) — pratique pour les suites d’hospitalisation, les infections cutanées modérées du SARM, les ostéomyélites chroniques, les patients âgés institutionnalisés. L’absence de syndrome de l’homme rouge simplifie l’administration en milieu non hospitalier.</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La teicoplanine est un antibiotique de réserve très proche de la vancomycine, mais avec une meilleure tolérance et une seule injection par jour (au lieu de deux). Elle peut être donnée par perfusion ou par injection intramusculaire. Vous pourrez peut-être retourner chez vous plus tôt grâce à cette forme.</w:t>
      </w:r>
      <w:r>
        <w:t xml:space="preserve">”</w:t>
      </w:r>
      <w:r>
        <w:t xml:space="preserve"> </w:t>
      </w:r>
      <w:r>
        <w:t xml:space="preserve">- Mode d’utilisation pratique : (1) Conserver le lyophilisat à température &lt; 25 °C. (2) Reconstitution : injecter lentement le solvant (3,2 mL) contre la paroi du flacon pour éviter la mousse, rouler doucement le flacon entre les mains (ne pas agiter violemment) jusqu’à dissolution complète (1–2 min). (3) La solution reconstituée à 200 mg/3,2 mL (~ 62,5 mg/mL) peut être injectée directement en IM ou IV ; pour perfusion IV, diluer dans 50–100 mL de NaCl 0,9 % ou G5 %. (4) Stabilité après reconstitution : 48 h à 2–8 °C. (5) Signaler tout épisode d’éruption cutanée, de fièvre, de frissons.</w:t>
      </w:r>
    </w:p>
    <w:p>
      <w:pPr>
        <w:pStyle w:val="BodyText"/>
      </w:pPr>
      <w:r>
        <w:rPr>
          <w:b/>
          <w:bCs/>
        </w:rPr>
        <w:t xml:space="preserve">Notes, Règles d’Or &amp; Pièges au Comptoir :</w:t>
      </w:r>
      <w:r>
        <w:t xml:space="preserve"> </w:t>
      </w:r>
      <w:r>
        <w:t xml:space="preserve">- Piège classique n°1 :</w:t>
      </w:r>
      <w:r>
        <w:t xml:space="preserve"> </w:t>
      </w:r>
      <w:r>
        <w:rPr>
          <w:b/>
          <w:bCs/>
        </w:rPr>
        <w:t xml:space="preserve">L’absence de dose de charge</w:t>
      </w:r>
      <w:r>
        <w:t xml:space="preserve"> </w:t>
      </w:r>
      <w:r>
        <w:t xml:space="preserve">conduit à des concentrations sub-thérapeutiques pendant les premiers jours en raison de la longue demi-vie (~ 100 h) : sans dose de charge, il faut 5–7 jours pour atteindre l’équilibre. La dose de charge (6 mg/kg/12 h × 3 à 5 doses) est impérative pour les infections sévères.</w:t>
      </w:r>
      <w:r>
        <w:t xml:space="preserve"> </w:t>
      </w:r>
      <w:r>
        <w:t xml:space="preserve">- Piège classique n°2 :</w:t>
      </w:r>
      <w:r>
        <w:t xml:space="preserve"> </w:t>
      </w:r>
      <w:r>
        <w:rPr>
          <w:b/>
          <w:bCs/>
        </w:rPr>
        <w:t xml:space="preserve">La teicoplanine n’est pas équivalente à la vancomycine dans toutes les indications</w:t>
      </w:r>
      <w:r>
        <w:t xml:space="preserve"> </w:t>
      </w:r>
      <w:r>
        <w:t xml:space="preserve">: sa diffusion méningée est faible (Cmax LCR ~ 1–2 mg/L vs 5–10 mg/L pour la vancomycine à fortes doses), ce qui la fait déconseiller dans la méningite à SARM. De même, dans la pneumonie nosocomiale à SARM, la vancomycine est historiquement préférée.</w:t>
      </w:r>
      <w:r>
        <w:t xml:space="preserve"> </w:t>
      </w:r>
      <w:r>
        <w:t xml:space="preserve">- Piège classique n°3 :</w:t>
      </w:r>
      <w:r>
        <w:t xml:space="preserve"> </w:t>
      </w:r>
      <w:r>
        <w:rPr>
          <w:b/>
          <w:bCs/>
        </w:rPr>
        <w:t xml:space="preserve">Cmin cible différente selon l’infection</w:t>
      </w:r>
      <w:r>
        <w:t xml:space="preserve"> </w:t>
      </w:r>
      <w:r>
        <w:t xml:space="preserve">: 15 mg/L pour infections modérées ; 20–30 mg/L pour endocardite, bactériémie, ostéomyélite ; 30–60 mg/L pour certaines infections osseuses chroniques — la néphrotoxicité devient significative au-delà de 40 mg/L.</w:t>
      </w:r>
      <w:r>
        <w:t xml:space="preserve"> </w:t>
      </w:r>
      <w:r>
        <w:t xml:space="preserve">- Règle de prise : dose de charge systématique ; administration IM possible (alternative à la perfusion) ; surveillance Cmin si infection sévère.</w:t>
      </w:r>
      <w:r>
        <w:t xml:space="preserve"> </w:t>
      </w:r>
      <w:r>
        <w:t xml:space="preserve">- Préparation et Conservation : lyophilisat stable à T° ambiante ; solution reconstituée 48 h au réfrigérateur ; ne pas congeler.</w:t>
      </w:r>
      <w:r>
        <w:t xml:space="preserve"> </w:t>
      </w:r>
      <w:r>
        <w:t xml:space="preserve">- Piège du surdosage / Substitution : (a) Surdosage : néphrotoxicité, ototoxicité — arrêt, hydratation, hémodialyse peu efficace (liaison protéique ~ 90 %, Vd important). (b) Substitution TARGOCID ↔ TARGOPLANIN : bioéquivalents (même DCI), surveillance identique. (c) Ne pas confondre les dosages 200 et 400 mg du TARGOCID — bien vérifier la prescription.</w:t>
      </w:r>
    </w:p>
    <w:p>
      <w:r>
        <w:pict>
          <v:rect style="width:0;height:1.5pt" o:hralign="center" o:hrstd="t" o:hr="t"/>
        </w:pict>
      </w:r>
    </w:p>
    <w:bookmarkEnd w:id="196"/>
    <w:bookmarkEnd w:id="197"/>
    <w:bookmarkStart w:id="203" w:name="sous-classe-polypeptides"/>
    <w:p>
      <w:pPr>
        <w:pStyle w:val="Heading2"/>
      </w:pPr>
      <w:r>
        <w:t xml:space="preserve">7.2 Sous-classe : Polypeptides</w:t>
      </w:r>
    </w:p>
    <w:bookmarkStart w:id="198" w:name="introduction-à-la-sous-classe-5"/>
    <w:p>
      <w:pPr>
        <w:pStyle w:val="Heading3"/>
      </w:pPr>
      <w:r>
        <w:t xml:space="preserve">Introduction à la sous-classe</w:t>
      </w:r>
    </w:p>
    <w:p>
      <w:pPr>
        <w:pStyle w:val="FirstParagraph"/>
      </w:pPr>
      <w:r>
        <w:t xml:space="preserve">Les polypeptides antibiotiques sont des molécules de nature peptidique (chaînes d’acides aminés cycliques ou linéaires) produites par diverses espèces de</w:t>
      </w:r>
      <w:r>
        <w:t xml:space="preserve"> </w:t>
      </w:r>
      <w:r>
        <w:rPr>
          <w:i/>
          <w:iCs/>
        </w:rPr>
        <w:t xml:space="preserve">Bacillus</w:t>
      </w:r>
      <w:r>
        <w:t xml:space="preserve">. Ils regroupent : (i) les</w:t>
      </w:r>
      <w:r>
        <w:t xml:space="preserve"> </w:t>
      </w:r>
      <w:r>
        <w:rPr>
          <w:b/>
          <w:bCs/>
        </w:rPr>
        <w:t xml:space="preserve">polymyxines</w:t>
      </w:r>
      <w:r>
        <w:t xml:space="preserve"> </w:t>
      </w:r>
      <w:r>
        <w:t xml:space="preserve">(colistine = polymyxine E, polymyxine B) qui sont des peptides cationiques cycliques agissant comme détergents membranaires sur les Gram négatifs ; (ii) la</w:t>
      </w:r>
      <w:r>
        <w:t xml:space="preserve"> </w:t>
      </w:r>
      <w:r>
        <w:rPr>
          <w:b/>
          <w:bCs/>
        </w:rPr>
        <w:t xml:space="preserve">bacitracine</w:t>
      </w:r>
      <w:r>
        <w:t xml:space="preserve"> </w:t>
      </w:r>
      <w:r>
        <w:t xml:space="preserve">(polypeptide cyclique) qui inhibe la synthèse du peptidoglycane en bloquant le transport du lipid II (bactériostatique sur Gram positifs). Toutes ces molécules ont en commun une toxicité systémique importante (néphrotoxicité, neurotoxicité) qui en a fait abandonner l’usage systémique au profit d’usages topiques (cutanés, ophtalmiques, auriculaires, intestinaux) pendant plusieurs décennies. Cependant,</w:t>
      </w:r>
      <w:r>
        <w:t xml:space="preserve"> </w:t>
      </w:r>
      <w:r>
        <w:rPr>
          <w:b/>
          <w:bCs/>
        </w:rPr>
        <w:t xml:space="preserve">l’émergence des Gram négatifs ultra-résistants (carbapénémases, BLSE)</w:t>
      </w:r>
      <w:r>
        <w:t xml:space="preserve"> </w:t>
      </w:r>
      <w:r>
        <w:t xml:space="preserve">a conduit à la réhabilitation de la colistine systémique depuis 2005, en dépit de sa toxicité, faute d’alternatives.</w:t>
      </w:r>
    </w:p>
    <w:p>
      <w:pPr>
        <w:pStyle w:val="BodyText"/>
      </w:pPr>
      <w:r>
        <w:t xml:space="preserve">La particularité pharmacologique majeure des polymyxines réside dans le fait que la forme commerciale injectable est</w:t>
      </w:r>
      <w:r>
        <w:t xml:space="preserve"> </w:t>
      </w:r>
      <w:r>
        <w:rPr>
          <w:b/>
          <w:bCs/>
        </w:rPr>
        <w:t xml:space="preserve">le colistiméthate sodique (CMS)</w:t>
      </w:r>
      <w:r>
        <w:t xml:space="preserve"> </w:t>
      </w:r>
      <w:r>
        <w:t xml:space="preserve">— une prodrogue sans activité intrinsèque, moins toxique, qui est hydrolysée in vivo en colistine active (polymyxine E base). Cette particularité impose des précautions de prescription (calcul de dose en UI de CMS vs mg de colistine base, conversion 1 million UI CMS ≈ 80 mg colistine base). La polymyxine B, en revanche, est commercialisée et administrée directement sous forme active.</w:t>
      </w:r>
    </w:p>
    <w:p>
      <w:pPr>
        <w:pStyle w:val="BodyText"/>
      </w:pPr>
      <w:r>
        <w:t xml:space="preserve">Spectre des polymyxines : exclusivement</w:t>
      </w:r>
      <w:r>
        <w:t xml:space="preserve"> </w:t>
      </w:r>
      <w:r>
        <w:rPr>
          <w:b/>
          <w:bCs/>
        </w:rPr>
        <w:t xml:space="preserve">Gram négatif</w:t>
      </w:r>
      <w:r>
        <w:t xml:space="preserve"> </w:t>
      </w:r>
      <w:r>
        <w:t xml:space="preserve">aérobie —</w:t>
      </w:r>
      <w:r>
        <w:t xml:space="preserve"> </w:t>
      </w:r>
      <w:r>
        <w:rPr>
          <w:i/>
          <w:iCs/>
        </w:rPr>
        <w:t xml:space="preserve">Pseudomonas aeruginosa</w:t>
      </w:r>
      <w:r>
        <w:t xml:space="preserve">,</w:t>
      </w:r>
      <w:r>
        <w:t xml:space="preserve"> </w:t>
      </w:r>
      <w:r>
        <w:rPr>
          <w:i/>
          <w:iCs/>
        </w:rPr>
        <w:t xml:space="preserve">Acinetobacter baumannii</w:t>
      </w:r>
      <w:r>
        <w:t xml:space="preserve">,</w:t>
      </w:r>
      <w:r>
        <w:t xml:space="preserve"> </w:t>
      </w:r>
      <w:r>
        <w:rPr>
          <w:i/>
          <w:iCs/>
        </w:rPr>
        <w:t xml:space="preserve">Klebsiella pneumoniae</w:t>
      </w:r>
      <w:r>
        <w:t xml:space="preserve"> </w:t>
      </w:r>
      <w:r>
        <w:t xml:space="preserve">(y compris producteurs de carbapénémases KPC, NDM, OXA-48),</w:t>
      </w:r>
      <w:r>
        <w:t xml:space="preserve"> </w:t>
      </w:r>
      <w:r>
        <w:rPr>
          <w:i/>
          <w:iCs/>
        </w:rPr>
        <w:t xml:space="preserve">Escherichia coli</w:t>
      </w:r>
      <w:r>
        <w:t xml:space="preserve">,</w:t>
      </w:r>
      <w:r>
        <w:t xml:space="preserve"> </w:t>
      </w:r>
      <w:r>
        <w:rPr>
          <w:i/>
          <w:iCs/>
        </w:rPr>
        <w:t xml:space="preserve">Enterobacter</w:t>
      </w:r>
      <w:r>
        <w:t xml:space="preserve"> </w:t>
      </w:r>
      <w:r>
        <w:t xml:space="preserve">spp.,</w:t>
      </w:r>
      <w:r>
        <w:t xml:space="preserve"> </w:t>
      </w:r>
      <w:r>
        <w:rPr>
          <w:i/>
          <w:iCs/>
        </w:rPr>
        <w:t xml:space="preserve">Citrobacter</w:t>
      </w:r>
      <w:r>
        <w:t xml:space="preserve"> </w:t>
      </w:r>
      <w:r>
        <w:t xml:space="preserve">spp. Inactifs sur les Gram positifs, les anaérobies,</w:t>
      </w:r>
      <w:r>
        <w:t xml:space="preserve"> </w:t>
      </w:r>
      <w:r>
        <w:rPr>
          <w:i/>
          <w:iCs/>
        </w:rPr>
        <w:t xml:space="preserve">Proteus</w:t>
      </w:r>
      <w:r>
        <w:t xml:space="preserve"> </w:t>
      </w:r>
      <w:r>
        <w:t xml:space="preserve">spp.,</w:t>
      </w:r>
      <w:r>
        <w:t xml:space="preserve"> </w:t>
      </w:r>
      <w:r>
        <w:rPr>
          <w:i/>
          <w:iCs/>
        </w:rPr>
        <w:t xml:space="preserve">Serratia marcescens</w:t>
      </w:r>
      <w:r>
        <w:t xml:space="preserve">,</w:t>
      </w:r>
      <w:r>
        <w:t xml:space="preserve"> </w:t>
      </w:r>
      <w:r>
        <w:rPr>
          <w:i/>
          <w:iCs/>
        </w:rPr>
        <w:t xml:space="preserve">Burkholderia cepacia</w:t>
      </w:r>
      <w:r>
        <w:t xml:space="preserve">,</w:t>
      </w:r>
      <w:r>
        <w:t xml:space="preserve"> </w:t>
      </w:r>
      <w:r>
        <w:rPr>
          <w:i/>
          <w:iCs/>
        </w:rPr>
        <w:t xml:space="preserve">Providencia</w:t>
      </w:r>
      <w:r>
        <w:t xml:space="preserve"> </w:t>
      </w:r>
      <w:r>
        <w:t xml:space="preserve">spp. (résistance naturelle par modification du LPS).</w:t>
      </w:r>
    </w:p>
    <w:p>
      <w:r>
        <w:pict>
          <v:rect style="width:0;height:1.5pt" o:hralign="center" o:hrstd="t" o:hr="t"/>
        </w:pict>
      </w:r>
    </w:p>
    <w:bookmarkEnd w:id="198"/>
    <w:bookmarkStart w:id="199" w:name="dci-colistine-polymyxine-e-seule"/>
    <w:p>
      <w:pPr>
        <w:pStyle w:val="Heading3"/>
      </w:pPr>
      <w:r>
        <w:t xml:space="preserve">7.2.1 DCI : Colistine (Polymyxine E) (Seule)</w:t>
      </w:r>
    </w:p>
    <w:p>
      <w:pPr>
        <w:pStyle w:val="FirstParagraph"/>
      </w:pPr>
      <w:r>
        <w:rPr>
          <w:b/>
          <w:bCs/>
        </w:rPr>
        <w:t xml:space="preserve">Liste des Catégories :</w:t>
      </w:r>
      <w:r>
        <w:t xml:space="preserve"> </w:t>
      </w:r>
      <w:r>
        <w:t xml:space="preserve">Polypeptides ; Polymyxine ; Antibiotique de réserve anti-Gram négatif ; LISTE I.</w:t>
      </w:r>
    </w:p>
    <w:p>
      <w:pPr>
        <w:pStyle w:val="BodyText"/>
      </w:pPr>
      <w:r>
        <w:t xml:space="preserve">La colistine, ou polymyxine E, a été isolée en 1947 à partir de</w:t>
      </w:r>
      <w:r>
        <w:t xml:space="preserve"> </w:t>
      </w:r>
      <w:r>
        <w:rPr>
          <w:i/>
          <w:iCs/>
        </w:rPr>
        <w:t xml:space="preserve">Bacillus polymyxa</w:t>
      </w:r>
      <w:r>
        <w:t xml:space="preserve"> </w:t>
      </w:r>
      <w:r>
        <w:t xml:space="preserve">var.</w:t>
      </w:r>
      <w:r>
        <w:t xml:space="preserve"> </w:t>
      </w:r>
      <w:r>
        <w:rPr>
          <w:i/>
          <w:iCs/>
        </w:rPr>
        <w:t xml:space="preserve">colistinus</w:t>
      </w:r>
      <w:r>
        <w:t xml:space="preserve"> </w:t>
      </w:r>
      <w:r>
        <w:t xml:space="preserve">(Japon). Très utilisée dans les années 1950–1960, elle fut quasi abandonnée dans les années 1970 en raison de sa néphrotoxicité et neurotoxicité, avant de connaître une spectaculaire</w:t>
      </w:r>
      <w:r>
        <w:t xml:space="preserve"> </w:t>
      </w:r>
      <w:r>
        <w:t xml:space="preserve">“</w:t>
      </w:r>
      <w:r>
        <w:t xml:space="preserve">renaissance</w:t>
      </w:r>
      <w:r>
        <w:t xml:space="preserve">”</w:t>
      </w:r>
      <w:r>
        <w:t xml:space="preserve"> </w:t>
      </w:r>
      <w:r>
        <w:t xml:space="preserve">depuis 2005 face à l’émergence des entérobactéries productrices de carbapénémases (EPC) et des</w:t>
      </w:r>
      <w:r>
        <w:t xml:space="preserve"> </w:t>
      </w:r>
      <w:r>
        <w:rPr>
          <w:i/>
          <w:iCs/>
        </w:rPr>
        <w:t xml:space="preserve">Pseudomonas</w:t>
      </w:r>
      <w:r>
        <w:t xml:space="preserve"> </w:t>
      </w:r>
      <w:r>
        <w:t xml:space="preserve">/</w:t>
      </w:r>
      <w:r>
        <w:t xml:space="preserve"> </w:t>
      </w:r>
      <w:r>
        <w:rPr>
          <w:i/>
          <w:iCs/>
        </w:rPr>
        <w:t xml:space="preserve">Acinetobacter</w:t>
      </w:r>
      <w:r>
        <w:t xml:space="preserve"> </w:t>
      </w:r>
      <w:r>
        <w:t xml:space="preserve">multirésistants. La colistine est aujourd’hui l’antibiotique de dernier recours dans les infections sévères à Gram négatif ultra-résistant. En Algérie, la forme</w:t>
      </w:r>
      <w:r>
        <w:t xml:space="preserve"> </w:t>
      </w:r>
      <w:r>
        <w:t xml:space="preserve">“</w:t>
      </w:r>
      <w:r>
        <w:t xml:space="preserve">Colistine (Polymyxine E)</w:t>
      </w:r>
      <w:r>
        <w:t xml:space="preserve">”</w:t>
      </w:r>
      <w:r>
        <w:t xml:space="preserve"> </w:t>
      </w:r>
      <w:r>
        <w:t xml:space="preserve">stricte (à distinguer du colistiméthate sodique) apparaît dans la nomenclature avec uniquement deux spécialités, toutes deux</w:t>
      </w:r>
      <w:r>
        <w:t xml:space="preserve"> </w:t>
      </w:r>
      <w:r>
        <w:rPr>
          <w:b/>
          <w:bCs/>
        </w:rPr>
        <w:t xml:space="preserve">retirées du marché</w:t>
      </w:r>
      <w:r>
        <w:t xml:space="preserve"> </w:t>
      </w:r>
      <w:r>
        <w:t xml:space="preserve">(COLIMYCINE RHONE POULENC, COLISTIN POLPHARMA). Les spécialités actuellement disponibles appartiennent à la DCI</w:t>
      </w:r>
      <w:r>
        <w:t xml:space="preserve"> </w:t>
      </w:r>
      <w:r>
        <w:t xml:space="preserve">“</w:t>
      </w:r>
      <w:r>
        <w:t xml:space="preserve">Colistiméthate sodique</w:t>
      </w:r>
      <w:r>
        <w:t xml:space="preserve">”</w:t>
      </w:r>
      <w:r>
        <w:t xml:space="preserve"> </w:t>
      </w:r>
      <w:r>
        <w:t xml:space="preserve">(voir fiche suivante). Cette distinction DCI est importante : la colistine base est principalement utilisée en topique et aérosol, tandis que le colistiméthate sodique est la prodrogue utilisée en IV.</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COLIMYCINE</w:t>
      </w:r>
      <w:r>
        <w:t xml:space="preserve"> </w:t>
      </w:r>
      <w:r>
        <w:t xml:space="preserve">(RHONE POULENC RORER)</w:t>
      </w:r>
      <w:r>
        <w:t xml:space="preserve"> </w:t>
      </w:r>
      <w:r>
        <w:t xml:space="preserve">- Formes et Dosages : Comprimé, 1 500 000 UI</w:t>
      </w:r>
      <w:r>
        <w:t xml:space="preserve"> </w:t>
      </w:r>
      <w:r>
        <w:t xml:space="preserve">- Statut : Retiré (R)</w:t>
      </w:r>
      <w:r>
        <w:t xml:space="preserve"> </w:t>
      </w:r>
      <w:r>
        <w:t xml:space="preserve">-</w:t>
      </w:r>
      <w:r>
        <w:t xml:space="preserve"> </w:t>
      </w:r>
      <w:r>
        <w:rPr>
          <w:b/>
          <w:bCs/>
        </w:rPr>
        <w:t xml:space="preserve">COLISTIN</w:t>
      </w:r>
      <w:r>
        <w:t xml:space="preserve"> </w:t>
      </w:r>
      <w:r>
        <w:t xml:space="preserve">(POLPHARMA)</w:t>
      </w:r>
      <w:r>
        <w:t xml:space="preserve"> </w:t>
      </w:r>
      <w:r>
        <w:t xml:space="preserve">- Formes et Dosages : Poudre pour solution injectable, 1 000 000 UI/10 mL</w:t>
      </w:r>
      <w:r>
        <w:t xml:space="preserve"> </w:t>
      </w:r>
      <w:r>
        <w:t xml:space="preserve">- Statut : Retiré (R)</w:t>
      </w:r>
    </w:p>
    <w:p>
      <w:pPr>
        <w:pStyle w:val="BodyText"/>
      </w:pPr>
      <w:r>
        <w:rPr>
          <w:b/>
          <w:bCs/>
        </w:rPr>
        <w:t xml:space="preserve">Sous-classe et Mécanisme d’action :</w:t>
      </w:r>
      <w:r>
        <w:t xml:space="preserve"> </w:t>
      </w:r>
      <w:r>
        <w:t xml:space="preserve">- Sous-classe : Polypeptides cationiques cycliques — polymyxine E (colistine), proche parente de la polymyxine B.</w:t>
      </w:r>
      <w:r>
        <w:t xml:space="preserve"> </w:t>
      </w:r>
      <w:r>
        <w:t xml:space="preserve">- Mécanisme d’action : La colistine est un peptide cationique (5 résidus Dab = diaminobutyrique) avec une chaîne acyl-gras hydrophobe. Son action s’exerce en</w:t>
      </w:r>
      <w:r>
        <w:t xml:space="preserve"> </w:t>
      </w:r>
      <w:r>
        <w:rPr>
          <w:b/>
          <w:bCs/>
        </w:rPr>
        <w:t xml:space="preserve">trois étapes</w:t>
      </w:r>
      <w:r>
        <w:t xml:space="preserve"> </w:t>
      </w:r>
      <w:r>
        <w:t xml:space="preserve">: (1) la partie cationique se lie électrostatiquement aux groupements phosphates et pyrophosphates du</w:t>
      </w:r>
      <w:r>
        <w:t xml:space="preserve"> </w:t>
      </w:r>
      <w:r>
        <w:rPr>
          <w:b/>
          <w:bCs/>
        </w:rPr>
        <w:t xml:space="preserve">lipopolysaccharide (LPS) de la membrane externe</w:t>
      </w:r>
      <w:r>
        <w:t xml:space="preserve"> </w:t>
      </w:r>
      <w:r>
        <w:t xml:space="preserve">des Gram négatifs (compétition avec les ions Ca²⁺ et Mg²⁺ qui stabilisent le LPS) ; (2) la chaîne hydrophobe s’insère dans la membrane externe, en déplaçant les ions divalents et en perturbant l’organisation des LPS ; (3) la molécule atteint la membrane cytoplasmique interne, où elle forme des agrégats ayant une activité détergente — augmentation de la perméabilité, fuite des ions K+, contenu cytoplasmique, et mort cellulaire rapide. Bactéricide</w:t>
      </w:r>
      <w:r>
        <w:t xml:space="preserve"> </w:t>
      </w:r>
      <w:r>
        <w:rPr>
          <w:b/>
          <w:bCs/>
        </w:rPr>
        <w:t xml:space="preserve">concentration-dépendante</w:t>
      </w:r>
      <w:r>
        <w:t xml:space="preserve">. Effet post-antibiotique modeste (1–3 h). Activité synergique possible avec les carbapénèmes, la rifampicine, le cotrimoxazole, la tigécycline sur les</w:t>
      </w:r>
      <w:r>
        <w:t xml:space="preserve"> </w:t>
      </w:r>
      <w:r>
        <w:rPr>
          <w:i/>
          <w:iCs/>
        </w:rPr>
        <w:t xml:space="preserve">Acinetobacter</w:t>
      </w:r>
      <w:r>
        <w:t xml:space="preserve">.</w:t>
      </w:r>
    </w:p>
    <w:p>
      <w:pPr>
        <w:pStyle w:val="BodyText"/>
      </w:pPr>
      <w:r>
        <w:rPr>
          <w:b/>
          <w:bCs/>
        </w:rPr>
        <w:t xml:space="preserve">Profil Pharmacologique :</w:t>
      </w:r>
      <w:r>
        <w:t xml:space="preserve"> </w:t>
      </w:r>
      <w:r>
        <w:t xml:space="preserve">- Indications : (1)</w:t>
      </w:r>
      <w:r>
        <w:t xml:space="preserve"> </w:t>
      </w:r>
      <w:r>
        <w:rPr>
          <w:b/>
          <w:bCs/>
        </w:rPr>
        <w:t xml:space="preserve">Voie systémique (IV)</w:t>
      </w:r>
      <w:r>
        <w:t xml:space="preserve"> </w:t>
      </w:r>
      <w:r>
        <w:t xml:space="preserve">— via le colistiméthate sodique : infections sévères à Gram négatif multirésistant — bactériémie, pneumonie nosocomiale (VAP), infections intra-abdominales compliquées, infections urinaires compliquées, méningites nosocomiales à</w:t>
      </w:r>
      <w:r>
        <w:t xml:space="preserve"> </w:t>
      </w:r>
      <w:r>
        <w:rPr>
          <w:i/>
          <w:iCs/>
        </w:rPr>
        <w:t xml:space="preserve">P. aeruginosa</w:t>
      </w:r>
      <w:r>
        <w:t xml:space="preserve">,</w:t>
      </w:r>
      <w:r>
        <w:t xml:space="preserve"> </w:t>
      </w:r>
      <w:r>
        <w:rPr>
          <w:i/>
          <w:iCs/>
        </w:rPr>
        <w:t xml:space="preserve">A. baumannii</w:t>
      </w:r>
      <w:r>
        <w:t xml:space="preserve"> </w:t>
      </w:r>
      <w:r>
        <w:t xml:space="preserve">ou EPC ; (2)</w:t>
      </w:r>
      <w:r>
        <w:t xml:space="preserve"> </w:t>
      </w:r>
      <w:r>
        <w:rPr>
          <w:b/>
          <w:bCs/>
        </w:rPr>
        <w:t xml:space="preserve">Voie inhalée (aérosol)</w:t>
      </w:r>
      <w:r>
        <w:t xml:space="preserve"> </w:t>
      </w:r>
      <w:r>
        <w:t xml:space="preserve">: pneumonie à</w:t>
      </w:r>
      <w:r>
        <w:t xml:space="preserve"> </w:t>
      </w:r>
      <w:r>
        <w:rPr>
          <w:i/>
          <w:iCs/>
        </w:rPr>
        <w:t xml:space="preserve">P. aeruginosa</w:t>
      </w:r>
      <w:r>
        <w:t xml:space="preserve"> </w:t>
      </w:r>
      <w:r>
        <w:t xml:space="preserve">chez le patient mucoviscidosique (entretien et traitement des exacerbations), et plus largement VAP à Gram négatif multirésistant ; (3)</w:t>
      </w:r>
      <w:r>
        <w:t xml:space="preserve"> </w:t>
      </w:r>
      <w:r>
        <w:rPr>
          <w:b/>
          <w:bCs/>
        </w:rPr>
        <w:t xml:space="preserve">Voie intrathécale/intraventriculaire</w:t>
      </w:r>
      <w:r>
        <w:t xml:space="preserve"> </w:t>
      </w:r>
      <w:r>
        <w:t xml:space="preserve">: méningite à Gram négatif multirésistant (en complément de l’IV) ; (4)</w:t>
      </w:r>
      <w:r>
        <w:t xml:space="preserve"> </w:t>
      </w:r>
      <w:r>
        <w:rPr>
          <w:b/>
          <w:bCs/>
        </w:rPr>
        <w:t xml:space="preserve">Voie orale</w:t>
      </w:r>
      <w:r>
        <w:t xml:space="preserve"> </w:t>
      </w:r>
      <w:r>
        <w:t xml:space="preserve">: décontamination digestive sélective en réanimation (non absorbée), traitement des infections intestinales à pathogène multirésistant ; (5)</w:t>
      </w:r>
      <w:r>
        <w:t xml:space="preserve"> </w:t>
      </w:r>
      <w:r>
        <w:rPr>
          <w:b/>
          <w:bCs/>
        </w:rPr>
        <w:t xml:space="preserve">Voie topique</w:t>
      </w:r>
      <w:r>
        <w:t xml:space="preserve"> </w:t>
      </w:r>
      <w:r>
        <w:t xml:space="preserve">: infections cutanées, ophtalmiques, auriculaires à Gram négatif (souvent en association avec bacitracine, néomycine, hydrocortisone).</w:t>
      </w:r>
      <w:r>
        <w:t xml:space="preserve"> </w:t>
      </w:r>
      <w:r>
        <w:t xml:space="preserve">- Contre-indications : (1) Hypersensibilité aux polymyxines ; (2) Myasthénie (la colistine aggrave le bloc neuromusculaire — CI absolue) ; (3) Perfusion intrathécale sauf indication spécifique ; (4) Allaitement ; (5) Association avec curares et aminosides (risque de bloc neuromusculaire).</w:t>
      </w:r>
      <w:r>
        <w:t xml:space="preserve"> </w:t>
      </w:r>
      <w:r>
        <w:t xml:space="preserve">- Effets Indésirables : (1)</w:t>
      </w:r>
      <w:r>
        <w:t xml:space="preserve"> </w:t>
      </w:r>
      <w:r>
        <w:rPr>
          <w:b/>
          <w:bCs/>
        </w:rPr>
        <w:t xml:space="preserve">Néphrotoxicité</w:t>
      </w:r>
      <w:r>
        <w:t xml:space="preserve"> </w:t>
      </w:r>
      <w:r>
        <w:t xml:space="preserve">— 30–60 % des patients traités par voie IV, dose-dépendante, mécanismes : accumulation tubulaire, apoptose des cellules tubulaires proximales, nécrose tubulaire aiguë. Se manifeste par élévation de la créatinine, baisse du débit de filtration glomérulaire, hypokaliémie, hypomagnésémie, protéinurie tubulaire. Souvent réversible à l’arrêt, mais peut nécessiter une épuration extrarénale transitoire. (2)</w:t>
      </w:r>
      <w:r>
        <w:t xml:space="preserve"> </w:t>
      </w:r>
      <w:r>
        <w:rPr>
          <w:b/>
          <w:bCs/>
        </w:rPr>
        <w:t xml:space="preserve">Neurotoxicité</w:t>
      </w:r>
      <w:r>
        <w:t xml:space="preserve"> </w:t>
      </w:r>
      <w:r>
        <w:t xml:space="preserve">— 7–10 % des cas : paresthésies péribuccales, fasciculations musculaires, ataxie, vertiges, convulsions, et surtout</w:t>
      </w:r>
      <w:r>
        <w:t xml:space="preserve"> </w:t>
      </w:r>
      <w:r>
        <w:rPr>
          <w:b/>
          <w:bCs/>
        </w:rPr>
        <w:t xml:space="preserve">bloc neuromusculaire</w:t>
      </w:r>
      <w:r>
        <w:t xml:space="preserve"> </w:t>
      </w:r>
      <w:r>
        <w:t xml:space="preserve">pouvant aller jusqu’à apnée (interaction grave avec les curares et myasthénie) ; souvent dose-dépendante et réversible. (3)</w:t>
      </w:r>
      <w:r>
        <w:t xml:space="preserve"> </w:t>
      </w:r>
      <w:r>
        <w:rPr>
          <w:b/>
          <w:bCs/>
        </w:rPr>
        <w:t xml:space="preserve">Bronchospasme</w:t>
      </w:r>
      <w:r>
        <w:t xml:space="preserve"> </w:t>
      </w:r>
      <w:r>
        <w:t xml:space="preserve">lors de l’administration en aérosol (prémedication par bronchodilatateur β2-agoniste). (4) Réactions d’hypersensibilité : éruption, prurit, urticaire, fièvre. (5) Douleur au site d’injection IM. (6) Coloration transitoire de la peau (rare). (7) inhibition transitoire de la flore intestinale (forme PO).</w:t>
      </w:r>
    </w:p>
    <w:p>
      <w:pPr>
        <w:pStyle w:val="BodyText"/>
      </w:pPr>
      <w:r>
        <w:rPr>
          <w:b/>
          <w:bCs/>
        </w:rPr>
        <w:t xml:space="preserve">Prévention et Gestion des Effets Indésirables :</w:t>
      </w:r>
      <w:r>
        <w:t xml:space="preserve"> </w:t>
      </w:r>
      <w:r>
        <w:t xml:space="preserve">- Mesures Préventives : (a) Éviter la co-prescription de néphrotoxiques (aminosides, diurétiques de l’anse, AINS, produits de contraste, vancomycine). (b) Hydratation IV appropriée (NaCl 0,9 %) pour maintenir une diurèse &gt; 1 mL/kg/h. (c) Surveillance</w:t>
      </w:r>
      <w:r>
        <w:t xml:space="preserve"> </w:t>
      </w:r>
      <w:r>
        <w:rPr>
          <w:b/>
          <w:bCs/>
        </w:rPr>
        <w:t xml:space="preserve">créatininémie quotidienne</w:t>
      </w:r>
      <w:r>
        <w:t xml:space="preserve"> </w:t>
      </w:r>
      <w:r>
        <w:t xml:space="preserve">et électrolytes (K+, Mg²⁺, Ca²⁺) — supplémentation si besoin. (d) Éviter l’administration intrathécale sauf nécessité absolue (méningite à BMR sans alternative). (e) Prémédication par β2-mimétique avant aérosol chez le mucoviscidosique. (f) Chez le patient myasthénique : ne jamais administrer. (g) Pas de dosage systématique des concentrations plasmatiques de colistine en routine, mais recommandé dans les infections sévères (Cmax cible 2–4 mg/L, éviter &gt; 5 mg/L).</w:t>
      </w:r>
      <w:r>
        <w:t xml:space="preserve"> </w:t>
      </w:r>
      <w:r>
        <w:t xml:space="preserve">- Conduite à Tenir : (a) Néphrotoxicité (créatinine × 1,5–2) : discuter la poursuite selon la sévérité de l’infection, espacer les doses (t1/2 allongée en IR), surveiller étroitement, hydrater ; envisager le switch vers une alternative si disponible (ceftazidime-avibactam, ceftolozane-tazobactam selon l’antibiogramme). (b) Neurotoxicité : arrêt immédiat si bloc neuromusculaire symptomatique, surveillance respiratoire, calcul de la clairance et ajustement. (c) Bronchospasme aérosol : arrêter la séance, β2-mimétique + corticoïde inhalé, réévaluer la tolérance.</w:t>
      </w:r>
    </w:p>
    <w:p>
      <w:pPr>
        <w:pStyle w:val="BodyText"/>
      </w:pPr>
      <w:r>
        <w:rPr>
          <w:b/>
          <w:bCs/>
        </w:rPr>
        <w:t xml:space="preserve">Interactions Importantes :</w:t>
      </w:r>
      <w:r>
        <w:t xml:space="preserve"> </w:t>
      </w:r>
      <w:r>
        <w:t xml:space="preserve">- Curares (rocuronium, vecuronium, suxaméthonium) :</w:t>
      </w:r>
      <w:r>
        <w:t xml:space="preserve"> </w:t>
      </w:r>
      <w:r>
        <w:rPr>
          <w:b/>
          <w:bCs/>
        </w:rPr>
        <w:t xml:space="preserve">bloc neuromusculaire prolongé et potentialisé</w:t>
      </w:r>
      <w:r>
        <w:t xml:space="preserve"> </w:t>
      </w:r>
      <w:r>
        <w:t xml:space="preserve">— risque d’apnée prolongée en peri-opératoire ; CI relative, surveiller la curarisation.</w:t>
      </w:r>
      <w:r>
        <w:t xml:space="preserve"> </w:t>
      </w:r>
      <w:r>
        <w:t xml:space="preserve">- Aminosides (gentamicine, amikacine) : néphrotoxicité et ototoxicité synergiques + majoration du bloc neuromusculaire.</w:t>
      </w:r>
      <w:r>
        <w:t xml:space="preserve"> </w:t>
      </w:r>
      <w:r>
        <w:t xml:space="preserve">- Diurétiques de l’anse (furosémide) : majoration ototoxicité (les polymyxines ont une toxicité cochléaire et vestibulaire).</w:t>
      </w:r>
      <w:r>
        <w:t xml:space="preserve"> </w:t>
      </w:r>
      <w:r>
        <w:t xml:space="preserve">- Vancomycine : néphrotoxicité additive.</w:t>
      </w:r>
      <w:r>
        <w:t xml:space="preserve"> </w:t>
      </w:r>
      <w:r>
        <w:t xml:space="preserve">- AINS : majoration néphrotoxicité.</w:t>
      </w:r>
      <w:r>
        <w:t xml:space="preserve"> </w:t>
      </w:r>
      <w:r>
        <w:t xml:space="preserve">- Ciclosporine, tacrolimus : néphrotoxicité synergique.</w:t>
      </w:r>
      <w:r>
        <w:t xml:space="preserve"> </w:t>
      </w:r>
      <w:r>
        <w:t xml:space="preserve">- Céfalotine (historique) : majoration néphrotoxicité.</w:t>
      </w:r>
    </w:p>
    <w:p>
      <w:pPr>
        <w:pStyle w:val="BodyText"/>
      </w:pPr>
      <w:r>
        <w:rPr>
          <w:b/>
          <w:bCs/>
        </w:rPr>
        <w:t xml:space="preserve">Grossesse et Allaitement :</w:t>
      </w:r>
      <w:r>
        <w:t xml:space="preserve"> </w:t>
      </w:r>
      <w:r>
        <w:t xml:space="preserve">- Grossesse : Le CRAT classe la colistine en</w:t>
      </w:r>
      <w:r>
        <w:t xml:space="preserve"> </w:t>
      </w:r>
      <w:r>
        <w:t xml:space="preserve">“</w:t>
      </w:r>
      <w:r>
        <w:rPr>
          <w:b/>
          <w:bCs/>
        </w:rPr>
        <w:t xml:space="preserve">envisageable</w:t>
      </w:r>
      <w:r>
        <w:t xml:space="preserve">”</w:t>
      </w:r>
      <w:r>
        <w:t xml:space="preserve"> </w:t>
      </w:r>
      <w:r>
        <w:t xml:space="preserve">si nécessaire. Les études animales n’ont pas montré de tératogénicité, mais le passage transplacentaire est documenté (rapport fœto-maternel ~ 0,3). À réserver aux infections sévères à BMR sans alternative. La toxicité rénale maternelle doit être surveillée. Le risque théorique de bloc neuromusculaire fœtal est non documenté mais théorique (ne pas associer aux curares).</w:t>
      </w:r>
      <w:r>
        <w:t xml:space="preserve"> </w:t>
      </w:r>
      <w:r>
        <w:t xml:space="preserve">- Allaitement : Le CRAT considère la colistine</w:t>
      </w:r>
      <w:r>
        <w:t xml:space="preserve"> </w:t>
      </w:r>
      <w:r>
        <w:t xml:space="preserve">“</w:t>
      </w:r>
      <w:r>
        <w:rPr>
          <w:b/>
          <w:bCs/>
        </w:rPr>
        <w:t xml:space="preserve">déconseillée mais compatible</w:t>
      </w:r>
      <w:r>
        <w:t xml:space="preserve">”</w:t>
      </w:r>
      <w:r>
        <w:t xml:space="preserve"> </w:t>
      </w:r>
      <w:r>
        <w:t xml:space="preserve">en pratique — la colistine passe faiblement dans le lait (rapport lait/plasma &lt; 0,3) et l’absorption intestinale du nourrisson est quasi nulle (&lt; 1 %), l’exposition systémique est négligeable. Surveillance de la flore intestinale du nourrisson (candidose, diarrhée). En pratique, l’allaitement peut être maintenu pour des traitements courts.</w:t>
      </w:r>
      <w:r>
        <w:t xml:space="preserve"> </w:t>
      </w:r>
      <w:r>
        <w:t xml:space="preserve">- Précisions : La colistine en aérosol chez la femme enceinte mucoviscidosique est considérée compatible par le CRAT (absorption systémique très faible).</w:t>
      </w:r>
    </w:p>
    <w:p>
      <w:pPr>
        <w:pStyle w:val="BodyText"/>
      </w:pPr>
      <w:r>
        <w:rPr>
          <w:b/>
          <w:bCs/>
        </w:rPr>
        <w:t xml:space="preserve">Posologie et Mode d’administration (Standard) :</w:t>
      </w:r>
      <w:r>
        <w:t xml:space="preserve"> </w:t>
      </w:r>
      <w:r>
        <w:t xml:space="preserve">- Adulte IV (colistiméthate sodique) :</w:t>
      </w:r>
      <w:r>
        <w:t xml:space="preserve"> </w:t>
      </w:r>
      <w:r>
        <w:rPr>
          <w:b/>
          <w:bCs/>
        </w:rPr>
        <w:t xml:space="preserve">9 millions UI/jour en 2 à 3 injections</w:t>
      </w:r>
      <w:r>
        <w:t xml:space="preserve"> </w:t>
      </w:r>
      <w:r>
        <w:t xml:space="preserve">(dose de charge 9 MUI, puis 4,5 MUI × 2/jour), à adapter à l’IR. Conversion : 1 million UI CMS = 80 mg colistine base = 30 mg colistiméthate sodique. Pour les patients de poids &lt; 60 kg, calcul en UI/kg : dose de charge 25 000–30 000 UI/kg puis 50 000 UI/kg/jour en 2 perfusions (30 min). Adaptation IR (ClCr) : 30–50 mL/min : 50 % dose ; 10–30 : 30 % ; &lt; 10 : 15 % ou après dialyse.</w:t>
      </w:r>
      <w:r>
        <w:t xml:space="preserve"> </w:t>
      </w:r>
      <w:r>
        <w:t xml:space="preserve">- Aérosol : 1–2 millions UI × 2/jour (dilué dans 3–4 mL NaCl 0,9 %) en nébulisation pneumatique ou ultrasonique.</w:t>
      </w:r>
      <w:r>
        <w:t xml:space="preserve"> </w:t>
      </w:r>
      <w:r>
        <w:t xml:space="preserve">- Intrathécale/intraventriculaire : 125 000 UI/jour (chez l’adulte) en une injection quotidienne.</w:t>
      </w:r>
      <w:r>
        <w:t xml:space="preserve"> </w:t>
      </w:r>
      <w:r>
        <w:t xml:space="preserve">- Forme PO : 1,5–3 millions UI × 3/jour (décontamination digestive, infections intestinales).</w:t>
      </w:r>
      <w:r>
        <w:t xml:space="preserve"> </w:t>
      </w:r>
      <w:r>
        <w:t xml:space="preserve">- Enfant IV : 50 000–75 000 UI/kg/jour en 3 perfusions ; néonate : 25 000 UI/kg/12 h.</w:t>
      </w:r>
      <w:r>
        <w:t xml:space="preserve"> </w:t>
      </w:r>
      <w:r>
        <w:t xml:space="preserve">- Durée : Selon indication — bactériémie 7–14 j ; VAP 7–8 j ; méningite 14–21 j ; aérosol mucoviscidose : traitement au long cours (3 semaines en alternance pour les exacerbations ; traitement continu pour la colonisation chronique).</w:t>
      </w:r>
      <w:r>
        <w:t xml:space="preserve"> </w:t>
      </w:r>
      <w:r>
        <w:t xml:space="preserve">- Moment de prise : IV à débit constant (perf 30 min pour la CMS) ; aérosol de préférence le matin et le soir, à distance des repas et des séances de kinésithérapie respiratoire ; PO à heures fixes avec un grand verre d’eau.</w:t>
      </w:r>
    </w:p>
    <w:p>
      <w:pPr>
        <w:pStyle w:val="BodyText"/>
      </w:pPr>
      <w:r>
        <w:rPr>
          <w:b/>
          <w:bCs/>
        </w:rPr>
        <w:t xml:space="preserve">Arbitrage et Bénéfices des Formes Galéniques :</w:t>
      </w:r>
      <w:r>
        <w:t xml:space="preserve"> </w:t>
      </w:r>
      <w:r>
        <w:t xml:space="preserve">La colistine sous forme de colistiméthate sodique (CMS) est la forme IV de référence — la prodroge est moins toxique que la colistine base et libère progressivement la forme active. La colistine base (polymyxine E), commercialisée sous COLIMYCINE (comprimé) et COLISTIN (poudre injectable) en Algérie, est aujourd’hui retirée du marché — elle n’est plus disponible que dans les pharmacies à usage intérieur ayant un stock résiduel. Les alternatives algériennes actuelles pour la colistine IV sont les spécialités COLISTIMETHATE SODIUM 1000000 UI (XELLIA) et COLISTINE HIKMA. L’aérosol de colistine (à partir du flacon injectable reconstitué) est une pratique de nébulisation largement utilisée en mucoviscidose — l’avantage est de cibler directement l’arbre bronchique avec peu de passage systémique, réduisant la néphrotoxicité. Les formes topiques (colistine + néomycine + dexaméthasone en collyre/pommade) sont très répandues en Algérie (voir fiche Polymyxine B et associations).</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La colistine est un antibiotique très puissant réservé aux bactéries très résistantes. Elle nécessite une surveillance médicale étroite, en particulier des reins. En cas de traitement par aérosol, vous devez respecter les séances et prévenir votre médecin si vous avez des crampes musculaires, des picotements autour de la bouche, ou des difficultés à respirer.</w:t>
      </w:r>
      <w:r>
        <w:t xml:space="preserve">”</w:t>
      </w:r>
      <w:r>
        <w:t xml:space="preserve"> </w:t>
      </w:r>
      <w:r>
        <w:t xml:space="preserve">- Mode d’utilisation pratique : (1) Conserver les flacons à T° &lt; 25 °C. (2) Reconstitution avec NaCl 0,9 % ou eau pour préparation injectable exclusivement (pas de solvants bactériostatiques). (3) Pour aérosol : diluer la dose dans 3–4 mL NaCl 0,9 %, utiliser dans l’heure. (4) Signaler immédiatement tout picotement péribuccal, faiblesse musculaire, vertige.</w:t>
      </w:r>
    </w:p>
    <w:p>
      <w:pPr>
        <w:pStyle w:val="BodyText"/>
      </w:pPr>
      <w:r>
        <w:rPr>
          <w:b/>
          <w:bCs/>
        </w:rPr>
        <w:t xml:space="preserve">Notes, Règles d’Or &amp; Pièges au Comptoir :</w:t>
      </w:r>
      <w:r>
        <w:t xml:space="preserve"> </w:t>
      </w:r>
      <w:r>
        <w:t xml:space="preserve">- Piège classique n°1 :</w:t>
      </w:r>
      <w:r>
        <w:t xml:space="preserve"> </w:t>
      </w:r>
      <w:r>
        <w:rPr>
          <w:b/>
          <w:bCs/>
        </w:rPr>
        <w:t xml:space="preserve">Confusion entre UI de colistiméthate sodique (CMS) et mg de colistine base</w:t>
      </w:r>
      <w:r>
        <w:t xml:space="preserve"> </w:t>
      </w:r>
      <w:r>
        <w:t xml:space="preserve">— les doses s’expriment en UI de CMS, mais la surveillance s’effectue sur la colistine base (Cmax 2–4 mg/L). Rappel : 1 MUI CMS = 80 mg colistine base = 30 mg CMS sel sodique. Une erreur de conversion peut conduire à un surdosage massif (apnée, IRA).</w:t>
      </w:r>
      <w:r>
        <w:t xml:space="preserve"> </w:t>
      </w:r>
      <w:r>
        <w:t xml:space="preserve">- Piège classique n°2 :</w:t>
      </w:r>
      <w:r>
        <w:t xml:space="preserve"> </w:t>
      </w:r>
      <w:r>
        <w:rPr>
          <w:b/>
          <w:bCs/>
        </w:rPr>
        <w:t xml:space="preserve">Myasthénie et polymyxines = CI absolue</w:t>
      </w:r>
      <w:r>
        <w:t xml:space="preserve"> </w:t>
      </w:r>
      <w:r>
        <w:t xml:space="preserve">— la colistine aggrave le bloc neuromusculaire et peut provoquer une crise myasthénique grave avec insuffisance respiratoire. Toujours demander au patient s’il a une myasthénie avant dispensation.</w:t>
      </w:r>
      <w:r>
        <w:t xml:space="preserve"> </w:t>
      </w:r>
      <w:r>
        <w:t xml:space="preserve">- Piège classique n°3 :</w:t>
      </w:r>
      <w:r>
        <w:t xml:space="preserve"> </w:t>
      </w:r>
      <w:r>
        <w:rPr>
          <w:b/>
          <w:bCs/>
        </w:rPr>
        <w:t xml:space="preserve">Pas de perfusion intrathécale accidentelle</w:t>
      </w:r>
      <w:r>
        <w:t xml:space="preserve"> </w:t>
      </w:r>
      <w:r>
        <w:t xml:space="preserve">— la colistine base est neurotoxique directe. Seule la CMS peut être utilisée en IV. Vérifier la spécialité avant administration.</w:t>
      </w:r>
      <w:r>
        <w:t xml:space="preserve"> </w:t>
      </w:r>
      <w:r>
        <w:t xml:space="preserve">- Piège classique n°4 :</w:t>
      </w:r>
      <w:r>
        <w:t xml:space="preserve"> </w:t>
      </w:r>
      <w:r>
        <w:rPr>
          <w:b/>
          <w:bCs/>
        </w:rPr>
        <w:t xml:space="preserve">Néphrotoxicité fréquente et précoce</w:t>
      </w:r>
      <w:r>
        <w:t xml:space="preserve"> </w:t>
      </w:r>
      <w:r>
        <w:t xml:space="preserve">(50 % des cas à J7) — surveiller la créatinine dès J3.</w:t>
      </w:r>
      <w:r>
        <w:t xml:space="preserve"> </w:t>
      </w:r>
      <w:r>
        <w:t xml:space="preserve">- Règle de prise : IV en perfusion 30 min ; aérosol en nébulisation ; PO à jeun pour optimiser la décontamination digestive.</w:t>
      </w:r>
      <w:r>
        <w:t xml:space="preserve"> </w:t>
      </w:r>
      <w:r>
        <w:t xml:space="preserve">- Préparation et Conservation : flacons stables à T° ambiante ; solution reconstituée : 24 h à T° ambiante, 7 j à 2–8 °C. Ne pas congeler (la CMS est instable à la congélation). Ne pas mélanger avec d’autres antibiotiques dans la même ligne (incompatibilités physiques fréquentes).</w:t>
      </w:r>
      <w:r>
        <w:t xml:space="preserve"> </w:t>
      </w:r>
      <w:r>
        <w:t xml:space="preserve">- Piège du surdosage / Substitution : (a) Surdosage aigu : apnée, IRA — ventilation mécanique, hémodialyse à membrane high-flux (la colistine est partiellement dialysable, ~ 30–40 %), surveillance neurologique. (b) Substitution COLISTIMETHATE SODIUM XELLIA ↔ COLISTINE HIKMA : équivalents en UI de CMS, mais vérifier le mode de reconstitution (volume de solvant, concentration finale). (c) Ne jamais substituer la colistine base (COLIMYCINE comprimé) à la CMS injectable.</w:t>
      </w:r>
    </w:p>
    <w:p>
      <w:r>
        <w:pict>
          <v:rect style="width:0;height:1.5pt" o:hralign="center" o:hrstd="t" o:hr="t"/>
        </w:pict>
      </w:r>
    </w:p>
    <w:bookmarkEnd w:id="199"/>
    <w:bookmarkStart w:id="200" w:name="X3999bb74a7541e0d5f92a984cd7138e7514b174"/>
    <w:p>
      <w:pPr>
        <w:pStyle w:val="Heading3"/>
      </w:pPr>
      <w:r>
        <w:t xml:space="preserve">7.2.2 DCI : Colistiméthate sodique (Colistine) (Seule)</w:t>
      </w:r>
    </w:p>
    <w:p>
      <w:pPr>
        <w:pStyle w:val="FirstParagraph"/>
      </w:pPr>
      <w:r>
        <w:rPr>
          <w:b/>
          <w:bCs/>
        </w:rPr>
        <w:t xml:space="preserve">Liste des Catégories :</w:t>
      </w:r>
      <w:r>
        <w:t xml:space="preserve"> </w:t>
      </w:r>
      <w:r>
        <w:t xml:space="preserve">Polypeptides ; Prodrogue de la colistine ; Antibiotique de réserve anti-Gram négatif ; LISTE I.</w:t>
      </w:r>
    </w:p>
    <w:p>
      <w:pPr>
        <w:pStyle w:val="BodyText"/>
      </w:pPr>
      <w:r>
        <w:t xml:space="preserve">Le colistiméthate sodique (CMS) est la</w:t>
      </w:r>
      <w:r>
        <w:t xml:space="preserve"> </w:t>
      </w:r>
      <w:r>
        <w:rPr>
          <w:b/>
          <w:bCs/>
        </w:rPr>
        <w:t xml:space="preserve">prodrogue</w:t>
      </w:r>
      <w:r>
        <w:t xml:space="preserve"> </w:t>
      </w:r>
      <w:r>
        <w:t xml:space="preserve">de la colistine, forme sous laquelle la colistine est commercialisée pour la voie parentérale (IV, IM, aérosol). C’est le méthanesulfonate sodique de colistine, une forme moins toxique et hydrosoluble qui est hydrolysée in vivo en colistine active par les enzymes plasmatiques et tissulaires. La conversion est lente et incomplète (seulement ~ 30 % de la CMS est convertie en colistine base active). Cette particularité explique : (i) la nécessité d’utiliser des doses élevées en UI de CMS ; (ii) le délai d’action (la Cmax de colistine base est atteinte 1–2 h après la perfusion de CMS) ; (iii) l’importance de la conversion d’unités (1 MUI CMS ≈ 80 mg colistine base). En Algérie, le CMS est la forme actuellement commercialisée pour la colistine systémique, sous deux spécialités actives (COLISTIMETHATE SODIUM XELLIA, COLISTINE HIKMA).</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COLISTIMETHATE SODIUM 1000000 UI</w:t>
      </w:r>
      <w:r>
        <w:t xml:space="preserve"> </w:t>
      </w:r>
      <w:r>
        <w:t xml:space="preserve">(XELLIA PHARMACEUTICAL APS)</w:t>
      </w:r>
      <w:r>
        <w:t xml:space="preserve"> </w:t>
      </w:r>
      <w:r>
        <w:t xml:space="preserve">- Formes et Dosages : Poudre pour solution injectable/perfusion, 1 000 000 UI/flacon</w:t>
      </w:r>
      <w:r>
        <w:t xml:space="preserve"> </w:t>
      </w:r>
      <w:r>
        <w:t xml:space="preserve">- Conditionnement : Boîte de 10 flacons</w:t>
      </w:r>
      <w:r>
        <w:t xml:space="preserve"> </w:t>
      </w:r>
      <w:r>
        <w:t xml:space="preserve">- Statut : Actif</w:t>
      </w:r>
      <w:r>
        <w:t xml:space="preserve"> </w:t>
      </w:r>
      <w:r>
        <w:t xml:space="preserve">-</w:t>
      </w:r>
      <w:r>
        <w:t xml:space="preserve"> </w:t>
      </w:r>
      <w:r>
        <w:rPr>
          <w:b/>
          <w:bCs/>
        </w:rPr>
        <w:t xml:space="preserve">COLISTINE HIKMA</w:t>
      </w:r>
      <w:r>
        <w:t xml:space="preserve"> </w:t>
      </w:r>
      <w:r>
        <w:t xml:space="preserve">(HIKMA PHARMA ALGERIA)</w:t>
      </w:r>
      <w:r>
        <w:t xml:space="preserve"> </w:t>
      </w:r>
      <w:r>
        <w:t xml:space="preserve">- Formes et Dosages : Poudre pour solution pour injection, 1 000 000 UI/flacon de 10 mL</w:t>
      </w:r>
      <w:r>
        <w:t xml:space="preserve"> </w:t>
      </w:r>
      <w:r>
        <w:t xml:space="preserve">- Conditionnement : Boîte de 1 flacon de 10 mL</w:t>
      </w:r>
      <w:r>
        <w:t xml:space="preserve"> </w:t>
      </w:r>
      <w:r>
        <w:t xml:space="preserve">- Statut : Actif</w:t>
      </w:r>
      <w:r>
        <w:t xml:space="preserve"> </w:t>
      </w:r>
      <w:r>
        <w:t xml:space="preserve">-</w:t>
      </w:r>
      <w:r>
        <w:t xml:space="preserve"> </w:t>
      </w:r>
      <w:r>
        <w:rPr>
          <w:b/>
          <w:bCs/>
        </w:rPr>
        <w:t xml:space="preserve">COLISTINE HIKMA</w:t>
      </w:r>
      <w:r>
        <w:t xml:space="preserve"> </w:t>
      </w:r>
      <w:r>
        <w:t xml:space="preserve">(HIKMA PHARMA ALGERIA) — doublon nomenclature</w:t>
      </w:r>
      <w:r>
        <w:t xml:space="preserve"> </w:t>
      </w:r>
      <w:r>
        <w:t xml:space="preserve">- Formes et Dosages : Poudre pour solution pour injection, 1 000 000 UI/flacon de 10 mL</w:t>
      </w:r>
      <w:r>
        <w:t xml:space="preserve"> </w:t>
      </w:r>
      <w:r>
        <w:t xml:space="preserve">- Conditionnement : Boîte de 1 flacon de 10 mL</w:t>
      </w:r>
      <w:r>
        <w:t xml:space="preserve"> </w:t>
      </w:r>
      <w:r>
        <w:t xml:space="preserve">- Statut : Actif</w:t>
      </w:r>
      <w:r>
        <w:t xml:space="preserve"> </w:t>
      </w:r>
      <w:r>
        <w:t xml:space="preserve">-</w:t>
      </w:r>
      <w:r>
        <w:t xml:space="preserve"> </w:t>
      </w:r>
      <w:r>
        <w:rPr>
          <w:b/>
          <w:bCs/>
        </w:rPr>
        <w:t xml:space="preserve">BACICOLINE A LA BACTRACINE</w:t>
      </w:r>
      <w:r>
        <w:t xml:space="preserve"> </w:t>
      </w:r>
      <w:r>
        <w:t xml:space="preserve">(LABORATOIRE PHARMACEUTIQUE ALGERIEN — LPA)</w:t>
      </w:r>
      <w:r>
        <w:t xml:space="preserve"> </w:t>
      </w:r>
      <w:r>
        <w:t xml:space="preserve">- Formes et Dosages : Poudre et solvant pour collyre, 25 MUI colistine/1 g + 50 000 UI bacitracine/1 g, flacon de 5 mL reconstitué</w:t>
      </w:r>
      <w:r>
        <w:t xml:space="preserve"> </w:t>
      </w:r>
      <w:r>
        <w:t xml:space="preserve">- Statut : Non Renouvelable</w:t>
      </w:r>
    </w:p>
    <w:p>
      <w:pPr>
        <w:pStyle w:val="BodyText"/>
      </w:pPr>
      <w:r>
        <w:rPr>
          <w:b/>
          <w:bCs/>
        </w:rPr>
        <w:t xml:space="preserve">Sous-classe et Mécanisme d’action :</w:t>
      </w:r>
      <w:r>
        <w:t xml:space="preserve"> </w:t>
      </w:r>
      <w:r>
        <w:t xml:space="preserve">- Sous-classe : Polypeptides — prodrogue (colistiméthate sodique = CMS) hydrolysée in vivo en colistine active (polymyxine E).</w:t>
      </w:r>
      <w:r>
        <w:t xml:space="preserve"> </w:t>
      </w:r>
      <w:r>
        <w:t xml:space="preserve">- Mécanisme d’action : Le CMS lui-même est</w:t>
      </w:r>
      <w:r>
        <w:t xml:space="preserve"> </w:t>
      </w:r>
      <w:r>
        <w:rPr>
          <w:b/>
          <w:bCs/>
        </w:rPr>
        <w:t xml:space="preserve">inactif</w:t>
      </w:r>
      <w:r>
        <w:t xml:space="preserve"> </w:t>
      </w:r>
      <w:r>
        <w:t xml:space="preserve">in vitro. Il est hydrolysé enzymatiquement (estérases plasmatiques et tissulaires) en colistine base (polymyxine E), qui exerce son action bactéricide concentration-dépendante par détergence des membranes externe et interne des bactéries à Gram négatif (voir fiche Colistine pour le détail). La conversion CMS → colistine base est lente, partielle (~ 30 %), et la colistine base formée subit une élimination principalement extra-rénale (rôle du rein non clair, mais la CMS est éliminée par voie rénale — d’où l’adaptation à l’IR). La demi-vie d’élimination de la colistine base est de 4 à 8 h (plus longue que la CMS, 2–3 h), permettant un schéma en 2 perfusions/jour.</w:t>
      </w:r>
    </w:p>
    <w:p>
      <w:pPr>
        <w:pStyle w:val="BodyText"/>
      </w:pPr>
      <w:r>
        <w:rPr>
          <w:b/>
          <w:bCs/>
        </w:rPr>
        <w:t xml:space="preserve">Profil Pharmacologique :</w:t>
      </w:r>
      <w:r>
        <w:t xml:space="preserve"> </w:t>
      </w:r>
      <w:r>
        <w:t xml:space="preserve">- Indications : Identiques à la colistine (voir fiche précédente) : infections sévères à Gram négatif multirésistant — bactériémie, VAP, infections intra-abdominales, infections urinaires compliquées, méningites nosocomiales ; aérosol en mucoviscidose ; intrathécale dans les méningites à BMR. Le CMS est la forme obligatoire pour la voie IV, IM et aérosol ; la colistine base (COLIMYCINE) n’est plus commercialisée en injectable en Algérie.</w:t>
      </w:r>
      <w:r>
        <w:t xml:space="preserve"> </w:t>
      </w:r>
      <w:r>
        <w:t xml:space="preserve">- Contre-indications : Hypersensibilité aux polymyxines ; myasthénie ; association aux curares ; allaitement (par prudence).</w:t>
      </w:r>
      <w:r>
        <w:t xml:space="preserve"> </w:t>
      </w:r>
      <w:r>
        <w:t xml:space="preserve">- Effets Indésirables : Identiques à la colistine (néphrotoxicité 30–60 %, neurotoxicité 7–10 %, bronchospasme aérosol). Le CMS étant moins toxique que la colistine base directe, son profil est globalement un peu meilleur, mais le risque reste élevé en cas d’insuffisance rénale, d’âge avancé, ou d’association néphrotoxique.</w:t>
      </w:r>
    </w:p>
    <w:p>
      <w:pPr>
        <w:pStyle w:val="BodyText"/>
      </w:pPr>
      <w:r>
        <w:rPr>
          <w:b/>
          <w:bCs/>
        </w:rPr>
        <w:t xml:space="preserve">Prévention et Gestion des Effets Indésirables :</w:t>
      </w:r>
      <w:r>
        <w:t xml:space="preserve"> </w:t>
      </w:r>
      <w:r>
        <w:t xml:space="preserve">- Mesures Préventives : Identiques à la colistine (voir fiche précédente). En outre : (a) Ne jamais administrer le CMS en perfusion trop rapide (bolus) — risque de bloc neuromusculaire ; perfusion ≥ 30 min pour 1 MUI. (b) Le CMS reconstitué doit être utilisé immédiatement ou conservé au réfrigérateur &lt; 24 h (dégradation hydrolytique progressive en colistine base, ce qui augmenterait la toxicité si la solution est conservée trop longtemps).</w:t>
      </w:r>
      <w:r>
        <w:t xml:space="preserve"> </w:t>
      </w:r>
      <w:r>
        <w:t xml:space="preserve">- Conduite à Tenir : Identique à la colistine.</w:t>
      </w:r>
    </w:p>
    <w:p>
      <w:pPr>
        <w:pStyle w:val="BodyText"/>
      </w:pPr>
      <w:r>
        <w:rPr>
          <w:b/>
          <w:bCs/>
        </w:rPr>
        <w:t xml:space="preserve">Interactions Importantes :</w:t>
      </w:r>
      <w:r>
        <w:t xml:space="preserve"> </w:t>
      </w:r>
      <w:r>
        <w:t xml:space="preserve">- Identiques à la colistine (curares, aminosides, diurétiques de l’anse, vancomycine, AINS, ciclosporine). Incompatibilité physique avec plusieurs antibiotiques (pénicillines, céphalosporines, imipénème) — ne pas mélanger dans la même tubulure.</w:t>
      </w:r>
    </w:p>
    <w:p>
      <w:pPr>
        <w:pStyle w:val="BodyText"/>
      </w:pPr>
      <w:r>
        <w:rPr>
          <w:b/>
          <w:bCs/>
        </w:rPr>
        <w:t xml:space="preserve">Grossesse et Allaitement :</w:t>
      </w:r>
      <w:r>
        <w:t xml:space="preserve"> </w:t>
      </w:r>
      <w:r>
        <w:t xml:space="preserve">- Identique à la colistine (voir fiche précédente).</w:t>
      </w:r>
    </w:p>
    <w:p>
      <w:pPr>
        <w:pStyle w:val="BodyText"/>
      </w:pPr>
      <w:r>
        <w:rPr>
          <w:b/>
          <w:bCs/>
        </w:rPr>
        <w:t xml:space="preserve">Posologie et Mode d’administration (Standard) :</w:t>
      </w:r>
      <w:r>
        <w:t xml:space="preserve"> </w:t>
      </w:r>
      <w:r>
        <w:t xml:space="preserve">- Adulte IV :</w:t>
      </w:r>
      <w:r>
        <w:t xml:space="preserve"> </w:t>
      </w:r>
      <w:r>
        <w:rPr>
          <w:b/>
          <w:bCs/>
        </w:rPr>
        <w:t xml:space="preserve">9 millions UI/jour</w:t>
      </w:r>
      <w:r>
        <w:t xml:space="preserve"> </w:t>
      </w:r>
      <w:r>
        <w:t xml:space="preserve">(dose de charge) en 1 perfusion, puis</w:t>
      </w:r>
      <w:r>
        <w:t xml:space="preserve"> </w:t>
      </w:r>
      <w:r>
        <w:rPr>
          <w:b/>
          <w:bCs/>
        </w:rPr>
        <w:t xml:space="preserve">4,5 millions UI × 2/jour</w:t>
      </w:r>
      <w:r>
        <w:t xml:space="preserve"> </w:t>
      </w:r>
      <w:r>
        <w:t xml:space="preserve">en perfusion de 30 min. Adaptation à l’IR selon ClCr :</w:t>
      </w:r>
      <w:r>
        <w:t xml:space="preserve"> </w:t>
      </w:r>
      <w:r>
        <w:t xml:space="preserve">- ClCr ≥ 50 : 4,5 MUI × 2–3/jour</w:t>
      </w:r>
      <w:r>
        <w:t xml:space="preserve"> </w:t>
      </w:r>
      <w:r>
        <w:t xml:space="preserve">- 30–50 : 3,5 MUI × 2/jour</w:t>
      </w:r>
      <w:r>
        <w:t xml:space="preserve"> </w:t>
      </w:r>
      <w:r>
        <w:t xml:space="preserve">- 10–30 : 2,5 MUI × 2/jour (ou 1,5 MUI × 3/jour)</w:t>
      </w:r>
      <w:r>
        <w:t xml:space="preserve"> </w:t>
      </w:r>
      <w:r>
        <w:t xml:space="preserve">- &lt; 10 : 1,5 MUI/jour (administrer après chaque dialyse)</w:t>
      </w:r>
      <w:r>
        <w:t xml:space="preserve"> </w:t>
      </w:r>
      <w:r>
        <w:t xml:space="preserve">- Aérosol : 1–2 MUI × 2/jour en nébulisation (dilué dans 3–4 mL NaCl 0,9 %).</w:t>
      </w:r>
      <w:r>
        <w:t xml:space="preserve"> </w:t>
      </w:r>
      <w:r>
        <w:t xml:space="preserve">- Intrathécale/intraventriculaire : 125 000 UI/jour (adulte) ; 50 000 UI/jour (enfant &lt; 2 ans).</w:t>
      </w:r>
      <w:r>
        <w:t xml:space="preserve"> </w:t>
      </w:r>
      <w:r>
        <w:t xml:space="preserve">- Enfant IV : 50 000–75 000 UI/kg/jour en 3 perfusions ; néonate : 25 000 UI/kg/12 h.</w:t>
      </w:r>
      <w:r>
        <w:t xml:space="preserve"> </w:t>
      </w:r>
      <w:r>
        <w:t xml:space="preserve">- Durée : 7–14 j (bactériémie), 7–8 j (VAP), 14–21 j (méningite), 3 semaines alternées (aérosol mucoviscidose).</w:t>
      </w:r>
      <w:r>
        <w:t xml:space="preserve"> </w:t>
      </w:r>
      <w:r>
        <w:t xml:space="preserve">- Moment de prise : perfusion à débit constant 30 min, à heures fixes pour maintenir la concentration.</w:t>
      </w:r>
    </w:p>
    <w:p>
      <w:pPr>
        <w:pStyle w:val="BodyText"/>
      </w:pPr>
      <w:r>
        <w:rPr>
          <w:b/>
          <w:bCs/>
        </w:rPr>
        <w:t xml:space="preserve">Arbitrage et Bénéfices des Formes Galéniques :</w:t>
      </w:r>
      <w:r>
        <w:t xml:space="preserve"> </w:t>
      </w:r>
      <w:r>
        <w:t xml:space="preserve">Le colistiméthate sodique est exclusivement commercialisé en poudre pour reconstitution (flacon de 1 MUI). La disponibilité algérienne repose sur deux fournisseurs : XELLIA (boîte de 10 flacons) et HIKMA (boîte de 1 flacon) — bioéquivalents. L’avantage de la forme CMS sur la colistine base directe (disparue du marché algérien) est : (i) une meilleure tolérance locale (moins de douleur IM) ; (ii) une libération progressive réduisant les pics toxiques ; (iii) une stabilité galénique supérieure. L’inconvénient est la complexité du calcul de dose (UI de CMS vs mg de colistine base). Concernant l’aérosol : le CMS pour injection peut être nébulisé directement (pratique validée par l’EMA et la HAS), mais certains experts recommandent l’utilisation de la colistine base (mieux tolérée en aérosol, moins de toux et de bronchospasme). En Algérie, la colistine base n’étant plus disponible, c’est le CMS qui est utilisé en aérosol.</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Ce médicament est un antibiotique très puissant utilisé à l’hôpital pour traiter des bactéries très résistantes. Il sera administré par perfusion veineuse lente ou en aérosol selon votre cas. Vous devez signaler immédiatement tout picotement autour de la bouche, faiblesse musculaire, ou diminution du volume urinaire.</w:t>
      </w:r>
      <w:r>
        <w:t xml:space="preserve">”</w:t>
      </w:r>
      <w:r>
        <w:t xml:space="preserve"> </w:t>
      </w:r>
      <w:r>
        <w:t xml:space="preserve">- Mode d’utilisation pratique : (1) Reconstitution avec 5–10 mL de NaCl 0,9 % ou eau PPI (jamais d’eau bactériostatique avec alcool benzylique chez le nourrisson — toxique). (2) Pour perfusion IV : diluer la dose reconstituée dans 50–100 mL NaCl 0,9 %, perfuser en 30 min. (3) Pour aérosol : diluer dans 3–4 mL NaCl 0,9 %, nébuliser immédiatement (ne pas stocker). (4) Conservation après reconstitution : 24 h maximum à 2–8 °C.</w:t>
      </w:r>
    </w:p>
    <w:p>
      <w:pPr>
        <w:pStyle w:val="BodyText"/>
      </w:pPr>
      <w:r>
        <w:rPr>
          <w:b/>
          <w:bCs/>
        </w:rPr>
        <w:t xml:space="preserve">Notes, Règles d’Or &amp; Pièges au Comptoir :</w:t>
      </w:r>
      <w:r>
        <w:t xml:space="preserve"> </w:t>
      </w:r>
      <w:r>
        <w:t xml:space="preserve">- Piège classique n°1 :</w:t>
      </w:r>
      <w:r>
        <w:t xml:space="preserve"> </w:t>
      </w:r>
      <w:r>
        <w:rPr>
          <w:b/>
          <w:bCs/>
        </w:rPr>
        <w:t xml:space="preserve">Conversion UI ↔ mg</w:t>
      </w:r>
      <w:r>
        <w:t xml:space="preserve"> </w:t>
      </w:r>
      <w:r>
        <w:t xml:space="preserve">: 1 MUI CMS = 30 mg CMS sel = 80 mg colistine base. Une erreur de conversion peut conduire à un surdosage 3 à 4 fois supérieur à la dose cible. Toujours vérifier l’unité de prescription.</w:t>
      </w:r>
      <w:r>
        <w:t xml:space="preserve"> </w:t>
      </w:r>
      <w:r>
        <w:t xml:space="preserve">- Piège classique n°2 :</w:t>
      </w:r>
      <w:r>
        <w:t xml:space="preserve"> </w:t>
      </w:r>
      <w:r>
        <w:rPr>
          <w:b/>
          <w:bCs/>
        </w:rPr>
        <w:t xml:space="preserve">Stabilité courte après reconstitution</w:t>
      </w:r>
      <w:r>
        <w:t xml:space="preserve"> </w:t>
      </w:r>
      <w:r>
        <w:t xml:space="preserve">— la CMS s’hydrolyse progressivement en colistine base, ce qui augmente la toxicité si la solution est conservée plus de 24 h. Préparer extemporanément.</w:t>
      </w:r>
      <w:r>
        <w:t xml:space="preserve"> </w:t>
      </w:r>
      <w:r>
        <w:t xml:space="preserve">- Piège classique n°3 :</w:t>
      </w:r>
      <w:r>
        <w:t xml:space="preserve"> </w:t>
      </w:r>
      <w:r>
        <w:rPr>
          <w:b/>
          <w:bCs/>
        </w:rPr>
        <w:t xml:space="preserve">Ne pas dépasser 5 mg/L de colistine base plasmatique</w:t>
      </w:r>
      <w:r>
        <w:t xml:space="preserve"> </w:t>
      </w:r>
      <w:r>
        <w:t xml:space="preserve">— risque de bloc neuromusculaire et d’apnée.</w:t>
      </w:r>
      <w:r>
        <w:t xml:space="preserve"> </w:t>
      </w:r>
      <w:r>
        <w:t xml:space="preserve">- Règle de prise : perfusion IV ≥ 30 min ; surveillance créatinine quotidienne ; électrolytes (K+, Mg²⁺, Ca²⁺) à J0, J3, J7 ; surveillance neurologique.</w:t>
      </w:r>
      <w:r>
        <w:t xml:space="preserve"> </w:t>
      </w:r>
      <w:r>
        <w:t xml:space="preserve">- Préparation et Conservation : poudre lyophilisée stable jusqu’à péremption à T° &lt; 25 °C ; solution reconstituée : 24 h à 2–8 °C, ne pas congeler.</w:t>
      </w:r>
      <w:r>
        <w:t xml:space="preserve"> </w:t>
      </w:r>
      <w:r>
        <w:t xml:space="preserve">- Piège du surdosage / Substitution : (a) Surdosage : apnée, IRA — ventilation mécanique, surveillance USI, dialyse à membrane high-flux (la colistine est partiellement dialysable). (b) Substitution XELLIA ↔ HIKMA : équivalents, vérifier le volume de solvant. (c) Ne pas confondre la spécialité</w:t>
      </w:r>
      <w:r>
        <w:t xml:space="preserve"> </w:t>
      </w:r>
      <w:r>
        <w:t xml:space="preserve">“</w:t>
      </w:r>
      <w:r>
        <w:t xml:space="preserve">BACICOLINE A LA BACTRACINE</w:t>
      </w:r>
      <w:r>
        <w:t xml:space="preserve">”</w:t>
      </w:r>
      <w:r>
        <w:t xml:space="preserve"> </w:t>
      </w:r>
      <w:r>
        <w:t xml:space="preserve">(collyre, association colistine + bacitracine) avec le CMS injectable — erreur grave.</w:t>
      </w:r>
    </w:p>
    <w:p>
      <w:r>
        <w:pict>
          <v:rect style="width:0;height:1.5pt" o:hralign="center" o:hrstd="t" o:hr="t"/>
        </w:pict>
      </w:r>
    </w:p>
    <w:bookmarkEnd w:id="200"/>
    <w:bookmarkStart w:id="201" w:name="Xdd1aed71059a982a21edc3287a053863bd94498"/>
    <w:p>
      <w:pPr>
        <w:pStyle w:val="Heading3"/>
      </w:pPr>
      <w:r>
        <w:t xml:space="preserve">7.2.3 DCI : Polymyxine B (Seule et en Associations Topiques)</w:t>
      </w:r>
    </w:p>
    <w:p>
      <w:pPr>
        <w:pStyle w:val="FirstParagraph"/>
      </w:pPr>
      <w:r>
        <w:rPr>
          <w:b/>
          <w:bCs/>
        </w:rPr>
        <w:t xml:space="preserve">Liste des Catégories :</w:t>
      </w:r>
      <w:r>
        <w:t xml:space="preserve"> </w:t>
      </w:r>
      <w:r>
        <w:t xml:space="preserve">Polypeptides ; Polymyxine ; Antibiotique topique (ophtalmologie, ORL) ; LISTE I.</w:t>
      </w:r>
    </w:p>
    <w:p>
      <w:pPr>
        <w:pStyle w:val="BodyText"/>
      </w:pPr>
      <w:r>
        <w:t xml:space="preserve">La polymyxine B, isolée en 1947 à partir de</w:t>
      </w:r>
      <w:r>
        <w:t xml:space="preserve"> </w:t>
      </w:r>
      <w:r>
        <w:rPr>
          <w:i/>
          <w:iCs/>
        </w:rPr>
        <w:t xml:space="preserve">Bacillus polymyxa</w:t>
      </w:r>
      <w:r>
        <w:t xml:space="preserve">, est l’analogue structurel proche de la colistine (polymyxine E). Les deux molécules diffèrent par un seul acide aminé (D-Phe au lieu de D-Leu en position 6 du cycle peptidique), ce qui confère à la polymyxine B une activité équivalente mais une toxicité systémique un peu plus marquée. En pratique clinique moderne, la polymyxine B est</w:t>
      </w:r>
      <w:r>
        <w:t xml:space="preserve"> </w:t>
      </w:r>
      <w:r>
        <w:rPr>
          <w:b/>
          <w:bCs/>
        </w:rPr>
        <w:t xml:space="preserve">réservée aux usages topiques</w:t>
      </w:r>
      <w:r>
        <w:t xml:space="preserve"> </w:t>
      </w:r>
      <w:r>
        <w:t xml:space="preserve">(ophtalmologie, ORL, dermatologie) en raison de sa toxicité systémique ; elle n’est pratiquement plus utilisée en IV (la colistine/CMS est préférée). En Algérie, la polymyxine B est largement présente en associations : collyres avec néomycine + dexaméthasone (MAXIDROL, MAXILODRE, P.N.D., ALPHAXITROL), collyres avec néomycine + dexaméthasone + trimécaïne (P.N.D.), pommades ophtalmiques (MAXIDROL), solutions auriculaires (OTOCROVIS, PANOTILE). Ces associations sont des piliers de l’officine algérienne.</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ALPHAXITROL</w:t>
      </w:r>
      <w:r>
        <w:t xml:space="preserve"> </w:t>
      </w:r>
      <w:r>
        <w:t xml:space="preserve">(ALEPPO PHARMACEUTICAL INDUSTRIES — ALPHA)</w:t>
      </w:r>
      <w:r>
        <w:t xml:space="preserve"> </w:t>
      </w:r>
      <w:r>
        <w:t xml:space="preserve">- Formes et Dosages : Collyre en solution — dexaméthasone 1 mg + néomycine 3500 UI + polymyxine B 6000 UI/mL</w:t>
      </w:r>
      <w:r>
        <w:t xml:space="preserve"> </w:t>
      </w:r>
      <w:r>
        <w:t xml:space="preserve">- Conditionnement : Flacon compte-gouttes de 5 mL</w:t>
      </w:r>
      <w:r>
        <w:t xml:space="preserve"> </w:t>
      </w:r>
      <w:r>
        <w:t xml:space="preserve">- Statut : Actif</w:t>
      </w:r>
      <w:r>
        <w:t xml:space="preserve"> </w:t>
      </w:r>
      <w:r>
        <w:t xml:space="preserve">-</w:t>
      </w:r>
      <w:r>
        <w:t xml:space="preserve"> </w:t>
      </w:r>
      <w:r>
        <w:rPr>
          <w:b/>
          <w:bCs/>
        </w:rPr>
        <w:t xml:space="preserve">MAXILODRE</w:t>
      </w:r>
      <w:r>
        <w:t xml:space="preserve"> </w:t>
      </w:r>
      <w:r>
        <w:t xml:space="preserve">(GENCOPHARM)</w:t>
      </w:r>
      <w:r>
        <w:t xml:space="preserve"> </w:t>
      </w:r>
      <w:r>
        <w:t xml:space="preserve">- Formes et Dosages : Collyre en solution — dexaméthasone 100 mg + néomycine 350 000 UI + polymyxine B 600 000 UI/100 mL</w:t>
      </w:r>
      <w:r>
        <w:t xml:space="preserve"> </w:t>
      </w:r>
      <w:r>
        <w:t xml:space="preserve">- Conditionnement : Flacon compte-gouttes de 3 mL</w:t>
      </w:r>
      <w:r>
        <w:t xml:space="preserve"> </w:t>
      </w:r>
      <w:r>
        <w:t xml:space="preserve">- Statut : Actif</w:t>
      </w:r>
      <w:r>
        <w:t xml:space="preserve"> </w:t>
      </w:r>
      <w:r>
        <w:t xml:space="preserve">-</w:t>
      </w:r>
      <w:r>
        <w:t xml:space="preserve"> </w:t>
      </w:r>
      <w:r>
        <w:rPr>
          <w:b/>
          <w:bCs/>
        </w:rPr>
        <w:t xml:space="preserve">P.N.D.</w:t>
      </w:r>
      <w:r>
        <w:t xml:space="preserve"> </w:t>
      </w:r>
      <w:r>
        <w:t xml:space="preserve">(UNIMED)</w:t>
      </w:r>
      <w:r>
        <w:t xml:space="preserve"> </w:t>
      </w:r>
      <w:r>
        <w:t xml:space="preserve">- Formes et Dosages : Collyre en solution — dexaméthasone 100 mg + néomycine 350 000 UI + polymyxine B 600 000 UI/100 mL</w:t>
      </w:r>
      <w:r>
        <w:t xml:space="preserve"> </w:t>
      </w:r>
      <w:r>
        <w:t xml:space="preserve">- Conditionnement : Flacon de 3 mL</w:t>
      </w:r>
      <w:r>
        <w:t xml:space="preserve"> </w:t>
      </w:r>
      <w:r>
        <w:t xml:space="preserve">- Statut : Actif</w:t>
      </w:r>
      <w:r>
        <w:t xml:space="preserve"> </w:t>
      </w:r>
      <w:r>
        <w:t xml:space="preserve">-</w:t>
      </w:r>
      <w:r>
        <w:t xml:space="preserve"> </w:t>
      </w:r>
      <w:r>
        <w:rPr>
          <w:b/>
          <w:bCs/>
        </w:rPr>
        <w:t xml:space="preserve">MAXIDROL</w:t>
      </w:r>
      <w:r>
        <w:t xml:space="preserve"> </w:t>
      </w:r>
      <w:r>
        <w:t xml:space="preserve">(NOVARTIS PHARMA SCHWEIZ AG)</w:t>
      </w:r>
      <w:r>
        <w:t xml:space="preserve"> </w:t>
      </w:r>
      <w:r>
        <w:t xml:space="preserve">- Formes et Dosages : Pommade ophtalmique — dexaméthasone 0,1 g + néomycine 350 000 UI + polymyxine B 600 000 UI/100 g</w:t>
      </w:r>
      <w:r>
        <w:t xml:space="preserve"> </w:t>
      </w:r>
      <w:r>
        <w:t xml:space="preserve">- Conditionnement : Tube de 3,5 g</w:t>
      </w:r>
      <w:r>
        <w:t xml:space="preserve"> </w:t>
      </w:r>
      <w:r>
        <w:t xml:space="preserve">- Statut : Actif</w:t>
      </w:r>
      <w:r>
        <w:t xml:space="preserve"> </w:t>
      </w:r>
      <w:r>
        <w:t xml:space="preserve">-</w:t>
      </w:r>
      <w:r>
        <w:t xml:space="preserve"> </w:t>
      </w:r>
      <w:r>
        <w:rPr>
          <w:b/>
          <w:bCs/>
        </w:rPr>
        <w:t xml:space="preserve">OTOCROVIS</w:t>
      </w:r>
      <w:r>
        <w:t xml:space="preserve"> </w:t>
      </w:r>
      <w:r>
        <w:t xml:space="preserve">(GENCOPHARM)</w:t>
      </w:r>
      <w:r>
        <w:t xml:space="preserve"> </w:t>
      </w:r>
      <w:r>
        <w:t xml:space="preserve">- Formes et Dosages : Solution auriculaire gouttes — néomycine 0,025 % + polymyxine B 0,35 % + hydrocortisone 1 000 000 UI/10 mL</w:t>
      </w:r>
      <w:r>
        <w:t xml:space="preserve"> </w:t>
      </w:r>
      <w:r>
        <w:t xml:space="preserve">- Conditionnement : Flacon de 10 mL</w:t>
      </w:r>
      <w:r>
        <w:t xml:space="preserve"> </w:t>
      </w:r>
      <w:r>
        <w:t xml:space="preserve">- Statut : Actif</w:t>
      </w:r>
      <w:r>
        <w:t xml:space="preserve"> </w:t>
      </w:r>
      <w:r>
        <w:t xml:space="preserve">-</w:t>
      </w:r>
      <w:r>
        <w:t xml:space="preserve"> </w:t>
      </w:r>
      <w:r>
        <w:rPr>
          <w:b/>
          <w:bCs/>
        </w:rPr>
        <w:t xml:space="preserve">OTOCROVIS</w:t>
      </w:r>
      <w:r>
        <w:t xml:space="preserve"> </w:t>
      </w:r>
      <w:r>
        <w:t xml:space="preserve">(FARMACEUTICI CROVIS PH.I.L.COM)</w:t>
      </w:r>
      <w:r>
        <w:t xml:space="preserve"> </w:t>
      </w:r>
      <w:r>
        <w:t xml:space="preserve">- Formes et Dosages : Solution auriculaire gouttes — néomycine 0,025 % + polymyxine B 0,35 % + hydrocortisone 1 000 000 UI/10 mL</w:t>
      </w:r>
      <w:r>
        <w:t xml:space="preserve"> </w:t>
      </w:r>
      <w:r>
        <w:t xml:space="preserve">- Conditionnement : Flacon de 10 mL</w:t>
      </w:r>
      <w:r>
        <w:t xml:space="preserve"> </w:t>
      </w:r>
      <w:r>
        <w:t xml:space="preserve">- Statut : Actif</w:t>
      </w:r>
      <w:r>
        <w:t xml:space="preserve"> </w:t>
      </w:r>
      <w:r>
        <w:t xml:space="preserve">-</w:t>
      </w:r>
      <w:r>
        <w:t xml:space="preserve"> </w:t>
      </w:r>
      <w:r>
        <w:rPr>
          <w:b/>
          <w:bCs/>
        </w:rPr>
        <w:t xml:space="preserve">PANOTILE</w:t>
      </w:r>
      <w:r>
        <w:t xml:space="preserve"> </w:t>
      </w:r>
      <w:r>
        <w:t xml:space="preserve">(ZAMBON)</w:t>
      </w:r>
      <w:r>
        <w:t xml:space="preserve"> </w:t>
      </w:r>
      <w:r>
        <w:t xml:space="preserve">- Formes et Dosages : Solution auriculaire gouttes — polymyxine B 1 000 000 UI + néomycine 1 g + hydrocortisone 0,1 g/4 g (rapport ramené à 4 mL final)</w:t>
      </w:r>
      <w:r>
        <w:t xml:space="preserve"> </w:t>
      </w:r>
      <w:r>
        <w:t xml:space="preserve">- Conditionnement : Flacon de 8 mL</w:t>
      </w:r>
      <w:r>
        <w:t xml:space="preserve"> </w:t>
      </w:r>
      <w:r>
        <w:t xml:space="preserve">- Statut : Actif</w:t>
      </w:r>
      <w:r>
        <w:t xml:space="preserve"> </w:t>
      </w:r>
      <w:r>
        <w:t xml:space="preserve">-</w:t>
      </w:r>
      <w:r>
        <w:t xml:space="preserve"> </w:t>
      </w:r>
      <w:r>
        <w:rPr>
          <w:b/>
          <w:bCs/>
        </w:rPr>
        <w:t xml:space="preserve">MAXIDROL</w:t>
      </w:r>
      <w:r>
        <w:t xml:space="preserve"> </w:t>
      </w:r>
      <w:r>
        <w:t xml:space="preserve">(ALCON)</w:t>
      </w:r>
      <w:r>
        <w:t xml:space="preserve"> </w:t>
      </w:r>
      <w:r>
        <w:t xml:space="preserve">- Formes et Dosages : Collyre — dexaméthasone 100 mg + néomycine 350 000 UI + polymyxine B 600 000 UI/100 mL</w:t>
      </w:r>
      <w:r>
        <w:t xml:space="preserve"> </w:t>
      </w:r>
      <w:r>
        <w:t xml:space="preserve">- Conditionnement : Flacon de 3 mL</w:t>
      </w:r>
      <w:r>
        <w:t xml:space="preserve"> </w:t>
      </w:r>
      <w:r>
        <w:t xml:space="preserve">- Statut : Non Renouvelable</w:t>
      </w:r>
    </w:p>
    <w:p>
      <w:pPr>
        <w:pStyle w:val="BodyText"/>
      </w:pPr>
      <w:r>
        <w:rPr>
          <w:b/>
          <w:bCs/>
        </w:rPr>
        <w:t xml:space="preserve">Sous-classe et Mécanisme d’action :</w:t>
      </w:r>
      <w:r>
        <w:t xml:space="preserve"> </w:t>
      </w:r>
      <w:r>
        <w:t xml:space="preserve">- Sous-classe : Polypeptides — polymyxine B (différent de polymyxine E/colistine par un seul acide aminé).</w:t>
      </w:r>
      <w:r>
        <w:t xml:space="preserve"> </w:t>
      </w:r>
      <w:r>
        <w:t xml:space="preserve">- Mécanisme d’action : Identique à la colistine — peptide cationique qui se lie électrostatiquement au LPS de la membrane externe des Gram négatifs, déplace les ions Ca²⁺/Mg²⁺, s’insère dans la bicouche lipidique, et forme des agrégats détergents augmentant la perméabilité des membranes externe et interne. Mort bactérienne rapide, bactéricide concentration-dépendante. Spectre : exclusivement Gram négatif —</w:t>
      </w:r>
      <w:r>
        <w:t xml:space="preserve"> </w:t>
      </w:r>
      <w:r>
        <w:rPr>
          <w:i/>
          <w:iCs/>
        </w:rPr>
        <w:t xml:space="preserve">P. aeruginosa</w:t>
      </w:r>
      <w:r>
        <w:t xml:space="preserve">,</w:t>
      </w:r>
      <w:r>
        <w:t xml:space="preserve"> </w:t>
      </w:r>
      <w:r>
        <w:rPr>
          <w:i/>
          <w:iCs/>
        </w:rPr>
        <w:t xml:space="preserve">E. coli</w:t>
      </w:r>
      <w:r>
        <w:t xml:space="preserve">,</w:t>
      </w:r>
      <w:r>
        <w:t xml:space="preserve"> </w:t>
      </w:r>
      <w:r>
        <w:rPr>
          <w:i/>
          <w:iCs/>
        </w:rPr>
        <w:t xml:space="preserve">Klebsiella</w:t>
      </w:r>
      <w:r>
        <w:t xml:space="preserve">,</w:t>
      </w:r>
      <w:r>
        <w:t xml:space="preserve"> </w:t>
      </w:r>
      <w:r>
        <w:rPr>
          <w:i/>
          <w:iCs/>
        </w:rPr>
        <w:t xml:space="preserve">Enterobacter</w:t>
      </w:r>
      <w:r>
        <w:t xml:space="preserve">,</w:t>
      </w:r>
      <w:r>
        <w:t xml:space="preserve"> </w:t>
      </w:r>
      <w:r>
        <w:rPr>
          <w:i/>
          <w:iCs/>
        </w:rPr>
        <w:t xml:space="preserve">Haemophilus influenzae</w:t>
      </w:r>
      <w:r>
        <w:t xml:space="preserve">. Inactif sur</w:t>
      </w:r>
      <w:r>
        <w:t xml:space="preserve"> </w:t>
      </w:r>
      <w:r>
        <w:rPr>
          <w:i/>
          <w:iCs/>
        </w:rPr>
        <w:t xml:space="preserve">Proteus</w:t>
      </w:r>
      <w:r>
        <w:t xml:space="preserve">,</w:t>
      </w:r>
      <w:r>
        <w:t xml:space="preserve"> </w:t>
      </w:r>
      <w:r>
        <w:rPr>
          <w:i/>
          <w:iCs/>
        </w:rPr>
        <w:t xml:space="preserve">Serratia</w:t>
      </w:r>
      <w:r>
        <w:t xml:space="preserve">,</w:t>
      </w:r>
      <w:r>
        <w:t xml:space="preserve"> </w:t>
      </w:r>
      <w:r>
        <w:rPr>
          <w:i/>
          <w:iCs/>
        </w:rPr>
        <w:t xml:space="preserve">Providencia</w:t>
      </w:r>
      <w:r>
        <w:t xml:space="preserve">,</w:t>
      </w:r>
      <w:r>
        <w:t xml:space="preserve"> </w:t>
      </w:r>
      <w:r>
        <w:rPr>
          <w:i/>
          <w:iCs/>
        </w:rPr>
        <w:t xml:space="preserve">Burkholderia</w:t>
      </w:r>
      <w:r>
        <w:t xml:space="preserve"> </w:t>
      </w:r>
      <w:r>
        <w:t xml:space="preserve">(résistance naturelle par modification du LPS). Inactif sur les Gram positifs. La polymyxine B est généralement utilisée en association avec la néomycine (qui couvre les Gram positifs y compris SARM, et certains Gram négatifs) et un corticoïde (dexaméthasone, hydrocortisone) pour son action anti-inflammatoire.</w:t>
      </w:r>
    </w:p>
    <w:p>
      <w:pPr>
        <w:pStyle w:val="BodyText"/>
      </w:pPr>
      <w:r>
        <w:rPr>
          <w:b/>
          <w:bCs/>
        </w:rPr>
        <w:t xml:space="preserve">Profil Pharmacologique :</w:t>
      </w:r>
      <w:r>
        <w:t xml:space="preserve"> </w:t>
      </w:r>
      <w:r>
        <w:t xml:space="preserve">- Indications : (1)</w:t>
      </w:r>
      <w:r>
        <w:t xml:space="preserve"> </w:t>
      </w:r>
      <w:r>
        <w:rPr>
          <w:b/>
          <w:bCs/>
        </w:rPr>
        <w:t xml:space="preserve">Ophtalmologie</w:t>
      </w:r>
      <w:r>
        <w:t xml:space="preserve"> </w:t>
      </w:r>
      <w:r>
        <w:t xml:space="preserve">— conjonctivites bactériennes avec composante inflammatoire, blépharites, kératites superficielles, post-chirurgie oculaire (prophylaxie et traitement), orgelet ; (2)</w:t>
      </w:r>
      <w:r>
        <w:t xml:space="preserve"> </w:t>
      </w:r>
      <w:r>
        <w:rPr>
          <w:b/>
          <w:bCs/>
        </w:rPr>
        <w:t xml:space="preserve">ORL</w:t>
      </w:r>
      <w:r>
        <w:t xml:space="preserve"> </w:t>
      </w:r>
      <w:r>
        <w:t xml:space="preserve">— otites externes bactériennes, otites moyennes purulentes en complément (après vérification de l’absence de perforation tympanique !).</w:t>
      </w:r>
      <w:r>
        <w:t xml:space="preserve"> </w:t>
      </w:r>
      <w:r>
        <w:t xml:space="preserve">- Contre-indications : (1) Hypersensibilité aux polymyxines ou à un autre composant (néomycine, corticoïde) ; (2)</w:t>
      </w:r>
      <w:r>
        <w:t xml:space="preserve"> </w:t>
      </w:r>
      <w:r>
        <w:rPr>
          <w:b/>
          <w:bCs/>
        </w:rPr>
        <w:t xml:space="preserve">Perforation tympanique</w:t>
      </w:r>
      <w:r>
        <w:t xml:space="preserve"> </w:t>
      </w:r>
      <w:r>
        <w:t xml:space="preserve">(CI absolue pour les gouttes auriculaires — passage dans l’oreille moyenne, ototoxicité) ; (3) Infections virales, mycotiques ou tuberculeuses de l’œil ou de l’oreille (le corticoïde masque et aggrave) ; (4) Glaucome (le corticoïde augmente la PIO) ; (5) Herpès oculaire (le corticoïde aggrave la kératite herpétique) ; (6) Myasthénie (absorption systémique possible par voie topique étendue).</w:t>
      </w:r>
      <w:r>
        <w:t xml:space="preserve"> </w:t>
      </w:r>
      <w:r>
        <w:t xml:space="preserve">- Effets Indésirables : (1)</w:t>
      </w:r>
      <w:r>
        <w:t xml:space="preserve"> </w:t>
      </w:r>
      <w:r>
        <w:rPr>
          <w:b/>
          <w:bCs/>
        </w:rPr>
        <w:t xml:space="preserve">Ototoxicité</w:t>
      </w:r>
      <w:r>
        <w:t xml:space="preserve"> </w:t>
      </w:r>
      <w:r>
        <w:t xml:space="preserve">majeure en cas de perforation tympanique (atteinte cochléaire et vestibulaire par passage dans l’oreille interne) — irreversible ; (2) Allergie de contact (dermatite, blépharite) — fréquente avec la néomycine (5–10 %) ; (3) Augmentation de la PIO (corticoïde) — risque de glaucome cortisonique à partir de 2 semaines ; (4) Cataracte sous-capsulaire postérieure (corticoïde au long cours) ; (5) Surinfection mycotique (candidose oculaire) ; (6) Retard de cicatrisation cornéenne (corticoïde) ; (7) Sensibilisation croisée néomycine ↔ autres aminosides.</w:t>
      </w:r>
    </w:p>
    <w:p>
      <w:pPr>
        <w:pStyle w:val="BodyText"/>
      </w:pPr>
      <w:r>
        <w:rPr>
          <w:b/>
          <w:bCs/>
        </w:rPr>
        <w:t xml:space="preserve">Prévention et Gestion des Effets Indésirables :</w:t>
      </w:r>
      <w:r>
        <w:t xml:space="preserve"> </w:t>
      </w:r>
      <w:r>
        <w:t xml:space="preserve">- Mesures Préventives : (a) Vérifier l’absence de</w:t>
      </w:r>
      <w:r>
        <w:t xml:space="preserve"> </w:t>
      </w:r>
      <w:r>
        <w:rPr>
          <w:b/>
          <w:bCs/>
        </w:rPr>
        <w:t xml:space="preserve">perforation tympanique</w:t>
      </w:r>
      <w:r>
        <w:t xml:space="preserve"> </w:t>
      </w:r>
      <w:r>
        <w:t xml:space="preserve">avant toute prescription de gouttes auriculaires contenant un aminoglycoside ou une polymyxine (otoscopie obligatoire par le médecin) ; (b) Limiter la durée d’utilisation à 7–10 jours pour limiter l’augmentation de la PIO et le risque de surinfection ; (c) Ne pas prescrire en cas d’antécédent d’herpès oculaire sans avis ophtalmologique ; (d) Éviter le port de lentilles de contact pendant le traitement ; (e) Bien agiter le flacon avant emploi (suspension) ; (f) Éviter le contact de l’embout avec l’œil ou l’oreille (contamination).</w:t>
      </w:r>
      <w:r>
        <w:t xml:space="preserve"> </w:t>
      </w:r>
      <w:r>
        <w:t xml:space="preserve">- Conduite à Tenir : (a) En cas de perforation tympanique découverte en cours de traitement : arrêt immédiat, avis ORL urgent. (b) En cas d’augmentation de la PIO : arrêt du corticoïde, surveillance, traitement hypotensifiant oculaire. (c) En cas d’allergie de contact : arrêt,orientation dermatologique, tests épicutanés (éviter néomycine à l’avenir).</w:t>
      </w:r>
    </w:p>
    <w:p>
      <w:pPr>
        <w:pStyle w:val="BodyText"/>
      </w:pPr>
      <w:r>
        <w:rPr>
          <w:b/>
          <w:bCs/>
        </w:rPr>
        <w:t xml:space="preserve">Interactions Importantes :</w:t>
      </w:r>
      <w:r>
        <w:t xml:space="preserve"> </w:t>
      </w:r>
      <w:r>
        <w:t xml:space="preserve">- En raison de l’application topique, les interactions systémiques sont rares mais possibles en cas d’usage prolongé ou de lésions étendues :</w:t>
      </w:r>
      <w:r>
        <w:t xml:space="preserve"> </w:t>
      </w:r>
      <w:r>
        <w:t xml:space="preserve">- Aminosides systémiques (si résorption) : majoration ototoxicité et néphrotoxicité.</w:t>
      </w:r>
      <w:r>
        <w:t xml:space="preserve"> </w:t>
      </w:r>
      <w:r>
        <w:t xml:space="preserve">- Curares : potentialisation du bloc neuromusculaire (théorique via résorption).</w:t>
      </w:r>
      <w:r>
        <w:t xml:space="preserve"> </w:t>
      </w:r>
      <w:r>
        <w:t xml:space="preserve">- Vaccin antipoliomyélitique oral vivant atténué, vaccin BCG, vaccin typhoïdique oral : immunosuppression possible par le corticoïde topique absorbé.</w:t>
      </w:r>
    </w:p>
    <w:p>
      <w:pPr>
        <w:pStyle w:val="BodyText"/>
      </w:pPr>
      <w:r>
        <w:rPr>
          <w:b/>
          <w:bCs/>
        </w:rPr>
        <w:t xml:space="preserve">Grossesse et Allaitement :</w:t>
      </w:r>
      <w:r>
        <w:t xml:space="preserve"> </w:t>
      </w:r>
      <w:r>
        <w:t xml:space="preserve">- Grossesse : Le CRAT classe la polymyxine B topique en</w:t>
      </w:r>
      <w:r>
        <w:t xml:space="preserve"> </w:t>
      </w:r>
      <w:r>
        <w:t xml:space="preserve">“</w:t>
      </w:r>
      <w:r>
        <w:rPr>
          <w:b/>
          <w:bCs/>
        </w:rPr>
        <w:t xml:space="preserve">envisageable</w:t>
      </w:r>
      <w:r>
        <w:t xml:space="preserve">”</w:t>
      </w:r>
      <w:r>
        <w:t xml:space="preserve"> </w:t>
      </w:r>
      <w:r>
        <w:t xml:space="preserve">à toutes les phases de la grossesse. L’absorption systémique est négligeable en cas de peau saine ou de conjonctive intacte. En cas de lésion cutanée étendue ou de tympan perforé, l’absorption est possible et la néphrotoxicité théorique doit être prise en compte. Le corticoïde (dexaméthasone, hydrocortisone) en topique oculaire ou auriculaire à dose faible est compatible. Éviter les applications prolongées (&gt; 2 semaines) par prudence.</w:t>
      </w:r>
      <w:r>
        <w:t xml:space="preserve"> </w:t>
      </w:r>
      <w:r>
        <w:t xml:space="preserve">- Allaitement : Compatible. L’absorption systémique maternelle est négligeable. Le passage dans le lait est théorique mais non documenté. Poursuite de l’allaitement possible.</w:t>
      </w:r>
      <w:r>
        <w:t xml:space="preserve"> </w:t>
      </w:r>
      <w:r>
        <w:t xml:space="preserve">- Précisions : Les gouttes auriculaires avec néomycine + polymyxine B sont contre-indiquées chez la femme enceinte présentant une otite moyenne avec perforation tympanique (passage dans l’oreille interne, ototoxicité fœtale théorique).</w:t>
      </w:r>
    </w:p>
    <w:p>
      <w:pPr>
        <w:pStyle w:val="BodyText"/>
      </w:pPr>
      <w:r>
        <w:rPr>
          <w:b/>
          <w:bCs/>
        </w:rPr>
        <w:t xml:space="preserve">Posologie et Mode d’administration (Standard) :</w:t>
      </w:r>
      <w:r>
        <w:t xml:space="preserve"> </w:t>
      </w:r>
      <w:r>
        <w:t xml:space="preserve">- Adulte : (1)</w:t>
      </w:r>
      <w:r>
        <w:t xml:space="preserve"> </w:t>
      </w:r>
      <w:r>
        <w:rPr>
          <w:b/>
          <w:bCs/>
        </w:rPr>
        <w:t xml:space="preserve">Collyre</w:t>
      </w:r>
      <w:r>
        <w:t xml:space="preserve"> </w:t>
      </w:r>
      <w:r>
        <w:t xml:space="preserve">: 1 goutte × 4–6/jour dans l’œil atteint pendant 7–10 j maximum ; (2)</w:t>
      </w:r>
      <w:r>
        <w:t xml:space="preserve"> </w:t>
      </w:r>
      <w:r>
        <w:rPr>
          <w:b/>
          <w:bCs/>
        </w:rPr>
        <w:t xml:space="preserve">Pommade ophtalmique</w:t>
      </w:r>
      <w:r>
        <w:t xml:space="preserve"> </w:t>
      </w:r>
      <w:r>
        <w:t xml:space="preserve">: 1 application × 2/jour (matin et soir) en complément du collyre ou seule ; (3)</w:t>
      </w:r>
      <w:r>
        <w:t xml:space="preserve"> </w:t>
      </w:r>
      <w:r>
        <w:rPr>
          <w:b/>
          <w:bCs/>
        </w:rPr>
        <w:t xml:space="preserve">Solution auriculaire</w:t>
      </w:r>
      <w:r>
        <w:t xml:space="preserve"> </w:t>
      </w:r>
      <w:r>
        <w:t xml:space="preserve">: 2–3 gouttes × 2–3/jour dans l’oreille atteinte (tête inclinée) pendant 5–7 jours maximum. Après instillation, maintenir la tête inclinée 2–3 min pour favoriser la pénétration.</w:t>
      </w:r>
      <w:r>
        <w:t xml:space="preserve"> </w:t>
      </w:r>
      <w:r>
        <w:t xml:space="preserve">- Enfant : Mêmes posologies dès l’âge de 2 ans (avant 2 ans : avis ORL/ophtalmo).</w:t>
      </w:r>
      <w:r>
        <w:t xml:space="preserve"> </w:t>
      </w:r>
      <w:r>
        <w:t xml:space="preserve">- Durée : 7–10 j maximum (corticoïde + antibiotique topique) ; en cas d’échec à 5 j, réévaluer.</w:t>
      </w:r>
      <w:r>
        <w:t xml:space="preserve"> </w:t>
      </w:r>
      <w:r>
        <w:t xml:space="preserve">- Moment de prise : Espacer les instillations d’au moins 1 h pour le collyre ; pour la pommade, appliquer plutôt le soir (vision floue transitoire).</w:t>
      </w:r>
    </w:p>
    <w:p>
      <w:pPr>
        <w:pStyle w:val="BodyText"/>
      </w:pPr>
      <w:r>
        <w:rPr>
          <w:b/>
          <w:bCs/>
        </w:rPr>
        <w:t xml:space="preserve">Arbitrage et Bénéfices des Formes Galéniques :</w:t>
      </w:r>
      <w:r>
        <w:t xml:space="preserve"> </w:t>
      </w:r>
      <w:r>
        <w:t xml:space="preserve">La polymyxine B n’est disponible en Algérie qu’en associations topiques (jamais seule) — toujours combinée à la néomycine (couverture Gram positif + Gram négatif) et à un corticoïde (dexaméthasone ou hydrocortisone). Les associations disponibles couvrent les principales situations cliniques courantes : collyre (MAXIDROL, MAXILODRE, P.N.D., ALPHAXITROL), pommade ophtalmique (MAXIDROL pommade), gouttes auriculaires (OTOCROVIS, PANOTILE). Le choix entre collyre et pommade dépend de l’indication : le collyre est privilégié pour les conjonctivites (praticité, vision claire) ; la pommade est utile pour les blépharites et la nuit (contact prolongé). Pour les otites externes, OTOCROVIS et PANOTILE sont équivalents, avec une préférence pour PANOTILE en cas d’œdème du conduit (présence d’hydrocortisone).</w:t>
      </w:r>
      <w:r>
        <w:t xml:space="preserve"> </w:t>
      </w:r>
      <w:r>
        <w:rPr>
          <w:b/>
          <w:bCs/>
        </w:rPr>
        <w:t xml:space="preserve">Règle absolue</w:t>
      </w:r>
      <w:r>
        <w:t xml:space="preserve"> </w:t>
      </w:r>
      <w:r>
        <w:t xml:space="preserve">: ne jamais instiller des gouttes auriculaires avec polymyxine B + aminoglycoside sans avoir vérifié l’intégrité du tympan.</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Ce collyre / ces gouttes auriculaires contiennent un antibiotique et un anti-inflammatoire. Pour les gouttes auriculaires, il est formellement interdit de les utiliser si vous avez le tympan perforé (douleur, écoulement, antécédent d’otite moyenne) — un avis médical préalable est obligatoire. Pour le collyre, ne pas dépasser 10 jours de traitement sans avis médical, en raison du risque de glaucome et de cataracte lié au corticoïde.</w:t>
      </w:r>
      <w:r>
        <w:t xml:space="preserve">”</w:t>
      </w:r>
      <w:r>
        <w:t xml:space="preserve"> </w:t>
      </w:r>
      <w:r>
        <w:t xml:space="preserve">- Mode d’utilisation pratique : (1) Bien se laver les mains avant l’instillation. (2) Pour le collyre : incliner la tête en arrière, tirer délicatement la paupière inférieure vers le bas, instiller 1 goutte dans le cul-de-sac conjonctival sans toucher l’œil avec l’embout, fermer l’œil 1 min en massant doucement le coin interne (occlusion du point lacrymal) pour limiter le passage naso-lacrymal. (3) Pour les gouttes auriculaires : tête inclinée du côté opposé, instiller 2–3 gouttes, maintenir la tête inclinée 2–3 min. (4) Ne pas toucher l’embout avec les doigts. (5) Conserver le flacon ≤ 15 jours après ouverture (contamination bactérienne). (6) Retirer les lentilles de contact avant instillation et attendre 15 min avant de les remettre.</w:t>
      </w:r>
    </w:p>
    <w:p>
      <w:pPr>
        <w:pStyle w:val="BodyText"/>
      </w:pPr>
      <w:r>
        <w:rPr>
          <w:b/>
          <w:bCs/>
        </w:rPr>
        <w:t xml:space="preserve">Notes, Règles d’Or &amp; Pièges au Comptoir :</w:t>
      </w:r>
      <w:r>
        <w:t xml:space="preserve"> </w:t>
      </w:r>
      <w:r>
        <w:t xml:space="preserve">- Piège classique n°1 :</w:t>
      </w:r>
      <w:r>
        <w:t xml:space="preserve"> </w:t>
      </w:r>
      <w:r>
        <w:rPr>
          <w:b/>
          <w:bCs/>
        </w:rPr>
        <w:t xml:space="preserve">Perforation tympanique + gouttes auriculaires = catastrophe ototoxique</w:t>
      </w:r>
      <w:r>
        <w:t xml:space="preserve"> </w:t>
      </w:r>
      <w:r>
        <w:t xml:space="preserve">— les polymyxines (et les aminosides associés) sont hautement ototoxiques en cas de contact avec l’oreille moyenne et interne. Toujours demander au patient :</w:t>
      </w:r>
      <w:r>
        <w:t xml:space="preserve"> </w:t>
      </w:r>
      <w:r>
        <w:t xml:space="preserve">“</w:t>
      </w:r>
      <w:r>
        <w:t xml:space="preserve">Avez-vous été examiné par un médecin (otoscopie) ?</w:t>
      </w:r>
      <w:r>
        <w:t xml:space="preserve">”</w:t>
      </w:r>
      <w:r>
        <w:t xml:space="preserve"> </w:t>
      </w:r>
      <w:r>
        <w:t xml:space="preserve">avant de délivrer OTOCROVIS ou PANOTILE.</w:t>
      </w:r>
      <w:r>
        <w:t xml:space="preserve"> </w:t>
      </w:r>
      <w:r>
        <w:t xml:space="preserve">- Piège classique n°2 :</w:t>
      </w:r>
      <w:r>
        <w:t xml:space="preserve"> </w:t>
      </w:r>
      <w:r>
        <w:rPr>
          <w:b/>
          <w:bCs/>
        </w:rPr>
        <w:t xml:space="preserve">Allergie de contact à la néomycine</w:t>
      </w:r>
      <w:r>
        <w:t xml:space="preserve"> </w:t>
      </w:r>
      <w:r>
        <w:t xml:space="preserve">— la néomycine est l’un des top 10 des allergènes de contact (sensibilisation 5–10 %). Tout patient rapportant une dermatite après usage de MAXIDROL, ALPHAXITROL ou PANOTILE doit être informé du risque d’allergie croisée avec les autres aminosides (gentamicine, néomycine, tobramycine).</w:t>
      </w:r>
      <w:r>
        <w:t xml:space="preserve"> </w:t>
      </w:r>
      <w:r>
        <w:t xml:space="preserve">- Piège classique n°3 :</w:t>
      </w:r>
      <w:r>
        <w:t xml:space="preserve"> </w:t>
      </w:r>
      <w:r>
        <w:rPr>
          <w:b/>
          <w:bCs/>
        </w:rPr>
        <w:t xml:space="preserve">Glaucome cortisonique</w:t>
      </w:r>
      <w:r>
        <w:t xml:space="preserve"> </w:t>
      </w:r>
      <w:r>
        <w:t xml:space="preserve">— la dexaméthasone en collyre augmente la PIO dès 2 semaines d’utilisation chez 30 % des patients (et 90 % des glaucomateux). Ne pas dépasser 10 jours sans surveillance.</w:t>
      </w:r>
      <w:r>
        <w:t xml:space="preserve"> </w:t>
      </w:r>
      <w:r>
        <w:t xml:space="preserve">- Piège classique n°4 :</w:t>
      </w:r>
      <w:r>
        <w:t xml:space="preserve"> </w:t>
      </w:r>
      <w:r>
        <w:rPr>
          <w:b/>
          <w:bCs/>
        </w:rPr>
        <w:t xml:space="preserve">Herpès oculaire méconnu</w:t>
      </w:r>
      <w:r>
        <w:t xml:space="preserve"> </w:t>
      </w:r>
      <w:r>
        <w:t xml:space="preserve">— le corticoïde aggrave dramatiquement la kératite herpétique (risque d’ulcère cornéen, de perforation). Tout patient avec douleur oculaire unilatérale + rougeur + photophobie doit voir un ophtalmologiste avant tout collyre corticoïde.</w:t>
      </w:r>
      <w:r>
        <w:t xml:space="preserve"> </w:t>
      </w:r>
      <w:r>
        <w:t xml:space="preserve">- Règle de prise : collyre 1 goutte × 4–6/jour pendant ≤ 10 jours ; gouttes auriculaires après vérification du tympan.</w:t>
      </w:r>
      <w:r>
        <w:t xml:space="preserve"> </w:t>
      </w:r>
      <w:r>
        <w:t xml:space="preserve">- Préparation et Conservation : flacon fermé à T° ambiante ; après ouverture, conservation ≤ 15 jours (jetable ensuite). Ne pas congeler.</w:t>
      </w:r>
      <w:r>
        <w:t xml:space="preserve"> </w:t>
      </w:r>
      <w:r>
        <w:t xml:space="preserve">- Piège du surdosage / Substitution : (a) Surdosage aérosol ou topique étendue : néphrotoxicité et neurotoxicité systémiques par absorption (rare). (b) Substitution MAXIDROL ↔ MAXILODRE ↔ P.N.D. ↔ ALPHAXITROL : bioéquivalents (mêmes dosages), le choix se fait sur la disponibilité et le coût. (c) Substitution MAXIDROL collyre ↔ MAXIDROL pommade : la pommade convient mieux pour application nocturne ou blépharite.</w:t>
      </w:r>
    </w:p>
    <w:p>
      <w:r>
        <w:pict>
          <v:rect style="width:0;height:1.5pt" o:hralign="center" o:hrstd="t" o:hr="t"/>
        </w:pict>
      </w:r>
    </w:p>
    <w:bookmarkEnd w:id="201"/>
    <w:bookmarkStart w:id="202" w:name="dci-bacitracine-seule-et-en-associations"/>
    <w:p>
      <w:pPr>
        <w:pStyle w:val="Heading3"/>
      </w:pPr>
      <w:r>
        <w:t xml:space="preserve">7.2.4 DCI : Bacitracine (Seule et en Associations)</w:t>
      </w:r>
    </w:p>
    <w:p>
      <w:pPr>
        <w:pStyle w:val="FirstParagraph"/>
      </w:pPr>
      <w:r>
        <w:rPr>
          <w:b/>
          <w:bCs/>
        </w:rPr>
        <w:t xml:space="preserve">Liste des Catégories :</w:t>
      </w:r>
      <w:r>
        <w:t xml:space="preserve"> </w:t>
      </w:r>
      <w:r>
        <w:t xml:space="preserve">Polypeptides ; Antibiotique topique (cutané, ophtalmologique, ORL) ; Hors Liste I (vendeur libre dans certains pays, en Algérie prescrit).</w:t>
      </w:r>
    </w:p>
    <w:p>
      <w:pPr>
        <w:pStyle w:val="BodyText"/>
      </w:pPr>
      <w:r>
        <w:t xml:space="preserve">La bacitracine est un polypeptide cyclique (dodécapeptide) isolé en 1945 à partir d’une souche de</w:t>
      </w:r>
      <w:r>
        <w:t xml:space="preserve"> </w:t>
      </w:r>
      <w:r>
        <w:rPr>
          <w:i/>
          <w:iCs/>
        </w:rPr>
        <w:t xml:space="preserve">Bacillus subtilis</w:t>
      </w:r>
      <w:r>
        <w:t xml:space="preserve"> </w:t>
      </w:r>
      <w:r>
        <w:t xml:space="preserve">(souche</w:t>
      </w:r>
      <w:r>
        <w:t xml:space="preserve"> </w:t>
      </w:r>
      <w:r>
        <w:t xml:space="preserve">“</w:t>
      </w:r>
      <w:r>
        <w:t xml:space="preserve">Tracy</w:t>
      </w:r>
      <w:r>
        <w:t xml:space="preserve">”</w:t>
      </w:r>
      <w:r>
        <w:t xml:space="preserve">). Elle tire son nom de</w:t>
      </w:r>
      <w:r>
        <w:t xml:space="preserve"> </w:t>
      </w:r>
      <w:r>
        <w:t xml:space="preserve">“</w:t>
      </w:r>
      <w:r>
        <w:t xml:space="preserve">bacillus</w:t>
      </w:r>
      <w:r>
        <w:t xml:space="preserve">”</w:t>
      </w:r>
      <w:r>
        <w:t xml:space="preserve"> </w:t>
      </w:r>
      <w:r>
        <w:t xml:space="preserve">+</w:t>
      </w:r>
      <w:r>
        <w:t xml:space="preserve"> </w:t>
      </w:r>
      <w:r>
        <w:t xml:space="preserve">“</w:t>
      </w:r>
      <w:r>
        <w:t xml:space="preserve">Tracy</w:t>
      </w:r>
      <w:r>
        <w:t xml:space="preserve">”</w:t>
      </w:r>
      <w:r>
        <w:t xml:space="preserve"> </w:t>
      </w:r>
      <w:r>
        <w:t xml:space="preserve">(du nom de la patiente dont la plaie a fourni la souche). Contrairement aux polymyxines qui ciblent les Gram négatifs, la bacitracine est active sur les</w:t>
      </w:r>
      <w:r>
        <w:t xml:space="preserve"> </w:t>
      </w:r>
      <w:r>
        <w:rPr>
          <w:b/>
          <w:bCs/>
        </w:rPr>
        <w:t xml:space="preserve">Gram positifs</w:t>
      </w:r>
      <w:r>
        <w:t xml:space="preserve"> </w:t>
      </w:r>
      <w:r>
        <w:t xml:space="preserve">(staphylocoques, streptocoques) et certains Gram négatifs (gonocoque, méningocoque,</w:t>
      </w:r>
      <w:r>
        <w:t xml:space="preserve"> </w:t>
      </w:r>
      <w:r>
        <w:rPr>
          <w:i/>
          <w:iCs/>
        </w:rPr>
        <w:t xml:space="preserve">H. influenzae</w:t>
      </w:r>
      <w:r>
        <w:t xml:space="preserve">). Elle est exclusivement utilisée en</w:t>
      </w:r>
      <w:r>
        <w:t xml:space="preserve"> </w:t>
      </w:r>
      <w:r>
        <w:rPr>
          <w:b/>
          <w:bCs/>
        </w:rPr>
        <w:t xml:space="preserve">topique</w:t>
      </w:r>
      <w:r>
        <w:t xml:space="preserve"> </w:t>
      </w:r>
      <w:r>
        <w:t xml:space="preserve">(cutané, ophtalmologique) en raison de sa néphrotoxicité majeure en cas d’administration systémique (qui a été abandonnée). En Algérie, la bacitracine est disponible uniquement en association avec la néomycine (pommade et poudre dermique BANEOCIN) ou avec la colistine (collyre BACICOLINE A LA BACTRACINE). Aucune de ces formes n’est actuellement en statut ACTIF — toutes sont NON_RENOUVELABLE ou RETRAIT, ce qui pose un problème de disponibilité.</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BANEOCIN</w:t>
      </w:r>
      <w:r>
        <w:t xml:space="preserve"> </w:t>
      </w:r>
      <w:r>
        <w:t xml:space="preserve">(SANDOZ SPA)</w:t>
      </w:r>
      <w:r>
        <w:t xml:space="preserve"> </w:t>
      </w:r>
      <w:r>
        <w:t xml:space="preserve">- Formes et Dosages : Poudre dermique — bacitracine 250 UI + néomycine 5000 UI/g</w:t>
      </w:r>
      <w:r>
        <w:t xml:space="preserve"> </w:t>
      </w:r>
      <w:r>
        <w:t xml:space="preserve">- Conditionnement : Tube de 20 g</w:t>
      </w:r>
      <w:r>
        <w:t xml:space="preserve"> </w:t>
      </w:r>
      <w:r>
        <w:t xml:space="preserve">- Statut : Non Renouvelable</w:t>
      </w:r>
      <w:r>
        <w:t xml:space="preserve"> </w:t>
      </w:r>
      <w:r>
        <w:t xml:space="preserve">-</w:t>
      </w:r>
      <w:r>
        <w:t xml:space="preserve"> </w:t>
      </w:r>
      <w:r>
        <w:rPr>
          <w:b/>
          <w:bCs/>
        </w:rPr>
        <w:t xml:space="preserve">BANEOCIN</w:t>
      </w:r>
      <w:r>
        <w:t xml:space="preserve"> </w:t>
      </w:r>
      <w:r>
        <w:t xml:space="preserve">(BIOCHEMIE GmbH)</w:t>
      </w:r>
      <w:r>
        <w:t xml:space="preserve"> </w:t>
      </w:r>
      <w:r>
        <w:t xml:space="preserve">- Formes et Dosages : Poudre dermique — bacitracine 250 UI + néomycine 5000 UI/g</w:t>
      </w:r>
      <w:r>
        <w:t xml:space="preserve"> </w:t>
      </w:r>
      <w:r>
        <w:t xml:space="preserve">- Conditionnement : Flacon de 10 g</w:t>
      </w:r>
      <w:r>
        <w:t xml:space="preserve"> </w:t>
      </w:r>
      <w:r>
        <w:t xml:space="preserve">- Statut : Non Renouvelable</w:t>
      </w:r>
      <w:r>
        <w:t xml:space="preserve"> </w:t>
      </w:r>
      <w:r>
        <w:t xml:space="preserve">-</w:t>
      </w:r>
      <w:r>
        <w:t xml:space="preserve"> </w:t>
      </w:r>
      <w:r>
        <w:rPr>
          <w:b/>
          <w:bCs/>
        </w:rPr>
        <w:t xml:space="preserve">BACITRACINE MARTINET</w:t>
      </w:r>
      <w:r>
        <w:t xml:space="preserve"> </w:t>
      </w:r>
      <w:r>
        <w:t xml:space="preserve">(CIBA VISION OPHTHALMICS)</w:t>
      </w:r>
      <w:r>
        <w:t xml:space="preserve"> </w:t>
      </w:r>
      <w:r>
        <w:t xml:space="preserve">- Formes et Dosages : Collyre — bacitracine 500 UI/mL (poudre + solvant à reconstituer pour 10 mL)</w:t>
      </w:r>
      <w:r>
        <w:t xml:space="preserve"> </w:t>
      </w:r>
      <w:r>
        <w:t xml:space="preserve">- Conditionnement : Boîte de 1 flacon de poudre + 1 ampoule de solvant de 10 mL</w:t>
      </w:r>
      <w:r>
        <w:t xml:space="preserve"> </w:t>
      </w:r>
      <w:r>
        <w:t xml:space="preserve">- Statut : Retiré (R)</w:t>
      </w:r>
      <w:r>
        <w:t xml:space="preserve"> </w:t>
      </w:r>
      <w:r>
        <w:t xml:space="preserve">-</w:t>
      </w:r>
      <w:r>
        <w:t xml:space="preserve"> </w:t>
      </w:r>
      <w:r>
        <w:rPr>
          <w:b/>
          <w:bCs/>
        </w:rPr>
        <w:t xml:space="preserve">OROPIVALONE BACITRACINE</w:t>
      </w:r>
      <w:r>
        <w:t xml:space="preserve"> </w:t>
      </w:r>
      <w:r>
        <w:t xml:space="preserve">(PFIZER)</w:t>
      </w:r>
      <w:r>
        <w:t xml:space="preserve"> </w:t>
      </w:r>
      <w:r>
        <w:t xml:space="preserve">- Formes et Dosages : Comprimé — oropivalone 1,5 mg + bacitracine 200 UI</w:t>
      </w:r>
      <w:r>
        <w:t xml:space="preserve"> </w:t>
      </w:r>
      <w:r>
        <w:t xml:space="preserve">- Conditionnement : Boîte de 40 comprimés</w:t>
      </w:r>
      <w:r>
        <w:t xml:space="preserve"> </w:t>
      </w:r>
      <w:r>
        <w:t xml:space="preserve">- Statut : Retiré (R)</w:t>
      </w:r>
    </w:p>
    <w:p>
      <w:pPr>
        <w:pStyle w:val="BodyText"/>
      </w:pPr>
      <w:r>
        <w:rPr>
          <w:b/>
          <w:bCs/>
        </w:rPr>
        <w:t xml:space="preserve">Sous-classe et Mécanisme d’action :</w:t>
      </w:r>
      <w:r>
        <w:t xml:space="preserve"> </w:t>
      </w:r>
      <w:r>
        <w:t xml:space="preserve">- Sous-classe : Polypeptide cyclique (dodécapeptide) — distinct des polymyxines par sa cible (paroi bactérienne et non membrane).</w:t>
      </w:r>
      <w:r>
        <w:t xml:space="preserve"> </w:t>
      </w:r>
      <w:r>
        <w:t xml:space="preserve">- Mécanisme d’action : La bacitracine inhibe la synthèse du peptidoglycane en</w:t>
      </w:r>
      <w:r>
        <w:t xml:space="preserve"> </w:t>
      </w:r>
      <w:r>
        <w:rPr>
          <w:b/>
          <w:bCs/>
        </w:rPr>
        <w:t xml:space="preserve">bloquant le transport du lipid II</w:t>
      </w:r>
      <w:r>
        <w:t xml:space="preserve"> </w:t>
      </w:r>
      <w:r>
        <w:t xml:space="preserve">(précurseur du peptidoglycane) à travers la membrane cytoplasmique. Plus précisément, elle forme un complexe avec le</w:t>
      </w:r>
      <w:r>
        <w:t xml:space="preserve"> </w:t>
      </w:r>
      <w:r>
        <w:rPr>
          <w:b/>
          <w:bCs/>
        </w:rPr>
        <w:t xml:space="preserve">pyrophosphate du C55-isoprénoïde (undécaprényl-pyrophosphate)</w:t>
      </w:r>
      <w:r>
        <w:t xml:space="preserve">, le transporteur lipidique qui porte les précurseurs muréiniques (UDP-MurNAc-pentapeptide) à travers la membrane. En séquestrant ce transporteur sous sa forme pyrophosphate, la bacitracine empêche sa régénération en forme monophosphate (par la pyrophosphatase), bloquant ainsi le cycle de transport. Sans transporteur fonctionnel, les précurseurs du peptidoglycane ne peuvent plus être livrés à l’extérieur de la membrane cytoplasmique pour polymérisation — la paroi ne se renouvelle plus, et la bactérie meurt par lyse osmotique. Bactéricide sur les Gram positifs. Spectre : staphylocoques (y compris SARM), streptocoques (A, B, C, G), pneumocoques, entérocoques,</w:t>
      </w:r>
      <w:r>
        <w:t xml:space="preserve"> </w:t>
      </w:r>
      <w:r>
        <w:rPr>
          <w:i/>
          <w:iCs/>
        </w:rPr>
        <w:t xml:space="preserve">Clostridium</w:t>
      </w:r>
      <w:r>
        <w:t xml:space="preserve">,</w:t>
      </w:r>
      <w:r>
        <w:t xml:space="preserve"> </w:t>
      </w:r>
      <w:r>
        <w:rPr>
          <w:i/>
          <w:iCs/>
        </w:rPr>
        <w:t xml:space="preserve">Corynebacterium</w:t>
      </w:r>
      <w:r>
        <w:t xml:space="preserve">,</w:t>
      </w:r>
      <w:r>
        <w:t xml:space="preserve"> </w:t>
      </w:r>
      <w:r>
        <w:rPr>
          <w:i/>
          <w:iCs/>
        </w:rPr>
        <w:t xml:space="preserve">Actinomyces</w:t>
      </w:r>
      <w:r>
        <w:t xml:space="preserve"> </w:t>
      </w:r>
      <w:r>
        <w:t xml:space="preserve">; certains Gram négatifs :</w:t>
      </w:r>
      <w:r>
        <w:t xml:space="preserve"> </w:t>
      </w:r>
      <w:r>
        <w:rPr>
          <w:i/>
          <w:iCs/>
        </w:rPr>
        <w:t xml:space="preserve">Neisseria gonorrhoeae</w:t>
      </w:r>
      <w:r>
        <w:t xml:space="preserve">,</w:t>
      </w:r>
      <w:r>
        <w:t xml:space="preserve"> </w:t>
      </w:r>
      <w:r>
        <w:rPr>
          <w:i/>
          <w:iCs/>
        </w:rPr>
        <w:t xml:space="preserve">N. meningitidis</w:t>
      </w:r>
      <w:r>
        <w:t xml:space="preserve">,</w:t>
      </w:r>
      <w:r>
        <w:t xml:space="preserve"> </w:t>
      </w:r>
      <w:r>
        <w:rPr>
          <w:i/>
          <w:iCs/>
        </w:rPr>
        <w:t xml:space="preserve">Haemophilus influenzae</w:t>
      </w:r>
      <w:r>
        <w:t xml:space="preserve">. Inactif sur les entérobactéries et</w:t>
      </w:r>
      <w:r>
        <w:t xml:space="preserve"> </w:t>
      </w:r>
      <w:r>
        <w:rPr>
          <w:i/>
          <w:iCs/>
        </w:rPr>
        <w:t xml:space="preserve">Pseudomonas</w:t>
      </w:r>
      <w:r>
        <w:t xml:space="preserve">.</w:t>
      </w:r>
    </w:p>
    <w:p>
      <w:pPr>
        <w:pStyle w:val="BodyText"/>
      </w:pPr>
      <w:r>
        <w:rPr>
          <w:b/>
          <w:bCs/>
        </w:rPr>
        <w:t xml:space="preserve">Profil Pharmacologique :</w:t>
      </w:r>
      <w:r>
        <w:t xml:space="preserve"> </w:t>
      </w:r>
      <w:r>
        <w:t xml:space="preserve">- Indications : (1)</w:t>
      </w:r>
      <w:r>
        <w:t xml:space="preserve"> </w:t>
      </w:r>
      <w:r>
        <w:rPr>
          <w:b/>
          <w:bCs/>
        </w:rPr>
        <w:t xml:space="preserve">Dermatologie</w:t>
      </w:r>
      <w:r>
        <w:t xml:space="preserve"> </w:t>
      </w:r>
      <w:r>
        <w:t xml:space="preserve">(BANEOCIN) : infections cutanées superficielles bénignes — impétigo, folliculite, ecthyma, surinfection de plaies, brûlures superficielles, dermite péri-stomiale ; (2)</w:t>
      </w:r>
      <w:r>
        <w:t xml:space="preserve"> </w:t>
      </w:r>
      <w:r>
        <w:rPr>
          <w:b/>
          <w:bCs/>
        </w:rPr>
        <w:t xml:space="preserve">Ophtalmologie</w:t>
      </w:r>
      <w:r>
        <w:t xml:space="preserve"> </w:t>
      </w:r>
      <w:r>
        <w:t xml:space="preserve">(BACITRACINE MARTINET, retiré) : conjonctivites bactériennes, blépharites, prophylaxie post-chirurgicale ; (3)</w:t>
      </w:r>
      <w:r>
        <w:t xml:space="preserve"> </w:t>
      </w:r>
      <w:r>
        <w:rPr>
          <w:b/>
          <w:bCs/>
        </w:rPr>
        <w:t xml:space="preserve">ORL</w:t>
      </w:r>
      <w:r>
        <w:t xml:space="preserve"> </w:t>
      </w:r>
      <w:r>
        <w:t xml:space="preserve">(OROPIVALONE BACITRACINE, retiré) : assainissement buccodentaire, aphtes (l’oropivalone est un corticoïde à visée anti-inflammatoire locale).</w:t>
      </w:r>
      <w:r>
        <w:t xml:space="preserve"> </w:t>
      </w:r>
      <w:r>
        <w:t xml:space="preserve">- Contre-indications : (1) Hypersensibilité à la bacitracine ; (2) Hypersensibilité à la néomycine (pour BANEOCIN) ; (3) Lésions cutanées étendues (résorption systémique → néphrotoxicité) ; (4) Brûlures profondes &gt; 20 % surface corporelle ; (5) Perfusion IV ou IM (proscrite en raison de la néphrotoxicité majeure).</w:t>
      </w:r>
      <w:r>
        <w:t xml:space="preserve"> </w:t>
      </w:r>
      <w:r>
        <w:t xml:space="preserve">- Effets Indésirables : (1) Allergie de contact (dermatite eczématiforme) — rare avec la bacitracine seule, plus fréquente en association avec la néomycine (5–10 %) ; (2) Néphrotoxicité systémique en cas d’application sur peau lésée étendue ou brûlure profonde — résorption transcutanée ; (3) Ototoxicité théorique (en cas d’application sur tympan perforé pour les formes auriculaires — non concerné par les produits disponibles) ; (4) Sélection de résistance (rare).</w:t>
      </w:r>
    </w:p>
    <w:p>
      <w:pPr>
        <w:pStyle w:val="BodyText"/>
      </w:pPr>
      <w:r>
        <w:rPr>
          <w:b/>
          <w:bCs/>
        </w:rPr>
        <w:t xml:space="preserve">Prévention et Gestion des Effets Indésirables :</w:t>
      </w:r>
      <w:r>
        <w:t xml:space="preserve"> </w:t>
      </w:r>
      <w:r>
        <w:t xml:space="preserve">- Mesures Préventives : (a) Limiter l’application aux petites lésions (&lt; 10 % surface corporelle) ; (b) Ne pas appliquer sous pansement occlusif (augmentation de la résorption) ; (c) Ne pas utiliser sur brûlure profonde ou plaie chirurgicale étendue ; (d) Limiter la durée à 7 jours maximum pour réduire le risque d’allergie de contact à la néomycine.</w:t>
      </w:r>
      <w:r>
        <w:t xml:space="preserve"> </w:t>
      </w:r>
      <w:r>
        <w:t xml:space="preserve">- Conduite à Tenir : (a) En cas d’allergie de contact : arrêt, dermocorticoïde, tests épicutanés (éviter néomycine et bacitracine à l’avenir). (b) En cas d’application accidentelle sur surface étendue : surveiller fonction rénale (créatinine, protéinurie), arrêter immédiatement.</w:t>
      </w:r>
    </w:p>
    <w:p>
      <w:pPr>
        <w:pStyle w:val="BodyText"/>
      </w:pPr>
      <w:r>
        <w:rPr>
          <w:b/>
          <w:bCs/>
        </w:rPr>
        <w:t xml:space="preserve">Interactions Importantes :</w:t>
      </w:r>
      <w:r>
        <w:t xml:space="preserve"> </w:t>
      </w:r>
      <w:r>
        <w:t xml:space="preserve">- Peu d’interactions systémiques en usage topique limité. En cas de résorption : néphrotoxicité additive avec aminosides, diurétiques, AINS, ciclosporine.</w:t>
      </w:r>
    </w:p>
    <w:p>
      <w:pPr>
        <w:pStyle w:val="BodyText"/>
      </w:pPr>
      <w:r>
        <w:rPr>
          <w:b/>
          <w:bCs/>
        </w:rPr>
        <w:t xml:space="preserve">Grossesse et Allaitement :</w:t>
      </w:r>
      <w:r>
        <w:t xml:space="preserve"> </w:t>
      </w:r>
      <w:r>
        <w:t xml:space="preserve">- Grossesse : Le CRAT classe la bacitracine topique en</w:t>
      </w:r>
      <w:r>
        <w:t xml:space="preserve"> </w:t>
      </w:r>
      <w:r>
        <w:t xml:space="preserve">“</w:t>
      </w:r>
      <w:r>
        <w:rPr>
          <w:b/>
          <w:bCs/>
        </w:rPr>
        <w:t xml:space="preserve">envisageable</w:t>
      </w:r>
      <w:r>
        <w:t xml:space="preserve">”</w:t>
      </w:r>
      <w:r>
        <w:t xml:space="preserve"> </w:t>
      </w:r>
      <w:r>
        <w:t xml:space="preserve">à toutes les phases. Absorption systémique négligeable sur peau saine. En cas de lésion étendue ou de brûlure profonde, à éviter par prudence (néphrotoxicité théorique).</w:t>
      </w:r>
      <w:r>
        <w:t xml:space="preserve"> </w:t>
      </w:r>
      <w:r>
        <w:t xml:space="preserve">- Allaitement : Compatible. Vérifier l’absence d’application sur le sein en zone d’allaitement.</w:t>
      </w:r>
    </w:p>
    <w:p>
      <w:pPr>
        <w:pStyle w:val="BodyText"/>
      </w:pPr>
      <w:r>
        <w:rPr>
          <w:b/>
          <w:bCs/>
        </w:rPr>
        <w:t xml:space="preserve">Posologie et Mode d’administration (Standard) :</w:t>
      </w:r>
      <w:r>
        <w:t xml:space="preserve"> </w:t>
      </w:r>
      <w:r>
        <w:t xml:space="preserve">- Adulte et enfant : (1)</w:t>
      </w:r>
      <w:r>
        <w:t xml:space="preserve"> </w:t>
      </w:r>
      <w:r>
        <w:rPr>
          <w:b/>
          <w:bCs/>
        </w:rPr>
        <w:t xml:space="preserve">Poudre dermique (BANEOCIN)</w:t>
      </w:r>
      <w:r>
        <w:t xml:space="preserve"> </w:t>
      </w:r>
      <w:r>
        <w:t xml:space="preserve">: 1 application × 2–3/jour sur la lésion propre et séchée pendant 7 jours maximum ; (2)</w:t>
      </w:r>
      <w:r>
        <w:t xml:space="preserve"> </w:t>
      </w:r>
      <w:r>
        <w:rPr>
          <w:b/>
          <w:bCs/>
        </w:rPr>
        <w:t xml:space="preserve">Collyre (BACITRACINE MARTINET, retiré)</w:t>
      </w:r>
      <w:r>
        <w:t xml:space="preserve"> </w:t>
      </w:r>
      <w:r>
        <w:t xml:space="preserve">: 1 goutte × 4–6/jour pendant 7 jours ; (3)</w:t>
      </w:r>
      <w:r>
        <w:t xml:space="preserve"> </w:t>
      </w:r>
      <w:r>
        <w:rPr>
          <w:b/>
          <w:bCs/>
        </w:rPr>
        <w:t xml:space="preserve">Comprimé (OROPIVALONE BACITRACINE, retiré)</w:t>
      </w:r>
      <w:r>
        <w:t xml:space="preserve"> </w:t>
      </w:r>
      <w:r>
        <w:t xml:space="preserve">: 1 comprimé à sucer × 3–4/jour.</w:t>
      </w:r>
      <w:r>
        <w:t xml:space="preserve"> </w:t>
      </w:r>
      <w:r>
        <w:t xml:space="preserve">- Durée : 5–7 jours maximum.</w:t>
      </w:r>
      <w:r>
        <w:t xml:space="preserve"> </w:t>
      </w:r>
      <w:r>
        <w:t xml:space="preserve">- Moment de prise : Application locale après nettoyage et séchage de la lésion.</w:t>
      </w:r>
    </w:p>
    <w:p>
      <w:pPr>
        <w:pStyle w:val="BodyText"/>
      </w:pPr>
      <w:r>
        <w:rPr>
          <w:b/>
          <w:bCs/>
        </w:rPr>
        <w:t xml:space="preserve">Arbitrage et Bénéfices des Formes Galéniques :</w:t>
      </w:r>
      <w:r>
        <w:t xml:space="preserve"> </w:t>
      </w:r>
      <w:r>
        <w:t xml:space="preserve">La bacitracine n’est plus commercialisée en Algérie sous forme active — toutes les spécialités sont NON_RENOUVELABLE ou RETRAIT. Cela pose un</w:t>
      </w:r>
      <w:r>
        <w:t xml:space="preserve"> </w:t>
      </w:r>
      <w:r>
        <w:rPr>
          <w:b/>
          <w:bCs/>
        </w:rPr>
        <w:t xml:space="preserve">problème pratique d’accès</w:t>
      </w:r>
      <w:r>
        <w:t xml:space="preserve"> </w:t>
      </w:r>
      <w:r>
        <w:t xml:space="preserve">pour les prescriptions dermatologiques courantes (impétigo, surinfection de plaie). Les alternatives algériennes actuelles sont : (1) l’acide fusidique topique (FUCIDINE, ACIFUDAL — voir fiche dédiée) ; (2) la mupirocine (non listée dans la nomenclature algérienne) ; (3) les associations à base de néomycine + bacitracine peuvent être remplacées par les associations néomycine + polymyxine B + corticoïde (topiques oculaires) ; (4) pour les formes systémiques des infections à Gram positif, les β-lactamines et les glycopeptides restent les piliers. Le pharmacien d’officine doit connaître cette rupture d’approvisionnement pour orienter le prescripteur vers les alternatives disponibles.</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Ce médicament (BANEOCIN) est actuellement en rupture d’approvisionnement. Je peux vous orienter vers des alternatives disponibles comme l’acide fusidique (FUCIDINE crème) pour les infections cutanées superficielles, ou vous orienter vers votre médecin pour une alternative adaptée.</w:t>
      </w:r>
      <w:r>
        <w:t xml:space="preserve">”</w:t>
      </w:r>
      <w:r>
        <w:t xml:space="preserve"> </w:t>
      </w:r>
      <w:r>
        <w:t xml:space="preserve">- Mode d’utilisation pratique (pour la BANEOCIN si disponible) : (1) Nettoyer et sécher la lésion ; (2) Saupoudrer uniformément la poudre ; (3) Recouvrir d’un pansement léger non occlusif ; (4) Renouveler 2–3 fois/jour pendant 7 jours maximum.</w:t>
      </w:r>
    </w:p>
    <w:p>
      <w:pPr>
        <w:pStyle w:val="BodyText"/>
      </w:pPr>
      <w:r>
        <w:rPr>
          <w:b/>
          <w:bCs/>
        </w:rPr>
        <w:t xml:space="preserve">Notes, Règles d’Or &amp; Pièges au Comptoir :</w:t>
      </w:r>
      <w:r>
        <w:t xml:space="preserve"> </w:t>
      </w:r>
      <w:r>
        <w:t xml:space="preserve">- Piège classique n°1 :</w:t>
      </w:r>
      <w:r>
        <w:t xml:space="preserve"> </w:t>
      </w:r>
      <w:r>
        <w:rPr>
          <w:b/>
          <w:bCs/>
        </w:rPr>
        <w:t xml:space="preserve">La bacitracine n’est pas un antibiotique systémique</w:t>
      </w:r>
      <w:r>
        <w:t xml:space="preserve"> </w:t>
      </w:r>
      <w:r>
        <w:t xml:space="preserve">— ne jamais utiliser en IV ou IM (néphrotoxicité majeure historiquement documentée). Topique uniquement.</w:t>
      </w:r>
      <w:r>
        <w:t xml:space="preserve"> </w:t>
      </w:r>
      <w:r>
        <w:t xml:space="preserve">- Piège classique n°2 :</w:t>
      </w:r>
      <w:r>
        <w:t xml:space="preserve"> </w:t>
      </w:r>
      <w:r>
        <w:rPr>
          <w:b/>
          <w:bCs/>
        </w:rPr>
        <w:t xml:space="preserve">Rupture d’approvisionnement BANEOCIN</w:t>
      </w:r>
      <w:r>
        <w:t xml:space="preserve"> </w:t>
      </w:r>
      <w:r>
        <w:t xml:space="preserve">— informer le patient et orienter vers les alternatives (acide fusidique topique, mupirocine si disponible).</w:t>
      </w:r>
      <w:r>
        <w:t xml:space="preserve"> </w:t>
      </w:r>
      <w:r>
        <w:t xml:space="preserve">- Piège classique n°3 :</w:t>
      </w:r>
      <w:r>
        <w:t xml:space="preserve"> </w:t>
      </w:r>
      <w:r>
        <w:rPr>
          <w:b/>
          <w:bCs/>
        </w:rPr>
        <w:t xml:space="preserve">Allergie de contact à la néomycine dans BANEOCIN</w:t>
      </w:r>
      <w:r>
        <w:t xml:space="preserve"> </w:t>
      </w:r>
      <w:r>
        <w:t xml:space="preserve">— sensibilisation fréquente, signaler dans le dossier patient.</w:t>
      </w:r>
      <w:r>
        <w:t xml:space="preserve"> </w:t>
      </w:r>
      <w:r>
        <w:t xml:space="preserve">- Piège classique n°4 :</w:t>
      </w:r>
      <w:r>
        <w:t xml:space="preserve"> </w:t>
      </w:r>
      <w:r>
        <w:rPr>
          <w:b/>
          <w:bCs/>
        </w:rPr>
        <w:t xml:space="preserve">Application sur brûlure étendue</w:t>
      </w:r>
      <w:r>
        <w:t xml:space="preserve"> </w:t>
      </w:r>
      <w:r>
        <w:t xml:space="preserve">— risque de néphrotoxicité systémique par résorption.</w:t>
      </w:r>
      <w:r>
        <w:t xml:space="preserve"> </w:t>
      </w:r>
      <w:r>
        <w:t xml:space="preserve">- Règle de prise : application locale après nettoyage, ≤ 7 jours.</w:t>
      </w:r>
      <w:r>
        <w:t xml:space="preserve"> </w:t>
      </w:r>
      <w:r>
        <w:t xml:space="preserve">- Préparation et Conservation : poudre stable à T° ambiante ; collyre reconstitué (BACITRACINE MARTINET) : 48 h à 2–8 °C.</w:t>
      </w:r>
      <w:r>
        <w:t xml:space="preserve"> </w:t>
      </w:r>
      <w:r>
        <w:t xml:space="preserve">- Piège du surdosage / Substitution : (a) Surdosage systémique accidentel : néphrotoxicité, surveillance USI. (b) Substitution : aucune alternative directe bacitracine en Algérie (substituer par acide fusidique ou mupirocine).</w:t>
      </w:r>
    </w:p>
    <w:p>
      <w:r>
        <w:pict>
          <v:rect style="width:0;height:1.5pt" o:hralign="center" o:hrstd="t" o:hr="t"/>
        </w:pict>
      </w:r>
    </w:p>
    <w:bookmarkEnd w:id="202"/>
    <w:bookmarkEnd w:id="203"/>
    <w:bookmarkStart w:id="206" w:name="X83e51089559031dcb4000a14a35b4e15505666e"/>
    <w:p>
      <w:pPr>
        <w:pStyle w:val="Heading2"/>
      </w:pPr>
      <w:r>
        <w:t xml:space="preserve">7.3 Sous-classe : Polypeptides (associations locales)</w:t>
      </w:r>
    </w:p>
    <w:bookmarkStart w:id="204" w:name="introduction-à-la-sous-classe-6"/>
    <w:p>
      <w:pPr>
        <w:pStyle w:val="Heading3"/>
      </w:pPr>
      <w:r>
        <w:t xml:space="preserve">Introduction à la sous-classe</w:t>
      </w:r>
    </w:p>
    <w:p>
      <w:pPr>
        <w:pStyle w:val="FirstParagraph"/>
      </w:pPr>
      <w:r>
        <w:t xml:space="preserve">Les associations locales de polypeptides concernent les formulations combinant un polypeptide antibiotique (colistine, polymyxine B, bacitracine) avec d’autres antibiotiques (tétracycline, néomycine) et/ou des corticoïdes (hydrocortisone, prednisolone) et/ou des antifongiques (nystatine) à visée topique (cutanée, auriculaire, ophtalmique). Ces associations visent à élargir le spectre antibactérien (Gram positif + Gram négatif), à couvrir les surinfections inflammatoires (corticoïde), et à simplifier l’observance par une seule application. Elles sont très répandues en officine algérienne pour le traitement des otites externes, des otites moyennes purulentes (avec réserve), des infections cutanées superficielles, et des conjonctivites. Le piège majeur reste la</w:t>
      </w:r>
      <w:r>
        <w:t xml:space="preserve"> </w:t>
      </w:r>
      <w:r>
        <w:rPr>
          <w:b/>
          <w:bCs/>
        </w:rPr>
        <w:t xml:space="preserve">contre-indication absolue en cas de perforation tympanique</w:t>
      </w:r>
      <w:r>
        <w:t xml:space="preserve"> </w:t>
      </w:r>
      <w:r>
        <w:t xml:space="preserve">pour les formes auriculaires (ototoxicité des aminosides et polymyxines).</w:t>
      </w:r>
    </w:p>
    <w:p>
      <w:r>
        <w:pict>
          <v:rect style="width:0;height:1.5pt" o:hralign="center" o:hrstd="t" o:hr="t"/>
        </w:pict>
      </w:r>
    </w:p>
    <w:bookmarkEnd w:id="204"/>
    <w:bookmarkStart w:id="205" w:name="Xecd99420292c044f4e8d1aca09eda2913eece56"/>
    <w:p>
      <w:pPr>
        <w:pStyle w:val="Heading3"/>
      </w:pPr>
      <w:r>
        <w:t xml:space="preserve">7.3.1 DCI : Colistine + Tétracycline + Prednisolone (Association Locale)</w:t>
      </w:r>
    </w:p>
    <w:p>
      <w:pPr>
        <w:pStyle w:val="FirstParagraph"/>
      </w:pPr>
      <w:r>
        <w:rPr>
          <w:b/>
          <w:bCs/>
        </w:rPr>
        <w:t xml:space="preserve">Liste des Catégories :</w:t>
      </w:r>
      <w:r>
        <w:t xml:space="preserve"> </w:t>
      </w:r>
      <w:r>
        <w:t xml:space="preserve">Polypeptides (associations locales) ; Antibiotique + Corticoïde topique auriculaire ; LISTE I.</w:t>
      </w:r>
    </w:p>
    <w:p>
      <w:pPr>
        <w:pStyle w:val="BodyText"/>
      </w:pPr>
      <w:r>
        <w:t xml:space="preserve">Cette association fixe associe trois principes actifs complémentaires à visée auriculaire : la</w:t>
      </w:r>
      <w:r>
        <w:t xml:space="preserve"> </w:t>
      </w:r>
      <w:r>
        <w:rPr>
          <w:b/>
          <w:bCs/>
        </w:rPr>
        <w:t xml:space="preserve">colistine</w:t>
      </w:r>
      <w:r>
        <w:t xml:space="preserve"> </w:t>
      </w:r>
      <w:r>
        <w:t xml:space="preserve">(polymyxine E, Gram négatif dont</w:t>
      </w:r>
      <w:r>
        <w:t xml:space="preserve"> </w:t>
      </w:r>
      <w:r>
        <w:rPr>
          <w:i/>
          <w:iCs/>
        </w:rPr>
        <w:t xml:space="preserve">Pseudomonas</w:t>
      </w:r>
      <w:r>
        <w:t xml:space="preserve">), la</w:t>
      </w:r>
      <w:r>
        <w:t xml:space="preserve"> </w:t>
      </w:r>
      <w:r>
        <w:rPr>
          <w:b/>
          <w:bCs/>
        </w:rPr>
        <w:t xml:space="preserve">tétracycline</w:t>
      </w:r>
      <w:r>
        <w:t xml:space="preserve"> </w:t>
      </w:r>
      <w:r>
        <w:t xml:space="preserve">(large spectre, Gram positif + Gram négatif + intracellulaires), et la</w:t>
      </w:r>
      <w:r>
        <w:t xml:space="preserve"> </w:t>
      </w:r>
      <w:r>
        <w:rPr>
          <w:b/>
          <w:bCs/>
        </w:rPr>
        <w:t xml:space="preserve">prednisolone</w:t>
      </w:r>
      <w:r>
        <w:t xml:space="preserve"> </w:t>
      </w:r>
      <w:r>
        <w:t xml:space="preserve">(corticoïde anti-inflammatoire). L’objectif est de couvrir le large spectre des otites externes et otites moyennes purulentes (qui peuvent impliquer</w:t>
      </w:r>
      <w:r>
        <w:t xml:space="preserve"> </w:t>
      </w:r>
      <w:r>
        <w:rPr>
          <w:i/>
          <w:iCs/>
        </w:rPr>
        <w:t xml:space="preserve">P. aeruginosa</w:t>
      </w:r>
      <w:r>
        <w:t xml:space="preserve">,</w:t>
      </w:r>
      <w:r>
        <w:t xml:space="preserve"> </w:t>
      </w:r>
      <w:r>
        <w:rPr>
          <w:i/>
          <w:iCs/>
        </w:rPr>
        <w:t xml:space="preserve">S. aureus</w:t>
      </w:r>
      <w:r>
        <w:t xml:space="preserve">,</w:t>
      </w:r>
      <w:r>
        <w:t xml:space="preserve"> </w:t>
      </w:r>
      <w:r>
        <w:rPr>
          <w:i/>
          <w:iCs/>
        </w:rPr>
        <w:t xml:space="preserve">S. pneumoniae</w:t>
      </w:r>
      <w:r>
        <w:t xml:space="preserve">,</w:t>
      </w:r>
      <w:r>
        <w:t xml:space="preserve"> </w:t>
      </w:r>
      <w:r>
        <w:rPr>
          <w:i/>
          <w:iCs/>
        </w:rPr>
        <w:t xml:space="preserve">H. influenzae</w:t>
      </w:r>
      <w:r>
        <w:t xml:space="preserve">) tout en réduisant l’inflammation douloureuse du conduit auditif. En Algérie, cette association est disponible sous la spécialité</w:t>
      </w:r>
      <w:r>
        <w:t xml:space="preserve"> </w:t>
      </w:r>
      <w:r>
        <w:rPr>
          <w:b/>
          <w:bCs/>
        </w:rPr>
        <w:t xml:space="preserve">COLICORT</w:t>
      </w:r>
      <w:r>
        <w:t xml:space="preserve"> </w:t>
      </w:r>
      <w:r>
        <w:t xml:space="preserve">(Merck Sharp &amp; Dohme Chibret), actuellement retirée du marché. Le prescripteur doit donc orienter vers des alternatives comme OTOCROVIS (néomycine + polymyxine B + hydrocortisone) ou PANOTILE.</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COLICORT</w:t>
      </w:r>
      <w:r>
        <w:t xml:space="preserve"> </w:t>
      </w:r>
      <w:r>
        <w:t xml:space="preserve">(MERCK SHARP &amp; DHOME CHIBRET)</w:t>
      </w:r>
      <w:r>
        <w:t xml:space="preserve"> </w:t>
      </w:r>
      <w:r>
        <w:t xml:space="preserve">- Formes et Dosages : Solution auriculaire gouttes — colistine 25 MUI + tétracycline 1 % + prednisolone 0,1 % (soit pour 5 mL : colistine 25 MUI, tétracycline 50 mg, prednisolone 5 mg)</w:t>
      </w:r>
      <w:r>
        <w:t xml:space="preserve"> </w:t>
      </w:r>
      <w:r>
        <w:t xml:space="preserve">- Conditionnement : Flacon de 5 mL</w:t>
      </w:r>
      <w:r>
        <w:t xml:space="preserve"> </w:t>
      </w:r>
      <w:r>
        <w:t xml:space="preserve">- Statut : Retiré (R)</w:t>
      </w:r>
    </w:p>
    <w:p>
      <w:pPr>
        <w:pStyle w:val="BodyText"/>
      </w:pPr>
      <w:r>
        <w:rPr>
          <w:b/>
          <w:bCs/>
        </w:rPr>
        <w:t xml:space="preserve">Sous-classe et Mécanisme d’action :</w:t>
      </w:r>
      <w:r>
        <w:t xml:space="preserve"> </w:t>
      </w:r>
      <w:r>
        <w:t xml:space="preserve">- Sous-classe : Association fixe de trois principes actifs à visée auriculaire.</w:t>
      </w:r>
      <w:r>
        <w:t xml:space="preserve"> </w:t>
      </w:r>
      <w:r>
        <w:t xml:space="preserve">- Mécanisme d’action : (1)</w:t>
      </w:r>
      <w:r>
        <w:t xml:space="preserve"> </w:t>
      </w:r>
      <w:r>
        <w:rPr>
          <w:b/>
          <w:bCs/>
        </w:rPr>
        <w:t xml:space="preserve">Colistine</w:t>
      </w:r>
      <w:r>
        <w:t xml:space="preserve"> </w:t>
      </w:r>
      <w:r>
        <w:t xml:space="preserve">(polymyxine E) — détergence membranaire des Gram négatifs (voir fiche Colistine), cible le LPS de la membrane externe ; (2)</w:t>
      </w:r>
      <w:r>
        <w:t xml:space="preserve"> </w:t>
      </w:r>
      <w:r>
        <w:rPr>
          <w:b/>
          <w:bCs/>
        </w:rPr>
        <w:t xml:space="preserve">Tétracycline</w:t>
      </w:r>
      <w:r>
        <w:t xml:space="preserve"> </w:t>
      </w:r>
      <w:r>
        <w:t xml:space="preserve">— inhibition de la synthèse protéique bactérienne en se fixant sur la sous-unité 30S du ribosome (blocage du site accepteur A), bactériostatique à large spectre (Gram positif, Gram négatif, anaérobies, intracellulaires) ; (3)</w:t>
      </w:r>
      <w:r>
        <w:t xml:space="preserve"> </w:t>
      </w:r>
      <w:r>
        <w:rPr>
          <w:b/>
          <w:bCs/>
        </w:rPr>
        <w:t xml:space="preserve">Prednisolone</w:t>
      </w:r>
      <w:r>
        <w:t xml:space="preserve"> </w:t>
      </w:r>
      <w:r>
        <w:t xml:space="preserve">— corticoïde de synthèse, agoniste des récepteurs glucocorticoïdes, inhibition de la phospholipase A2 (réduction de la synthèse des prostaglandines et leucotriènes), diminution de l’inflammation locale, de l’œdème, de la douleur et de la sécrétion purulente. L’association permet une couverture à la fois antibiotique large spectre et anti-inflammatoire locale, utile dans les otites externes hyperalgiques.</w:t>
      </w:r>
    </w:p>
    <w:p>
      <w:pPr>
        <w:pStyle w:val="BodyText"/>
      </w:pPr>
      <w:r>
        <w:rPr>
          <w:b/>
          <w:bCs/>
        </w:rPr>
        <w:t xml:space="preserve">Profil Pharmacologique :</w:t>
      </w:r>
      <w:r>
        <w:t xml:space="preserve"> </w:t>
      </w:r>
      <w:r>
        <w:t xml:space="preserve">- Indications : (1) Otites externes diffuses ou localisées (furoncule, otomycose surinfectée) ; (2) Otites moyennes purulentes en complément d’une antibiothérapie systémique —</w:t>
      </w:r>
      <w:r>
        <w:t xml:space="preserve"> </w:t>
      </w:r>
      <w:r>
        <w:rPr>
          <w:b/>
          <w:bCs/>
        </w:rPr>
        <w:t xml:space="preserve">uniquement si le tympan est perforé et sur avis ORL</w:t>
      </w:r>
      <w:r>
        <w:t xml:space="preserve"> </w:t>
      </w:r>
      <w:r>
        <w:t xml:space="preserve">; (3) Post-chirurgie ORL (myringoplastie, tympanoplastie) sur avis spécialisé.</w:t>
      </w:r>
      <w:r>
        <w:t xml:space="preserve"> </w:t>
      </w:r>
      <w:r>
        <w:t xml:space="preserve">- Contre-indications : (1)</w:t>
      </w:r>
      <w:r>
        <w:t xml:space="preserve"> </w:t>
      </w:r>
      <w:r>
        <w:rPr>
          <w:b/>
          <w:bCs/>
        </w:rPr>
        <w:t xml:space="preserve">Perforation tympanique non diagnostiquée</w:t>
      </w:r>
      <w:r>
        <w:t xml:space="preserve"> </w:t>
      </w:r>
      <w:r>
        <w:t xml:space="preserve">— risque d’ototoxicité majeure (colistine + tétracycline) avec atteinte cochléo-vestibulaire irréversible ; (2) Hypersensibilité à l’un des composants ; (3) Otite mycosique primitive (la tétracycline ne couvre pas les champignons ; le corticoïde aggrave) ; (4) Herpès ou varicelle du conduit auditif (corticoïde) ; (5) Tuberculose de l’oreille ; (6) Enfant &lt; 30 mois en raison du risque d’ototoxicité (selon les recommandations françaises).</w:t>
      </w:r>
      <w:r>
        <w:t xml:space="preserve"> </w:t>
      </w:r>
      <w:r>
        <w:t xml:space="preserve">- Effets Indésirables : (1)</w:t>
      </w:r>
      <w:r>
        <w:t xml:space="preserve"> </w:t>
      </w:r>
      <w:r>
        <w:rPr>
          <w:b/>
          <w:bCs/>
        </w:rPr>
        <w:t xml:space="preserve">Ototoxicité cochléo-vestibulaire</w:t>
      </w:r>
      <w:r>
        <w:t xml:space="preserve"> </w:t>
      </w:r>
      <w:r>
        <w:t xml:space="preserve">en cas de perforation tympanique (colistine = toxique pour l’oreille interne) — irréversible, possible surdité totale ; (2) Allergie de contact (rare avec colistine, plus fréquente avec les excipients) ; (3) Surinfection mycotique (corticoïde) ; (4) Atrophie cutanée du conduit (corticoïde prolongé) ; (5) Coloration jaune des sécrétions (tétracycline) ; (6) Sensibilisation aux tétracyclines (limitant l’usage futur par voie systémique).</w:t>
      </w:r>
    </w:p>
    <w:p>
      <w:pPr>
        <w:pStyle w:val="BodyText"/>
      </w:pPr>
      <w:r>
        <w:rPr>
          <w:b/>
          <w:bCs/>
        </w:rPr>
        <w:t xml:space="preserve">Prévention et Gestion des Effets Indésirables :</w:t>
      </w:r>
      <w:r>
        <w:t xml:space="preserve"> </w:t>
      </w:r>
      <w:r>
        <w:t xml:space="preserve">- Mesures Préventives : (a)</w:t>
      </w:r>
      <w:r>
        <w:t xml:space="preserve"> </w:t>
      </w:r>
      <w:r>
        <w:rPr>
          <w:b/>
          <w:bCs/>
        </w:rPr>
        <w:t xml:space="preserve">Obligation d’otoscopie préalable</w:t>
      </w:r>
      <w:r>
        <w:t xml:space="preserve"> </w:t>
      </w:r>
      <w:r>
        <w:t xml:space="preserve">par un médecin pour vérifier l’intégrité du tympan avant toute prescription ; (b) Limiter la durée à 7 jours maximum ; (c) Éviter chez l’enfant &lt; 30 mois ; (d) Ne pas utiliser en automédication.</w:t>
      </w:r>
      <w:r>
        <w:t xml:space="preserve"> </w:t>
      </w:r>
      <w:r>
        <w:t xml:space="preserve">- Conduite à Tenir : (a) En cas de douleur accrue après instillation : arrêt immédiat, suspicion de perforation tympanique, avis ORL urgent ; (b) En cas de surdité ou d’acouphènes : arrêt immédiat, audiogramme urgent.</w:t>
      </w:r>
    </w:p>
    <w:p>
      <w:pPr>
        <w:pStyle w:val="BodyText"/>
      </w:pPr>
      <w:r>
        <w:rPr>
          <w:b/>
          <w:bCs/>
        </w:rPr>
        <w:t xml:space="preserve">Interactions Importantes :</w:t>
      </w:r>
      <w:r>
        <w:t xml:space="preserve"> </w:t>
      </w:r>
      <w:r>
        <w:t xml:space="preserve">- Peu d’interactions systémiques en usage local. En cas de résorption (tympan perforé) : néphrotoxicité additive de la colistine avec aminosides systémiques ; interaction théorique tétracycline + cations divalents (Ca²⁺, Mg²⁺, Al³⁺, Fe²⁺) — chélation.</w:t>
      </w:r>
    </w:p>
    <w:p>
      <w:pPr>
        <w:pStyle w:val="BodyText"/>
      </w:pPr>
      <w:r>
        <w:rPr>
          <w:b/>
          <w:bCs/>
        </w:rPr>
        <w:t xml:space="preserve">Grossesse et Allaitement :</w:t>
      </w:r>
      <w:r>
        <w:t xml:space="preserve"> </w:t>
      </w:r>
      <w:r>
        <w:t xml:space="preserve">- Grossesse : Le CRAT déconseille l’usage en cas de perforation tympanique (passage dans l’oreille interne, ototoxicité théorique pour le fœtus). Sur tympan intact, l’absorption systémique est négligeable et l’usage est compatible.</w:t>
      </w:r>
      <w:r>
        <w:t xml:space="preserve"> </w:t>
      </w:r>
      <w:r>
        <w:t xml:space="preserve">- Allaitement : Compatible en usage local limité. Éviter l’application sur le sein.</w:t>
      </w:r>
    </w:p>
    <w:p>
      <w:pPr>
        <w:pStyle w:val="BodyText"/>
      </w:pPr>
      <w:r>
        <w:rPr>
          <w:b/>
          <w:bCs/>
        </w:rPr>
        <w:t xml:space="preserve">Posologie et Mode d’administration (Standard) :</w:t>
      </w:r>
      <w:r>
        <w:t xml:space="preserve"> </w:t>
      </w:r>
      <w:r>
        <w:t xml:space="preserve">- Adulte et enfant &gt; 30 mois : 2–3 gouttes × 2–3/jour dans l’oreille atteinte, tête inclinée, pendant 5–7 jours maximum.</w:t>
      </w:r>
      <w:r>
        <w:t xml:space="preserve"> </w:t>
      </w:r>
      <w:r>
        <w:t xml:space="preserve">- Durée : 5–7 jours ; en cas d’échec à 3 jours, réévaluer (changement d’antibiotique, suspicion de perforation).</w:t>
      </w:r>
      <w:r>
        <w:t xml:space="preserve"> </w:t>
      </w:r>
      <w:r>
        <w:t xml:space="preserve">- Moment de prise : Tête inclinée, maintenir 2–3 min après instillation. Éviter le contact de l’embout avec l’oreille.</w:t>
      </w:r>
    </w:p>
    <w:p>
      <w:pPr>
        <w:pStyle w:val="BodyText"/>
      </w:pPr>
      <w:r>
        <w:rPr>
          <w:b/>
          <w:bCs/>
        </w:rPr>
        <w:t xml:space="preserve">Arbitrage et Bénéfices des Formes Galéniques :</w:t>
      </w:r>
      <w:r>
        <w:t xml:space="preserve"> </w:t>
      </w:r>
      <w:r>
        <w:t xml:space="preserve">La spécialité COLICORT (colistine + tétracycline + prednisolone) est retirée du marché algérien. Les alternatives algériennes disponibles pour les otites externes avec composante inflammatoire sont : (1)</w:t>
      </w:r>
      <w:r>
        <w:t xml:space="preserve"> </w:t>
      </w:r>
      <w:r>
        <w:rPr>
          <w:b/>
          <w:bCs/>
        </w:rPr>
        <w:t xml:space="preserve">OTOCROVIS</w:t>
      </w:r>
      <w:r>
        <w:t xml:space="preserve"> </w:t>
      </w:r>
      <w:r>
        <w:t xml:space="preserve">(néomycine + polymyxine B + hydrocortisone, GENCOPHARM ou CROVIS) — équivalent thérapeutique ; (2)</w:t>
      </w:r>
      <w:r>
        <w:t xml:space="preserve"> </w:t>
      </w:r>
      <w:r>
        <w:rPr>
          <w:b/>
          <w:bCs/>
        </w:rPr>
        <w:t xml:space="preserve">PANOTILE</w:t>
      </w:r>
      <w:r>
        <w:t xml:space="preserve"> </w:t>
      </w:r>
      <w:r>
        <w:t xml:space="preserve">(polymyxine B + néomycine + hydrocortisone, ZAMBON) — équivalent ; (3) Pour les otites externes à</w:t>
      </w:r>
      <w:r>
        <w:t xml:space="preserve"> </w:t>
      </w:r>
      <w:r>
        <w:rPr>
          <w:i/>
          <w:iCs/>
        </w:rPr>
        <w:t xml:space="preserve">Pseudomonas</w:t>
      </w:r>
      <w:r>
        <w:t xml:space="preserve"> </w:t>
      </w:r>
      <w:r>
        <w:t xml:space="preserve">récidivantes : acide acétique 2 % ou+corticoïde topique. Le pharmacien doit orienter le prescripteur et le patient vers ces alternatives disponibles, en rappelant la nécessité d’une otoscopie préalable systématique.</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Ce médicament n’est plus disponible. Je peux vous orienter vers OTOCROVIS ou PANOTILE, qui contiennent une association similaire. Mais ATTENTION : ces gouttes auriculaires ne doivent JAMAIS être utilisées sans avoir vérifié que votre tympan est intact — un examen médinal préalable est obligatoire, car elles peuvent provoquer une surdité si elles passent dans l’oreille interne.</w:t>
      </w:r>
      <w:r>
        <w:t xml:space="preserve">”</w:t>
      </w:r>
      <w:r>
        <w:t xml:space="preserve"> </w:t>
      </w:r>
      <w:r>
        <w:t xml:space="preserve">- Mode d’utilisation pratique : (1) Vérifier la prescription médicale ; (2) Bien agiter le flacon ; (3) Tête inclinée, instiller 2–3 gouttes ; (4) Maintenir la tête inclinée 2–3 min ; (5) Ne pas introduire de coton-tige dans l’oreille.</w:t>
      </w:r>
    </w:p>
    <w:p>
      <w:pPr>
        <w:pStyle w:val="BodyText"/>
      </w:pPr>
      <w:r>
        <w:rPr>
          <w:b/>
          <w:bCs/>
        </w:rPr>
        <w:t xml:space="preserve">Notes, Règles d’Or &amp; Pièges au Comptoir :</w:t>
      </w:r>
      <w:r>
        <w:t xml:space="preserve"> </w:t>
      </w:r>
      <w:r>
        <w:t xml:space="preserve">- Piège classique n°1 :</w:t>
      </w:r>
      <w:r>
        <w:t xml:space="preserve"> </w:t>
      </w:r>
      <w:r>
        <w:rPr>
          <w:b/>
          <w:bCs/>
        </w:rPr>
        <w:t xml:space="preserve">Ototoxicité en cas de perforation tympanique méconnue</w:t>
      </w:r>
      <w:r>
        <w:t xml:space="preserve"> </w:t>
      </w:r>
      <w:r>
        <w:t xml:space="preserve">— la colistine (comme tous les aminosides et polymyxines) est hautement toxique pour l’oreille interne. Tout patient présentant une otorrhée (écoulement) ou une douleur accrue après instillation doit arrêter immédiatement et consulter.</w:t>
      </w:r>
      <w:r>
        <w:t xml:space="preserve"> </w:t>
      </w:r>
      <w:r>
        <w:t xml:space="preserve">- Piège classique n°2 :</w:t>
      </w:r>
      <w:r>
        <w:t xml:space="preserve"> </w:t>
      </w:r>
      <w:r>
        <w:rPr>
          <w:b/>
          <w:bCs/>
        </w:rPr>
        <w:t xml:space="preserve">Pas d’automédication</w:t>
      </w:r>
      <w:r>
        <w:t xml:space="preserve"> </w:t>
      </w:r>
      <w:r>
        <w:t xml:space="preserve">— les gouttes auriculaires avec antibiotique + corticoïde ne doivent jamais être délivrées sans prescription médicale préalable avec otoscopie.</w:t>
      </w:r>
      <w:r>
        <w:t xml:space="preserve"> </w:t>
      </w:r>
      <w:r>
        <w:t xml:space="preserve">- Piège classique n°3 :</w:t>
      </w:r>
      <w:r>
        <w:t xml:space="preserve"> </w:t>
      </w:r>
      <w:r>
        <w:rPr>
          <w:b/>
          <w:bCs/>
        </w:rPr>
        <w:t xml:space="preserve">Durée &gt; 7 jours = risque d’atrophie cutanée et de surinfection mycotique</w:t>
      </w:r>
      <w:r>
        <w:t xml:space="preserve"> </w:t>
      </w:r>
      <w:r>
        <w:t xml:space="preserve">— limiter strictement la durée.</w:t>
      </w:r>
      <w:r>
        <w:t xml:space="preserve"> </w:t>
      </w:r>
      <w:r>
        <w:t xml:space="preserve">- Règle de prise : 2–3 gouttes × 2–3/jour pendant 5–7 jours maximum après otoscopie.</w:t>
      </w:r>
      <w:r>
        <w:t xml:space="preserve"> </w:t>
      </w:r>
      <w:r>
        <w:t xml:space="preserve">- Préparation et Conservation : flacon fermé à T° ambiante, à l’abri de la lumière ; après ouverture, conservation ≤ 15 jours.</w:t>
      </w:r>
      <w:r>
        <w:t xml:space="preserve"> </w:t>
      </w:r>
      <w:r>
        <w:t xml:space="preserve">- Piège du surdosage / Substitution : substituer COLICORT (retiré) par OTOCROVIS ou PANOTILE (disponibles).</w:t>
      </w:r>
    </w:p>
    <w:p>
      <w:r>
        <w:pict>
          <v:rect style="width:0;height:1.5pt" o:hralign="center" o:hrstd="t" o:hr="t"/>
        </w:pict>
      </w:r>
    </w:p>
    <w:bookmarkEnd w:id="205"/>
    <w:bookmarkEnd w:id="206"/>
    <w:bookmarkStart w:id="209" w:name="sous-classe-lipopeptides"/>
    <w:p>
      <w:pPr>
        <w:pStyle w:val="Heading2"/>
      </w:pPr>
      <w:r>
        <w:t xml:space="preserve">7.4 Sous-classe : Lipopeptides</w:t>
      </w:r>
    </w:p>
    <w:bookmarkStart w:id="207" w:name="introduction-à-la-sous-classe-7"/>
    <w:p>
      <w:pPr>
        <w:pStyle w:val="Heading3"/>
      </w:pPr>
      <w:r>
        <w:t xml:space="preserve">Introduction à la sous-classe</w:t>
      </w:r>
    </w:p>
    <w:p>
      <w:pPr>
        <w:pStyle w:val="FirstParagraph"/>
      </w:pPr>
      <w:r>
        <w:t xml:space="preserve">Les lipopeptides sont une classe récente d’antibiotiques naturels dont le chef de file est la</w:t>
      </w:r>
      <w:r>
        <w:t xml:space="preserve"> </w:t>
      </w:r>
      <w:r>
        <w:rPr>
          <w:b/>
          <w:bCs/>
        </w:rPr>
        <w:t xml:space="preserve">daptomycine</w:t>
      </w:r>
      <w:r>
        <w:t xml:space="preserve">, isolée en 1986 à partir de</w:t>
      </w:r>
      <w:r>
        <w:t xml:space="preserve"> </w:t>
      </w:r>
      <w:r>
        <w:rPr>
          <w:i/>
          <w:iCs/>
        </w:rPr>
        <w:t xml:space="preserve">Streptomyces roseosporus</w:t>
      </w:r>
      <w:r>
        <w:t xml:space="preserve"> </w:t>
      </w:r>
      <w:r>
        <w:t xml:space="preserve">et commercialisée depuis 2003. La daptomycine est une grande molécule cyclique (1 620 Da) composée d’un noyau peptidique cyclique de 13 acides aminés (dont 3 D-aminoacides) sur lequel est greffée une chaîne latérale acyl-gras (n-decanoyl). Cette structure amphiphile unique lui permet d’interagir avec les membranes phospholipidiques des bactéries à Gram positif, où elle forme des canaux ioniques (oligomères) entraînant une dépolarisation membranaire, une fuite des ions potassium (K+) et une mort cellulaire rapide.</w:t>
      </w:r>
    </w:p>
    <w:p>
      <w:pPr>
        <w:pStyle w:val="BodyText"/>
      </w:pPr>
      <w:r>
        <w:t xml:space="preserve">La daptomycine présente plusieurs particularités PK/PD majeures : (i) bactéricide</w:t>
      </w:r>
      <w:r>
        <w:t xml:space="preserve"> </w:t>
      </w:r>
      <w:r>
        <w:rPr>
          <w:b/>
          <w:bCs/>
        </w:rPr>
        <w:t xml:space="preserve">rapidement concentration-dépendante</w:t>
      </w:r>
      <w:r>
        <w:t xml:space="preserve"> </w:t>
      </w:r>
      <w:r>
        <w:t xml:space="preserve">(morte en quelques minutes à concentration supérieure à la CMI) ; (ii) activité bactéricide y compris sur les bactéries en phase stationnaire (inactives métaboliquement) — utile pour les végétations valvulaires et les biofilms ; (iii) inactif sur les Gram négatifs (imperméabilité de la membrane externe) ; (iv) inactive en présence de surfactant pulmonaire — la daptomycine se lie au surfactant et est inactivée, ce qui</w:t>
      </w:r>
      <w:r>
        <w:t xml:space="preserve"> </w:t>
      </w:r>
      <w:r>
        <w:rPr>
          <w:b/>
          <w:bCs/>
        </w:rPr>
        <w:t xml:space="preserve">contre-indique formellement son usage dans la pneumonie</w:t>
      </w:r>
      <w:r>
        <w:t xml:space="preserve"> </w:t>
      </w:r>
      <w:r>
        <w:t xml:space="preserve">; (v) demi-vie longue (8–9 h) autorisant une seule injection par jour ; (vi) élimination principalement rénale (80 %), adaptation à l’IR nécessaire.</w:t>
      </w:r>
    </w:p>
    <w:p>
      <w:pPr>
        <w:pStyle w:val="BodyText"/>
      </w:pPr>
      <w:r>
        <w:t xml:space="preserve">Son spectre couvre les Gram positifs y compris les plus résistants : SARM, entérocoques résistants à la vancomycine (ERV), staphycoques coagulase-négatifs résistants, pneumocoques pénicillino-résistants,</w:t>
      </w:r>
      <w:r>
        <w:t xml:space="preserve"> </w:t>
      </w:r>
      <w:r>
        <w:rPr>
          <w:i/>
          <w:iCs/>
        </w:rPr>
        <w:t xml:space="preserve">Corynebacterium jeikeium</w:t>
      </w:r>
      <w:r>
        <w:t xml:space="preserve">. C’est une alternative majeure à la vancomycine en cas d’intolérance, d’échec, ou de souche à CMI élevée à la vancomycine. Indications principales : bactériémie à SARM, endocardite (valve native et prothétique), infections compliquées de peau et tissus mous (cSTI), infections osseuses et articulaires.</w:t>
      </w:r>
    </w:p>
    <w:p>
      <w:r>
        <w:pict>
          <v:rect style="width:0;height:1.5pt" o:hralign="center" o:hrstd="t" o:hr="t"/>
        </w:pict>
      </w:r>
    </w:p>
    <w:bookmarkEnd w:id="207"/>
    <w:bookmarkStart w:id="208" w:name="dci-daptomycine-seule"/>
    <w:p>
      <w:pPr>
        <w:pStyle w:val="Heading3"/>
      </w:pPr>
      <w:r>
        <w:t xml:space="preserve">7.4.1 DCI : Daptomycine (Seule)</w:t>
      </w:r>
    </w:p>
    <w:p>
      <w:pPr>
        <w:pStyle w:val="FirstParagraph"/>
      </w:pPr>
      <w:r>
        <w:rPr>
          <w:b/>
          <w:bCs/>
        </w:rPr>
        <w:t xml:space="preserve">Liste des Catégories :</w:t>
      </w:r>
      <w:r>
        <w:t xml:space="preserve"> </w:t>
      </w:r>
      <w:r>
        <w:t xml:space="preserve">Lipopeptides ; Antibiotique de réserve anti-Gram positif ; LISTE I.</w:t>
      </w:r>
    </w:p>
    <w:p>
      <w:pPr>
        <w:pStyle w:val="BodyText"/>
      </w:pPr>
      <w:r>
        <w:t xml:space="preserve">La daptomycine est le seul lipopeptide disponible en thérapeutique humaine. Elle est indiquée dans les infections sévères à Gram positif multirésistant en alternative à la vancomycine ou en cas d’échec de celle-ci. En Algérie, elle est disponible sous une seule marque (DAPTOCIN, GENSENTA — Turquie), en deux dosages (350 mg et 500 mg). Son coût élevé et sa restriction d’usage à l’hôpital en limitent l’usage, mais elle constitue une option majeure pour les bactériémies et endocardites à SARM/ERV en cas d’échec ou d’intolérance à la vancomycine. Sa particularité pharmacologique la plus importante à retenir est la</w:t>
      </w:r>
      <w:r>
        <w:t xml:space="preserve"> </w:t>
      </w:r>
      <w:r>
        <w:rPr>
          <w:b/>
          <w:bCs/>
        </w:rPr>
        <w:t xml:space="preserve">contre-indication absolue dans la pneumonie</w:t>
      </w:r>
      <w:r>
        <w:t xml:space="preserve">, en raison de son inactivation par le surfactant pulmonaire.</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DAPTOCIN</w:t>
      </w:r>
      <w:r>
        <w:t xml:space="preserve"> </w:t>
      </w:r>
      <w:r>
        <w:t xml:space="preserve">(GENSENTA ILAC SANAYI VE TICARET A.S)</w:t>
      </w:r>
      <w:r>
        <w:t xml:space="preserve"> </w:t>
      </w:r>
      <w:r>
        <w:t xml:space="preserve">- Formes et Dosages : Poudre lyophilisée pour solution injectable IV, 350 mg/flacon de 15 mL</w:t>
      </w:r>
      <w:r>
        <w:t xml:space="preserve"> </w:t>
      </w:r>
      <w:r>
        <w:t xml:space="preserve">- Statut : Actif</w:t>
      </w:r>
      <w:r>
        <w:t xml:space="preserve"> </w:t>
      </w:r>
      <w:r>
        <w:t xml:space="preserve">-</w:t>
      </w:r>
      <w:r>
        <w:t xml:space="preserve"> </w:t>
      </w:r>
      <w:r>
        <w:rPr>
          <w:b/>
          <w:bCs/>
        </w:rPr>
        <w:t xml:space="preserve">DAPTOCIN</w:t>
      </w:r>
      <w:r>
        <w:t xml:space="preserve"> </w:t>
      </w:r>
      <w:r>
        <w:t xml:space="preserve">(GENSENTA ILAC SANAYI VE TICARET A.S)</w:t>
      </w:r>
      <w:r>
        <w:t xml:space="preserve"> </w:t>
      </w:r>
      <w:r>
        <w:t xml:space="preserve">- Formes et Dosages : Poudre lyophilisée pour solution injectable IV, 500 mg/flacon de 15 mL</w:t>
      </w:r>
      <w:r>
        <w:t xml:space="preserve"> </w:t>
      </w:r>
      <w:r>
        <w:t xml:space="preserve">- Statut : Actif</w:t>
      </w:r>
    </w:p>
    <w:p>
      <w:pPr>
        <w:pStyle w:val="BodyText"/>
      </w:pPr>
      <w:r>
        <w:rPr>
          <w:b/>
          <w:bCs/>
        </w:rPr>
        <w:t xml:space="preserve">Sous-classe et Mécanisme d’action :</w:t>
      </w:r>
      <w:r>
        <w:t xml:space="preserve"> </w:t>
      </w:r>
      <w:r>
        <w:t xml:space="preserve">- Sous-classe : Lipopeptides cycliques — amphiphile (chaîne acyl-gras + noyau peptidique cyclique), cationique à pH physiologique.</w:t>
      </w:r>
      <w:r>
        <w:t xml:space="preserve"> </w:t>
      </w:r>
      <w:r>
        <w:t xml:space="preserve">- Mécanisme d’action : La daptomycine exerce son action en</w:t>
      </w:r>
      <w:r>
        <w:t xml:space="preserve"> </w:t>
      </w:r>
      <w:r>
        <w:rPr>
          <w:b/>
          <w:bCs/>
        </w:rPr>
        <w:t xml:space="preserve">quatre étapes</w:t>
      </w:r>
      <w:r>
        <w:t xml:space="preserve"> </w:t>
      </w:r>
      <w:r>
        <w:t xml:space="preserve">: (1) la chaîne acyl-gras hydrophobe s’insère dans la bicouche phospholipidique de la membrane cytoplasmique des bactéries à Gram positif (interaction préférentielle avec les phosphatidylglycérols - PG) ; (2) la molécule oligomérise (forme des complexes de 4 à 7 unités) créant un structure transmembranaire ; (3) cet oligomère forme un</w:t>
      </w:r>
      <w:r>
        <w:t xml:space="preserve"> </w:t>
      </w:r>
      <w:r>
        <w:rPr>
          <w:b/>
          <w:bCs/>
        </w:rPr>
        <w:t xml:space="preserve">canal ionique</w:t>
      </w:r>
      <w:r>
        <w:t xml:space="preserve"> </w:t>
      </w:r>
      <w:r>
        <w:t xml:space="preserve">perméable aux cations (K+, Na+, Ca²⁺) ; (4) la fuite massive de K+ dépolarise la membrane (chute du potentiel transmembranaire de -150 mV vers -50 mV), ce qui inactive les pompes et les systèmes de transport dépendants du potentiel, arrête la synthèse d’ADN, ARN et protéines, et entraîne la mort cellulaire. La daptomycine est</w:t>
      </w:r>
      <w:r>
        <w:t xml:space="preserve"> </w:t>
      </w:r>
      <w:r>
        <w:rPr>
          <w:b/>
          <w:bCs/>
        </w:rPr>
        <w:t xml:space="preserve">bactéricide rapidement concentration-dépendante</w:t>
      </w:r>
      <w:r>
        <w:t xml:space="preserve"> </w:t>
      </w:r>
      <w:r>
        <w:t xml:space="preserve">(mort en quelques minutes à C &gt; CMI), et reste active sur les bactéries en phase stationnaire (métaboliquement inactives) — avantage majeur pour les végétations valvulaires et les biofilms. Aucun effet post-antibiotique notable. Pas de résistance croisée avec les β-lactamines, glycopeptides, oxazolidinones. Mécanismes de résistance connus : mutation du gène</w:t>
      </w:r>
      <w:r>
        <w:t xml:space="preserve"> </w:t>
      </w:r>
      <w:r>
        <w:rPr>
          <w:i/>
          <w:iCs/>
        </w:rPr>
        <w:t xml:space="preserve">mprF</w:t>
      </w:r>
      <w:r>
        <w:t xml:space="preserve"> </w:t>
      </w:r>
      <w:r>
        <w:t xml:space="preserve">(modifie la lysylation des PG), mutations</w:t>
      </w:r>
      <w:r>
        <w:t xml:space="preserve"> </w:t>
      </w:r>
      <w:r>
        <w:rPr>
          <w:i/>
          <w:iCs/>
        </w:rPr>
        <w:t xml:space="preserve">yycFG</w:t>
      </w:r>
      <w:r>
        <w:t xml:space="preserve"> </w:t>
      </w:r>
      <w:r>
        <w:t xml:space="preserve">(système régulateur à deux composants), augmentation de la charge positive de la membrane (résistance par répulsion électrostatique). Fréquence de résistance acquise faible (&lt; 1 %) mais possible en monothérapie prolongée.</w:t>
      </w:r>
    </w:p>
    <w:p>
      <w:pPr>
        <w:pStyle w:val="BodyText"/>
      </w:pPr>
      <w:r>
        <w:rPr>
          <w:b/>
          <w:bCs/>
        </w:rPr>
        <w:t xml:space="preserve">Profil Pharmacologique :</w:t>
      </w:r>
      <w:r>
        <w:t xml:space="preserve"> </w:t>
      </w:r>
      <w:r>
        <w:t xml:space="preserve">- Indications : (1)</w:t>
      </w:r>
      <w:r>
        <w:t xml:space="preserve"> </w:t>
      </w:r>
      <w:r>
        <w:rPr>
          <w:b/>
          <w:bCs/>
        </w:rPr>
        <w:t xml:space="preserve">Bactériémie à SARM</w:t>
      </w:r>
      <w:r>
        <w:t xml:space="preserve"> </w:t>
      </w:r>
      <w:r>
        <w:t xml:space="preserve">droite (incluant endocardite droite) ; (2) Endocardite infectieuse à SARM (valve native, valve prothétique) — alternative à la vancomycine ; (3) Endocardite à ERV ; (4) Infections compliquées de peau et des tissus mous (cSTI) à SARM, streptocoques, entérocoques ; (5) Infections osseuses et articulaires (ostéomyélite, arthrite septique) à SARM ; (6) Bactériémie à ERV.</w:t>
      </w:r>
      <w:r>
        <w:t xml:space="preserve"> </w:t>
      </w:r>
      <w:r>
        <w:rPr>
          <w:b/>
          <w:bCs/>
        </w:rPr>
        <w:t xml:space="preserve">Contre-indication dans la pneumonie</w:t>
      </w:r>
      <w:r>
        <w:t xml:space="preserve"> </w:t>
      </w:r>
      <w:r>
        <w:t xml:space="preserve">(inactivation par le surfactant pulmonaire). Spectre : Gram positifs — staphylocoques (S. aureus MSSA et MRSA, SCN), streptocoques (A, B, C, G,</w:t>
      </w:r>
      <w:r>
        <w:t xml:space="preserve"> </w:t>
      </w:r>
      <w:r>
        <w:rPr>
          <w:i/>
          <w:iCs/>
        </w:rPr>
        <w:t xml:space="preserve">S. pneumoniae</w:t>
      </w:r>
      <w:r>
        <w:t xml:space="preserve"> </w:t>
      </w:r>
      <w:r>
        <w:t xml:space="preserve">PRP), entérocoques (</w:t>
      </w:r>
      <w:r>
        <w:rPr>
          <w:i/>
          <w:iCs/>
        </w:rPr>
        <w:t xml:space="preserve">E. faecalis</w:t>
      </w:r>
      <w:r>
        <w:t xml:space="preserve">,</w:t>
      </w:r>
      <w:r>
        <w:t xml:space="preserve"> </w:t>
      </w:r>
      <w:r>
        <w:rPr>
          <w:i/>
          <w:iCs/>
        </w:rPr>
        <w:t xml:space="preserve">E. faecium</w:t>
      </w:r>
      <w:r>
        <w:t xml:space="preserve"> </w:t>
      </w:r>
      <w:r>
        <w:t xml:space="preserve">y compris VRE),</w:t>
      </w:r>
      <w:r>
        <w:t xml:space="preserve"> </w:t>
      </w:r>
      <w:r>
        <w:rPr>
          <w:i/>
          <w:iCs/>
        </w:rPr>
        <w:t xml:space="preserve">Corynebacterium jeikeium</w:t>
      </w:r>
      <w:r>
        <w:t xml:space="preserve">,</w:t>
      </w:r>
      <w:r>
        <w:t xml:space="preserve"> </w:t>
      </w:r>
      <w:r>
        <w:rPr>
          <w:i/>
          <w:iCs/>
        </w:rPr>
        <w:t xml:space="preserve">Propionibacterium acnes</w:t>
      </w:r>
      <w:r>
        <w:t xml:space="preserve">. Inactif sur les Gram négatifs, les anaérobies stricts,</w:t>
      </w:r>
      <w:r>
        <w:t xml:space="preserve"> </w:t>
      </w:r>
      <w:r>
        <w:rPr>
          <w:i/>
          <w:iCs/>
        </w:rPr>
        <w:t xml:space="preserve">Listeria</w:t>
      </w:r>
      <w:r>
        <w:t xml:space="preserve">.</w:t>
      </w:r>
      <w:r>
        <w:t xml:space="preserve"> </w:t>
      </w:r>
      <w:r>
        <w:t xml:space="preserve">- Contre-indications : (1) Hypersensibilité à la daptomycine ; (2) Pneumonie (CI relative forte — inactivation par le surfactant) ; (3) Précaution chez l’enfant &lt; 12 ans (adaptation posologique) ; (4) Insuffisance rénale (adaptation obligatoire) ; (5) Myopathie préexistante ou prise de statines (risque majoré).</w:t>
      </w:r>
      <w:r>
        <w:t xml:space="preserve"> </w:t>
      </w:r>
      <w:r>
        <w:t xml:space="preserve">- Effets Indésirables : (1)</w:t>
      </w:r>
      <w:r>
        <w:t xml:space="preserve"> </w:t>
      </w:r>
      <w:r>
        <w:rPr>
          <w:b/>
          <w:bCs/>
        </w:rPr>
        <w:t xml:space="preserve">Myopathie et élévation des CPK</w:t>
      </w:r>
      <w:r>
        <w:t xml:space="preserve"> </w:t>
      </w:r>
      <w:r>
        <w:t xml:space="preserve">— effet dose-dépendant (5–10 % des patients à J7–J14), mécanisme probable : altération de la membrane des cellules musculaires (effet similaire à l’action sur la membrane bactérienne) ; surveillance hebdomadaire des CPK obligatoire ; arrêt si CPK &gt; 5× LSN ou symptômes musculaires. (2)</w:t>
      </w:r>
      <w:r>
        <w:t xml:space="preserve"> </w:t>
      </w:r>
      <w:r>
        <w:rPr>
          <w:b/>
          <w:bCs/>
        </w:rPr>
        <w:t xml:space="preserve">Rhabdomyolyse</w:t>
      </w:r>
      <w:r>
        <w:t xml:space="preserve"> </w:t>
      </w:r>
      <w:r>
        <w:t xml:space="preserve">rare (&lt; 1 %) mais grave — risque d’insuffisance rénale aiguë par myoglobinurie ; favorisée par l’association aux statines (atorvastatine, simvastatine) — arrêter les statines pendant le traitement. (3)</w:t>
      </w:r>
      <w:r>
        <w:t xml:space="preserve"> </w:t>
      </w:r>
      <w:r>
        <w:rPr>
          <w:b/>
          <w:bCs/>
        </w:rPr>
        <w:t xml:space="preserve">Eosinophilic pneumonia</w:t>
      </w:r>
      <w:r>
        <w:t xml:space="preserve"> </w:t>
      </w:r>
      <w:r>
        <w:t xml:space="preserve">— réaction immuno-allergique rare (&lt; 0,1 %) mais grave, se manifestant par dyspnée, fièvre, toux, infiltrats pulmonaires éosinophiliques ; arrêt immédiat et corticothérapie. (4) Réactions au site de perfusion (phlébite). (5) Troubles digestifs (nausées, diarrhée). (6) Élévation transitoire des transaminases. (7) Thrombopénie, éosinophilie. (8) Réactions d’hypersensibilité (éruption, prurit, rarement anaphylaxie). (9) Neuropathie périphérique (rare, traitements prolongés).</w:t>
      </w:r>
    </w:p>
    <w:p>
      <w:pPr>
        <w:pStyle w:val="BodyText"/>
      </w:pPr>
      <w:r>
        <w:rPr>
          <w:b/>
          <w:bCs/>
        </w:rPr>
        <w:t xml:space="preserve">Prévention et Gestion des Effets Indésirables :</w:t>
      </w:r>
      <w:r>
        <w:t xml:space="preserve"> </w:t>
      </w:r>
      <w:r>
        <w:t xml:space="preserve">- Mesures Préventives : (a)</w:t>
      </w:r>
      <w:r>
        <w:t xml:space="preserve"> </w:t>
      </w:r>
      <w:r>
        <w:rPr>
          <w:b/>
          <w:bCs/>
        </w:rPr>
        <w:t xml:space="preserve">Dosage des CPK</w:t>
      </w:r>
      <w:r>
        <w:t xml:space="preserve"> </w:t>
      </w:r>
      <w:r>
        <w:t xml:space="preserve">à J0, J7 puis hebdomadaire ; arrêt si CPK &gt; 5× LSN (≥ 1000 UI/L) avec symptômes musculaires, ou &gt; 10× LSN sans symptômes. (b)</w:t>
      </w:r>
      <w:r>
        <w:t xml:space="preserve"> </w:t>
      </w:r>
      <w:r>
        <w:rPr>
          <w:b/>
          <w:bCs/>
        </w:rPr>
        <w:t xml:space="preserve">Arrêt des statines</w:t>
      </w:r>
      <w:r>
        <w:t xml:space="preserve"> </w:t>
      </w:r>
      <w:r>
        <w:t xml:space="preserve">pendant le traitement (prévention de la rhabdomyolyse). (c) Surveillance de la créatinine et des transaminases. (d) Surveillance clinique de tout symptôme respiratoire (toux, dyspnée, fièvre) suspect d’eosinophilic pneumonia — arrêt immédiat et avis pneumologique. (e) Hydratation IV suffisante pour prévenir la myoglobinurie en cas d’élévation des CPK. (f) Chez l’IR (ClCr &lt; 30) : augmenter l’intervalle à 48 h.</w:t>
      </w:r>
      <w:r>
        <w:t xml:space="preserve"> </w:t>
      </w:r>
      <w:r>
        <w:t xml:space="preserve">- Conduite à Tenir : (a) En cas d’élévation modérée des CPK (3–5× LSN) sans symptômes : surveillance rapprochée, poursuivre le traitement. (b) En cas d’élévation majeure ou de symptômes musculaires (douleurs, faiblesse) : arrêt immédiat, hydratation, surveillance de la fonction rénale et de la myoglobinurie. (c) En cas de suspicion d’eosinophilic pneumonia : arrêt immédiat, scanner thoracique, avis pneumologique, corticothérapie 0,5–1 mg/kg/jour.</w:t>
      </w:r>
    </w:p>
    <w:p>
      <w:pPr>
        <w:pStyle w:val="BodyText"/>
      </w:pPr>
      <w:r>
        <w:rPr>
          <w:b/>
          <w:bCs/>
        </w:rPr>
        <w:t xml:space="preserve">Interactions Importantes :</w:t>
      </w:r>
      <w:r>
        <w:t xml:space="preserve"> </w:t>
      </w:r>
      <w:r>
        <w:t xml:space="preserve">-</w:t>
      </w:r>
      <w:r>
        <w:t xml:space="preserve"> </w:t>
      </w:r>
      <w:r>
        <w:rPr>
          <w:b/>
          <w:bCs/>
        </w:rPr>
        <w:t xml:space="preserve">Statines (atorvastatine, simvastatine, rosuvastatine)</w:t>
      </w:r>
      <w:r>
        <w:t xml:space="preserve"> </w:t>
      </w:r>
      <w:r>
        <w:t xml:space="preserve">: majoration du risque de myopathie et de rhabdomyolyse — arrêter les statines pendant le traitement par daptomycine (recommandation HAS, ANSM).</w:t>
      </w:r>
      <w:r>
        <w:t xml:space="preserve"> </w:t>
      </w:r>
      <w:r>
        <w:t xml:space="preserve">-</w:t>
      </w:r>
      <w:r>
        <w:t xml:space="preserve"> </w:t>
      </w:r>
      <w:r>
        <w:rPr>
          <w:b/>
          <w:bCs/>
        </w:rPr>
        <w:t xml:space="preserve">Warfarine, antivitamines K</w:t>
      </w:r>
      <w:r>
        <w:t xml:space="preserve"> </w:t>
      </w:r>
      <w:r>
        <w:t xml:space="preserve">: la daptomycine peut augmenter l’INR (mécanisme mal élucidé) — surveiller l’INR.</w:t>
      </w:r>
      <w:r>
        <w:t xml:space="preserve"> </w:t>
      </w:r>
      <w:r>
        <w:t xml:space="preserve">- Aminosides (synergie possible sur les entérocoques) — pas d’interaction toxique notable.</w:t>
      </w:r>
      <w:r>
        <w:t xml:space="preserve"> </w:t>
      </w:r>
      <w:r>
        <w:t xml:space="preserve">- β-lactamines (synergie possible sur les entérocoques résistants) — pas d’interaction toxique notable.</w:t>
      </w:r>
      <w:r>
        <w:t xml:space="preserve"> </w:t>
      </w:r>
      <w:r>
        <w:t xml:space="preserve">- Inhibiteurs de l’HMG-CoA réductase : voir statines.</w:t>
      </w:r>
      <w:r>
        <w:t xml:space="preserve"> </w:t>
      </w:r>
      <w:r>
        <w:t xml:space="preserve">- Aucune interaction avec le CYP450 (la daptomycine n’est pas métabolisée par le CYP).</w:t>
      </w:r>
    </w:p>
    <w:p>
      <w:pPr>
        <w:pStyle w:val="BodyText"/>
      </w:pPr>
      <w:r>
        <w:rPr>
          <w:b/>
          <w:bCs/>
        </w:rPr>
        <w:t xml:space="preserve">Grossesse et Allaitement :</w:t>
      </w:r>
      <w:r>
        <w:t xml:space="preserve"> </w:t>
      </w:r>
      <w:r>
        <w:t xml:space="preserve">- Grossesse : Le CRAT classe la daptomycine en</w:t>
      </w:r>
      <w:r>
        <w:t xml:space="preserve"> </w:t>
      </w:r>
      <w:r>
        <w:t xml:space="preserve">“</w:t>
      </w:r>
      <w:r>
        <w:rPr>
          <w:b/>
          <w:bCs/>
        </w:rPr>
        <w:t xml:space="preserve">envisageable</w:t>
      </w:r>
      <w:r>
        <w:t xml:space="preserve">”</w:t>
      </w:r>
      <w:r>
        <w:t xml:space="preserve"> </w:t>
      </w:r>
      <w:r>
        <w:t xml:space="preserve">à toutes les phases de la grossesse. Les études animales n’ont pas montré d’effet tératogène mais des effets squelettiques mineurs à doses élevées. Les données humaines sont limitées (séries de cas) et ne montrent pas d’effet malformatif. À réserver aux infections sévères à Gram positif multirésistant en l’absence d’alternative sûre.</w:t>
      </w:r>
      <w:r>
        <w:t xml:space="preserve"> </w:t>
      </w:r>
      <w:r>
        <w:t xml:space="preserve">- Allaitement : Le CRAT considère la daptomycine</w:t>
      </w:r>
      <w:r>
        <w:t xml:space="preserve"> </w:t>
      </w:r>
      <w:r>
        <w:t xml:space="preserve">“</w:t>
      </w:r>
      <w:r>
        <w:rPr>
          <w:b/>
          <w:bCs/>
        </w:rPr>
        <w:t xml:space="preserve">déconseillée mais compatible</w:t>
      </w:r>
      <w:r>
        <w:t xml:space="preserve">”</w:t>
      </w:r>
      <w:r>
        <w:t xml:space="preserve"> </w:t>
      </w:r>
      <w:r>
        <w:t xml:space="preserve">— passage dans le lait non documenté mais probable (PM = 1 620 Da, liaison protéique 92 %, demi-vie 8–9 h). Par prudence, suspension de l’allaitement pendant le traitement et 48 h après la dernière dose (environ 5 demi-vies).</w:t>
      </w:r>
      <w:r>
        <w:t xml:space="preserve"> </w:t>
      </w:r>
      <w:r>
        <w:t xml:space="preserve">- Précisions : La daptomycine traverse le placenta (données animales).</w:t>
      </w:r>
    </w:p>
    <w:p>
      <w:pPr>
        <w:pStyle w:val="BodyText"/>
      </w:pPr>
      <w:r>
        <w:rPr>
          <w:b/>
          <w:bCs/>
        </w:rPr>
        <w:t xml:space="preserve">Posologie et Mode d’administration (Standard) :</w:t>
      </w:r>
      <w:r>
        <w:t xml:space="preserve"> </w:t>
      </w:r>
      <w:r>
        <w:t xml:space="preserve">- Adulte : (1)</w:t>
      </w:r>
      <w:r>
        <w:t xml:space="preserve"> </w:t>
      </w:r>
      <w:r>
        <w:rPr>
          <w:b/>
          <w:bCs/>
        </w:rPr>
        <w:t xml:space="preserve">cSTI (infections compliquées peau/tissus mous)</w:t>
      </w:r>
      <w:r>
        <w:t xml:space="preserve"> </w:t>
      </w:r>
      <w:r>
        <w:t xml:space="preserve">: 4 mg/kg une fois par jour IV en perfusion 30 min (ou 2 min en IV lente) ; (2)</w:t>
      </w:r>
      <w:r>
        <w:t xml:space="preserve"> </w:t>
      </w:r>
      <w:r>
        <w:rPr>
          <w:b/>
          <w:bCs/>
        </w:rPr>
        <w:t xml:space="preserve">Bactériémie à SARM, endocardite droite</w:t>
      </w:r>
      <w:r>
        <w:t xml:space="preserve"> </w:t>
      </w:r>
      <w:r>
        <w:t xml:space="preserve">: 6 mg/kg une fois par jour IV en perfusion 30 min ; (3)</w:t>
      </w:r>
      <w:r>
        <w:t xml:space="preserve"> </w:t>
      </w:r>
      <w:r>
        <w:rPr>
          <w:b/>
          <w:bCs/>
        </w:rPr>
        <w:t xml:space="preserve">Endocardite gauche, infections osseuses</w:t>
      </w:r>
      <w:r>
        <w:t xml:space="preserve"> </w:t>
      </w:r>
      <w:r>
        <w:t xml:space="preserve">: 6–10 mg/kg une fois par jour (jusqu’à 12 mg/kg en pratique clinique pour les infections sévères, hors AMM mais recommandé par les sociétés savantes). (4) Adaptation à l’IR : ClCr ≥ 30 : dose standard ; ClCr &lt; 30 : même dose mais toutes les 48 h (au lieu de 24 h). Pour la dialyse : dose après chaque séance de dialyse.</w:t>
      </w:r>
      <w:r>
        <w:t xml:space="preserve"> </w:t>
      </w:r>
      <w:r>
        <w:t xml:space="preserve">- Enfant : 7–9 mg/kg une fois par jour (12–17 ans : 5–7 mg/kg ; 7–11 ans : 7–9 mg/kg ; 1–6 ans : 9–12 mg/kg).</w:t>
      </w:r>
      <w:r>
        <w:t xml:space="preserve"> </w:t>
      </w:r>
      <w:r>
        <w:t xml:space="preserve">- Durée : cSTI 7–14 j ; bactériémie 14–28 j ; endocardite ≥ 28 j ; ostéomyélite 6 semaines.</w:t>
      </w:r>
      <w:r>
        <w:t xml:space="preserve"> </w:t>
      </w:r>
      <w:r>
        <w:t xml:space="preserve">- Moment de prise : Perfusions IV à débit constant 30 min, à heure fixe quotidienne. Possibilité d’IV lente 2 min si voie centrale établie.</w:t>
      </w:r>
    </w:p>
    <w:p>
      <w:pPr>
        <w:pStyle w:val="BodyText"/>
      </w:pPr>
      <w:r>
        <w:rPr>
          <w:b/>
          <w:bCs/>
        </w:rPr>
        <w:t xml:space="preserve">Arbitrage et Bénéfices des Formes Galéniques :</w:t>
      </w:r>
      <w:r>
        <w:t xml:space="preserve"> </w:t>
      </w:r>
      <w:r>
        <w:t xml:space="preserve">La daptomycine est disponible en Algérie uniquement sous la spécialité DAPTOCIN (GENSENTA, Turquie), en deux dosages (350 mg et 500 mg). Le choix du dosage dépend du poids du patient et de la dose cible (mg/kg) : pour un adulte de 70 kg nécessitant 6 mg/kg = 420 mg, on peut utiliser 1 flacon de 500 mg (sous-dosage) ou 1 flacon de 350 mg + reconstituer partiellement (surdosage partiel), ou combiner 350 + 350 (700 mg, surdosage). La pratique optimale consiste à calculer la dose exacte et à reconstituer le flacon le plus approprié. Le grand avantage galénique de la daptomycine est l’administration</w:t>
      </w:r>
      <w:r>
        <w:t xml:space="preserve"> </w:t>
      </w:r>
      <w:r>
        <w:rPr>
          <w:b/>
          <w:bCs/>
        </w:rPr>
        <w:t xml:space="preserve">une fois par jour</w:t>
      </w:r>
      <w:r>
        <w:t xml:space="preserve"> </w:t>
      </w:r>
      <w:r>
        <w:t xml:space="preserve">(vs 2 fois/jour pour la vancomycine), ce qui facilite l’usage ambulatoire et la prise en charge à domicile. La forme IV ne permet pas la voie IM (trop douloureuse et nécrosante). En cas d’IR, l’espacement à 48 h permet de maintenir l’efficacité tout en évitant la toxicité.</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Ce médicament est un antibiotique très puissant de réserve, utilisé à l’hôpital ou en relais à domicile pour des infections graves à bactéries résistantes. Il sera administré une fois par jour par perfusion veineuse. Vous devez signaler immédiatement toute douleur musculaire, faiblesse, urines foncées (signe de rhabdomyolyse), ou tout symptôme respiratoire (toux, essoufflement, fièvre — suspicion d’eosinophilic pneumonia).</w:t>
      </w:r>
      <w:r>
        <w:t xml:space="preserve">”</w:t>
      </w:r>
      <w:r>
        <w:t xml:space="preserve"> </w:t>
      </w:r>
      <w:r>
        <w:t xml:space="preserve">- Mode d’utilisation pratique : (1) Reconstitution avec NaCl 0,9 % exclusivement (la daptomycine précipite avec le G5 %) : 350 mg dans 7 mL → 50 mg/mL ; 500 mg dans 10 mL → 50 mg/mL. (2) Pour perfusion IV : diluer la dose reconstituée dans 50 mL NaCl 0,9 %, perfuser en 30 min. (3) Pour IV lente : injecter directement en 2 min via voie centrale. (4) Stabilité après reconstitution : 12 h à T° ambiante, 48 h à 2–8 °C. (5) Ne pas congeler.</w:t>
      </w:r>
    </w:p>
    <w:p>
      <w:pPr>
        <w:pStyle w:val="BodyText"/>
      </w:pPr>
      <w:r>
        <w:rPr>
          <w:b/>
          <w:bCs/>
        </w:rPr>
        <w:t xml:space="preserve">Notes, Règles d’Or &amp; Pièges au Comptoir :</w:t>
      </w:r>
      <w:r>
        <w:t xml:space="preserve"> </w:t>
      </w:r>
      <w:r>
        <w:t xml:space="preserve">- Piège classique n°1 :</w:t>
      </w:r>
      <w:r>
        <w:t xml:space="preserve"> </w:t>
      </w:r>
      <w:r>
        <w:rPr>
          <w:b/>
          <w:bCs/>
        </w:rPr>
        <w:t xml:space="preserve">La daptomycine est inactive dans la pneumonie</w:t>
      </w:r>
      <w:r>
        <w:t xml:space="preserve"> </w:t>
      </w:r>
      <w:r>
        <w:t xml:space="preserve">— elle se lie au surfactant pulmonaire (qui contient des phospholipides analogues aux PG bactériens) et est inactivée. Une prescription de daptomycine pour pneumonie est une erreur grave — orienter vers la vancomycine, le linézolide ou la ceftaroline.</w:t>
      </w:r>
      <w:r>
        <w:t xml:space="preserve"> </w:t>
      </w:r>
      <w:r>
        <w:t xml:space="preserve">- Piège classique n°2 :</w:t>
      </w:r>
      <w:r>
        <w:t xml:space="preserve"> </w:t>
      </w:r>
      <w:r>
        <w:rPr>
          <w:b/>
          <w:bCs/>
        </w:rPr>
        <w:t xml:space="preserve">Myopathie et rhabdomyolyse</w:t>
      </w:r>
      <w:r>
        <w:t xml:space="preserve"> </w:t>
      </w:r>
      <w:r>
        <w:t xml:space="preserve">— surveillance hebdomadaire des CPK obligatoire ; arrêt des statines pendant le traitement ; patient sous statine = haut risque.</w:t>
      </w:r>
      <w:r>
        <w:t xml:space="preserve"> </w:t>
      </w:r>
      <w:r>
        <w:t xml:space="preserve">- Piège classique n°3 :</w:t>
      </w:r>
      <w:r>
        <w:t xml:space="preserve"> </w:t>
      </w:r>
      <w:r>
        <w:rPr>
          <w:b/>
          <w:bCs/>
        </w:rPr>
        <w:t xml:space="preserve">Incompatibilité avec le G5 %</w:t>
      </w:r>
      <w:r>
        <w:t xml:space="preserve"> </w:t>
      </w:r>
      <w:r>
        <w:t xml:space="preserve">— la daptomycine précipite dans le glucose. Toujours diluer dans NaCl 0,9 % ou Ringer lactate.</w:t>
      </w:r>
      <w:r>
        <w:t xml:space="preserve"> </w:t>
      </w:r>
      <w:r>
        <w:t xml:space="preserve">- Piège classique n°4 :</w:t>
      </w:r>
      <w:r>
        <w:t xml:space="preserve"> </w:t>
      </w:r>
      <w:r>
        <w:rPr>
          <w:b/>
          <w:bCs/>
        </w:rPr>
        <w:t xml:space="preserve">Eosinophilic pneumonia</w:t>
      </w:r>
      <w:r>
        <w:t xml:space="preserve"> </w:t>
      </w:r>
      <w:r>
        <w:t xml:space="preserve">— réaction rare (&lt; 0,1 %) mais grave, peut survenir après plusieurs semaines de traitement ; symptomatologie : toux, dyspnée, fièvre, infiltrats pulmonaires. Arrêt immédiat et avis pneumologique.</w:t>
      </w:r>
      <w:r>
        <w:t xml:space="preserve"> </w:t>
      </w:r>
      <w:r>
        <w:t xml:space="preserve">- Règle de prise : perfusion IV 30 min une fois par jour ; surveillance CPK hebdomadaire ; arrêt des statines ; surveillance créatinine.</w:t>
      </w:r>
      <w:r>
        <w:t xml:space="preserve"> </w:t>
      </w:r>
      <w:r>
        <w:t xml:space="preserve">- Préparation et Conservation : poudre lyophilisée stable à T° &lt; 25 °C ; solution reconstituée : 12 h à T° ambiante, 48 h à 2–8 °C. Ne pas congeler. Ne pas mélanger avec d’autres médicaments (incompatibilités physiques).</w:t>
      </w:r>
      <w:r>
        <w:t xml:space="preserve"> </w:t>
      </w:r>
      <w:r>
        <w:t xml:space="preserve">- Piège du surdosage / Substitution : (a) Surdosage : élévation majeure des CPK, rhabdomyolyse — arrêt, hydratation IV, surveillance rein et myoglobinurie, alkalinisation des urines. (b) Substitution : pas d’alternative bioéquivalente (un seul fabricant en Algérie) ; en cas d’indisponibilité, orienter vers la vancomycine (en gardant à l’esprit le profil d’EI différent) ou le linézolide (selon l’indication et la sensibilité). (c) Ne pas confondre les dosages 350 et 500 mg — toujours calculer la dose exacte en mg/kg.</w:t>
      </w:r>
    </w:p>
    <w:p>
      <w:r>
        <w:pict>
          <v:rect style="width:0;height:1.5pt" o:hralign="center" o:hrstd="t" o:hr="t"/>
        </w:pict>
      </w:r>
    </w:p>
    <w:bookmarkEnd w:id="208"/>
    <w:bookmarkEnd w:id="209"/>
    <w:bookmarkStart w:id="213" w:name="sous-classe-amphénicolés"/>
    <w:p>
      <w:pPr>
        <w:pStyle w:val="Heading2"/>
      </w:pPr>
      <w:r>
        <w:t xml:space="preserve">7.5 Sous-classe : Amphénicolés</w:t>
      </w:r>
    </w:p>
    <w:bookmarkStart w:id="210" w:name="introduction-à-la-sous-classe-8"/>
    <w:p>
      <w:pPr>
        <w:pStyle w:val="Heading3"/>
      </w:pPr>
      <w:r>
        <w:t xml:space="preserve">Introduction à la sous-classe</w:t>
      </w:r>
    </w:p>
    <w:p>
      <w:pPr>
        <w:pStyle w:val="FirstParagraph"/>
      </w:pPr>
      <w:r>
        <w:t xml:space="preserve">Les amphénicolés sont des antibiotiques de structure dérivée du</w:t>
      </w:r>
      <w:r>
        <w:t xml:space="preserve"> </w:t>
      </w:r>
      <w:r>
        <w:rPr>
          <w:b/>
          <w:bCs/>
        </w:rPr>
        <w:t xml:space="preserve">para-nitrophényl-propanediol</w:t>
      </w:r>
      <w:r>
        <w:t xml:space="preserve">, isolés en 1947 à partir de</w:t>
      </w:r>
      <w:r>
        <w:t xml:space="preserve"> </w:t>
      </w:r>
      <w:r>
        <w:rPr>
          <w:i/>
          <w:iCs/>
        </w:rPr>
        <w:t xml:space="preserve">Streptomyces venezuelae</w:t>
      </w:r>
      <w:r>
        <w:t xml:space="preserve"> </w:t>
      </w:r>
      <w:r>
        <w:t xml:space="preserve">(chloramphénicol) puis synthétisés. Le chef de file historique est le</w:t>
      </w:r>
      <w:r>
        <w:t xml:space="preserve"> </w:t>
      </w:r>
      <w:r>
        <w:rPr>
          <w:b/>
          <w:bCs/>
        </w:rPr>
        <w:t xml:space="preserve">chloramphénicol</w:t>
      </w:r>
      <w:r>
        <w:t xml:space="preserve">, premier antibiotique large spectre produit industriellement. Le</w:t>
      </w:r>
      <w:r>
        <w:t xml:space="preserve"> </w:t>
      </w:r>
      <w:r>
        <w:rPr>
          <w:b/>
          <w:bCs/>
        </w:rPr>
        <w:t xml:space="preserve">thiamphénicol</w:t>
      </w:r>
      <w:r>
        <w:t xml:space="preserve">, dérivé semi-synthétique (substitution du groupement nitro par un groupement méthylsulfonyl), a été développé pour réduire la toxicité hématologique du chloramphénicol (aplasie médullaire). Le</w:t>
      </w:r>
      <w:r>
        <w:t xml:space="preserve"> </w:t>
      </w:r>
      <w:r>
        <w:rPr>
          <w:b/>
          <w:bCs/>
        </w:rPr>
        <w:t xml:space="preserve">florfenicol</w:t>
      </w:r>
      <w:r>
        <w:t xml:space="preserve"> </w:t>
      </w:r>
      <w:r>
        <w:t xml:space="preserve">est utilisé en médecine vétérinaire uniquement.</w:t>
      </w:r>
    </w:p>
    <w:p>
      <w:pPr>
        <w:pStyle w:val="BodyText"/>
      </w:pPr>
      <w:r>
        <w:t xml:space="preserve">Le mécanisme d’action commun est l’inhibition de la</w:t>
      </w:r>
      <w:r>
        <w:t xml:space="preserve"> </w:t>
      </w:r>
      <w:r>
        <w:rPr>
          <w:b/>
          <w:bCs/>
        </w:rPr>
        <w:t xml:space="preserve">synthèse protéique bactérienne</w:t>
      </w:r>
      <w:r>
        <w:t xml:space="preserve"> </w:t>
      </w:r>
      <w:r>
        <w:t xml:space="preserve">par fixation à la sous-unité</w:t>
      </w:r>
      <w:r>
        <w:t xml:space="preserve"> </w:t>
      </w:r>
      <w:r>
        <w:rPr>
          <w:b/>
          <w:bCs/>
        </w:rPr>
        <w:t xml:space="preserve">50S</w:t>
      </w:r>
      <w:r>
        <w:t xml:space="preserve"> </w:t>
      </w:r>
      <w:r>
        <w:t xml:space="preserve">du ribosome, au niveau du</w:t>
      </w:r>
      <w:r>
        <w:t xml:space="preserve"> </w:t>
      </w:r>
      <w:r>
        <w:rPr>
          <w:b/>
          <w:bCs/>
        </w:rPr>
        <w:t xml:space="preserve">centre peptidyl-transférase</w:t>
      </w:r>
      <w:r>
        <w:t xml:space="preserve">, en bloquant la formation de la liaison peptidique entre l’acide aminé entrant (sur l’ARNt) et la chaîne peptidique naissante (sur l’ARNt du site P). Cette cible est voisine de celle des macrolides et des lincosamides, mais distincte (les macrolides bloquent le tunnel de sortie du polypeptide, alors que les amphénicolés bloquent la catalyse peptidique elle-même). Le résultat est un effet</w:t>
      </w:r>
      <w:r>
        <w:t xml:space="preserve"> </w:t>
      </w:r>
      <w:r>
        <w:rPr>
          <w:b/>
          <w:bCs/>
        </w:rPr>
        <w:t xml:space="preserve">bactériostatique</w:t>
      </w:r>
      <w:r>
        <w:t xml:space="preserve"> </w:t>
      </w:r>
      <w:r>
        <w:t xml:space="preserve">à large spectre : Gram positifs, Gram négatifs, anaérobies, intracellulaires (</w:t>
      </w:r>
      <w:r>
        <w:rPr>
          <w:i/>
          <w:iCs/>
        </w:rPr>
        <w:t xml:space="preserve">Rickettsia</w:t>
      </w:r>
      <w:r>
        <w:t xml:space="preserve">,</w:t>
      </w:r>
      <w:r>
        <w:t xml:space="preserve"> </w:t>
      </w:r>
      <w:r>
        <w:rPr>
          <w:i/>
          <w:iCs/>
        </w:rPr>
        <w:t xml:space="preserve">Chlamydia</w:t>
      </w:r>
      <w:r>
        <w:t xml:space="preserve">,</w:t>
      </w:r>
      <w:r>
        <w:t xml:space="preserve"> </w:t>
      </w:r>
      <w:r>
        <w:rPr>
          <w:i/>
          <w:iCs/>
        </w:rPr>
        <w:t xml:space="preserve">Mycoplasma</w:t>
      </w:r>
      <w:r>
        <w:t xml:space="preserve">), spirochètes.</w:t>
      </w:r>
    </w:p>
    <w:p>
      <w:pPr>
        <w:pStyle w:val="BodyText"/>
      </w:pPr>
      <w:r>
        <w:t xml:space="preserve">L’histoire des amphénicolés a été marquée par la</w:t>
      </w:r>
      <w:r>
        <w:t xml:space="preserve"> </w:t>
      </w:r>
      <w:r>
        <w:rPr>
          <w:b/>
          <w:bCs/>
        </w:rPr>
        <w:t xml:space="preserve">découverte de l’aplasie médullaire</w:t>
      </w:r>
      <w:r>
        <w:t xml:space="preserve"> </w:t>
      </w:r>
      <w:r>
        <w:t xml:space="preserve">induite par le chloramphénicol (1952 — cas de</w:t>
      </w:r>
      <w:r>
        <w:t xml:space="preserve"> </w:t>
      </w:r>
      <w:r>
        <w:t xml:space="preserve">“</w:t>
      </w:r>
      <w:r>
        <w:t xml:space="preserve">gray baby syndrome</w:t>
      </w:r>
      <w:r>
        <w:t xml:space="preserve">”</w:t>
      </w:r>
      <w:r>
        <w:t xml:space="preserve"> </w:t>
      </w:r>
      <w:r>
        <w:t xml:space="preserve">chez le nouveau-né, et cas d’aplasies médullaires irréversibles chez l’adulte, incidence 1/25 000 à 1/50 000, mortalité 50 %), qui a conduit à un retrait quasi mondial du chloramphénicol systémique. Aujourd’hui, le chloramphénicol subsiste principalement sous forme</w:t>
      </w:r>
      <w:r>
        <w:t xml:space="preserve"> </w:t>
      </w:r>
      <w:r>
        <w:rPr>
          <w:b/>
          <w:bCs/>
        </w:rPr>
        <w:t xml:space="preserve">ophtalmologique</w:t>
      </w:r>
      <w:r>
        <w:t xml:space="preserve"> </w:t>
      </w:r>
      <w:r>
        <w:t xml:space="preserve">(collyre, pommade) où l’absorption systémique est négligeable. Le thiamphénicol, moins toxique, reste utilisé en injection et per os dans certains pays (notamment en Asie, en Europe de l’Est et en Afrique), mais est en voie de disparition en Algérie (NON_RENOUVELABLE).</w:t>
      </w:r>
    </w:p>
    <w:p>
      <w:r>
        <w:pict>
          <v:rect style="width:0;height:1.5pt" o:hralign="center" o:hrstd="t" o:hr="t"/>
        </w:pict>
      </w:r>
    </w:p>
    <w:bookmarkEnd w:id="210"/>
    <w:bookmarkStart w:id="211" w:name="dci-chloramphénicol-seule"/>
    <w:p>
      <w:pPr>
        <w:pStyle w:val="Heading3"/>
      </w:pPr>
      <w:r>
        <w:t xml:space="preserve">7.5.1 DCI : Chloramphénicol (Seule)</w:t>
      </w:r>
    </w:p>
    <w:p>
      <w:pPr>
        <w:pStyle w:val="FirstParagraph"/>
      </w:pPr>
      <w:r>
        <w:rPr>
          <w:b/>
          <w:bCs/>
        </w:rPr>
        <w:t xml:space="preserve">Liste des Catégories :</w:t>
      </w:r>
      <w:r>
        <w:t xml:space="preserve"> </w:t>
      </w:r>
      <w:r>
        <w:t xml:space="preserve">Amphénicolés ; Antibiotique topique ophtalmologique ; LISTE I.</w:t>
      </w:r>
    </w:p>
    <w:p>
      <w:pPr>
        <w:pStyle w:val="BodyText"/>
      </w:pPr>
      <w:r>
        <w:t xml:space="preserve">Le chloramphénicol, isolé en 1947, a été le premier antibiotique large spectre produit industriellement. Très efficace sur de nombreuses bactéries (Gram positifs, Gram négatifs, anaérobies, intracellulaires), il a été massivement utilisé dans les années 1950–1960 avant d’être quasi abandonné en raison de la découverte de son hépatotoxicité et surtout de son hématotoxicité (aplasie médullaire, syndrome gris bébé). Aujourd’hui, en Algérie comme dans la plupart des pays, le chloramphénicol n’est plus disponible qu’en</w:t>
      </w:r>
      <w:r>
        <w:t xml:space="preserve"> </w:t>
      </w:r>
      <w:r>
        <w:rPr>
          <w:b/>
          <w:bCs/>
        </w:rPr>
        <w:t xml:space="preserve">topique ophtalmologique</w:t>
      </w:r>
      <w:r>
        <w:t xml:space="preserve"> </w:t>
      </w:r>
      <w:r>
        <w:t xml:space="preserve">(collyre 0,4 %, pommade ophtalmique 1 %), où l’absorption systémique est négligeable et le rapport bénéfice/risque favorable pour les conjonctivites bactériennes superficielles. La forme systémique (gélule, IV) a été retirée du marché algérien. La spécialité historique CEBENICOL (CHAUVIN) reste disponible en collyre 0,4 % (statut ACTIF).</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CEBENICOL</w:t>
      </w:r>
      <w:r>
        <w:t xml:space="preserve"> </w:t>
      </w:r>
      <w:r>
        <w:t xml:space="preserve">(CHAUVIN S.A.)</w:t>
      </w:r>
      <w:r>
        <w:t xml:space="preserve"> </w:t>
      </w:r>
      <w:r>
        <w:t xml:space="preserve">- Formes et Dosages : Collyre en solution, 0,4 % (soit 4 mg/mL)</w:t>
      </w:r>
      <w:r>
        <w:t xml:space="preserve"> </w:t>
      </w:r>
      <w:r>
        <w:t xml:space="preserve">- Conditionnement : Flacon de 5 mL</w:t>
      </w:r>
      <w:r>
        <w:t xml:space="preserve"> </w:t>
      </w:r>
      <w:r>
        <w:t xml:space="preserve">- Statut : Actif</w:t>
      </w:r>
      <w:r>
        <w:t xml:space="preserve"> </w:t>
      </w:r>
      <w:r>
        <w:t xml:space="preserve">-</w:t>
      </w:r>
      <w:r>
        <w:t xml:space="preserve"> </w:t>
      </w:r>
      <w:r>
        <w:rPr>
          <w:b/>
          <w:bCs/>
        </w:rPr>
        <w:t xml:space="preserve">CROPHENICOL</w:t>
      </w:r>
      <w:r>
        <w:t xml:space="preserve"> </w:t>
      </w:r>
      <w:r>
        <w:t xml:space="preserve">(CROVIS PHILCOM)</w:t>
      </w:r>
      <w:r>
        <w:t xml:space="preserve"> </w:t>
      </w:r>
      <w:r>
        <w:t xml:space="preserve">- Formes et Dosages : Collyre, 0,4 % (soit 4 mg/mL)</w:t>
      </w:r>
      <w:r>
        <w:t xml:space="preserve"> </w:t>
      </w:r>
      <w:r>
        <w:t xml:space="preserve">- Conditionnement : Flacon de 5 mL</w:t>
      </w:r>
      <w:r>
        <w:t xml:space="preserve"> </w:t>
      </w:r>
      <w:r>
        <w:t xml:space="preserve">- Statut : Non Renouvelable</w:t>
      </w:r>
      <w:r>
        <w:t xml:space="preserve"> </w:t>
      </w:r>
      <w:r>
        <w:t xml:space="preserve">-</w:t>
      </w:r>
      <w:r>
        <w:t xml:space="preserve"> </w:t>
      </w:r>
      <w:r>
        <w:rPr>
          <w:b/>
          <w:bCs/>
        </w:rPr>
        <w:t xml:space="preserve">CROPHENICOL</w:t>
      </w:r>
      <w:r>
        <w:t xml:space="preserve"> </w:t>
      </w:r>
      <w:r>
        <w:t xml:space="preserve">(FARMACEUTICI CROVIS PHILCOM SRL)</w:t>
      </w:r>
      <w:r>
        <w:t xml:space="preserve"> </w:t>
      </w:r>
      <w:r>
        <w:t xml:space="preserve">- Formes et Dosages : Poudre ophtalmique, 1 % (soit 10 mg/g)</w:t>
      </w:r>
      <w:r>
        <w:t xml:space="preserve"> </w:t>
      </w:r>
      <w:r>
        <w:t xml:space="preserve">- Conditionnement : Tube de 5 g</w:t>
      </w:r>
      <w:r>
        <w:t xml:space="preserve"> </w:t>
      </w:r>
      <w:r>
        <w:t xml:space="preserve">- Statut : Non Renouvelable</w:t>
      </w:r>
      <w:r>
        <w:t xml:space="preserve"> </w:t>
      </w:r>
      <w:r>
        <w:t xml:space="preserve">-</w:t>
      </w:r>
      <w:r>
        <w:t xml:space="preserve"> </w:t>
      </w:r>
      <w:r>
        <w:rPr>
          <w:b/>
          <w:bCs/>
        </w:rPr>
        <w:t xml:space="preserve">CROPHENICOL</w:t>
      </w:r>
      <w:r>
        <w:t xml:space="preserve"> </w:t>
      </w:r>
      <w:r>
        <w:t xml:space="preserve">(CROVIS PHILCOM)</w:t>
      </w:r>
      <w:r>
        <w:t xml:space="preserve"> </w:t>
      </w:r>
      <w:r>
        <w:t xml:space="preserve">- Formes et Dosages : Suspension buvable, 125 mg/5 mL</w:t>
      </w:r>
      <w:r>
        <w:t xml:space="preserve"> </w:t>
      </w:r>
      <w:r>
        <w:t xml:space="preserve">- Conditionnement : Flacon de 60 mL</w:t>
      </w:r>
      <w:r>
        <w:t xml:space="preserve"> </w:t>
      </w:r>
      <w:r>
        <w:t xml:space="preserve">- Statut : Retiré (R)</w:t>
      </w:r>
      <w:r>
        <w:t xml:space="preserve"> </w:t>
      </w:r>
      <w:r>
        <w:t xml:space="preserve">-</w:t>
      </w:r>
      <w:r>
        <w:t xml:space="preserve"> </w:t>
      </w:r>
      <w:r>
        <w:rPr>
          <w:b/>
          <w:bCs/>
        </w:rPr>
        <w:t xml:space="preserve">SIFICETINA</w:t>
      </w:r>
      <w:r>
        <w:t xml:space="preserve"> </w:t>
      </w:r>
      <w:r>
        <w:t xml:space="preserve">(SIFI)</w:t>
      </w:r>
      <w:r>
        <w:t xml:space="preserve"> </w:t>
      </w:r>
      <w:r>
        <w:t xml:space="preserve">- Formes et Dosages : Collyre, 0,4 % (4 mg/mL)</w:t>
      </w:r>
      <w:r>
        <w:t xml:space="preserve"> </w:t>
      </w:r>
      <w:r>
        <w:t xml:space="preserve">- Conditionnement : Flacon de 5 mL</w:t>
      </w:r>
      <w:r>
        <w:t xml:space="preserve"> </w:t>
      </w:r>
      <w:r>
        <w:t xml:space="preserve">- Statut : Retiré (R)</w:t>
      </w:r>
      <w:r>
        <w:t xml:space="preserve"> </w:t>
      </w:r>
      <w:r>
        <w:t xml:space="preserve">-</w:t>
      </w:r>
      <w:r>
        <w:t xml:space="preserve"> </w:t>
      </w:r>
      <w:r>
        <w:rPr>
          <w:b/>
          <w:bCs/>
        </w:rPr>
        <w:t xml:space="preserve">CEBENICOL</w:t>
      </w:r>
      <w:r>
        <w:t xml:space="preserve"> </w:t>
      </w:r>
      <w:r>
        <w:t xml:space="preserve">(CHAUVIN)</w:t>
      </w:r>
      <w:r>
        <w:t xml:space="preserve"> </w:t>
      </w:r>
      <w:r>
        <w:t xml:space="preserve">- Formes et Dosages : Poudre ophtalmique, 1 % (10 mg/g)</w:t>
      </w:r>
      <w:r>
        <w:t xml:space="preserve"> </w:t>
      </w:r>
      <w:r>
        <w:t xml:space="preserve">- Conditionnement : Tube de 5 g</w:t>
      </w:r>
      <w:r>
        <w:t xml:space="preserve"> </w:t>
      </w:r>
      <w:r>
        <w:t xml:space="preserve">- Statut : Retiré (R)</w:t>
      </w:r>
      <w:r>
        <w:t xml:space="preserve"> </w:t>
      </w:r>
      <w:r>
        <w:t xml:space="preserve">-</w:t>
      </w:r>
      <w:r>
        <w:t xml:space="preserve"> </w:t>
      </w:r>
      <w:r>
        <w:rPr>
          <w:b/>
          <w:bCs/>
        </w:rPr>
        <w:t xml:space="preserve">OFTALMOSA CUSI CHLORAMPHENICOL</w:t>
      </w:r>
      <w:r>
        <w:t xml:space="preserve"> </w:t>
      </w:r>
      <w:r>
        <w:t xml:space="preserve">(CUSI)</w:t>
      </w:r>
      <w:r>
        <w:t xml:space="preserve"> </w:t>
      </w:r>
      <w:r>
        <w:t xml:space="preserve">- Formes et Dosages : Poudre ophtalmique, 1 % (10 mg/g)</w:t>
      </w:r>
      <w:r>
        <w:t xml:space="preserve"> </w:t>
      </w:r>
      <w:r>
        <w:t xml:space="preserve">- Conditionnement : Tube de 3 g</w:t>
      </w:r>
      <w:r>
        <w:t xml:space="preserve"> </w:t>
      </w:r>
      <w:r>
        <w:t xml:space="preserve">- Statut : Retiré (R)</w:t>
      </w:r>
      <w:r>
        <w:t xml:space="preserve"> </w:t>
      </w:r>
      <w:r>
        <w:t xml:space="preserve">-</w:t>
      </w:r>
      <w:r>
        <w:t xml:space="preserve"> </w:t>
      </w:r>
      <w:r>
        <w:rPr>
          <w:b/>
          <w:bCs/>
        </w:rPr>
        <w:t xml:space="preserve">CHLORAMPHENICOL</w:t>
      </w:r>
      <w:r>
        <w:t xml:space="preserve"> </w:t>
      </w:r>
      <w:r>
        <w:t xml:space="preserve">(KRKA)</w:t>
      </w:r>
      <w:r>
        <w:t xml:space="preserve"> </w:t>
      </w:r>
      <w:r>
        <w:t xml:space="preserve">- Formes et Dosages : Poudre ophtalmique, 1 % (10 mg/g)</w:t>
      </w:r>
      <w:r>
        <w:t xml:space="preserve"> </w:t>
      </w:r>
      <w:r>
        <w:t xml:space="preserve">- Conditionnement : Tube de 5 g</w:t>
      </w:r>
      <w:r>
        <w:t xml:space="preserve"> </w:t>
      </w:r>
      <w:r>
        <w:t xml:space="preserve">- Statut : Retiré (R)</w:t>
      </w:r>
    </w:p>
    <w:p>
      <w:pPr>
        <w:pStyle w:val="BodyText"/>
      </w:pPr>
      <w:r>
        <w:rPr>
          <w:b/>
          <w:bCs/>
        </w:rPr>
        <w:t xml:space="preserve">Sous-classe et Mécanisme d’action :</w:t>
      </w:r>
      <w:r>
        <w:t xml:space="preserve"> </w:t>
      </w:r>
      <w:r>
        <w:t xml:space="preserve">- Sous-classe : Amphénicolés — dérivé du para-nitrophényl-propanediol, antibiotique bactériostatique large spectre.</w:t>
      </w:r>
      <w:r>
        <w:t xml:space="preserve"> </w:t>
      </w:r>
      <w:r>
        <w:t xml:space="preserve">- Mécanisme d’action : Le chloramphénicol pénètre dans les bactéries par diffusion passive (forme lipophile non ionisée). Il se fixe de manière réversible à la</w:t>
      </w:r>
      <w:r>
        <w:t xml:space="preserve"> </w:t>
      </w:r>
      <w:r>
        <w:rPr>
          <w:b/>
          <w:bCs/>
        </w:rPr>
        <w:t xml:space="preserve">sous-unité 50S</w:t>
      </w:r>
      <w:r>
        <w:t xml:space="preserve"> </w:t>
      </w:r>
      <w:r>
        <w:t xml:space="preserve">du ribosome bactérien, au niveau du centre</w:t>
      </w:r>
      <w:r>
        <w:t xml:space="preserve"> </w:t>
      </w:r>
      <w:r>
        <w:rPr>
          <w:b/>
          <w:bCs/>
        </w:rPr>
        <w:t xml:space="preserve">peptidyl-transférase</w:t>
      </w:r>
      <w:r>
        <w:t xml:space="preserve"> </w:t>
      </w:r>
      <w:r>
        <w:t xml:space="preserve">(domaine V de l’ARN ribosomal 23S), en occupant le site accepteur A. Cette liaison bloque le transfert de la chaîne peptidique naissante (sur l’ARNt du site P) vers l’acide aminé entrant (sur l’ARNt du site A), empêchant la formation de la</w:t>
      </w:r>
      <w:r>
        <w:t xml:space="preserve"> </w:t>
      </w:r>
      <w:r>
        <w:rPr>
          <w:b/>
          <w:bCs/>
        </w:rPr>
        <w:t xml:space="preserve">liaison peptidique</w:t>
      </w:r>
      <w:r>
        <w:t xml:space="preserve">. La traduction protéique est arrêtée. Effet</w:t>
      </w:r>
      <w:r>
        <w:t xml:space="preserve"> </w:t>
      </w:r>
      <w:r>
        <w:rPr>
          <w:b/>
          <w:bCs/>
        </w:rPr>
        <w:t xml:space="preserve">bactériostatique</w:t>
      </w:r>
      <w:r>
        <w:t xml:space="preserve"> </w:t>
      </w:r>
      <w:r>
        <w:t xml:space="preserve">à large spectre. La cible 50S est voisine mais distincte de celle des macrolides (qui bloquent le tunnel de sortie) et des lincosamides (qui bloquent la formation de la liaison peptidique au site A, mais avec un site de liaison distinct). Résistance par : (i) acétylation enzymatique par les chloramphénicol-acétyltransférases (CAT) — principal mécanisme ; (ii) mutation de la protéine L4 ribosomale ; (iii) efflux. Spectre : Gram positifs (staphylocoques, streptocoques, entérocoques), Gram négatifs (</w:t>
      </w:r>
      <w:r>
        <w:rPr>
          <w:i/>
          <w:iCs/>
        </w:rPr>
        <w:t xml:space="preserve">H. influenzae</w:t>
      </w:r>
      <w:r>
        <w:t xml:space="preserve">,</w:t>
      </w:r>
      <w:r>
        <w:t xml:space="preserve"> </w:t>
      </w:r>
      <w:r>
        <w:rPr>
          <w:i/>
          <w:iCs/>
        </w:rPr>
        <w:t xml:space="preserve">Neisseria</w:t>
      </w:r>
      <w:r>
        <w:t xml:space="preserve">,</w:t>
      </w:r>
      <w:r>
        <w:t xml:space="preserve"> </w:t>
      </w:r>
      <w:r>
        <w:rPr>
          <w:i/>
          <w:iCs/>
        </w:rPr>
        <w:t xml:space="preserve">Bordetella</w:t>
      </w:r>
      <w:r>
        <w:t xml:space="preserve">,</w:t>
      </w:r>
      <w:r>
        <w:t xml:space="preserve"> </w:t>
      </w:r>
      <w:r>
        <w:rPr>
          <w:i/>
          <w:iCs/>
        </w:rPr>
        <w:t xml:space="preserve">Brucella</w:t>
      </w:r>
      <w:r>
        <w:t xml:space="preserve">,</w:t>
      </w:r>
      <w:r>
        <w:t xml:space="preserve"> </w:t>
      </w:r>
      <w:r>
        <w:rPr>
          <w:i/>
          <w:iCs/>
        </w:rPr>
        <w:t xml:space="preserve">Yersinia pestis</w:t>
      </w:r>
      <w:r>
        <w:t xml:space="preserve">, entérobactéries), anaérobies (</w:t>
      </w:r>
      <w:r>
        <w:rPr>
          <w:i/>
          <w:iCs/>
        </w:rPr>
        <w:t xml:space="preserve">Bacteroides</w:t>
      </w:r>
      <w:r>
        <w:t xml:space="preserve">,</w:t>
      </w:r>
      <w:r>
        <w:t xml:space="preserve"> </w:t>
      </w:r>
      <w:r>
        <w:rPr>
          <w:i/>
          <w:iCs/>
        </w:rPr>
        <w:t xml:space="preserve">Fusobacterium</w:t>
      </w:r>
      <w:r>
        <w:t xml:space="preserve">,</w:t>
      </w:r>
      <w:r>
        <w:t xml:space="preserve"> </w:t>
      </w:r>
      <w:r>
        <w:rPr>
          <w:i/>
          <w:iCs/>
        </w:rPr>
        <w:t xml:space="preserve">Clostridium</w:t>
      </w:r>
      <w:r>
        <w:t xml:space="preserve">), intracellulaires (</w:t>
      </w:r>
      <w:r>
        <w:rPr>
          <w:i/>
          <w:iCs/>
        </w:rPr>
        <w:t xml:space="preserve">Rickettsia</w:t>
      </w:r>
      <w:r>
        <w:t xml:space="preserve">,</w:t>
      </w:r>
      <w:r>
        <w:t xml:space="preserve"> </w:t>
      </w:r>
      <w:r>
        <w:rPr>
          <w:i/>
          <w:iCs/>
        </w:rPr>
        <w:t xml:space="preserve">Chlamydia</w:t>
      </w:r>
      <w:r>
        <w:t xml:space="preserve">,</w:t>
      </w:r>
      <w:r>
        <w:t xml:space="preserve"> </w:t>
      </w:r>
      <w:r>
        <w:rPr>
          <w:i/>
          <w:iCs/>
        </w:rPr>
        <w:t xml:space="preserve">Mycoplasma</w:t>
      </w:r>
      <w:r>
        <w:t xml:space="preserve">), spirochètes (</w:t>
      </w:r>
      <w:r>
        <w:rPr>
          <w:i/>
          <w:iCs/>
        </w:rPr>
        <w:t xml:space="preserve">Leptospira</w:t>
      </w:r>
      <w:r>
        <w:t xml:space="preserve">,</w:t>
      </w:r>
      <w:r>
        <w:t xml:space="preserve"> </w:t>
      </w:r>
      <w:r>
        <w:rPr>
          <w:i/>
          <w:iCs/>
        </w:rPr>
        <w:t xml:space="preserve">Borrelia</w:t>
      </w:r>
      <w:r>
        <w:t xml:space="preserve">).</w:t>
      </w:r>
    </w:p>
    <w:p>
      <w:pPr>
        <w:pStyle w:val="BodyText"/>
      </w:pPr>
      <w:r>
        <w:rPr>
          <w:b/>
          <w:bCs/>
        </w:rPr>
        <w:t xml:space="preserve">Profil Pharmacologique :</w:t>
      </w:r>
      <w:r>
        <w:t xml:space="preserve"> </w:t>
      </w:r>
      <w:r>
        <w:t xml:space="preserve">- Indications : (1)</w:t>
      </w:r>
      <w:r>
        <w:t xml:space="preserve"> </w:t>
      </w:r>
      <w:r>
        <w:rPr>
          <w:b/>
          <w:bCs/>
        </w:rPr>
        <w:t xml:space="preserve">Conjonctivites bactériennes superficielles</w:t>
      </w:r>
      <w:r>
        <w:t xml:space="preserve"> </w:t>
      </w:r>
      <w:r>
        <w:t xml:space="preserve">à germes sensibles (collyre 0,4 %) —</w:t>
      </w:r>
      <w:r>
        <w:t xml:space="preserve"> </w:t>
      </w:r>
      <w:r>
        <w:rPr>
          <w:i/>
          <w:iCs/>
        </w:rPr>
        <w:t xml:space="preserve">S. aureus</w:t>
      </w:r>
      <w:r>
        <w:t xml:space="preserve">,</w:t>
      </w:r>
      <w:r>
        <w:t xml:space="preserve"> </w:t>
      </w:r>
      <w:r>
        <w:rPr>
          <w:i/>
          <w:iCs/>
        </w:rPr>
        <w:t xml:space="preserve">S. pneumoniae</w:t>
      </w:r>
      <w:r>
        <w:t xml:space="preserve">,</w:t>
      </w:r>
      <w:r>
        <w:t xml:space="preserve"> </w:t>
      </w:r>
      <w:r>
        <w:rPr>
          <w:i/>
          <w:iCs/>
        </w:rPr>
        <w:t xml:space="preserve">H. influenzae</w:t>
      </w:r>
      <w:r>
        <w:t xml:space="preserve">,</w:t>
      </w:r>
      <w:r>
        <w:t xml:space="preserve"> </w:t>
      </w:r>
      <w:r>
        <w:rPr>
          <w:i/>
          <w:iCs/>
        </w:rPr>
        <w:t xml:space="preserve">Moraxella</w:t>
      </w:r>
      <w:r>
        <w:t xml:space="preserve"> </w:t>
      </w:r>
      <w:r>
        <w:t xml:space="preserve">; (2) Blépharites bactériennes (pommade ophtalmique 1 %) ; (3) Historiquement (forme systémique retirée) : fièvre typhoïde, méningite à</w:t>
      </w:r>
      <w:r>
        <w:t xml:space="preserve"> </w:t>
      </w:r>
      <w:r>
        <w:rPr>
          <w:i/>
          <w:iCs/>
        </w:rPr>
        <w:t xml:space="preserve">H. influenzae</w:t>
      </w:r>
      <w:r>
        <w:t xml:space="preserve"> </w:t>
      </w:r>
      <w:r>
        <w:t xml:space="preserve">β-lactamase, rickettsioses, brucellose, peste — désormais remplacé par les fluoroquinolones, céphalosporines de 3e génération, doxycycline.</w:t>
      </w:r>
      <w:r>
        <w:t xml:space="preserve"> </w:t>
      </w:r>
      <w:r>
        <w:t xml:space="preserve">- Contre-indications : (1) Hypersensibilité au chloramphénicol ; (2) Antécédent d’aplasie médullaire ; (3) Porphyrie ; (4) Allaitement (en usage systémique — la forme topique ophtalmologique est compatible) ; (5) Prématurés et nouveau-nés (en usage systémique — syndrome gris bébé) ; (6) En association avec les vaccins vivants atténués (en usage systémique) ; (7) Application oculaire en cas de kératite herpétique, varicelle, mycose oculaire.</w:t>
      </w:r>
      <w:r>
        <w:t xml:space="preserve"> </w:t>
      </w:r>
      <w:r>
        <w:t xml:space="preserve">- Effets Indésirables : (1)</w:t>
      </w:r>
      <w:r>
        <w:t xml:space="preserve"> </w:t>
      </w:r>
      <w:r>
        <w:rPr>
          <w:b/>
          <w:bCs/>
        </w:rPr>
        <w:t xml:space="preserve">Aplasie médullaire</w:t>
      </w:r>
      <w:r>
        <w:t xml:space="preserve"> </w:t>
      </w:r>
      <w:r>
        <w:t xml:space="preserve">(forme systémique) — effet idiosyncrasique, non dose-dépendant, incidence 1/25 000 à 1/50 000, mortalité 50 %, indépendant de la durée ; à vie, tout patient ayant reçu du chloramphénicol systémique reste à risque de survenue tardive d’aplasie. La forme ophtalmologique peut théoriquement exposer à ce risque en cas de résorption systémique notable (rare mais possible) ; (2)</w:t>
      </w:r>
      <w:r>
        <w:t xml:space="preserve"> </w:t>
      </w:r>
      <w:r>
        <w:rPr>
          <w:b/>
          <w:bCs/>
        </w:rPr>
        <w:t xml:space="preserve">Syndrome gris bébé</w:t>
      </w:r>
      <w:r>
        <w:t xml:space="preserve"> </w:t>
      </w:r>
      <w:r>
        <w:t xml:space="preserve">(forme systémique chez le nouveau-né) — collapsus cardiovasculaire, hypothermie, cyanose grisâtre, vomissements, hypotonie, mortalité 40 % ; mécanisme : immaturité de la conjugaison hépatique (glucuronyl-transférase) et de l’élimination rénale chez le nouveau-né, entraînant une accumulation ; (3) Anémie hémolytique chez les patients déficitaires en G6PD ; (4) Optique névrite (traitements prolongés) ; (5) Allergie de contact (collyre) — dermite palpébrale, conjonctivite ; (6) Sensibilisation ; (7) Surinfection mycotique ; (8) Troubles digestifs (forme PO).</w:t>
      </w:r>
    </w:p>
    <w:p>
      <w:pPr>
        <w:pStyle w:val="BodyText"/>
      </w:pPr>
      <w:r>
        <w:rPr>
          <w:b/>
          <w:bCs/>
        </w:rPr>
        <w:t xml:space="preserve">Prévention et Gestion des Effets Indésirables :</w:t>
      </w:r>
      <w:r>
        <w:t xml:space="preserve"> </w:t>
      </w:r>
      <w:r>
        <w:t xml:space="preserve">- Mesures Préventives : (a) Limiter l’usage au</w:t>
      </w:r>
      <w:r>
        <w:t xml:space="preserve"> </w:t>
      </w:r>
      <w:r>
        <w:rPr>
          <w:b/>
          <w:bCs/>
        </w:rPr>
        <w:t xml:space="preserve">topique ophtalmologique</w:t>
      </w:r>
      <w:r>
        <w:t xml:space="preserve"> </w:t>
      </w:r>
      <w:r>
        <w:t xml:space="preserve">uniquement ; (b) Ne pas dépasser 7–10 jours de traitement ; (c) Éviter chez le nouveau-né et le prématuré ; (d) Éviter l’usage prolongé (rare cas d’aplasive décrit avec le collyre après usage &gt; 2 semaines) ; (e) Demander aux patients de signaler tout symptôme évocateur d’aplasie (pâleur, asthénie, purpura, fièvre, angine) — orienter en urgence vers une numération formule sanguine.</w:t>
      </w:r>
      <w:r>
        <w:t xml:space="preserve"> </w:t>
      </w:r>
      <w:r>
        <w:t xml:space="preserve">- Conduite à Tenir : (a) En cas de signes d’aplasie médullaire : arrêt immédiat, NFS urgente, avis hématologique, hospitalisation. (b) En cas d’allergie de contact : arrêt, dermocorticoïde, tests épicutanés.</w:t>
      </w:r>
    </w:p>
    <w:p>
      <w:pPr>
        <w:pStyle w:val="BodyText"/>
      </w:pPr>
      <w:r>
        <w:rPr>
          <w:b/>
          <w:bCs/>
        </w:rPr>
        <w:t xml:space="preserve">Interactions Importantes :</w:t>
      </w:r>
      <w:r>
        <w:t xml:space="preserve"> </w:t>
      </w:r>
      <w:r>
        <w:t xml:space="preserve">- En usage topique ophtalmologique, les interactions sont rares. À mentionner :</w:t>
      </w:r>
      <w:r>
        <w:t xml:space="preserve"> </w:t>
      </w:r>
      <w:r>
        <w:t xml:space="preserve">- Vaccins vivants atténués (ROR, BCG, fièvre typhoïde, polio oral) : en usage systémique, le chloramphénicol inhibe la réponse immune — espacer.</w:t>
      </w:r>
      <w:r>
        <w:t xml:space="preserve"> </w:t>
      </w:r>
      <w:r>
        <w:t xml:space="preserve">- Anticoagulants oraux (warfarine) : en usage systémique, le chloramphénicol inhibe le CYP2C9 et majore l’INR — surveillance.</w:t>
      </w:r>
      <w:r>
        <w:t xml:space="preserve"> </w:t>
      </w:r>
      <w:r>
        <w:t xml:space="preserve">- Phénytoïne : en usage systémique, le chloramphénicol inhibe son métabolisme et augmente le risque de toxicité.</w:t>
      </w:r>
      <w:r>
        <w:t xml:space="preserve"> </w:t>
      </w:r>
      <w:r>
        <w:t xml:space="preserve">- Sulfonylurées (glibenclamide) : en usage systémique, le chloramphénicol inhibe leur métabolisme — risque hypoglycémique.</w:t>
      </w:r>
      <w:r>
        <w:t xml:space="preserve"> </w:t>
      </w:r>
      <w:r>
        <w:t xml:space="preserve">- Clozapine, autres dépresseurs médullaires : majoration du risque d’agranulocytose.</w:t>
      </w:r>
    </w:p>
    <w:p>
      <w:pPr>
        <w:pStyle w:val="BodyText"/>
      </w:pPr>
      <w:r>
        <w:rPr>
          <w:b/>
          <w:bCs/>
        </w:rPr>
        <w:t xml:space="preserve">Grossesse et Allaitement :</w:t>
      </w:r>
      <w:r>
        <w:t xml:space="preserve"> </w:t>
      </w:r>
      <w:r>
        <w:t xml:space="preserve">- Grossesse : Le CRAT classe le chloramphénicol en</w:t>
      </w:r>
      <w:r>
        <w:t xml:space="preserve"> </w:t>
      </w:r>
      <w:r>
        <w:t xml:space="preserve">“</w:t>
      </w:r>
      <w:r>
        <w:rPr>
          <w:b/>
          <w:bCs/>
        </w:rPr>
        <w:t xml:space="preserve">à éviter par principe</w:t>
      </w:r>
      <w:r>
        <w:t xml:space="preserve">”</w:t>
      </w:r>
      <w:r>
        <w:t xml:space="preserve"> </w:t>
      </w:r>
      <w:r>
        <w:t xml:space="preserve">en usage systémique (risque de syndrome gris fœtal, immaturité hépatique fœtale), mais en</w:t>
      </w:r>
      <w:r>
        <w:t xml:space="preserve"> </w:t>
      </w:r>
      <w:r>
        <w:t xml:space="preserve">“</w:t>
      </w:r>
      <w:r>
        <w:rPr>
          <w:b/>
          <w:bCs/>
        </w:rPr>
        <w:t xml:space="preserve">envisageable</w:t>
      </w:r>
      <w:r>
        <w:t xml:space="preserve">”</w:t>
      </w:r>
      <w:r>
        <w:t xml:space="preserve"> </w:t>
      </w:r>
      <w:r>
        <w:t xml:space="preserve">en usage topique ophtalmologique (absorption systémique négligeable). Le 3e trimestre est particulièrement à risque.</w:t>
      </w:r>
      <w:r>
        <w:t xml:space="preserve"> </w:t>
      </w:r>
      <w:r>
        <w:t xml:space="preserve">- Allaitement : Le CRAT déconseille l’allaitement en cas d’usage systémique (syndrome gris bébé du nourrisson, immaturité de la glucuronidation). En usage topique ophtalmologique, l’allaitement est possible (absorption négligeable).</w:t>
      </w:r>
      <w:r>
        <w:t xml:space="preserve"> </w:t>
      </w:r>
      <w:r>
        <w:t xml:space="preserve">- Précisions : Pour le collyre CEBENICOL, l’usage est compatible avec la grossesse et l’allaitement. Pour la forme systémique (retirée du marché algérien), CI chez la femme enceinte au 3e trimestre et chez la femme allaitante.</w:t>
      </w:r>
    </w:p>
    <w:p>
      <w:pPr>
        <w:pStyle w:val="BodyText"/>
      </w:pPr>
      <w:r>
        <w:rPr>
          <w:b/>
          <w:bCs/>
        </w:rPr>
        <w:t xml:space="preserve">Posologie et Mode d’administration (Standard) :</w:t>
      </w:r>
      <w:r>
        <w:t xml:space="preserve"> </w:t>
      </w:r>
      <w:r>
        <w:t xml:space="preserve">- Adulte et enfant &gt; 2 ans : (1)</w:t>
      </w:r>
      <w:r>
        <w:t xml:space="preserve"> </w:t>
      </w:r>
      <w:r>
        <w:rPr>
          <w:b/>
          <w:bCs/>
        </w:rPr>
        <w:t xml:space="preserve">Collyre 0,4 %</w:t>
      </w:r>
      <w:r>
        <w:t xml:space="preserve"> </w:t>
      </w:r>
      <w:r>
        <w:t xml:space="preserve">: 1 goutte × 4–6/jour dans l’œil atteint pendant 5–7 jours maximum ; (2)</w:t>
      </w:r>
      <w:r>
        <w:t xml:space="preserve"> </w:t>
      </w:r>
      <w:r>
        <w:rPr>
          <w:b/>
          <w:bCs/>
        </w:rPr>
        <w:t xml:space="preserve">Pommade ophtalmique 1 %</w:t>
      </w:r>
      <w:r>
        <w:t xml:space="preserve"> </w:t>
      </w:r>
      <w:r>
        <w:t xml:space="preserve">: 1 application × 2/jour (matin et soir) en complément du collyre ou seule.</w:t>
      </w:r>
      <w:r>
        <w:t xml:space="preserve"> </w:t>
      </w:r>
      <w:r>
        <w:t xml:space="preserve">- Enfant &lt; 2 ans : Avis ophtalmologique préalable, posologie réduite (1 goutte × 3–4/jour).</w:t>
      </w:r>
      <w:r>
        <w:t xml:space="preserve"> </w:t>
      </w:r>
      <w:r>
        <w:t xml:space="preserve">- Durée : 5–7 jours maximum ; en cas d’échec à 3 jours, réévaluer (changement d’antibiotique, suspicion de kératite herpétique).</w:t>
      </w:r>
      <w:r>
        <w:t xml:space="preserve"> </w:t>
      </w:r>
      <w:r>
        <w:t xml:space="preserve">- Moment de prise : Espacer les instillations d’au moins 1 h ; appliquer la pommade plutôt le soir (vision floue transitoire).</w:t>
      </w:r>
    </w:p>
    <w:p>
      <w:pPr>
        <w:pStyle w:val="BodyText"/>
      </w:pPr>
      <w:r>
        <w:rPr>
          <w:b/>
          <w:bCs/>
        </w:rPr>
        <w:t xml:space="preserve">Arbitrage et Bénéfices des Formes Galéniques :</w:t>
      </w:r>
      <w:r>
        <w:t xml:space="preserve"> </w:t>
      </w:r>
      <w:r>
        <w:t xml:space="preserve">Le chloramphénicol est disponible en Algérie uniquement en formes ophtalmologiques (collyre et pommade). La spécialité CEBENICOL (CHAUVIN) est le seul produit ACTIF. Les alternatives algériennes pour les conjonctivites bactériennes : (1) collyres à la rifamycine (non listés ici) ; (2) collyres aux quinolones (ofloxacine, ciprofloxacine) ; (3) collyres à l’acide fusidique (FUCITHALMIC) ; (4) associations antibiotique + corticoïde (MAXIDROL, ALPHAXITROL) pour les formes inflammatoires. Le collyre 0,4 % (solution) est privilégié pour les conjonctivites aiguës (praticité, vision claire) ; la pommade 1 % (à reconstituer à partir de poudre ophtalmique) est utile pour les blépharites et la nuit. La durée d’ouverture des flacons de collyre sans conservateur est limitée à 15 jours (contamination bactérienne).</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Ce collyre est un antibiotique classique pour les conjonctivites bactériennes. Instillez 1 goutte 4 à 6 fois par jour dans l’œil atteint pendant 5 à 7 jours maximum. Ne pas dépasser 10 jours sans avis médical. Signalez tout symptôme inhabituel : pâleur, fatigue intense, fièvre, saignement, mal de gorge — ces signes peuvent révéler une rare complication sanguine.</w:t>
      </w:r>
      <w:r>
        <w:t xml:space="preserve">”</w:t>
      </w:r>
      <w:r>
        <w:t xml:space="preserve"> </w:t>
      </w:r>
      <w:r>
        <w:t xml:space="preserve">- Mode d’utilisation pratique : (1) Bien se laver les mains avant l’instillation ; (2) Incliner la tête en arrière, tirer délicatement la paupière inférieure vers le bas ; (3) Instiller 1 goutte dans le cul-de-sac conjonctival sans toucher l’œil avec l’embout ; (4) Fermer l’œil 1 min en massant doucement le coin interne (occlusion du point lacrymal) ; (5) Ne pas toucher l’embout avec les doigts ; (6) Conserver le flacon ≤ 15 jours après ouverture ; (7) Retirer les lentilles de contact pendant le traitement.</w:t>
      </w:r>
    </w:p>
    <w:p>
      <w:pPr>
        <w:pStyle w:val="BodyText"/>
      </w:pPr>
      <w:r>
        <w:rPr>
          <w:b/>
          <w:bCs/>
        </w:rPr>
        <w:t xml:space="preserve">Notes, Règles d’Or &amp; Pièges au Comptoir :</w:t>
      </w:r>
      <w:r>
        <w:t xml:space="preserve"> </w:t>
      </w:r>
      <w:r>
        <w:t xml:space="preserve">- Piège classique n°1 :</w:t>
      </w:r>
      <w:r>
        <w:t xml:space="preserve"> </w:t>
      </w:r>
      <w:r>
        <w:rPr>
          <w:b/>
          <w:bCs/>
        </w:rPr>
        <w:t xml:space="preserve">Le chloramphénicol systémique est contre-indiqué en Algérie</w:t>
      </w:r>
      <w:r>
        <w:t xml:space="preserve"> </w:t>
      </w:r>
      <w:r>
        <w:t xml:space="preserve">— seule la forme ophtalmologique est disponible. Toute prescription de chloramphénicol PO ou IV doit être signalée (probable erreur ou prescription étrangère).</w:t>
      </w:r>
      <w:r>
        <w:t xml:space="preserve"> </w:t>
      </w:r>
      <w:r>
        <w:t xml:space="preserve">- Piège classique n°2 :</w:t>
      </w:r>
      <w:r>
        <w:t xml:space="preserve"> </w:t>
      </w:r>
      <w:r>
        <w:rPr>
          <w:b/>
          <w:bCs/>
        </w:rPr>
        <w:t xml:space="preserve">Aplasie médullaire théorique même avec le collyre</w:t>
      </w:r>
      <w:r>
        <w:t xml:space="preserve"> </w:t>
      </w:r>
      <w:r>
        <w:t xml:space="preserve">— bien que le risque soit extrêmement faible en topique, ne pas prolonger le traitement au-delà de 7–10 jours et informer le patient des signes d’alerte (pâleur, asthénie, purpura, fièvre, angine).</w:t>
      </w:r>
      <w:r>
        <w:t xml:space="preserve"> </w:t>
      </w:r>
      <w:r>
        <w:t xml:space="preserve">- Piège classique n°3 :</w:t>
      </w:r>
      <w:r>
        <w:t xml:space="preserve"> </w:t>
      </w:r>
      <w:r>
        <w:rPr>
          <w:b/>
          <w:bCs/>
        </w:rPr>
        <w:t xml:space="preserve">Syndrome gris bébé</w:t>
      </w:r>
      <w:r>
        <w:t xml:space="preserve"> </w:t>
      </w:r>
      <w:r>
        <w:t xml:space="preserve">— éviter le chloramphénicol systémique chez le nouveau-né et le prématuré ; pour le collyre, prudence chez le nourrisson &lt; 2 mois.</w:t>
      </w:r>
      <w:r>
        <w:t xml:space="preserve"> </w:t>
      </w:r>
      <w:r>
        <w:t xml:space="preserve">- Piège classique n°4 :</w:t>
      </w:r>
      <w:r>
        <w:t xml:space="preserve"> </w:t>
      </w:r>
      <w:r>
        <w:rPr>
          <w:b/>
          <w:bCs/>
        </w:rPr>
        <w:t xml:space="preserve">Ne pas confondre collyre et pommade</w:t>
      </w:r>
      <w:r>
        <w:t xml:space="preserve"> </w:t>
      </w:r>
      <w:r>
        <w:t xml:space="preserve">— la pommade 1 % est plus concentrée et destinée aux blépharites ; le collyre 0,4 % est pour les conjonctivites.</w:t>
      </w:r>
      <w:r>
        <w:t xml:space="preserve"> </w:t>
      </w:r>
      <w:r>
        <w:t xml:space="preserve">- Règle de prise : 1 goutte × 4–6/jour pendant 5–7 jours maximum.</w:t>
      </w:r>
      <w:r>
        <w:t xml:space="preserve"> </w:t>
      </w:r>
      <w:r>
        <w:t xml:space="preserve">- Préparation et Conservation : collyre : flacon fermé à T° ambiante, ≤ 15 jours après ouverture ; pommade : tube fermé à T° ambiante, ≤ 30 jours après ouverture.</w:t>
      </w:r>
      <w:r>
        <w:t xml:space="preserve"> </w:t>
      </w:r>
      <w:r>
        <w:t xml:space="preserve">- Piège du surdosage / Substitution : (a) Surdosage systémique accidentel (ingestion du collyre) : syndrome gris bébé — surveillance pédiatrique, échange transfusionnel si nécessaire. (b) Substitution CEBENICOL ↔ CROPHENICOL (non renouvelable) : substituer par un collyre antibiotique alternatif (ofloxacine, rifamycine). (c) Substitution collyre ↔ pommade : ne pas substituer sans avis médical.</w:t>
      </w:r>
    </w:p>
    <w:p>
      <w:r>
        <w:pict>
          <v:rect style="width:0;height:1.5pt" o:hralign="center" o:hrstd="t" o:hr="t"/>
        </w:pict>
      </w:r>
    </w:p>
    <w:bookmarkEnd w:id="211"/>
    <w:bookmarkStart w:id="212" w:name="dci-thiamphénicol-seule"/>
    <w:p>
      <w:pPr>
        <w:pStyle w:val="Heading3"/>
      </w:pPr>
      <w:r>
        <w:t xml:space="preserve">7.5.2 DCI : Thiamphénicol (Seule)</w:t>
      </w:r>
    </w:p>
    <w:p>
      <w:pPr>
        <w:pStyle w:val="FirstParagraph"/>
      </w:pPr>
      <w:r>
        <w:rPr>
          <w:b/>
          <w:bCs/>
        </w:rPr>
        <w:t xml:space="preserve">Liste des Catégories :</w:t>
      </w:r>
      <w:r>
        <w:t xml:space="preserve"> </w:t>
      </w:r>
      <w:r>
        <w:t xml:space="preserve">Amphénicolés ; Antibiotique systémique (PO et IV) ; LISTE I.</w:t>
      </w:r>
    </w:p>
    <w:p>
      <w:pPr>
        <w:pStyle w:val="BodyText"/>
      </w:pPr>
      <w:r>
        <w:t xml:space="preserve">Le thiamphénicol est un dérivé semi-synthétique du chloramphénicol dans lequel le groupement</w:t>
      </w:r>
      <w:r>
        <w:t xml:space="preserve"> </w:t>
      </w:r>
      <w:r>
        <w:rPr>
          <w:b/>
          <w:bCs/>
        </w:rPr>
        <w:t xml:space="preserve">nitro</w:t>
      </w:r>
      <w:r>
        <w:t xml:space="preserve"> </w:t>
      </w:r>
      <w:r>
        <w:t xml:space="preserve">(-NO₂) du noyau phényl a été remplacé par un groupement</w:t>
      </w:r>
      <w:r>
        <w:t xml:space="preserve"> </w:t>
      </w:r>
      <w:r>
        <w:rPr>
          <w:b/>
          <w:bCs/>
        </w:rPr>
        <w:t xml:space="preserve">méthylsulfonyl</w:t>
      </w:r>
      <w:r>
        <w:t xml:space="preserve"> </w:t>
      </w:r>
      <w:r>
        <w:t xml:space="preserve">(-SO₂CH₃). Cette modification structurale vise à réduire la toxicité hématologique (aplasie médullaire) du chloramphénicol tout en conservant le spectre antibactérien. Le thiamphénicol est métabolisé en un dérivé glycérol-3-phosphate actif, et est excrété principalement sous forme inchangée dans les urines (taux élevé d’élimination rénale, lui conférant une bonne diffusion urinaire). Son usage a été historiquement important dans les infections génito-urinaires (gonococcie, chlamydiose), les infections respiratoires (pneumopathies, sinusites), et certaines infections à anaérobies. En Algérie, le thiamphénicol est en voie de disparition : la spécialité THIOPHENICOL (Sanofi) est NON_RENOUVELABLE, et les autres marques (TYFODINE, THIOBACTIN) sont RETRAIT. Aucune spécialité n’est actuellement ACTIF, ce qui pose un problème de disponibilité.</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THIOPHENICOL</w:t>
      </w:r>
      <w:r>
        <w:t xml:space="preserve"> </w:t>
      </w:r>
      <w:r>
        <w:t xml:space="preserve">(SANOFI SYNTHELABO)</w:t>
      </w:r>
      <w:r>
        <w:t xml:space="preserve"> </w:t>
      </w:r>
      <w:r>
        <w:t xml:space="preserve">- Formes et Dosages : Lyophilisat et solvant pour solution injectable, 750 mg/flacon + ampoule de 5 mL de solvant</w:t>
      </w:r>
      <w:r>
        <w:t xml:space="preserve"> </w:t>
      </w:r>
      <w:r>
        <w:t xml:space="preserve">- Conditionnement : Boîte de 1 flacon + 1 ampoule</w:t>
      </w:r>
      <w:r>
        <w:t xml:space="preserve"> </w:t>
      </w:r>
      <w:r>
        <w:t xml:space="preserve">- Statut : Non Renouvelable</w:t>
      </w:r>
      <w:r>
        <w:t xml:space="preserve"> </w:t>
      </w:r>
      <w:r>
        <w:t xml:space="preserve">-</w:t>
      </w:r>
      <w:r>
        <w:t xml:space="preserve"> </w:t>
      </w:r>
      <w:r>
        <w:rPr>
          <w:b/>
          <w:bCs/>
        </w:rPr>
        <w:t xml:space="preserve">THIOPHENICOL</w:t>
      </w:r>
      <w:r>
        <w:t xml:space="preserve"> </w:t>
      </w:r>
      <w:r>
        <w:t xml:space="preserve">(SANOFI SYNTHELABO)</w:t>
      </w:r>
      <w:r>
        <w:t xml:space="preserve"> </w:t>
      </w:r>
      <w:r>
        <w:t xml:space="preserve">- Formes et Dosages : Comprimé pelliculé, 250 mg</w:t>
      </w:r>
      <w:r>
        <w:t xml:space="preserve"> </w:t>
      </w:r>
      <w:r>
        <w:t xml:space="preserve">- Conditionnement : Boîte de 16 comprimés</w:t>
      </w:r>
      <w:r>
        <w:t xml:space="preserve"> </w:t>
      </w:r>
      <w:r>
        <w:t xml:space="preserve">- Statut : Non Renouvelable</w:t>
      </w:r>
      <w:r>
        <w:t xml:space="preserve"> </w:t>
      </w:r>
      <w:r>
        <w:t xml:space="preserve">-</w:t>
      </w:r>
      <w:r>
        <w:t xml:space="preserve"> </w:t>
      </w:r>
      <w:r>
        <w:rPr>
          <w:b/>
          <w:bCs/>
        </w:rPr>
        <w:t xml:space="preserve">TYFODINE</w:t>
      </w:r>
      <w:r>
        <w:t xml:space="preserve"> </w:t>
      </w:r>
      <w:r>
        <w:t xml:space="preserve">(SAIDAL)</w:t>
      </w:r>
      <w:r>
        <w:t xml:space="preserve"> </w:t>
      </w:r>
      <w:r>
        <w:t xml:space="preserve">- Formes et Dosages : Comprimé enrobé, 250 mg</w:t>
      </w:r>
      <w:r>
        <w:t xml:space="preserve"> </w:t>
      </w:r>
      <w:r>
        <w:t xml:space="preserve">- Conditionnement : Boîte de 16 comprimés</w:t>
      </w:r>
      <w:r>
        <w:t xml:space="preserve"> </w:t>
      </w:r>
      <w:r>
        <w:t xml:space="preserve">- Statut : Retiré (R)</w:t>
      </w:r>
      <w:r>
        <w:t xml:space="preserve"> </w:t>
      </w:r>
      <w:r>
        <w:t xml:space="preserve">-</w:t>
      </w:r>
      <w:r>
        <w:t xml:space="preserve"> </w:t>
      </w:r>
      <w:r>
        <w:rPr>
          <w:b/>
          <w:bCs/>
        </w:rPr>
        <w:t xml:space="preserve">THIOBACTIN</w:t>
      </w:r>
      <w:r>
        <w:t xml:space="preserve"> </w:t>
      </w:r>
      <w:r>
        <w:t xml:space="preserve">(SANOFI WINTHROP)</w:t>
      </w:r>
      <w:r>
        <w:t xml:space="preserve"> </w:t>
      </w:r>
      <w:r>
        <w:t xml:space="preserve">- Formes et Dosages : Comprimé, 500 mg</w:t>
      </w:r>
      <w:r>
        <w:t xml:space="preserve"> </w:t>
      </w:r>
      <w:r>
        <w:t xml:space="preserve">- Conditionnement : Boîte de 24 comprimés</w:t>
      </w:r>
      <w:r>
        <w:t xml:space="preserve"> </w:t>
      </w:r>
      <w:r>
        <w:t xml:space="preserve">- Statut : Retiré (R)</w:t>
      </w:r>
    </w:p>
    <w:p>
      <w:pPr>
        <w:pStyle w:val="BodyText"/>
      </w:pPr>
      <w:r>
        <w:rPr>
          <w:b/>
          <w:bCs/>
        </w:rPr>
        <w:t xml:space="preserve">Sous-classe et Mécanisme d’action :</w:t>
      </w:r>
      <w:r>
        <w:t xml:space="preserve"> </w:t>
      </w:r>
      <w:r>
        <w:t xml:space="preserve">- Sous-classe : Amphénicolés — dérivé méthylsulfonyl du chloramphénicol, moins toxique pour la moelle osseuse.</w:t>
      </w:r>
      <w:r>
        <w:t xml:space="preserve"> </w:t>
      </w:r>
      <w:r>
        <w:t xml:space="preserve">- Mécanisme d’action : Identique au chloramphénicol — fixation réversible à la sous-unité 50S du ribosome bactérien, au niveau du centre peptidyl-transférase (domaine V de l’ARN 23S), blocage de la formation de la liaison peptidique, inhibition de la synthèse protéique. Bactériostatique large spectre. Spectre superposable à celui du chloramphénicol : Gram positifs, Gram négatifs (notamment</w:t>
      </w:r>
      <w:r>
        <w:t xml:space="preserve"> </w:t>
      </w:r>
      <w:r>
        <w:rPr>
          <w:i/>
          <w:iCs/>
        </w:rPr>
        <w:t xml:space="preserve">H. influenzae</w:t>
      </w:r>
      <w:r>
        <w:t xml:space="preserve">,</w:t>
      </w:r>
      <w:r>
        <w:t xml:space="preserve"> </w:t>
      </w:r>
      <w:r>
        <w:rPr>
          <w:i/>
          <w:iCs/>
        </w:rPr>
        <w:t xml:space="preserve">Neisseria</w:t>
      </w:r>
      <w:r>
        <w:t xml:space="preserve">), anaérobies, intracellulaires (</w:t>
      </w:r>
      <w:r>
        <w:rPr>
          <w:i/>
          <w:iCs/>
        </w:rPr>
        <w:t xml:space="preserve">Chlamydia</w:t>
      </w:r>
      <w:r>
        <w:t xml:space="preserve">,</w:t>
      </w:r>
      <w:r>
        <w:t xml:space="preserve"> </w:t>
      </w:r>
      <w:r>
        <w:rPr>
          <w:i/>
          <w:iCs/>
        </w:rPr>
        <w:t xml:space="preserve">Mycoplasma</w:t>
      </w:r>
      <w:r>
        <w:t xml:space="preserve">,</w:t>
      </w:r>
      <w:r>
        <w:t xml:space="preserve"> </w:t>
      </w:r>
      <w:r>
        <w:rPr>
          <w:i/>
          <w:iCs/>
        </w:rPr>
        <w:t xml:space="preserve">Rickettsia</w:t>
      </w:r>
      <w:r>
        <w:t xml:space="preserve">), spirochètes. Bonne diffusion urinaire (concentrations urinaires 10–20× supérieures aux concentrations sériques), méningée (LCR ~ 30–50 % de la sérique), et intracellulaire. Résistance croisée complète avec le chloramphénicol (mêmes mécanismes : CAT, mutations L4, efflux).</w:t>
      </w:r>
    </w:p>
    <w:p>
      <w:pPr>
        <w:pStyle w:val="BodyText"/>
      </w:pPr>
      <w:r>
        <w:rPr>
          <w:b/>
          <w:bCs/>
        </w:rPr>
        <w:t xml:space="preserve">Profil Pharmacologique :</w:t>
      </w:r>
      <w:r>
        <w:t xml:space="preserve"> </w:t>
      </w:r>
      <w:r>
        <w:t xml:space="preserve">- Indications : (1) Infections urinaires basses et hautes (pyélonéphrite) à germes sensibles ; (2) Infections génitales (gonococcie, chlamydiose) ; (3) Infections respiratoires (pneumopathies, sinusites, bronchites) à</w:t>
      </w:r>
      <w:r>
        <w:t xml:space="preserve"> </w:t>
      </w:r>
      <w:r>
        <w:rPr>
          <w:i/>
          <w:iCs/>
        </w:rPr>
        <w:t xml:space="preserve">H. influenzae</w:t>
      </w:r>
      <w:r>
        <w:t xml:space="preserve">, pneumocoque ; (4) Certaines infections à anaérobies ; (5) Infections à intracellulaires (rickettsioses, chlamydioses). En pratique, le thiamphénicol a été largement supplanté par les fluoroquinolones, les macrolides et les céphalosporines de 3e génération, qui sont mieux tolérés et plus efficaces.</w:t>
      </w:r>
      <w:r>
        <w:t xml:space="preserve"> </w:t>
      </w:r>
      <w:r>
        <w:t xml:space="preserve">- Contre-indications : (1) Hypersensibilité aux amphénicolés ; (2) Antécédent d’aplasie médullaire ; (3) Insuffisance hépatique sévère ; (4) Porphyrie ; (5) Allaitement ; (6) Prématurés et nouveau-nés (prudence, immaturité hépatique) ; (7) Association avec les vaccins vivants atténués.</w:t>
      </w:r>
      <w:r>
        <w:t xml:space="preserve"> </w:t>
      </w:r>
      <w:r>
        <w:t xml:space="preserve">- Effets Indésirables : (1)</w:t>
      </w:r>
      <w:r>
        <w:t xml:space="preserve"> </w:t>
      </w:r>
      <w:r>
        <w:rPr>
          <w:b/>
          <w:bCs/>
        </w:rPr>
        <w:t xml:space="preserve">Hématotoxicité</w:t>
      </w:r>
      <w:r>
        <w:t xml:space="preserve"> </w:t>
      </w:r>
      <w:r>
        <w:t xml:space="preserve">— moindre que le chloramphénicol mais non nulle : anémie, leucopénie, thrombopénie (souvent réversibles à l’arrêt) ; l’aplasie médullaire vraie est exceptionnelle (&lt; 1/100 000) mais possible ; surveillance NFS hebdomadaire recommandée en traitement prolongé ; (2)</w:t>
      </w:r>
      <w:r>
        <w:t xml:space="preserve"> </w:t>
      </w:r>
      <w:r>
        <w:rPr>
          <w:b/>
          <w:bCs/>
        </w:rPr>
        <w:t xml:space="preserve">Syndrome gris bébé</w:t>
      </w:r>
      <w:r>
        <w:t xml:space="preserve"> </w:t>
      </w:r>
      <w:r>
        <w:t xml:space="preserve">— risque théorique chez le nouveau-né, à éviter ; (3) Troubles digestifs (nausées, vomissements, diarrhée) ; (4) Candidose digestive (modification de la flore) ; (5) Allergie (éruption, prurit, urticaire) ; (6) Optique névrite (traitements prolongés) ; (7) Céphalées, vertiges.</w:t>
      </w:r>
    </w:p>
    <w:p>
      <w:pPr>
        <w:pStyle w:val="BodyText"/>
      </w:pPr>
      <w:r>
        <w:rPr>
          <w:b/>
          <w:bCs/>
        </w:rPr>
        <w:t xml:space="preserve">Prévention et Gestion des Effets Indésirables :</w:t>
      </w:r>
      <w:r>
        <w:t xml:space="preserve"> </w:t>
      </w:r>
      <w:r>
        <w:t xml:space="preserve">- Mesures Préventives : (a)</w:t>
      </w:r>
      <w:r>
        <w:t xml:space="preserve"> </w:t>
      </w:r>
      <w:r>
        <w:rPr>
          <w:b/>
          <w:bCs/>
        </w:rPr>
        <w:t xml:space="preserve">NFS avant traitement</w:t>
      </w:r>
      <w:r>
        <w:t xml:space="preserve"> </w:t>
      </w:r>
      <w:r>
        <w:t xml:space="preserve">puis hebdomadaire pendant les traitements &gt; 7 jours ; (b) Surveillance clinique (pâleur, asthénie, purpura, angine, fièvre) ; (c) Éviter chez le nouveau-né et le prématuré ; (d) Limiter la durée à 10 jours maximum ; (e) Adapter la posologie à l’IR (le thiamphénicol est éliminé par voie rénale).</w:t>
      </w:r>
      <w:r>
        <w:t xml:space="preserve"> </w:t>
      </w:r>
      <w:r>
        <w:t xml:space="preserve">- Conduite à Tenir : (a) En cas de signes hématologiques (NFS altérée) : arrêt immédiat, avis hématologique. (b) En cas de trouble digestif : moment des prises pendant les repas, antihistaminiques H2 ou IPP si nécessaire.</w:t>
      </w:r>
    </w:p>
    <w:p>
      <w:pPr>
        <w:pStyle w:val="BodyText"/>
      </w:pPr>
      <w:r>
        <w:rPr>
          <w:b/>
          <w:bCs/>
        </w:rPr>
        <w:t xml:space="preserve">Interactions Importantes :</w:t>
      </w:r>
      <w:r>
        <w:t xml:space="preserve"> </w:t>
      </w:r>
      <w:r>
        <w:t xml:space="preserve">- Anticoagulants oraux (warfarine) : le thiamphénicol inhibe le CYP2C9 — majoration de l’INR, surveillance.</w:t>
      </w:r>
      <w:r>
        <w:t xml:space="preserve"> </w:t>
      </w:r>
      <w:r>
        <w:t xml:space="preserve">- Phénytoïne : inhibition du métabolisme — risque de toxicité (ataxie, nystagmus).</w:t>
      </w:r>
      <w:r>
        <w:t xml:space="preserve"> </w:t>
      </w:r>
      <w:r>
        <w:t xml:space="preserve">- Sulfonylurées : inhibition du métabolisme — hypoglycémie.</w:t>
      </w:r>
      <w:r>
        <w:t xml:space="preserve"> </w:t>
      </w:r>
      <w:r>
        <w:t xml:space="preserve">- Vaccins vivants atténués : inhibition de la réponse immune — espacer.</w:t>
      </w:r>
      <w:r>
        <w:t xml:space="preserve"> </w:t>
      </w:r>
      <w:r>
        <w:t xml:space="preserve">- Clozapine : majoration du risque d’agranulocytose.</w:t>
      </w:r>
      <w:r>
        <w:t xml:space="preserve"> </w:t>
      </w:r>
      <w:r>
        <w:t xml:space="preserve">- Cyclophosphamide : potentialisation de la toxicité médullaire.</w:t>
      </w:r>
    </w:p>
    <w:p>
      <w:pPr>
        <w:pStyle w:val="BodyText"/>
      </w:pPr>
      <w:r>
        <w:rPr>
          <w:b/>
          <w:bCs/>
        </w:rPr>
        <w:t xml:space="preserve">Grossesse et Allaitement :</w:t>
      </w:r>
      <w:r>
        <w:t xml:space="preserve"> </w:t>
      </w:r>
      <w:r>
        <w:t xml:space="preserve">- Grossesse : Le CRAT classe le thiamphénicol en</w:t>
      </w:r>
      <w:r>
        <w:t xml:space="preserve"> </w:t>
      </w:r>
      <w:r>
        <w:t xml:space="preserve">“</w:t>
      </w:r>
      <w:r>
        <w:rPr>
          <w:b/>
          <w:bCs/>
        </w:rPr>
        <w:t xml:space="preserve">à éviter par principe</w:t>
      </w:r>
      <w:r>
        <w:t xml:space="preserve">”</w:t>
      </w:r>
      <w:r>
        <w:t xml:space="preserve"> </w:t>
      </w:r>
      <w:r>
        <w:t xml:space="preserve">au 3e trimestre (risque de syndrome gris fœtal, immaturité hépatique fœtale), mais peut être envisagé aux 1er et 2e trimestres en l’absence d’alternative.</w:t>
      </w:r>
      <w:r>
        <w:t xml:space="preserve"> </w:t>
      </w:r>
      <w:r>
        <w:t xml:space="preserve">- Allaitement : Le CRAT déconseille l’allaitement pendant le traitement (immaturité de la glucuronidation chez le nourrisson, risque de syndrome gris bébé).</w:t>
      </w:r>
      <w:r>
        <w:t xml:space="preserve"> </w:t>
      </w:r>
      <w:r>
        <w:t xml:space="preserve">- Précisions : Pour le thiamphénicol, le rapport bénéfice/risque doit être évalué ; il existe presque toujours une alternative moderne plus sûre (fluoroquinolone, céphalosporine de 3e génération).</w:t>
      </w:r>
    </w:p>
    <w:p>
      <w:pPr>
        <w:pStyle w:val="BodyText"/>
      </w:pPr>
      <w:r>
        <w:rPr>
          <w:b/>
          <w:bCs/>
        </w:rPr>
        <w:t xml:space="preserve">Posologie et Mode d’administration (Standard) :</w:t>
      </w:r>
      <w:r>
        <w:t xml:space="preserve"> </w:t>
      </w:r>
      <w:r>
        <w:t xml:space="preserve">- Adulte : (1)</w:t>
      </w:r>
      <w:r>
        <w:t xml:space="preserve"> </w:t>
      </w:r>
      <w:r>
        <w:rPr>
          <w:b/>
          <w:bCs/>
        </w:rPr>
        <w:t xml:space="preserve">Forme PO</w:t>
      </w:r>
      <w:r>
        <w:t xml:space="preserve"> </w:t>
      </w:r>
      <w:r>
        <w:t xml:space="preserve">: 500 mg × 3–4/jour (soit 1,5–2 g/jour) pendant 7–10 jours ; (2)</w:t>
      </w:r>
      <w:r>
        <w:t xml:space="preserve"> </w:t>
      </w:r>
      <w:r>
        <w:rPr>
          <w:b/>
          <w:bCs/>
        </w:rPr>
        <w:t xml:space="preserve">Forme IV</w:t>
      </w:r>
      <w:r>
        <w:t xml:space="preserve"> </w:t>
      </w:r>
      <w:r>
        <w:t xml:space="preserve">: 1 g × 2–3/jour (soit 2–3 g/jour) en perfusion 30 min, ou 750 mg × 2/jour en IM profonde. Adaptation à l’IR : ClCr 30–50 : 50 % dose ; 10–30 : 25 % ; &lt; 10 : 10 % ou après dialyse.</w:t>
      </w:r>
      <w:r>
        <w:t xml:space="preserve"> </w:t>
      </w:r>
      <w:r>
        <w:t xml:space="preserve">- Enfant : 30–50 mg/kg/jour en 3–4 prises (PO) ou 2–3 injections (IV).</w:t>
      </w:r>
      <w:r>
        <w:t xml:space="preserve"> </w:t>
      </w:r>
      <w:r>
        <w:t xml:space="preserve">- Durée : 7–10 jours selon l’indication.</w:t>
      </w:r>
      <w:r>
        <w:t xml:space="preserve"> </w:t>
      </w:r>
      <w:r>
        <w:t xml:space="preserve">- Moment de prise : PO pendant les repas (réduction des troubles digestifs) ; IV en perfusion 30 min.</w:t>
      </w:r>
    </w:p>
    <w:p>
      <w:pPr>
        <w:pStyle w:val="BodyText"/>
      </w:pPr>
      <w:r>
        <w:rPr>
          <w:b/>
          <w:bCs/>
        </w:rPr>
        <w:t xml:space="preserve">Arbitrage et Bénéfices des Formes Galéniques :</w:t>
      </w:r>
      <w:r>
        <w:t xml:space="preserve"> </w:t>
      </w:r>
      <w:r>
        <w:t xml:space="preserve">Le thiamphénicol n’est plus disponible en Algérie sous forme active (NON_RENOUVELABLE pour THIOPHENICOL, RETRAIT pour TYFODINE et THIOBACTIN). Les alternatives algériennes : (1) pour les infections urinaires : fluoroquinolones (ofloxacine, ciprofloxacine), cotrimoxazole, fosfomycine (monodose) ; (2) pour les infections respiratoires : amoxicilline ± acide clavulanique, macrolides (azithromycine, clarithromycine), pneumococciques céphalosporines de 3e génération ; (3) pour les infections génitales : azithromycine + doxycycline (chlamydiose), ceftriaxone (gonococcie). Le pharmacien doit orienter le prescripteur vers ces alternatives modernes, mieux tolérées et plus efficaces.</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Ce médicament n’est plus disponible en Algérie. Je peux vous orienter vers votre médecin pour une alternative moderne, comme une fluoroquinolone ou un macrolide, qui seront aussi efficaces et mieux tolérés.</w:t>
      </w:r>
      <w:r>
        <w:t xml:space="preserve">”</w:t>
      </w:r>
      <w:r>
        <w:t xml:space="preserve"> </w:t>
      </w:r>
      <w:r>
        <w:t xml:space="preserve">- Mode d’utilisation pratique (référence historique) : comprimés à avaler avec un grand verre d’eau pendant les repas ; perfusion IV en 30 min.</w:t>
      </w:r>
    </w:p>
    <w:p>
      <w:pPr>
        <w:pStyle w:val="BodyText"/>
      </w:pPr>
      <w:r>
        <w:rPr>
          <w:b/>
          <w:bCs/>
        </w:rPr>
        <w:t xml:space="preserve">Notes, Règles d’Or &amp; Pièges au Comptoir :</w:t>
      </w:r>
      <w:r>
        <w:t xml:space="preserve"> </w:t>
      </w:r>
      <w:r>
        <w:t xml:space="preserve">- Piège classique n°1 :</w:t>
      </w:r>
      <w:r>
        <w:t xml:space="preserve"> </w:t>
      </w:r>
      <w:r>
        <w:rPr>
          <w:b/>
          <w:bCs/>
        </w:rPr>
        <w:t xml:space="preserve">Rupture d’approvisionnement</w:t>
      </w:r>
      <w:r>
        <w:t xml:space="preserve"> </w:t>
      </w:r>
      <w:r>
        <w:t xml:space="preserve">— informer le patient de l’indisponibilité du thiamphénicol et orienter vers les alternatives.</w:t>
      </w:r>
      <w:r>
        <w:t xml:space="preserve"> </w:t>
      </w:r>
      <w:r>
        <w:t xml:space="preserve">- Piège classique n°2 :</w:t>
      </w:r>
      <w:r>
        <w:t xml:space="preserve"> </w:t>
      </w:r>
      <w:r>
        <w:rPr>
          <w:b/>
          <w:bCs/>
        </w:rPr>
        <w:t xml:space="preserve">Hématotoxicité résiduelle</w:t>
      </w:r>
      <w:r>
        <w:t xml:space="preserve"> </w:t>
      </w:r>
      <w:r>
        <w:t xml:space="preserve">— même si le thiamphénicol est moins toxique que le chloramphénicol, la surveillance NFS reste recommandée en traitement prolongé.</w:t>
      </w:r>
      <w:r>
        <w:t xml:space="preserve"> </w:t>
      </w:r>
      <w:r>
        <w:t xml:space="preserve">- Piège classique n°3 :</w:t>
      </w:r>
      <w:r>
        <w:t xml:space="preserve"> </w:t>
      </w:r>
      <w:r>
        <w:rPr>
          <w:b/>
          <w:bCs/>
        </w:rPr>
        <w:t xml:space="preserve">Ne pas confondre avec le chloramphénicol</w:t>
      </w:r>
      <w:r>
        <w:t xml:space="preserve"> </w:t>
      </w:r>
      <w:r>
        <w:t xml:space="preserve">— le thiamphénicol est un dérivé différent, mais partage le même mécanisme et la même cible 50S.</w:t>
      </w:r>
      <w:r>
        <w:t xml:space="preserve"> </w:t>
      </w:r>
      <w:r>
        <w:t xml:space="preserve">- Règle de prise : PO pendant les repas ; IV en perfusion 30 min.</w:t>
      </w:r>
      <w:r>
        <w:t xml:space="preserve"> </w:t>
      </w:r>
      <w:r>
        <w:t xml:space="preserve">- Préparation et Conservation : comprimés à T° ambiante ; lyophilisat reconstitué : 24 h à 2–8 °C.</w:t>
      </w:r>
      <w:r>
        <w:t xml:space="preserve"> </w:t>
      </w:r>
      <w:r>
        <w:t xml:space="preserve">- Piège du surdosage / Substitution : substituer le thiamphénicol par une alternative moderne (fluoroquinolone, macrolide, céphalosporine) selon l’indication.</w:t>
      </w:r>
    </w:p>
    <w:p>
      <w:r>
        <w:pict>
          <v:rect style="width:0;height:1.5pt" o:hralign="center" o:hrstd="t" o:hr="t"/>
        </w:pict>
      </w:r>
    </w:p>
    <w:bookmarkEnd w:id="212"/>
    <w:bookmarkEnd w:id="213"/>
    <w:bookmarkStart w:id="216" w:name="sous-classe-acide-fusidique"/>
    <w:p>
      <w:pPr>
        <w:pStyle w:val="Heading2"/>
      </w:pPr>
      <w:r>
        <w:t xml:space="preserve">7.6 Sous-classe : Acide fusidique</w:t>
      </w:r>
    </w:p>
    <w:bookmarkStart w:id="214" w:name="introduction-à-la-sous-classe-9"/>
    <w:p>
      <w:pPr>
        <w:pStyle w:val="Heading3"/>
      </w:pPr>
      <w:r>
        <w:t xml:space="preserve">Introduction à la sous-classe</w:t>
      </w:r>
    </w:p>
    <w:p>
      <w:pPr>
        <w:pStyle w:val="FirstParagraph"/>
      </w:pPr>
      <w:r>
        <w:t xml:space="preserve">L’acide fusidique (et son sel sodique, le fusidate de sodium) est un antibiotique stéroïdien naturel isolé en 1962 à partir du champignon</w:t>
      </w:r>
      <w:r>
        <w:t xml:space="preserve"> </w:t>
      </w:r>
      <w:r>
        <w:rPr>
          <w:i/>
          <w:iCs/>
        </w:rPr>
        <w:t xml:space="preserve">Fusidium coccineum</w:t>
      </w:r>
      <w:r>
        <w:t xml:space="preserve">. Sa structure originale — un noyau stéroïde (proto-stane) avec une chaîne latérale acide — lui confère un mécanisme d’action unique et une absence de résistance croisée avec les autres classes antibiotiques. Il est exclusivement actif sur les bactéries à</w:t>
      </w:r>
      <w:r>
        <w:t xml:space="preserve"> </w:t>
      </w:r>
      <w:r>
        <w:rPr>
          <w:b/>
          <w:bCs/>
        </w:rPr>
        <w:t xml:space="preserve">Gram positif</w:t>
      </w:r>
      <w:r>
        <w:t xml:space="preserve"> </w:t>
      </w:r>
      <w:r>
        <w:t xml:space="preserve">(staphylocoques, y compris SARM et S. epidermidis résistants ; streptocoques A, B, C, G ; pneumocoques ; entérocoques ;</w:t>
      </w:r>
      <w:r>
        <w:t xml:space="preserve"> </w:t>
      </w:r>
      <w:r>
        <w:rPr>
          <w:i/>
          <w:iCs/>
        </w:rPr>
        <w:t xml:space="preserve">Corynebacterium</w:t>
      </w:r>
      <w:r>
        <w:t xml:space="preserve"> </w:t>
      </w:r>
      <w:r>
        <w:t xml:space="preserve">;</w:t>
      </w:r>
      <w:r>
        <w:t xml:space="preserve"> </w:t>
      </w:r>
      <w:r>
        <w:rPr>
          <w:i/>
          <w:iCs/>
        </w:rPr>
        <w:t xml:space="preserve">Propionibacterium acnes</w:t>
      </w:r>
      <w:r>
        <w:t xml:space="preserve"> </w:t>
      </w:r>
      <w:r>
        <w:t xml:space="preserve">;</w:t>
      </w:r>
      <w:r>
        <w:t xml:space="preserve"> </w:t>
      </w:r>
      <w:r>
        <w:rPr>
          <w:i/>
          <w:iCs/>
        </w:rPr>
        <w:t xml:space="preserve">Clostridium</w:t>
      </w:r>
      <w:r>
        <w:t xml:space="preserve">), avec une activité remarquable sur les staphylocoques y compris les SARM. Il est inactif sur les Gram négatifs.</w:t>
      </w:r>
    </w:p>
    <w:p>
      <w:pPr>
        <w:pStyle w:val="BodyText"/>
      </w:pPr>
      <w:r>
        <w:t xml:space="preserve">Ses indications historiques et actuelles sont : (1)</w:t>
      </w:r>
      <w:r>
        <w:t xml:space="preserve"> </w:t>
      </w:r>
      <w:r>
        <w:rPr>
          <w:b/>
          <w:bCs/>
        </w:rPr>
        <w:t xml:space="preserve">infections cutanées</w:t>
      </w:r>
      <w:r>
        <w:t xml:space="preserve"> </w:t>
      </w:r>
      <w:r>
        <w:t xml:space="preserve">à staphylocoques et streptocoques (impétigo, folliculite, ecthyma, surinfection de plaies, dermite péri-stomiale) — forme topique (crème, pommade) ; (2)</w:t>
      </w:r>
      <w:r>
        <w:t xml:space="preserve"> </w:t>
      </w:r>
      <w:r>
        <w:rPr>
          <w:b/>
          <w:bCs/>
        </w:rPr>
        <w:t xml:space="preserve">infections ophtalmologiques</w:t>
      </w:r>
      <w:r>
        <w:t xml:space="preserve"> </w:t>
      </w:r>
      <w:r>
        <w:t xml:space="preserve">(conjonctivites, blépharites) — forme de collyre/gel ophtalmique ; (3)</w:t>
      </w:r>
      <w:r>
        <w:t xml:space="preserve"> </w:t>
      </w:r>
      <w:r>
        <w:rPr>
          <w:b/>
          <w:bCs/>
        </w:rPr>
        <w:t xml:space="preserve">infections systémiques à staphylocoques</w:t>
      </w:r>
      <w:r>
        <w:t xml:space="preserve"> </w:t>
      </w:r>
      <w:r>
        <w:t xml:space="preserve">(SARM) — forme orale et IV en association (l’acide fusidique ne doit pas être utilisé en monothérapie systémique en raison de la sélection rapide de mutants résistants, fréquence ~ 10⁻⁸).</w:t>
      </w:r>
    </w:p>
    <w:p>
      <w:pPr>
        <w:pStyle w:val="BodyText"/>
      </w:pPr>
      <w:r>
        <w:t xml:space="preserve">L’acide fusidique est largement disponible en Algérie sous de très nombreuses marques (ACFUSID, ALFUCINE, EFFUCINE, FUCIDERM, FUCIDINE, ZETA, ACIFUDAL, FUCARE, FUCIDE, FUDACINE, FUSIDAC, FUCIDANE GL, FUCIMED, FUCITHALMIC, FUTARON, ZYDEX), ce qui témoigne de son importance dans la pratique dermatologique et ophtalmologique algérienne.</w:t>
      </w:r>
    </w:p>
    <w:p>
      <w:r>
        <w:pict>
          <v:rect style="width:0;height:1.5pt" o:hralign="center" o:hrstd="t" o:hr="t"/>
        </w:pict>
      </w:r>
    </w:p>
    <w:bookmarkEnd w:id="214"/>
    <w:bookmarkStart w:id="215" w:name="dci-acide-fusidique-seule"/>
    <w:p>
      <w:pPr>
        <w:pStyle w:val="Heading3"/>
      </w:pPr>
      <w:r>
        <w:t xml:space="preserve">7.6.1 DCI : Acide fusidique (Seule)</w:t>
      </w:r>
    </w:p>
    <w:p>
      <w:pPr>
        <w:pStyle w:val="FirstParagraph"/>
      </w:pPr>
      <w:r>
        <w:rPr>
          <w:b/>
          <w:bCs/>
        </w:rPr>
        <w:t xml:space="preserve">Liste des Catégories :</w:t>
      </w:r>
      <w:r>
        <w:t xml:space="preserve"> </w:t>
      </w:r>
      <w:r>
        <w:t xml:space="preserve">Acide fusidique ; Antibiotique stéroïdien anti-Gram positif ; Formes topiques (derm, ophtalmo), PO, IV ; LISTE I.</w:t>
      </w:r>
    </w:p>
    <w:p>
      <w:pPr>
        <w:pStyle w:val="BodyText"/>
      </w:pPr>
      <w:r>
        <w:t xml:space="preserve">L’acide fusidique est un antibiotique de structure stéroïdienne, commercialisé sous forme de</w:t>
      </w:r>
      <w:r>
        <w:t xml:space="preserve"> </w:t>
      </w:r>
      <w:r>
        <w:rPr>
          <w:b/>
          <w:bCs/>
        </w:rPr>
        <w:t xml:space="preserve">fusidate de sodium</w:t>
      </w:r>
      <w:r>
        <w:t xml:space="preserve"> </w:t>
      </w:r>
      <w:r>
        <w:t xml:space="preserve">(sel sodique hydrosoluble) pour les formes orales et injectables, et sous forme d’</w:t>
      </w:r>
      <w:r>
        <w:rPr>
          <w:b/>
          <w:bCs/>
        </w:rPr>
        <w:t xml:space="preserve">acide fusidique</w:t>
      </w:r>
      <w:r>
        <w:t xml:space="preserve"> </w:t>
      </w:r>
      <w:r>
        <w:t xml:space="preserve">libre pour les formes topiques (crème, pommade, gel ophtalmique). En Algérie, il est massivement présent en dermatologie (plus de 10 marques en crème et pommade à 2 %), en ophtalmologie (3 marques en gel/collyre à 1 %), en orale (comprimés 250 mg, suspension 250 mg/5 mL), et historiquement en IV (FUCIDINE LEO injectable, NON_RENOUVELABLE). Sa large disponibilité et son excellente activité anti-staphylocoque (y compris SARM) en font un pilier de la pharmacie algérienne, mais son usage en monothérapie systémique doit être proscrit en raison de la sélection rapide de résistance.</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ACFUSID</w:t>
      </w:r>
      <w:r>
        <w:t xml:space="preserve"> </w:t>
      </w:r>
      <w:r>
        <w:t xml:space="preserve">(NOVAPHARM TRADING)</w:t>
      </w:r>
      <w:r>
        <w:t xml:space="preserve"> </w:t>
      </w:r>
      <w:r>
        <w:t xml:space="preserve">- Formes et Dosages : Pommade dermique 2 % (20 mg/g), tube de 15 g — Actif</w:t>
      </w:r>
      <w:r>
        <w:t xml:space="preserve"> </w:t>
      </w:r>
      <w:r>
        <w:t xml:space="preserve">- Formes et Dosages : Crème dermique 2 % (20 mg/g), tube de 15 g — Actif</w:t>
      </w:r>
      <w:r>
        <w:t xml:space="preserve"> </w:t>
      </w:r>
      <w:r>
        <w:t xml:space="preserve">-</w:t>
      </w:r>
      <w:r>
        <w:t xml:space="preserve"> </w:t>
      </w:r>
      <w:r>
        <w:rPr>
          <w:b/>
          <w:bCs/>
        </w:rPr>
        <w:t xml:space="preserve">ALFUCINE</w:t>
      </w:r>
      <w:r>
        <w:t xml:space="preserve"> </w:t>
      </w:r>
      <w:r>
        <w:t xml:space="preserve">(LABORATOIRES PHARMAGHREB)</w:t>
      </w:r>
      <w:r>
        <w:t xml:space="preserve"> </w:t>
      </w:r>
      <w:r>
        <w:t xml:space="preserve">- Formes et Dosages : Pommade 2 %, tube de 15 g — Actif</w:t>
      </w:r>
      <w:r>
        <w:t xml:space="preserve"> </w:t>
      </w:r>
      <w:r>
        <w:t xml:space="preserve">- Formes et Dosages : Crème dermique 2 %, tube de 15 g — Actif</w:t>
      </w:r>
      <w:r>
        <w:t xml:space="preserve"> </w:t>
      </w:r>
      <w:r>
        <w:t xml:space="preserve">-</w:t>
      </w:r>
      <w:r>
        <w:t xml:space="preserve"> </w:t>
      </w:r>
      <w:r>
        <w:rPr>
          <w:b/>
          <w:bCs/>
        </w:rPr>
        <w:t xml:space="preserve">EFFUCINE</w:t>
      </w:r>
      <w:r>
        <w:t xml:space="preserve"> </w:t>
      </w:r>
      <w:r>
        <w:t xml:space="preserve">(SARL LABORATOIRE GROUPEMENT PHARMACEUTIQUE ALGERIEN)</w:t>
      </w:r>
      <w:r>
        <w:t xml:space="preserve"> </w:t>
      </w:r>
      <w:r>
        <w:t xml:space="preserve">- Formes et Dosages : Pommade dermique 2 %, tube de 15 g — Actif</w:t>
      </w:r>
      <w:r>
        <w:t xml:space="preserve"> </w:t>
      </w:r>
      <w:r>
        <w:t xml:space="preserve">-</w:t>
      </w:r>
      <w:r>
        <w:t xml:space="preserve"> </w:t>
      </w:r>
      <w:r>
        <w:rPr>
          <w:b/>
          <w:bCs/>
        </w:rPr>
        <w:t xml:space="preserve">FUCIDERM</w:t>
      </w:r>
      <w:r>
        <w:t xml:space="preserve"> </w:t>
      </w:r>
      <w:r>
        <w:t xml:space="preserve">(PHYSIOPHARM LABORATOIRES)</w:t>
      </w:r>
      <w:r>
        <w:t xml:space="preserve"> </w:t>
      </w:r>
      <w:r>
        <w:t xml:space="preserve">- Formes et Dosages : Pommade dermique 2 %, tube de 15 g — Actif</w:t>
      </w:r>
      <w:r>
        <w:t xml:space="preserve"> </w:t>
      </w:r>
      <w:r>
        <w:t xml:space="preserve">-</w:t>
      </w:r>
      <w:r>
        <w:t xml:space="preserve"> </w:t>
      </w:r>
      <w:r>
        <w:rPr>
          <w:b/>
          <w:bCs/>
        </w:rPr>
        <w:t xml:space="preserve">FUCIDINE</w:t>
      </w:r>
      <w:r>
        <w:t xml:space="preserve"> </w:t>
      </w:r>
      <w:r>
        <w:t xml:space="preserve">(LABORATOIRES LEO)</w:t>
      </w:r>
      <w:r>
        <w:t xml:space="preserve"> </w:t>
      </w:r>
      <w:r>
        <w:t xml:space="preserve">- Formes et Dosages : Pommade dermique 2 %, tube de 15 g — Actif</w:t>
      </w:r>
      <w:r>
        <w:t xml:space="preserve"> </w:t>
      </w:r>
      <w:r>
        <w:t xml:space="preserve">-</w:t>
      </w:r>
      <w:r>
        <w:t xml:space="preserve"> </w:t>
      </w:r>
      <w:r>
        <w:rPr>
          <w:b/>
          <w:bCs/>
        </w:rPr>
        <w:t xml:space="preserve">ZETA</w:t>
      </w:r>
      <w:r>
        <w:t xml:space="preserve"> </w:t>
      </w:r>
      <w:r>
        <w:t xml:space="preserve">(EL KENDI INDUSTRIE DU MEDICAMENT)</w:t>
      </w:r>
      <w:r>
        <w:t xml:space="preserve"> </w:t>
      </w:r>
      <w:r>
        <w:t xml:space="preserve">- Formes et Dosages : Pommade 2 %, tube de 15 g — Actif</w:t>
      </w:r>
      <w:r>
        <w:t xml:space="preserve"> </w:t>
      </w:r>
      <w:r>
        <w:t xml:space="preserve">- Formes et Dosages : Crème dermique 2 %, tube de 15 g — Actif</w:t>
      </w:r>
      <w:r>
        <w:t xml:space="preserve"> </w:t>
      </w:r>
      <w:r>
        <w:t xml:space="preserve">-</w:t>
      </w:r>
      <w:r>
        <w:t xml:space="preserve"> </w:t>
      </w:r>
      <w:r>
        <w:rPr>
          <w:b/>
          <w:bCs/>
        </w:rPr>
        <w:t xml:space="preserve">ZETA-PLUS</w:t>
      </w:r>
      <w:r>
        <w:t xml:space="preserve"> </w:t>
      </w:r>
      <w:r>
        <w:t xml:space="preserve">(EL KENDI INDUSTRIE DU MEDICAMENT)</w:t>
      </w:r>
      <w:r>
        <w:t xml:space="preserve"> </w:t>
      </w:r>
      <w:r>
        <w:t xml:space="preserve">- Formes et Dosages : Crème — acide fusidique 0,1 g/100 g + hydrocortisone 2 g/100 g, tube de 15 g — Actif</w:t>
      </w:r>
      <w:r>
        <w:t xml:space="preserve"> </w:t>
      </w:r>
      <w:r>
        <w:t xml:space="preserve">-</w:t>
      </w:r>
      <w:r>
        <w:t xml:space="preserve"> </w:t>
      </w:r>
      <w:r>
        <w:rPr>
          <w:b/>
          <w:bCs/>
        </w:rPr>
        <w:t xml:space="preserve">ACIFUDAL</w:t>
      </w:r>
      <w:r>
        <w:t xml:space="preserve"> </w:t>
      </w:r>
      <w:r>
        <w:t xml:space="preserve">(GROUPE SAIDAL)</w:t>
      </w:r>
      <w:r>
        <w:t xml:space="preserve"> </w:t>
      </w:r>
      <w:r>
        <w:t xml:space="preserve">- Formes et Dosages : Crème dermique 2 %, tube de 15 g — Actif</w:t>
      </w:r>
      <w:r>
        <w:t xml:space="preserve"> </w:t>
      </w:r>
      <w:r>
        <w:t xml:space="preserve">- Formes et Dosages : Poudre dermique 2 %, tube de 15 g — Non Renouvelable</w:t>
      </w:r>
      <w:r>
        <w:t xml:space="preserve"> </w:t>
      </w:r>
      <w:r>
        <w:t xml:space="preserve">- Formes et Dosages : Gel ophtalmique 1 %, tube de 3 g — Non Renouvelable</w:t>
      </w:r>
      <w:r>
        <w:t xml:space="preserve"> </w:t>
      </w:r>
      <w:r>
        <w:t xml:space="preserve">-</w:t>
      </w:r>
      <w:r>
        <w:t xml:space="preserve"> </w:t>
      </w:r>
      <w:r>
        <w:rPr>
          <w:b/>
          <w:bCs/>
        </w:rPr>
        <w:t xml:space="preserve">FUCARE</w:t>
      </w:r>
      <w:r>
        <w:t xml:space="preserve"> </w:t>
      </w:r>
      <w:r>
        <w:t xml:space="preserve">(BIOCARE)</w:t>
      </w:r>
      <w:r>
        <w:t xml:space="preserve"> </w:t>
      </w:r>
      <w:r>
        <w:t xml:space="preserve">- Formes et Dosages : Comprimé pelliculé 250 mg, boîte de 10 — Actif</w:t>
      </w:r>
      <w:r>
        <w:t xml:space="preserve"> </w:t>
      </w:r>
      <w:r>
        <w:t xml:space="preserve">-</w:t>
      </w:r>
      <w:r>
        <w:t xml:space="preserve"> </w:t>
      </w:r>
      <w:r>
        <w:rPr>
          <w:b/>
          <w:bCs/>
        </w:rPr>
        <w:t xml:space="preserve">FUCIDE</w:t>
      </w:r>
      <w:r>
        <w:t xml:space="preserve"> </w:t>
      </w:r>
      <w:r>
        <w:t xml:space="preserve">(NEOMEDIC)</w:t>
      </w:r>
      <w:r>
        <w:t xml:space="preserve"> </w:t>
      </w:r>
      <w:r>
        <w:t xml:space="preserve">- Formes et Dosages : Comprimé pelliculé 250 mg, boîte de 10 — Actif</w:t>
      </w:r>
      <w:r>
        <w:t xml:space="preserve"> </w:t>
      </w:r>
      <w:r>
        <w:t xml:space="preserve">-</w:t>
      </w:r>
      <w:r>
        <w:t xml:space="preserve"> </w:t>
      </w:r>
      <w:r>
        <w:rPr>
          <w:b/>
          <w:bCs/>
        </w:rPr>
        <w:t xml:space="preserve">FUCIDINE</w:t>
      </w:r>
      <w:r>
        <w:t xml:space="preserve"> </w:t>
      </w:r>
      <w:r>
        <w:t xml:space="preserve">(ABDI IBRAHIM REMEDE PHARMA)</w:t>
      </w:r>
      <w:r>
        <w:t xml:space="preserve"> </w:t>
      </w:r>
      <w:r>
        <w:t xml:space="preserve">- Formes et Dosages : Comprimé pelliculé 250 mg, boîte de 10 — Actif</w:t>
      </w:r>
      <w:r>
        <w:t xml:space="preserve"> </w:t>
      </w:r>
      <w:r>
        <w:t xml:space="preserve">-</w:t>
      </w:r>
      <w:r>
        <w:t xml:space="preserve"> </w:t>
      </w:r>
      <w:r>
        <w:rPr>
          <w:b/>
          <w:bCs/>
        </w:rPr>
        <w:t xml:space="preserve">FUDACINE</w:t>
      </w:r>
      <w:r>
        <w:t xml:space="preserve"> </w:t>
      </w:r>
      <w:r>
        <w:t xml:space="preserve">(LABORATOIRE MOBEN)</w:t>
      </w:r>
      <w:r>
        <w:t xml:space="preserve"> </w:t>
      </w:r>
      <w:r>
        <w:t xml:space="preserve">- Formes et Dosages : Comprimé pelliculé 250 mg, boîte de 10 — Actif</w:t>
      </w:r>
      <w:r>
        <w:t xml:space="preserve"> </w:t>
      </w:r>
      <w:r>
        <w:t xml:space="preserve">-</w:t>
      </w:r>
      <w:r>
        <w:t xml:space="preserve"> </w:t>
      </w:r>
      <w:r>
        <w:rPr>
          <w:b/>
          <w:bCs/>
        </w:rPr>
        <w:t xml:space="preserve">FUSIDAC</w:t>
      </w:r>
      <w:r>
        <w:t xml:space="preserve"> </w:t>
      </w:r>
      <w:r>
        <w:t xml:space="preserve">(HUPP PHARMA)</w:t>
      </w:r>
      <w:r>
        <w:t xml:space="preserve"> </w:t>
      </w:r>
      <w:r>
        <w:t xml:space="preserve">- Formes et Dosages : Comprimé pelliculé 250 mg, boîte de 10 — Actif</w:t>
      </w:r>
      <w:r>
        <w:t xml:space="preserve"> </w:t>
      </w:r>
      <w:r>
        <w:t xml:space="preserve">-</w:t>
      </w:r>
      <w:r>
        <w:t xml:space="preserve"> </w:t>
      </w:r>
      <w:r>
        <w:rPr>
          <w:b/>
          <w:bCs/>
        </w:rPr>
        <w:t xml:space="preserve">FUCIDANE GL</w:t>
      </w:r>
      <w:r>
        <w:t xml:space="preserve"> </w:t>
      </w:r>
      <w:r>
        <w:t xml:space="preserve">(GENERIC LAB)</w:t>
      </w:r>
      <w:r>
        <w:t xml:space="preserve"> </w:t>
      </w:r>
      <w:r>
        <w:t xml:space="preserve">- Formes et Dosages : Suspension buvable 250 mg/5 mL, flacon de 90 mL + cuillère-mesure — Actif</w:t>
      </w:r>
      <w:r>
        <w:t xml:space="preserve"> </w:t>
      </w:r>
      <w:r>
        <w:t xml:space="preserve">-</w:t>
      </w:r>
      <w:r>
        <w:t xml:space="preserve"> </w:t>
      </w:r>
      <w:r>
        <w:rPr>
          <w:b/>
          <w:bCs/>
        </w:rPr>
        <w:t xml:space="preserve">FUCIMED</w:t>
      </w:r>
      <w:r>
        <w:t xml:space="preserve"> </w:t>
      </w:r>
      <w:r>
        <w:t xml:space="preserve">(JANIS MED SARL)</w:t>
      </w:r>
      <w:r>
        <w:t xml:space="preserve"> </w:t>
      </w:r>
      <w:r>
        <w:t xml:space="preserve">- Formes et Dosages : Suspension buvable 250 mg/5 mL, flacon de 90 mL + cuillère-mesure — Actif</w:t>
      </w:r>
      <w:r>
        <w:t xml:space="preserve"> </w:t>
      </w:r>
      <w:r>
        <w:t xml:space="preserve">-</w:t>
      </w:r>
      <w:r>
        <w:t xml:space="preserve"> </w:t>
      </w:r>
      <w:r>
        <w:rPr>
          <w:b/>
          <w:bCs/>
        </w:rPr>
        <w:t xml:space="preserve">FUCITHALMIC</w:t>
      </w:r>
      <w:r>
        <w:t xml:space="preserve"> </w:t>
      </w:r>
      <w:r>
        <w:t xml:space="preserve">(AMDIPHARM)</w:t>
      </w:r>
      <w:r>
        <w:t xml:space="preserve"> </w:t>
      </w:r>
      <w:r>
        <w:t xml:space="preserve">- Formes et Dosages : Gel ophtalmique 1 % (10 mg/g), tube de 3 g — Actif</w:t>
      </w:r>
      <w:r>
        <w:t xml:space="preserve"> </w:t>
      </w:r>
      <w:r>
        <w:t xml:space="preserve">-</w:t>
      </w:r>
      <w:r>
        <w:t xml:space="preserve"> </w:t>
      </w:r>
      <w:r>
        <w:rPr>
          <w:b/>
          <w:bCs/>
        </w:rPr>
        <w:t xml:space="preserve">FUTARON</w:t>
      </w:r>
      <w:r>
        <w:t xml:space="preserve"> </w:t>
      </w:r>
      <w:r>
        <w:t xml:space="preserve">(WORLD MEDECINE ILAC SAN.VE TIC.AS)</w:t>
      </w:r>
      <w:r>
        <w:t xml:space="preserve"> </w:t>
      </w:r>
      <w:r>
        <w:t xml:space="preserve">- Formes et Dosages : Collyre visqueux 1 %, flacon de 5 mL — Actif</w:t>
      </w:r>
      <w:r>
        <w:t xml:space="preserve"> </w:t>
      </w:r>
      <w:r>
        <w:t xml:space="preserve">-</w:t>
      </w:r>
      <w:r>
        <w:t xml:space="preserve"> </w:t>
      </w:r>
      <w:r>
        <w:rPr>
          <w:b/>
          <w:bCs/>
        </w:rPr>
        <w:t xml:space="preserve">ZYDEX</w:t>
      </w:r>
      <w:r>
        <w:t xml:space="preserve"> </w:t>
      </w:r>
      <w:r>
        <w:t xml:space="preserve">(BEIT JALA PHARMACEUTICALS COMPANY)</w:t>
      </w:r>
      <w:r>
        <w:t xml:space="preserve"> </w:t>
      </w:r>
      <w:r>
        <w:t xml:space="preserve">- Formes et Dosages : Gel ophtalmique 1 %, tube de 5 g — Actif</w:t>
      </w:r>
      <w:r>
        <w:t xml:space="preserve"> </w:t>
      </w:r>
      <w:r>
        <w:t xml:space="preserve">-</w:t>
      </w:r>
      <w:r>
        <w:t xml:space="preserve"> </w:t>
      </w:r>
      <w:r>
        <w:rPr>
          <w:b/>
          <w:bCs/>
        </w:rPr>
        <w:t xml:space="preserve">FUCIDANE</w:t>
      </w:r>
      <w:r>
        <w:t xml:space="preserve"> </w:t>
      </w:r>
      <w:r>
        <w:t xml:space="preserve">(4A SANTE INDUSTRIE SARL)</w:t>
      </w:r>
      <w:r>
        <w:t xml:space="preserve"> </w:t>
      </w:r>
      <w:r>
        <w:t xml:space="preserve">- Formes et Dosages : Poudre dermique 2 %, tube de 15 g — Non Renouvelable</w:t>
      </w:r>
      <w:r>
        <w:t xml:space="preserve"> </w:t>
      </w:r>
      <w:r>
        <w:t xml:space="preserve">-</w:t>
      </w:r>
      <w:r>
        <w:t xml:space="preserve"> </w:t>
      </w:r>
      <w:r>
        <w:rPr>
          <w:b/>
          <w:bCs/>
        </w:rPr>
        <w:t xml:space="preserve">FUCIDINE</w:t>
      </w:r>
      <w:r>
        <w:t xml:space="preserve"> </w:t>
      </w:r>
      <w:r>
        <w:t xml:space="preserve">(LEO)</w:t>
      </w:r>
      <w:r>
        <w:t xml:space="preserve"> </w:t>
      </w:r>
      <w:r>
        <w:t xml:space="preserve">- Formes et Dosages : Poudre pour solution injectable 500 mg/10 mL — Non Renouvelable</w:t>
      </w:r>
      <w:r>
        <w:t xml:space="preserve"> </w:t>
      </w:r>
      <w:r>
        <w:t xml:space="preserve">- Formes et Dosages : Suspension buvable 250 mg/5 mL, flacon de 90 mL — Non Renouvelable</w:t>
      </w:r>
      <w:r>
        <w:t xml:space="preserve"> </w:t>
      </w:r>
      <w:r>
        <w:t xml:space="preserve">- Formes et Dosages : Crème dermique 2 %, tube de 15 g — Retiré (R)</w:t>
      </w:r>
      <w:r>
        <w:t xml:space="preserve"> </w:t>
      </w:r>
      <w:r>
        <w:t xml:space="preserve">-</w:t>
      </w:r>
      <w:r>
        <w:t xml:space="preserve"> </w:t>
      </w:r>
      <w:r>
        <w:rPr>
          <w:b/>
          <w:bCs/>
        </w:rPr>
        <w:t xml:space="preserve">FUSIDERM</w:t>
      </w:r>
      <w:r>
        <w:t xml:space="preserve"> </w:t>
      </w:r>
      <w:r>
        <w:t xml:space="preserve">(SAUDI PHARMACEUTICAL INDUSTRIES &amp; MEDICAL APPLIANCES COORPORATION — SPIMACO)</w:t>
      </w:r>
      <w:r>
        <w:t xml:space="preserve"> </w:t>
      </w:r>
      <w:r>
        <w:t xml:space="preserve">- Formes et Dosages : Poudre dermique 2 %, tube de 15 g — Retiré (R)</w:t>
      </w:r>
      <w:r>
        <w:t xml:space="preserve"> </w:t>
      </w:r>
      <w:r>
        <w:t xml:space="preserve">- Formes et Dosages : Crème dermique 2 %, tube de 15 g — Retiré (R)</w:t>
      </w:r>
      <w:r>
        <w:t xml:space="preserve"> </w:t>
      </w:r>
      <w:r>
        <w:t xml:space="preserve">-</w:t>
      </w:r>
      <w:r>
        <w:t xml:space="preserve"> </w:t>
      </w:r>
      <w:r>
        <w:rPr>
          <w:b/>
          <w:bCs/>
        </w:rPr>
        <w:t xml:space="preserve">FUSODIUM</w:t>
      </w:r>
      <w:r>
        <w:t xml:space="preserve"> </w:t>
      </w:r>
      <w:r>
        <w:t xml:space="preserve">(CROVIS PHILCOM)</w:t>
      </w:r>
      <w:r>
        <w:t xml:space="preserve"> </w:t>
      </w:r>
      <w:r>
        <w:t xml:space="preserve">- Formes et Dosages : Poudre dermique 2 %, tube de 15 g — Retiré (R)</w:t>
      </w:r>
      <w:r>
        <w:t xml:space="preserve"> </w:t>
      </w:r>
      <w:r>
        <w:t xml:space="preserve">-</w:t>
      </w:r>
      <w:r>
        <w:t xml:space="preserve"> </w:t>
      </w:r>
      <w:r>
        <w:rPr>
          <w:b/>
          <w:bCs/>
        </w:rPr>
        <w:t xml:space="preserve">FUSACID</w:t>
      </w:r>
      <w:r>
        <w:t xml:space="preserve"> </w:t>
      </w:r>
      <w:r>
        <w:t xml:space="preserve">(CROVIS PHILCOM)</w:t>
      </w:r>
      <w:r>
        <w:t xml:space="preserve"> </w:t>
      </w:r>
      <w:r>
        <w:t xml:space="preserve">- Formes et Dosages : Crème dermique 2 %, tube de 15 g — Retiré (R)</w:t>
      </w:r>
    </w:p>
    <w:p>
      <w:pPr>
        <w:pStyle w:val="BodyText"/>
      </w:pPr>
      <w:r>
        <w:rPr>
          <w:b/>
          <w:bCs/>
        </w:rPr>
        <w:t xml:space="preserve">Sous-classe et Mécanisme d’action :</w:t>
      </w:r>
      <w:r>
        <w:t xml:space="preserve"> </w:t>
      </w:r>
      <w:r>
        <w:t xml:space="preserve">- Sous-classe : Acide fusidique (et son sel sodique, fusidate de sodium) — antibiotique stéroïdien (noyau protostane), exclusif dans sa classe.</w:t>
      </w:r>
      <w:r>
        <w:t xml:space="preserve"> </w:t>
      </w:r>
      <w:r>
        <w:t xml:space="preserve">- Mécanisme d’action : L’acide fusidique pénètre dans les bactéries à Gram positif par diffusion passive. Il se fixe au</w:t>
      </w:r>
      <w:r>
        <w:t xml:space="preserve"> </w:t>
      </w:r>
      <w:r>
        <w:rPr>
          <w:b/>
          <w:bCs/>
        </w:rPr>
        <w:t xml:space="preserve">facteur d’élongation G (EF-G)</w:t>
      </w:r>
      <w:r>
        <w:t xml:space="preserve"> </w:t>
      </w:r>
      <w:r>
        <w:t xml:space="preserve">bactérien, une protéine ribosomale impliquée dans la</w:t>
      </w:r>
      <w:r>
        <w:t xml:space="preserve"> </w:t>
      </w:r>
      <w:r>
        <w:rPr>
          <w:b/>
          <w:bCs/>
        </w:rPr>
        <w:t xml:space="preserve">translocation</w:t>
      </w:r>
      <w:r>
        <w:t xml:space="preserve"> </w:t>
      </w:r>
      <w:r>
        <w:t xml:space="preserve">de l’ARNt du site A au site P après chaque addition d’acide aminé. La fixation de l’acide fusidique stabilise le complexe EF-G-GDP-ribosome (alors que normalement l’EF-G-GDP se dissocie après translocation), bloquant ainsi le ribosome dans une conformation inactive. La synthèse protéique est arrêtée — effet</w:t>
      </w:r>
      <w:r>
        <w:t xml:space="preserve"> </w:t>
      </w:r>
      <w:r>
        <w:rPr>
          <w:b/>
          <w:bCs/>
        </w:rPr>
        <w:t xml:space="preserve">bactériostatique</w:t>
      </w:r>
      <w:r>
        <w:t xml:space="preserve"> </w:t>
      </w:r>
      <w:r>
        <w:t xml:space="preserve">(bactéricide à haute concentration sur certaines souches). L’absence de résistance croisée avec les autres classes s’explique par l’originalité de la cible (EF-G) et du mécanisme (stabilisation du complexe). Résistance acquise : mutations du gène</w:t>
      </w:r>
      <w:r>
        <w:t xml:space="preserve"> </w:t>
      </w:r>
      <w:r>
        <w:rPr>
          <w:i/>
          <w:iCs/>
        </w:rPr>
        <w:t xml:space="preserve">fusA</w:t>
      </w:r>
      <w:r>
        <w:t xml:space="preserve"> </w:t>
      </w:r>
      <w:r>
        <w:t xml:space="preserve">(codant EF-G), fréquence ~ 10⁻⁸ en monothérapie — d’où la règle absolue de l’association à un autre anti-staphylocoque en usage systémique. Spectre : Gram positifs — staphylocoques (S. aureus MSSA et MRSA, S. epidermidis), streptocoques A/B/C/G, pneumocoques, entérocoques,</w:t>
      </w:r>
      <w:r>
        <w:t xml:space="preserve"> </w:t>
      </w:r>
      <w:r>
        <w:rPr>
          <w:i/>
          <w:iCs/>
        </w:rPr>
        <w:t xml:space="preserve">Corynebacterium</w:t>
      </w:r>
      <w:r>
        <w:t xml:space="preserve">,</w:t>
      </w:r>
      <w:r>
        <w:t xml:space="preserve"> </w:t>
      </w:r>
      <w:r>
        <w:rPr>
          <w:i/>
          <w:iCs/>
        </w:rPr>
        <w:t xml:space="preserve">Propionibacterium acnes</w:t>
      </w:r>
      <w:r>
        <w:t xml:space="preserve">,</w:t>
      </w:r>
      <w:r>
        <w:t xml:space="preserve"> </w:t>
      </w:r>
      <w:r>
        <w:rPr>
          <w:i/>
          <w:iCs/>
        </w:rPr>
        <w:t xml:space="preserve">Clostridium</w:t>
      </w:r>
      <w:r>
        <w:t xml:space="preserve"> </w:t>
      </w:r>
      <w:r>
        <w:t xml:space="preserve">; certains Gram négatifs :</w:t>
      </w:r>
      <w:r>
        <w:t xml:space="preserve"> </w:t>
      </w:r>
      <w:r>
        <w:rPr>
          <w:i/>
          <w:iCs/>
        </w:rPr>
        <w:t xml:space="preserve">Neisseria gonorrhoeae</w:t>
      </w:r>
      <w:r>
        <w:t xml:space="preserve">,</w:t>
      </w:r>
      <w:r>
        <w:t xml:space="preserve"> </w:t>
      </w:r>
      <w:r>
        <w:rPr>
          <w:i/>
          <w:iCs/>
        </w:rPr>
        <w:t xml:space="preserve">N. meningitidis</w:t>
      </w:r>
      <w:r>
        <w:t xml:space="preserve">. Inactif sur les entérobactéries,</w:t>
      </w:r>
      <w:r>
        <w:t xml:space="preserve"> </w:t>
      </w:r>
      <w:r>
        <w:rPr>
          <w:i/>
          <w:iCs/>
        </w:rPr>
        <w:t xml:space="preserve">Pseudomonas</w:t>
      </w:r>
      <w:r>
        <w:t xml:space="preserve">,</w:t>
      </w:r>
      <w:r>
        <w:t xml:space="preserve"> </w:t>
      </w:r>
      <w:r>
        <w:rPr>
          <w:i/>
          <w:iCs/>
        </w:rPr>
        <w:t xml:space="preserve">H. influenzae</w:t>
      </w:r>
      <w:r>
        <w:t xml:space="preserve">.</w:t>
      </w:r>
    </w:p>
    <w:p>
      <w:pPr>
        <w:pStyle w:val="BodyText"/>
      </w:pPr>
      <w:r>
        <w:rPr>
          <w:b/>
          <w:bCs/>
        </w:rPr>
        <w:t xml:space="preserve">Profil Pharmacologique :</w:t>
      </w:r>
      <w:r>
        <w:t xml:space="preserve"> </w:t>
      </w:r>
      <w:r>
        <w:t xml:space="preserve">- Indications : (1)</w:t>
      </w:r>
      <w:r>
        <w:t xml:space="preserve"> </w:t>
      </w:r>
      <w:r>
        <w:rPr>
          <w:b/>
          <w:bCs/>
        </w:rPr>
        <w:t xml:space="preserve">Dermatologie</w:t>
      </w:r>
      <w:r>
        <w:t xml:space="preserve"> </w:t>
      </w:r>
      <w:r>
        <w:t xml:space="preserve">(forme topique crème/pommade 2 %) : impétigo, folliculite, ecthyma, surinfection de plaies, dermite péri-stomiale, intertrigo bactérien, acné inflammatoire (modéré), dermite péri-ulcère ; (2)</w:t>
      </w:r>
      <w:r>
        <w:t xml:space="preserve"> </w:t>
      </w:r>
      <w:r>
        <w:rPr>
          <w:b/>
          <w:bCs/>
        </w:rPr>
        <w:t xml:space="preserve">Ophtalmologie</w:t>
      </w:r>
      <w:r>
        <w:t xml:space="preserve"> </w:t>
      </w:r>
      <w:r>
        <w:t xml:space="preserve">(gel/collyre 1 %) : conjonctivites bactériennes, blépharites, kératites superficielles à staphylocoques ; (3)</w:t>
      </w:r>
      <w:r>
        <w:t xml:space="preserve"> </w:t>
      </w:r>
      <w:r>
        <w:rPr>
          <w:b/>
          <w:bCs/>
        </w:rPr>
        <w:t xml:space="preserve">Infections systémiques à staphylocoques</w:t>
      </w:r>
      <w:r>
        <w:t xml:space="preserve"> </w:t>
      </w:r>
      <w:r>
        <w:t xml:space="preserve">(forme PO 250 mg, suspension, IV) : infections cutanées étendues, ostéomyélite, arthrite septique, endocardite à SARM, bactériémie à SARM —</w:t>
      </w:r>
      <w:r>
        <w:t xml:space="preserve"> </w:t>
      </w:r>
      <w:r>
        <w:rPr>
          <w:b/>
          <w:bCs/>
        </w:rPr>
        <w:t xml:space="preserve">toujours en association</w:t>
      </w:r>
      <w:r>
        <w:t xml:space="preserve"> </w:t>
      </w:r>
      <w:r>
        <w:t xml:space="preserve">avec un autre anti-staphylocoque (vancomycine, rifampicine, acide clavulanique-amoxicilline, pristinamycine) pour prévenir la sélection de mutants résistants.</w:t>
      </w:r>
      <w:r>
        <w:t xml:space="preserve"> </w:t>
      </w:r>
      <w:r>
        <w:t xml:space="preserve">- Contre-indications : (1) Hypersensibilité à l’acide fusidique ; (2) Obstruction des voies biliaires (la quasi-totalité de l’acide fusidique est éliminée par voie biliaire) ; (3) Allaitement (en usage systémique — voir plus bas) ; (4) Application ophtalmologique en cas de kératite herpétique, varicelle, mycose oculaire.</w:t>
      </w:r>
      <w:r>
        <w:t xml:space="preserve"> </w:t>
      </w:r>
      <w:r>
        <w:t xml:space="preserve">- Effets Indésirables : (1)</w:t>
      </w:r>
      <w:r>
        <w:t xml:space="preserve"> </w:t>
      </w:r>
      <w:r>
        <w:rPr>
          <w:b/>
          <w:bCs/>
        </w:rPr>
        <w:t xml:space="preserve">Forme PO/IV</w:t>
      </w:r>
      <w:r>
        <w:t xml:space="preserve"> </w:t>
      </w:r>
      <w:r>
        <w:t xml:space="preserve">: troubles digestifs (nausées, vomissements, diarrhée — 10–15 %), hépatotoxicité (élévation transitoire des transaminases et des phosphatases alcalines, ictère cholestatique rare), thrombophlébite au site de perfusion IV, éruption cutanée, prurit, hyperbilirubinémie ; (2)</w:t>
      </w:r>
      <w:r>
        <w:t xml:space="preserve"> </w:t>
      </w:r>
      <w:r>
        <w:rPr>
          <w:b/>
          <w:bCs/>
        </w:rPr>
        <w:t xml:space="preserve">Forme topique dermique</w:t>
      </w:r>
      <w:r>
        <w:t xml:space="preserve"> </w:t>
      </w:r>
      <w:r>
        <w:t xml:space="preserve">: allergie de contact (rare), dermite irritative, sensibilisation (à signaler pour les usages futurs) ; (3)</w:t>
      </w:r>
      <w:r>
        <w:t xml:space="preserve"> </w:t>
      </w:r>
      <w:r>
        <w:rPr>
          <w:b/>
          <w:bCs/>
        </w:rPr>
        <w:t xml:space="preserve">Forme ophtalmologique</w:t>
      </w:r>
      <w:r>
        <w:t xml:space="preserve"> </w:t>
      </w:r>
      <w:r>
        <w:t xml:space="preserve">: picotements transitoires, vision floue (gel), allergie de contact, surinfection mycotique en usage prolongé.</w:t>
      </w:r>
    </w:p>
    <w:p>
      <w:pPr>
        <w:pStyle w:val="BodyText"/>
      </w:pPr>
      <w:r>
        <w:rPr>
          <w:b/>
          <w:bCs/>
        </w:rPr>
        <w:t xml:space="preserve">Prévention et Gestion des Effets Indésirables :</w:t>
      </w:r>
      <w:r>
        <w:t xml:space="preserve"> </w:t>
      </w:r>
      <w:r>
        <w:t xml:space="preserve">- Mesures Préventives : (a) Pour la forme PO/IV :</w:t>
      </w:r>
      <w:r>
        <w:t xml:space="preserve"> </w:t>
      </w:r>
      <w:r>
        <w:rPr>
          <w:b/>
          <w:bCs/>
        </w:rPr>
        <w:t xml:space="preserve">surveillance des transaminases et des phosphatases alcalines</w:t>
      </w:r>
      <w:r>
        <w:t xml:space="preserve"> </w:t>
      </w:r>
      <w:r>
        <w:t xml:space="preserve">à J0 et hebdomadaire ; prise pendant les repas (réduction des troubles digestifs) ; perfusion IV lente (≥ 1 h) dans une veine de gros calibre. (b) Pour la forme topique dermique : limiter à 7–10 jours, ne pas appliquer sous pansement occlusif, éviter les lésions étendues. (c) Pour la forme ophtalmologique : limiter à 5–7 jours, ne pas toucher l’œil avec l’embout. (d)</w:t>
      </w:r>
      <w:r>
        <w:t xml:space="preserve"> </w:t>
      </w:r>
      <w:r>
        <w:rPr>
          <w:b/>
          <w:bCs/>
        </w:rPr>
        <w:t xml:space="preserve">Association obligatoire</w:t>
      </w:r>
      <w:r>
        <w:t xml:space="preserve"> </w:t>
      </w:r>
      <w:r>
        <w:t xml:space="preserve">en usage systémique pour prévenir la résistance (avec un autre anti-staphylocoque).</w:t>
      </w:r>
      <w:r>
        <w:t xml:space="preserve"> </w:t>
      </w:r>
      <w:r>
        <w:t xml:space="preserve">- Conduite à Tenir : (a) En cas d’élévation majeure des transaminases (&gt; 3× LSN) ou d’ictère : arrêt immédiat, surveillance hépatique. (b) En cas d’allergie de contact : arrêt, dermocorticoïde, tests épicutanés. (c) En cas de troubles digestifs majeurs : moment des prises pendant les repas, antiémétiques.</w:t>
      </w:r>
    </w:p>
    <w:p>
      <w:pPr>
        <w:pStyle w:val="BodyText"/>
      </w:pPr>
      <w:r>
        <w:rPr>
          <w:b/>
          <w:bCs/>
        </w:rPr>
        <w:t xml:space="preserve">Interactions Importantes :</w:t>
      </w:r>
      <w:r>
        <w:t xml:space="preserve"> </w:t>
      </w:r>
      <w:r>
        <w:t xml:space="preserve">-</w:t>
      </w:r>
      <w:r>
        <w:t xml:space="preserve"> </w:t>
      </w:r>
      <w:r>
        <w:rPr>
          <w:b/>
          <w:bCs/>
        </w:rPr>
        <w:t xml:space="preserve">Statines (atorvastatine, simvastatine, rosuvastatine)</w:t>
      </w:r>
      <w:r>
        <w:t xml:space="preserve"> </w:t>
      </w:r>
      <w:r>
        <w:t xml:space="preserve">: l’acide fusidique inhibe le CYP3A4 et la BCRP — majoration importante des concentrations de statines et risque de rhabdomyolyse (interaction grave, plusieurs cas mortels décrits). Règle :</w:t>
      </w:r>
      <w:r>
        <w:t xml:space="preserve"> </w:t>
      </w:r>
      <w:r>
        <w:rPr>
          <w:b/>
          <w:bCs/>
        </w:rPr>
        <w:t xml:space="preserve">arrêter les statines pendant le traitement par acide fusidique</w:t>
      </w:r>
      <w:r>
        <w:t xml:space="preserve"> </w:t>
      </w:r>
      <w:r>
        <w:t xml:space="preserve">(et 7 jours après).</w:t>
      </w:r>
      <w:r>
        <w:t xml:space="preserve"> </w:t>
      </w:r>
      <w:r>
        <w:t xml:space="preserve">-</w:t>
      </w:r>
      <w:r>
        <w:t xml:space="preserve"> </w:t>
      </w:r>
      <w:r>
        <w:rPr>
          <w:b/>
          <w:bCs/>
        </w:rPr>
        <w:t xml:space="preserve">Warfarine, antivitamines K</w:t>
      </w:r>
      <w:r>
        <w:t xml:space="preserve"> </w:t>
      </w:r>
      <w:r>
        <w:t xml:space="preserve">: modification de l’INR (mécanisme mal élucidé) — surveillance.</w:t>
      </w:r>
      <w:r>
        <w:t xml:space="preserve"> </w:t>
      </w:r>
      <w:r>
        <w:t xml:space="preserve">-</w:t>
      </w:r>
      <w:r>
        <w:t xml:space="preserve"> </w:t>
      </w:r>
      <w:r>
        <w:rPr>
          <w:b/>
          <w:bCs/>
        </w:rPr>
        <w:t xml:space="preserve">Inhibiteurs de protéase du VIH (ritonavir, saquinavir)</w:t>
      </w:r>
      <w:r>
        <w:t xml:space="preserve"> </w:t>
      </w:r>
      <w:r>
        <w:t xml:space="preserve">: inhibition du CYP3A4 — majoration des concentrations des deux molécules, risque de toxicité hépatique.</w:t>
      </w:r>
      <w:r>
        <w:t xml:space="preserve"> </w:t>
      </w:r>
      <w:r>
        <w:t xml:space="preserve">-</w:t>
      </w:r>
      <w:r>
        <w:t xml:space="preserve"> </w:t>
      </w:r>
      <w:r>
        <w:rPr>
          <w:b/>
          <w:bCs/>
        </w:rPr>
        <w:t xml:space="preserve">Ciclosporine, tacrolimus</w:t>
      </w:r>
      <w:r>
        <w:t xml:space="preserve"> </w:t>
      </w:r>
      <w:r>
        <w:t xml:space="preserve">: majoration des concentrations (inhibition CYP3A4) — surveillance des taux.</w:t>
      </w:r>
      <w:r>
        <w:t xml:space="preserve"> </w:t>
      </w:r>
      <w:r>
        <w:t xml:space="preserve">-</w:t>
      </w:r>
      <w:r>
        <w:t xml:space="preserve"> </w:t>
      </w:r>
      <w:r>
        <w:rPr>
          <w:b/>
          <w:bCs/>
        </w:rPr>
        <w:t xml:space="preserve">Contraceptifs oraux estroprogestatifs</w:t>
      </w:r>
      <w:r>
        <w:t xml:space="preserve"> </w:t>
      </w:r>
      <w:r>
        <w:t xml:space="preserve">: théorique baisse d’efficacité (modification de la flore intestinale), mais non documentée à ce jour.</w:t>
      </w:r>
      <w:r>
        <w:t xml:space="preserve"> </w:t>
      </w:r>
      <w:r>
        <w:t xml:space="preserve">- Pommade dermique : peu d’interactions systémiques en usage local limité.</w:t>
      </w:r>
    </w:p>
    <w:p>
      <w:pPr>
        <w:pStyle w:val="BodyText"/>
      </w:pPr>
      <w:r>
        <w:rPr>
          <w:b/>
          <w:bCs/>
        </w:rPr>
        <w:t xml:space="preserve">Grossesse et Allaitement :</w:t>
      </w:r>
      <w:r>
        <w:t xml:space="preserve"> </w:t>
      </w:r>
      <w:r>
        <w:t xml:space="preserve">- Grossesse : Le CRAT classe l’acide fusidique en</w:t>
      </w:r>
      <w:r>
        <w:t xml:space="preserve"> </w:t>
      </w:r>
      <w:r>
        <w:t xml:space="preserve">“</w:t>
      </w:r>
      <w:r>
        <w:rPr>
          <w:b/>
          <w:bCs/>
        </w:rPr>
        <w:t xml:space="preserve">envisageable</w:t>
      </w:r>
      <w:r>
        <w:t xml:space="preserve">”</w:t>
      </w:r>
      <w:r>
        <w:t xml:space="preserve"> </w:t>
      </w:r>
      <w:r>
        <w:t xml:space="preserve">à toutes les phases de la grossesse (topique et systémique). Les études animales n’ont pas montré d’effet tératogène. Les données humaines limitées ne montrent pas d’effet malformatif. Passage transplacentaire faible (rapport fœto-maternel ~ 0,1). En usage topique dermique ou ophtalmologique : absorption systémique négligeable, compatible. En usage systémique (PO, IV) : à réserver aux infections sévères justifiant l’acide fusidique, en association.</w:t>
      </w:r>
      <w:r>
        <w:t xml:space="preserve"> </w:t>
      </w:r>
      <w:r>
        <w:t xml:space="preserve">- Allaitement : Le CRAT considère l’acide fusidique</w:t>
      </w:r>
      <w:r>
        <w:t xml:space="preserve"> </w:t>
      </w:r>
      <w:r>
        <w:t xml:space="preserve">“</w:t>
      </w:r>
      <w:r>
        <w:rPr>
          <w:b/>
          <w:bCs/>
        </w:rPr>
        <w:t xml:space="preserve">déconseillé mais compatible</w:t>
      </w:r>
      <w:r>
        <w:t xml:space="preserve">”</w:t>
      </w:r>
      <w:r>
        <w:t xml:space="preserve"> </w:t>
      </w:r>
      <w:r>
        <w:t xml:space="preserve">en pratique — le passage dans le lait maternel est faible (rapport lait/plasma &lt; 0,1), la biodisponibilité orale chez le nourrisson est bonne (mais la dose ingérée est très faible). En pratique, l’allaitement peut être poursuivi pour des traitements courts. Éviter l’application topique sur le sein en zone d’allaitement.</w:t>
      </w:r>
      <w:r>
        <w:t xml:space="preserve"> </w:t>
      </w:r>
      <w:r>
        <w:t xml:space="preserve">- Précisions : L’acide fusidique traversant la barrière placentaire, l’usage systémique au 3e trimestre a été associé à un risque théorique d’ictère néonatal (compétition avec la bilirubine pour la conjugaison hépatique) — prudence renforcée en fin de grossesse.</w:t>
      </w:r>
    </w:p>
    <w:p>
      <w:pPr>
        <w:pStyle w:val="BodyText"/>
      </w:pPr>
      <w:r>
        <w:rPr>
          <w:b/>
          <w:bCs/>
        </w:rPr>
        <w:t xml:space="preserve">Posologie et Mode d’administration (Standard) :</w:t>
      </w:r>
      <w:r>
        <w:t xml:space="preserve"> </w:t>
      </w:r>
      <w:r>
        <w:t xml:space="preserve">- Adulte : (1)</w:t>
      </w:r>
      <w:r>
        <w:t xml:space="preserve"> </w:t>
      </w:r>
      <w:r>
        <w:rPr>
          <w:b/>
          <w:bCs/>
        </w:rPr>
        <w:t xml:space="preserve">Forme PO</w:t>
      </w:r>
      <w:r>
        <w:t xml:space="preserve"> </w:t>
      </w:r>
      <w:r>
        <w:t xml:space="preserve">(comprimé 250 mg, suspension 250 mg/5 mL) : 500 mg × 3/jour (soit 1,5 g/jour) pendant 7–14 jours, en association avec un autre anti-staphylocoque ; pour les infections sévères (ostéomyélite, endocardite) : 500 mg × 3/jour pendant 3–6 semaines. (2)</w:t>
      </w:r>
      <w:r>
        <w:t xml:space="preserve"> </w:t>
      </w:r>
      <w:r>
        <w:rPr>
          <w:b/>
          <w:bCs/>
        </w:rPr>
        <w:t xml:space="preserve">Forme IV</w:t>
      </w:r>
      <w:r>
        <w:t xml:space="preserve"> </w:t>
      </w:r>
      <w:r>
        <w:t xml:space="preserve">(poudre 500 mg/flacon, à reconstituer) : 500 mg × 3/jour en perfusion ≥ 1 h (rarement utilisée en Algérie en raison du NON_RENOUVELABLE). (3)</w:t>
      </w:r>
      <w:r>
        <w:t xml:space="preserve"> </w:t>
      </w:r>
      <w:r>
        <w:rPr>
          <w:b/>
          <w:bCs/>
        </w:rPr>
        <w:t xml:space="preserve">Forme topique dermique</w:t>
      </w:r>
      <w:r>
        <w:t xml:space="preserve"> </w:t>
      </w:r>
      <w:r>
        <w:t xml:space="preserve">(crème, pommade 2 %) : 1 application × 2–3/jour sur la lésion propre et séchée pendant 7–10 jours. (4)</w:t>
      </w:r>
      <w:r>
        <w:t xml:space="preserve"> </w:t>
      </w:r>
      <w:r>
        <w:rPr>
          <w:b/>
          <w:bCs/>
        </w:rPr>
        <w:t xml:space="preserve">Forme ophtalmologique</w:t>
      </w:r>
      <w:r>
        <w:t xml:space="preserve"> </w:t>
      </w:r>
      <w:r>
        <w:t xml:space="preserve">(gel/collyre 1 %) : 1 goutte × 2/jour (matin et soir) dans l’œil atteint pendant 5–7 jours.</w:t>
      </w:r>
      <w:r>
        <w:t xml:space="preserve"> </w:t>
      </w:r>
      <w:r>
        <w:t xml:space="preserve">- Enfant : (1)</w:t>
      </w:r>
      <w:r>
        <w:t xml:space="preserve"> </w:t>
      </w:r>
      <w:r>
        <w:rPr>
          <w:b/>
          <w:bCs/>
        </w:rPr>
        <w:t xml:space="preserve">Forme PO</w:t>
      </w:r>
      <w:r>
        <w:t xml:space="preserve"> </w:t>
      </w:r>
      <w:r>
        <w:t xml:space="preserve">(suspension 250 mg/5 mL) : 20–50 mg/kg/jour en 3 prises (ne pas dépasser 1,5 g/jour) ; (2)</w:t>
      </w:r>
      <w:r>
        <w:t xml:space="preserve"> </w:t>
      </w:r>
      <w:r>
        <w:rPr>
          <w:b/>
          <w:bCs/>
        </w:rPr>
        <w:t xml:space="preserve">Forme topique</w:t>
      </w:r>
      <w:r>
        <w:t xml:space="preserve"> </w:t>
      </w:r>
      <w:r>
        <w:t xml:space="preserve">: idem adulte dès la naissance (forme dermique), dès 2 ans (forme ophtalmologique).</w:t>
      </w:r>
      <w:r>
        <w:t xml:space="preserve"> </w:t>
      </w:r>
      <w:r>
        <w:t xml:space="preserve">- Durée : Topique : 5–10 jours ; PO/IV : 7–14 jours (infections cutanées), 3–6 semaines (infections osseuses, endocardite).</w:t>
      </w:r>
      <w:r>
        <w:t xml:space="preserve"> </w:t>
      </w:r>
      <w:r>
        <w:t xml:space="preserve">- Moment de prise : PO pendant les repas ; perfusion IV ≥ 1 h ; applications topiques après nettoyage.</w:t>
      </w:r>
    </w:p>
    <w:p>
      <w:pPr>
        <w:pStyle w:val="BodyText"/>
      </w:pPr>
      <w:r>
        <w:rPr>
          <w:b/>
          <w:bCs/>
        </w:rPr>
        <w:t xml:space="preserve">Arbitrage et Bénéfices des Formes Galéniques :</w:t>
      </w:r>
      <w:r>
        <w:t xml:space="preserve"> </w:t>
      </w:r>
      <w:r>
        <w:t xml:space="preserve">L’acide fusidique est l’une des molécules les plus disponibles en Algérie, avec plus de 10 marques en topique dermique, 6 marques en forme PO, et 3 marques en gel/collyre ophtalmologique. Cette diversité offre au pharmacien et au prescripteur un large choix : (1)</w:t>
      </w:r>
      <w:r>
        <w:t xml:space="preserve"> </w:t>
      </w:r>
      <w:r>
        <w:rPr>
          <w:b/>
          <w:bCs/>
        </w:rPr>
        <w:t xml:space="preserve">Topique dermique</w:t>
      </w:r>
      <w:r>
        <w:t xml:space="preserve"> </w:t>
      </w:r>
      <w:r>
        <w:t xml:space="preserve">— crème vs pommade : la crème est préférée pour les lésions suintantes (impétigo bulleux, surinfection d’eczéma) ; la pommade est préférée pour les lésions sèches (impétigo non bulleux, ecthyma). La forme ZETA-PLUS (acide fusidique + hydrocortisone) est utile pour les lésions inflammatoires marquées. (2)</w:t>
      </w:r>
      <w:r>
        <w:t xml:space="preserve"> </w:t>
      </w:r>
      <w:r>
        <w:rPr>
          <w:b/>
          <w:bCs/>
        </w:rPr>
        <w:t xml:space="preserve">Forme PO</w:t>
      </w:r>
      <w:r>
        <w:t xml:space="preserve"> </w:t>
      </w:r>
      <w:r>
        <w:t xml:space="preserve">— comprimé 250 mg pour l’adulte et l’enfant &gt; 30 kg ; suspension 250 mg/5 mL pour l’enfant &lt; 30 kg. Le choix entre les marques (FUCARE, FUCIDE, FUCIDINE, FUDACINE, FUSIDAC, FUCIDANE GL, FUCIMED) se fait sur la disponibilité et le coût. (3)</w:t>
      </w:r>
      <w:r>
        <w:t xml:space="preserve"> </w:t>
      </w:r>
      <w:r>
        <w:rPr>
          <w:b/>
          <w:bCs/>
        </w:rPr>
        <w:t xml:space="preserve">Forme ophtalmologique</w:t>
      </w:r>
      <w:r>
        <w:t xml:space="preserve"> </w:t>
      </w:r>
      <w:r>
        <w:t xml:space="preserve">— gel vs collyre : le gel (FUCITHALMIC, ZYDEX) s’utilise 2 fois/jour (contact prolongé) ; le collyre visqueux (FUTARON) peut s’utiliser 2–3 fois/jour. Le gel a l’avantage d’une fréquence réduite et d’un meilleur contact.</w:t>
      </w:r>
    </w:p>
    <w:p>
      <w:pPr>
        <w:pStyle w:val="BodyText"/>
      </w:pPr>
      <w:r>
        <w:rPr>
          <w:b/>
          <w:bCs/>
        </w:rPr>
        <w:t xml:space="preserve">Instructions et Conseils au Patient :</w:t>
      </w:r>
      <w:r>
        <w:t xml:space="preserve"> </w:t>
      </w:r>
      <w:r>
        <w:t xml:space="preserve">- Communication au comptoir (forme topique dermique) :</w:t>
      </w:r>
      <w:r>
        <w:t xml:space="preserve"> </w:t>
      </w:r>
      <w:r>
        <w:t xml:space="preserve">“</w:t>
      </w:r>
      <w:r>
        <w:t xml:space="preserve">Cette crème/pommade contient un antibiotique actif sur les staphylocoques. Appliquez-la 2 à 3 fois par jour sur la lésion propre et séchée pendant 7 à 10 jours maximum. Ne pas dépasser 10 jours sans avis médical. Lavez-vous bien les mains avant et après l’application. Ne partagez pas votre tube avec d’autres personnes (risque de contamination).</w:t>
      </w:r>
      <w:r>
        <w:t xml:space="preserve">”</w:t>
      </w:r>
      <w:r>
        <w:t xml:space="preserve"> </w:t>
      </w:r>
      <w:r>
        <w:t xml:space="preserve">- Communication au comptoir (forme PO) :</w:t>
      </w:r>
      <w:r>
        <w:t xml:space="preserve"> </w:t>
      </w:r>
      <w:r>
        <w:t xml:space="preserve">“</w:t>
      </w:r>
      <w:r>
        <w:t xml:space="preserve">Ce médicament est un antibiotique actif sur le staphylocoque. Prenez les comprimés pendant les repas, 3 fois par jour, en respectant les horaires. Signalez à votre médecin si vous prenez un traitement pour le cholestérol (statine) — il faudra peut-être l’arrêter pendant le traitement. Consultez en urgence si vous avez des douleurs musculaires ou des urines foncées.</w:t>
      </w:r>
      <w:r>
        <w:t xml:space="preserve">”</w:t>
      </w:r>
      <w:r>
        <w:t xml:space="preserve"> </w:t>
      </w:r>
      <w:r>
        <w:t xml:space="preserve">- Communication au comptoir (forme ophtalmologique) :</w:t>
      </w:r>
      <w:r>
        <w:t xml:space="preserve"> </w:t>
      </w:r>
      <w:r>
        <w:t xml:space="preserve">“</w:t>
      </w:r>
      <w:r>
        <w:t xml:space="preserve">Ce collyre/gel est un antibiotique pour traiter votre conjonctivite. Instillez 1 goutte 2 fois par jour dans l’œil atteint pendant 5 à 7 jours. Ne pas dépasser 7 jours sans avis médical. Retirez les lentilles de contact pendant le traitement.</w:t>
      </w:r>
      <w:r>
        <w:t xml:space="preserve">”</w:t>
      </w:r>
      <w:r>
        <w:t xml:space="preserve"> </w:t>
      </w:r>
      <w:r>
        <w:t xml:space="preserve">- Mode d’utilisation pratique : (1) Topique dermique : nettoyer et sécher la lésion, appliquer une couche fine, masser doucement, recouvrir d’un pansement léger si nécessaire ; (2) Forme PO : avaler les comprimés avec un grand verre d’eau pendant les repas ; pour la suspension, bien agiter le flacon avant chaque prise, utiliser la cuillère-mesure fournie ; (3) Forme ophtalmologique : bien se laver les mains, incliner la tête en arrière, tirer la paupière inférieure vers le bas, instiller 1 goutte, fermer l’œil 1 min en massant le coin interne.</w:t>
      </w:r>
    </w:p>
    <w:p>
      <w:pPr>
        <w:pStyle w:val="BodyText"/>
      </w:pPr>
      <w:r>
        <w:rPr>
          <w:b/>
          <w:bCs/>
        </w:rPr>
        <w:t xml:space="preserve">Notes, Règles d’Or &amp; Pièges au Comptoir :</w:t>
      </w:r>
      <w:r>
        <w:t xml:space="preserve"> </w:t>
      </w:r>
      <w:r>
        <w:t xml:space="preserve">- Piège classique n°1 :</w:t>
      </w:r>
      <w:r>
        <w:t xml:space="preserve"> </w:t>
      </w:r>
      <w:r>
        <w:rPr>
          <w:b/>
          <w:bCs/>
        </w:rPr>
        <w:t xml:space="preserve">L’acide fusidique PO/IV ne doit JAMAIS être utilisé en monothérapie</w:t>
      </w:r>
      <w:r>
        <w:t xml:space="preserve"> </w:t>
      </w:r>
      <w:r>
        <w:t xml:space="preserve">— la résistance émerge rapidement (fréquence ~ 10⁻⁸), rendant le traitement inefficace en quelques jours. Toujours associer à un autre anti-staphylocoque (rifampicine, vancomycine, amoxicilline-acide clavulanique, pristinamycine).</w:t>
      </w:r>
      <w:r>
        <w:t xml:space="preserve"> </w:t>
      </w:r>
      <w:r>
        <w:t xml:space="preserve">- Piège classique n°2 :</w:t>
      </w:r>
      <w:r>
        <w:t xml:space="preserve"> </w:t>
      </w:r>
      <w:r>
        <w:rPr>
          <w:b/>
          <w:bCs/>
        </w:rPr>
        <w:t xml:space="preserve">Interaction grave avec les statines</w:t>
      </w:r>
      <w:r>
        <w:t xml:space="preserve"> </w:t>
      </w:r>
      <w:r>
        <w:t xml:space="preserve">— l’acide fusidique + statine (atorvastatine, simvastatine, rosuvastatine) peut provoquer une rhabdomyolyse grave, parfois fatale. Toujours demander au patient s’il prend une statine et l’arrêter pendant le traitement.</w:t>
      </w:r>
      <w:r>
        <w:t xml:space="preserve"> </w:t>
      </w:r>
      <w:r>
        <w:t xml:space="preserve">- Piège classique n°3 :</w:t>
      </w:r>
      <w:r>
        <w:t xml:space="preserve"> </w:t>
      </w:r>
      <w:r>
        <w:rPr>
          <w:b/>
          <w:bCs/>
        </w:rPr>
        <w:t xml:space="preserve">L’acide fusidique est éliminé par voie biliaire</w:t>
      </w:r>
      <w:r>
        <w:t xml:space="preserve"> </w:t>
      </w:r>
      <w:r>
        <w:t xml:space="preserve">— toute obstruction biliaire (lithiase, tumeur, cholestase) expose à une accumulation systémique et à une hépatotoxicité. Vérifier la fonction hépatique avant traitement.</w:t>
      </w:r>
      <w:r>
        <w:t xml:space="preserve"> </w:t>
      </w:r>
      <w:r>
        <w:t xml:space="preserve">- Piège classique n°4 :</w:t>
      </w:r>
      <w:r>
        <w:t xml:space="preserve"> </w:t>
      </w:r>
      <w:r>
        <w:rPr>
          <w:b/>
          <w:bCs/>
        </w:rPr>
        <w:t xml:space="preserve">Usage topique prolongé = allergie de contact et résistance</w:t>
      </w:r>
      <w:r>
        <w:t xml:space="preserve"> </w:t>
      </w:r>
      <w:r>
        <w:t xml:space="preserve">— limiter à 7–10 jours, ne pas répéter les cures sans avis médical.</w:t>
      </w:r>
      <w:r>
        <w:t xml:space="preserve"> </w:t>
      </w:r>
      <w:r>
        <w:t xml:space="preserve">- Piège classique n°5 :</w:t>
      </w:r>
      <w:r>
        <w:t xml:space="preserve"> </w:t>
      </w:r>
      <w:r>
        <w:rPr>
          <w:b/>
          <w:bCs/>
        </w:rPr>
        <w:t xml:space="preserve">Ne pas confondre les formes galéniques</w:t>
      </w:r>
      <w:r>
        <w:t xml:space="preserve"> </w:t>
      </w:r>
      <w:r>
        <w:t xml:space="preserve">— la pommade dermique 2 % ne s’utilise JAMAIS dans l’œil (risque d’irritation, de flou visuel, de surinfection). Le gel ophtalmologique 1 % est spécifique de l’usage oculaire.</w:t>
      </w:r>
      <w:r>
        <w:t xml:space="preserve"> </w:t>
      </w:r>
      <w:r>
        <w:t xml:space="preserve">- Règle de prise : PO pendant les repas × 3/jour en association ; topique dermique × 2–3/jour pendant 7–10 jours ; topique ophtalmologique × 2/jour pendant 5–7 jours.</w:t>
      </w:r>
      <w:r>
        <w:t xml:space="preserve"> </w:t>
      </w:r>
      <w:r>
        <w:t xml:space="preserve">- Préparation et Conservation : comprimés et suspension à T° ambiante ; suspension reconstituée : 14 j à 2–8 °C ; crème/pommade à T° &lt; 25 °C, tube bien fermé après usage ; gel/collyre ophtalmologique : flacon/tube ouvert ≤ 15 jours.</w:t>
      </w:r>
      <w:r>
        <w:t xml:space="preserve"> </w:t>
      </w:r>
      <w:r>
        <w:t xml:space="preserve">- Piège du surdosage / Substitution : (a) Surdosage PO : hépatotoxicité, troubles digestifs — arrêt, surveillance hépatique. (b) Substitution entre marques : bioéquivalence admise pour les formes à 2 % topique et 250 mg PO. (c) Substitution FUCIDINE LEO ↔ FUCARE ↔ FUCIDE ↔ FUDACINE ↔ FUSIDAC ↔ FUCIDANE GL : équivalents, le choix se fait sur la disponibilité et le coût. (d) Substitution forme topique dermique ↔ forme ophtalmologique : ne jamais substituer (concentration et excipients différents).</w:t>
      </w:r>
    </w:p>
    <w:p>
      <w:r>
        <w:pict>
          <v:rect style="width:0;height:1.5pt" o:hralign="center" o:hrstd="t" o:hr="t"/>
        </w:pict>
      </w:r>
    </w:p>
    <w:bookmarkEnd w:id="215"/>
    <w:bookmarkEnd w:id="216"/>
    <w:bookmarkStart w:id="219" w:name="sous-classe-fosfomycine"/>
    <w:p>
      <w:pPr>
        <w:pStyle w:val="Heading2"/>
      </w:pPr>
      <w:r>
        <w:t xml:space="preserve">7.7 Sous-classe : Fosfomycine</w:t>
      </w:r>
    </w:p>
    <w:bookmarkStart w:id="217" w:name="introduction-à-la-sous-classe-10"/>
    <w:p>
      <w:pPr>
        <w:pStyle w:val="Heading3"/>
      </w:pPr>
      <w:r>
        <w:t xml:space="preserve">Introduction à la sous-classe</w:t>
      </w:r>
    </w:p>
    <w:p>
      <w:pPr>
        <w:pStyle w:val="FirstParagraph"/>
      </w:pPr>
      <w:r>
        <w:t xml:space="preserve">La fosfomycine (anciennement phosphonomycine) est un antibiotique naturel de faible poids moléculaire (138 Da), isolé en 1969 à partir de</w:t>
      </w:r>
      <w:r>
        <w:t xml:space="preserve"> </w:t>
      </w:r>
      <w:r>
        <w:rPr>
          <w:i/>
          <w:iCs/>
        </w:rPr>
        <w:t xml:space="preserve">Streptomyces fradiae</w:t>
      </w:r>
      <w:r>
        <w:t xml:space="preserve"> </w:t>
      </w:r>
      <w:r>
        <w:t xml:space="preserve">et</w:t>
      </w:r>
      <w:r>
        <w:t xml:space="preserve"> </w:t>
      </w:r>
      <w:r>
        <w:rPr>
          <w:i/>
          <w:iCs/>
        </w:rPr>
        <w:t xml:space="preserve">Streptomyces wedmorensis</w:t>
      </w:r>
      <w:r>
        <w:t xml:space="preserve">. Sa structure originale — un analogue structural du</w:t>
      </w:r>
      <w:r>
        <w:t xml:space="preserve"> </w:t>
      </w:r>
      <w:r>
        <w:rPr>
          <w:b/>
          <w:bCs/>
        </w:rPr>
        <w:t xml:space="preserve">phosphoénolpyruvate (PEP)</w:t>
      </w:r>
      <w:r>
        <w:t xml:space="preserve"> </w:t>
      </w:r>
      <w:r>
        <w:t xml:space="preserve">avec un groupement</w:t>
      </w:r>
      <w:r>
        <w:t xml:space="preserve"> </w:t>
      </w:r>
      <w:r>
        <w:rPr>
          <w:b/>
          <w:bCs/>
        </w:rPr>
        <w:t xml:space="preserve">ép oxyde</w:t>
      </w:r>
      <w:r>
        <w:t xml:space="preserve"> </w:t>
      </w:r>
      <w:r>
        <w:t xml:space="preserve">et un groupement</w:t>
      </w:r>
      <w:r>
        <w:t xml:space="preserve"> </w:t>
      </w:r>
      <w:r>
        <w:rPr>
          <w:b/>
          <w:bCs/>
        </w:rPr>
        <w:t xml:space="preserve">phosphonate</w:t>
      </w:r>
      <w:r>
        <w:t xml:space="preserve"> </w:t>
      </w:r>
      <w:r>
        <w:t xml:space="preserve">(liaison C-P résistante aux phosphatases) — lui confère un mécanisme d’action unique et une absence de résistance croisée avec les autres classes. C’est l’un des rares antibiotiques bactéricides agissant sur la</w:t>
      </w:r>
      <w:r>
        <w:t xml:space="preserve"> </w:t>
      </w:r>
      <w:r>
        <w:rPr>
          <w:b/>
          <w:bCs/>
        </w:rPr>
        <w:t xml:space="preserve">toute première étape</w:t>
      </w:r>
      <w:r>
        <w:t xml:space="preserve"> </w:t>
      </w:r>
      <w:r>
        <w:t xml:space="preserve">de la synthèse du peptidoglycane (avant les β-lactamines, glycopeptides et bacitracine).</w:t>
      </w:r>
    </w:p>
    <w:p>
      <w:pPr>
        <w:pStyle w:val="BodyText"/>
      </w:pPr>
      <w:r>
        <w:t xml:space="preserve">Ses particularités PK/PD majeures sont : (i) bactéricide</w:t>
      </w:r>
      <w:r>
        <w:t xml:space="preserve"> </w:t>
      </w:r>
      <w:r>
        <w:rPr>
          <w:b/>
          <w:bCs/>
        </w:rPr>
        <w:t xml:space="preserve">temps-dépendant</w:t>
      </w:r>
      <w:r>
        <w:t xml:space="preserve"> </w:t>
      </w:r>
      <w:r>
        <w:t xml:space="preserve">avec un faible effet post-antibiotique ; (ii) très large spectre couvrant les Gram positifs (y compris SARM, entérocoques résistants) et les Gram négatifs (y compris les E. coli producteurs de BLSE, certaines souches de</w:t>
      </w:r>
      <w:r>
        <w:t xml:space="preserve"> </w:t>
      </w:r>
      <w:r>
        <w:rPr>
          <w:i/>
          <w:iCs/>
        </w:rPr>
        <w:t xml:space="preserve">Pseudomonas aeruginosa</w:t>
      </w:r>
      <w:r>
        <w:t xml:space="preserve">) ; (iii) élimination rénale exclusive sous forme inchangée → concentrations urinaires très élevées (1 000–4 000 mg/L après 3 g PO) → indiquée dans les infections urinaires basses non compliquées ; (iv) faible liaison aux protéines plasmatiques (&lt; 10 %) et bon Vd → bonne diffusion tissulaire (rein, prostate, poumon, LCR) ; (v) résistance chromosomique possible par mutation du transporteur glycérol-3-phosphate (GlpT) ou hexose-6-phosphate (UhpT) — la fosfomycine entre dans la bactérie via ces transporteurs.</w:t>
      </w:r>
    </w:p>
    <w:p>
      <w:pPr>
        <w:pStyle w:val="BodyText"/>
      </w:pPr>
      <w:r>
        <w:t xml:space="preserve">En Algérie, la fosfomycine est largement disponible sous forme orale monodose (sachet de 3 g) pour les cystites aiguës non compliquées de la femme jeune, qui est devenue l’indication dominante. La forme IV (FOSFOCINE 1 g et 4 g, Sanofi) est NON_RENOUVELABLE, ce qui limite l’usage systémique de la fosfomycine dans les infections sévères (septicémies, méningites, infections osseuses à BMR).</w:t>
      </w:r>
    </w:p>
    <w:p>
      <w:r>
        <w:pict>
          <v:rect style="width:0;height:1.5pt" o:hralign="center" o:hrstd="t" o:hr="t"/>
        </w:pict>
      </w:r>
    </w:p>
    <w:bookmarkEnd w:id="217"/>
    <w:bookmarkStart w:id="218" w:name="dci-fosfomycine-seule"/>
    <w:p>
      <w:pPr>
        <w:pStyle w:val="Heading3"/>
      </w:pPr>
      <w:r>
        <w:t xml:space="preserve">7.7.1 DCI : Fosfomycine (Seule)</w:t>
      </w:r>
    </w:p>
    <w:p>
      <w:pPr>
        <w:pStyle w:val="FirstParagraph"/>
      </w:pPr>
      <w:r>
        <w:rPr>
          <w:b/>
          <w:bCs/>
        </w:rPr>
        <w:t xml:space="preserve">Liste des Catégories :</w:t>
      </w:r>
      <w:r>
        <w:t xml:space="preserve"> </w:t>
      </w:r>
      <w:r>
        <w:t xml:space="preserve">Fosfomycine ; Antibiotique bactéricide large spectre ; Forme PO monodose et IV ; LISTE I.</w:t>
      </w:r>
    </w:p>
    <w:p>
      <w:pPr>
        <w:pStyle w:val="BodyText"/>
      </w:pPr>
      <w:r>
        <w:t xml:space="preserve">La fosfomycine est l’un des antibiotiques les plus anciens (1969) mais a connu une résurgence d’intérêt dans les années 2010 face à l’émergence des entérobactéries productrices de β-lactamases à spectre étendu (BLSE) et de certaines carbapénémases, contre lesquelles elle reste souvent active. En Algérie, la fosfomycine est essentiellement utilisée sous forme orale monodose (sachet de 3 g) pour le traitement des</w:t>
      </w:r>
      <w:r>
        <w:t xml:space="preserve"> </w:t>
      </w:r>
      <w:r>
        <w:rPr>
          <w:b/>
          <w:bCs/>
        </w:rPr>
        <w:t xml:space="preserve">cystites aiguës non compliquées</w:t>
      </w:r>
      <w:r>
        <w:t xml:space="preserve"> </w:t>
      </w:r>
      <w:r>
        <w:t xml:space="preserve">de la femme jeune non enceinte, en alternative au cotrimoxazole (résistance croisée élevée des</w:t>
      </w:r>
      <w:r>
        <w:t xml:space="preserve"> </w:t>
      </w:r>
      <w:r>
        <w:rPr>
          <w:i/>
          <w:iCs/>
        </w:rPr>
        <w:t xml:space="preserve">E. coli</w:t>
      </w:r>
      <w:r>
        <w:t xml:space="preserve"> </w:t>
      </w:r>
      <w:r>
        <w:t xml:space="preserve">algériens) et aux fluoroquinolones (résistance élevée). La forme IV (FOSFOCINE 1 g et 4 g, Sanofi) est NON_RENOUVELABLE, ce qui prive la pratique hospitalière algérienne d’une option utile dans les infections sévères à BMR.</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MONURIL ADULTE</w:t>
      </w:r>
      <w:r>
        <w:t xml:space="preserve"> </w:t>
      </w:r>
      <w:r>
        <w:t xml:space="preserve">(ZAMBON)</w:t>
      </w:r>
      <w:r>
        <w:t xml:space="preserve"> </w:t>
      </w:r>
      <w:r>
        <w:t xml:space="preserve">- Formes et Dosages : Granulé pour suspension buvable, 3 g/sachet</w:t>
      </w:r>
      <w:r>
        <w:t xml:space="preserve"> </w:t>
      </w:r>
      <w:r>
        <w:t xml:space="preserve">- Conditionnement : Boîte de 1 sachet</w:t>
      </w:r>
      <w:r>
        <w:t xml:space="preserve"> </w:t>
      </w:r>
      <w:r>
        <w:t xml:space="preserve">- Statut : Actif</w:t>
      </w:r>
      <w:r>
        <w:t xml:space="preserve"> </w:t>
      </w:r>
      <w:r>
        <w:t xml:space="preserve">-</w:t>
      </w:r>
      <w:r>
        <w:t xml:space="preserve"> </w:t>
      </w:r>
      <w:r>
        <w:rPr>
          <w:b/>
          <w:bCs/>
        </w:rPr>
        <w:t xml:space="preserve">URICARE</w:t>
      </w:r>
      <w:r>
        <w:t xml:space="preserve"> </w:t>
      </w:r>
      <w:r>
        <w:t xml:space="preserve">(BIOCARE)</w:t>
      </w:r>
      <w:r>
        <w:t xml:space="preserve"> </w:t>
      </w:r>
      <w:r>
        <w:t xml:space="preserve">- Formes et Dosages : Granulé pour suspension buvable, 3 g/sachet</w:t>
      </w:r>
      <w:r>
        <w:t xml:space="preserve"> </w:t>
      </w:r>
      <w:r>
        <w:t xml:space="preserve">- Conditionnement : Boîte de 1 sachet</w:t>
      </w:r>
      <w:r>
        <w:t xml:space="preserve"> </w:t>
      </w:r>
      <w:r>
        <w:t xml:space="preserve">- Statut : Actif</w:t>
      </w:r>
      <w:r>
        <w:t xml:space="preserve"> </w:t>
      </w:r>
      <w:r>
        <w:t xml:space="preserve">-</w:t>
      </w:r>
      <w:r>
        <w:t xml:space="preserve"> </w:t>
      </w:r>
      <w:r>
        <w:rPr>
          <w:b/>
          <w:bCs/>
        </w:rPr>
        <w:t xml:space="preserve">URONYX</w:t>
      </w:r>
      <w:r>
        <w:t xml:space="preserve"> </w:t>
      </w:r>
      <w:r>
        <w:t xml:space="preserve">(ONYX INDUSTRIE PHARMACEUTIQUE)</w:t>
      </w:r>
      <w:r>
        <w:t xml:space="preserve"> </w:t>
      </w:r>
      <w:r>
        <w:t xml:space="preserve">- Formes et Dosages : Granulé pour suspension buvable, 3 g/sachet</w:t>
      </w:r>
      <w:r>
        <w:t xml:space="preserve"> </w:t>
      </w:r>
      <w:r>
        <w:t xml:space="preserve">- Conditionnement : Boîte de 1 sachet</w:t>
      </w:r>
      <w:r>
        <w:t xml:space="preserve"> </w:t>
      </w:r>
      <w:r>
        <w:t xml:space="preserve">- Statut : Actif</w:t>
      </w:r>
      <w:r>
        <w:t xml:space="preserve"> </w:t>
      </w:r>
      <w:r>
        <w:t xml:space="preserve">-</w:t>
      </w:r>
      <w:r>
        <w:t xml:space="preserve"> </w:t>
      </w:r>
      <w:r>
        <w:rPr>
          <w:b/>
          <w:bCs/>
        </w:rPr>
        <w:t xml:space="preserve">FOSFOCINE</w:t>
      </w:r>
      <w:r>
        <w:t xml:space="preserve"> </w:t>
      </w:r>
      <w:r>
        <w:t xml:space="preserve">(SANOFI SYNTHELABO)</w:t>
      </w:r>
      <w:r>
        <w:t xml:space="preserve"> </w:t>
      </w:r>
      <w:r>
        <w:t xml:space="preserve">- Formes et Dosages : Préparation injectable pour perfusion, 1 g/ampoule</w:t>
      </w:r>
      <w:r>
        <w:t xml:space="preserve"> </w:t>
      </w:r>
      <w:r>
        <w:t xml:space="preserve">- Conditionnement : Boîte de 1 ampoule</w:t>
      </w:r>
      <w:r>
        <w:t xml:space="preserve"> </w:t>
      </w:r>
      <w:r>
        <w:t xml:space="preserve">- Statut : Non Renouvelable</w:t>
      </w:r>
      <w:r>
        <w:t xml:space="preserve"> </w:t>
      </w:r>
      <w:r>
        <w:t xml:space="preserve">-</w:t>
      </w:r>
      <w:r>
        <w:t xml:space="preserve"> </w:t>
      </w:r>
      <w:r>
        <w:rPr>
          <w:b/>
          <w:bCs/>
        </w:rPr>
        <w:t xml:space="preserve">FOSFOCINE</w:t>
      </w:r>
      <w:r>
        <w:t xml:space="preserve"> </w:t>
      </w:r>
      <w:r>
        <w:t xml:space="preserve">(SANOFI SYNTHELABO)</w:t>
      </w:r>
      <w:r>
        <w:t xml:space="preserve"> </w:t>
      </w:r>
      <w:r>
        <w:t xml:space="preserve">- Formes et Dosages : Préparation injectable pour perfusion, 4 g/ampoule</w:t>
      </w:r>
      <w:r>
        <w:t xml:space="preserve"> </w:t>
      </w:r>
      <w:r>
        <w:t xml:space="preserve">- Conditionnement : Boîte de 1 ampoule</w:t>
      </w:r>
      <w:r>
        <w:t xml:space="preserve"> </w:t>
      </w:r>
      <w:r>
        <w:t xml:space="preserve">- Statut : Non Renouvelable</w:t>
      </w:r>
    </w:p>
    <w:p>
      <w:pPr>
        <w:pStyle w:val="BodyText"/>
      </w:pPr>
      <w:r>
        <w:rPr>
          <w:b/>
          <w:bCs/>
        </w:rPr>
        <w:t xml:space="preserve">Sous-classe et Mécanisme d’action :</w:t>
      </w:r>
      <w:r>
        <w:t xml:space="preserve"> </w:t>
      </w:r>
      <w:r>
        <w:t xml:space="preserve">- Sous-classe : Fosfomycine — antibiotique phosphonique (analogue structural du phosphoénolpyruvate), classe unique.</w:t>
      </w:r>
      <w:r>
        <w:t xml:space="preserve"> </w:t>
      </w:r>
      <w:r>
        <w:t xml:space="preserve">- Mécanisme d’action : La fosfomycine est un analogue structural du</w:t>
      </w:r>
      <w:r>
        <w:t xml:space="preserve"> </w:t>
      </w:r>
      <w:r>
        <w:rPr>
          <w:b/>
          <w:bCs/>
        </w:rPr>
        <w:t xml:space="preserve">phosphoénolpyruvate (PEP)</w:t>
      </w:r>
      <w:r>
        <w:t xml:space="preserve">, substrat naturel de l’enzyme</w:t>
      </w:r>
      <w:r>
        <w:t xml:space="preserve"> </w:t>
      </w:r>
      <w:r>
        <w:rPr>
          <w:b/>
          <w:bCs/>
        </w:rPr>
        <w:t xml:space="preserve">UDP-N-acétylglucosamine énolpyruvyl-transférase (MurA)</w:t>
      </w:r>
      <w:r>
        <w:t xml:space="preserve">. Cette enzyme catalyse la toute première étape de la synthèse du peptidoglycane : la condensation du PEP avec l’UDP-N-acétylglucosamine (UDP-NAG) pour former l’UDP-NAG-énolpyruvate, précurseur de l’UDP-NAM (acide muramique). La fosfomycine pénètre dans la bactérie via deux transporteurs : (i) le transporteur du</w:t>
      </w:r>
      <w:r>
        <w:t xml:space="preserve"> </w:t>
      </w:r>
      <w:r>
        <w:rPr>
          <w:b/>
          <w:bCs/>
        </w:rPr>
        <w:t xml:space="preserve">glycérol-3-phosphate (GlpT)</w:t>
      </w:r>
      <w:r>
        <w:t xml:space="preserve"> </w:t>
      </w:r>
      <w:r>
        <w:t xml:space="preserve">et (ii) le transporteur des sucres-phosphates</w:t>
      </w:r>
      <w:r>
        <w:t xml:space="preserve"> </w:t>
      </w:r>
      <w:r>
        <w:rPr>
          <w:b/>
          <w:bCs/>
        </w:rPr>
        <w:t xml:space="preserve">UhpT</w:t>
      </w:r>
      <w:r>
        <w:t xml:space="preserve"> </w:t>
      </w:r>
      <w:r>
        <w:t xml:space="preserve">(induit par le glucose-6-phosphate). Une fois intracellulaire, la fosfomycine se fixe</w:t>
      </w:r>
      <w:r>
        <w:t xml:space="preserve"> </w:t>
      </w:r>
      <w:r>
        <w:rPr>
          <w:b/>
          <w:bCs/>
        </w:rPr>
        <w:t xml:space="preserve">covalentemente</w:t>
      </w:r>
      <w:r>
        <w:t xml:space="preserve"> </w:t>
      </w:r>
      <w:r>
        <w:t xml:space="preserve">à l’enzyme MurA, au niveau du résidu cystéine 115 (Cys115) du site actif, en ouvrant son cycle époxyde (réaction de type SN2). Cette alkylation irréversible inactivé l’enzyme, bloquant la synthèse du peptidoglycane à sa première étape. Bactéricide</w:t>
      </w:r>
      <w:r>
        <w:t xml:space="preserve"> </w:t>
      </w:r>
      <w:r>
        <w:rPr>
          <w:b/>
          <w:bCs/>
        </w:rPr>
        <w:t xml:space="preserve">temps-dépendante</w:t>
      </w:r>
      <w:r>
        <w:t xml:space="preserve">. Synergie possible avec les β-lactamines, les aminosides, les fluoroquinolones. Spectre : très large — Gram positifs (staphylocoques MSSA/MRSA, strepto A/B/pneumo, entérocoques), Gram négatifs (</w:t>
      </w:r>
      <w:r>
        <w:rPr>
          <w:i/>
          <w:iCs/>
        </w:rPr>
        <w:t xml:space="preserve">E. coli</w:t>
      </w:r>
      <w:r>
        <w:t xml:space="preserve"> </w:t>
      </w:r>
      <w:r>
        <w:t xml:space="preserve">y compris BLSE,</w:t>
      </w:r>
      <w:r>
        <w:t xml:space="preserve"> </w:t>
      </w:r>
      <w:r>
        <w:rPr>
          <w:i/>
          <w:iCs/>
        </w:rPr>
        <w:t xml:space="preserve">Proteus mirabilis</w:t>
      </w:r>
      <w:r>
        <w:t xml:space="preserve">,</w:t>
      </w:r>
      <w:r>
        <w:t xml:space="preserve"> </w:t>
      </w:r>
      <w:r>
        <w:rPr>
          <w:i/>
          <w:iCs/>
        </w:rPr>
        <w:t xml:space="preserve">Klebsiella pneumoniae</w:t>
      </w:r>
      <w:r>
        <w:t xml:space="preserve">,</w:t>
      </w:r>
      <w:r>
        <w:t xml:space="preserve"> </w:t>
      </w:r>
      <w:r>
        <w:rPr>
          <w:i/>
          <w:iCs/>
        </w:rPr>
        <w:t xml:space="preserve">Enterobacter</w:t>
      </w:r>
      <w:r>
        <w:t xml:space="preserve">,</w:t>
      </w:r>
      <w:r>
        <w:t xml:space="preserve"> </w:t>
      </w:r>
      <w:r>
        <w:rPr>
          <w:i/>
          <w:iCs/>
        </w:rPr>
        <w:t xml:space="preserve">Citrobacter</w:t>
      </w:r>
      <w:r>
        <w:t xml:space="preserve">,</w:t>
      </w:r>
      <w:r>
        <w:t xml:space="preserve"> </w:t>
      </w:r>
      <w:r>
        <w:rPr>
          <w:i/>
          <w:iCs/>
        </w:rPr>
        <w:t xml:space="preserve">Serratia</w:t>
      </w:r>
      <w:r>
        <w:t xml:space="preserve">,</w:t>
      </w:r>
      <w:r>
        <w:t xml:space="preserve"> </w:t>
      </w:r>
      <w:r>
        <w:rPr>
          <w:i/>
          <w:iCs/>
        </w:rPr>
        <w:t xml:space="preserve">Pseudomonas aeruginosa</w:t>
      </w:r>
      <w:r>
        <w:t xml:space="preserve"> </w:t>
      </w:r>
      <w:r>
        <w:t xml:space="preserve">avec CMI modérées), anaérobies (</w:t>
      </w:r>
      <w:r>
        <w:rPr>
          <w:i/>
          <w:iCs/>
        </w:rPr>
        <w:t xml:space="preserve">Bacteroides fragilis</w:t>
      </w:r>
      <w:r>
        <w:t xml:space="preserve">). Inactif sur</w:t>
      </w:r>
      <w:r>
        <w:t xml:space="preserve"> </w:t>
      </w:r>
      <w:r>
        <w:rPr>
          <w:i/>
          <w:iCs/>
        </w:rPr>
        <w:t xml:space="preserve">Acinetobacter</w:t>
      </w:r>
      <w:r>
        <w:t xml:space="preserve"> </w:t>
      </w:r>
      <w:r>
        <w:t xml:space="preserve">spp., certaines souches de</w:t>
      </w:r>
      <w:r>
        <w:t xml:space="preserve"> </w:t>
      </w:r>
      <w:r>
        <w:rPr>
          <w:i/>
          <w:iCs/>
        </w:rPr>
        <w:t xml:space="preserve">Stenotrophomonas maltophilia</w:t>
      </w:r>
      <w:r>
        <w:t xml:space="preserve">. Résistance acquise : mutations des transporteurs GlpT/UhpT (résistance chromosomique, fréquence ~ 10⁻⁶), production de fosfomycine-modifying enzymes (FosA, FosB, FosX — inactivation par ouverture du cycle époxyde).</w:t>
      </w:r>
    </w:p>
    <w:p>
      <w:pPr>
        <w:pStyle w:val="BodyText"/>
      </w:pPr>
      <w:r>
        <w:rPr>
          <w:b/>
          <w:bCs/>
        </w:rPr>
        <w:t xml:space="preserve">Profil Pharmacologique :</w:t>
      </w:r>
      <w:r>
        <w:t xml:space="preserve"> </w:t>
      </w:r>
      <w:r>
        <w:t xml:space="preserve">- Indications : (1)</w:t>
      </w:r>
      <w:r>
        <w:t xml:space="preserve"> </w:t>
      </w:r>
      <w:r>
        <w:rPr>
          <w:b/>
          <w:bCs/>
        </w:rPr>
        <w:t xml:space="preserve">Cystite aiguë non compliquée de la femme jeune non enceinte</w:t>
      </w:r>
      <w:r>
        <w:t xml:space="preserve"> </w:t>
      </w:r>
      <w:r>
        <w:t xml:space="preserve">— traitement monodose de 3 g PO (indication princeps, AMM) ; (2)</w:t>
      </w:r>
      <w:r>
        <w:t xml:space="preserve"> </w:t>
      </w:r>
      <w:r>
        <w:rPr>
          <w:b/>
          <w:bCs/>
        </w:rPr>
        <w:t xml:space="preserve">Cystite aiguë de la femme enceuse</w:t>
      </w:r>
      <w:r>
        <w:t xml:space="preserve"> </w:t>
      </w:r>
      <w:r>
        <w:t xml:space="preserve">(2e et 3e trimestres) — alternative de choix (peu de résistances, sécurité fœtale) ; (3)</w:t>
      </w:r>
      <w:r>
        <w:t xml:space="preserve"> </w:t>
      </w:r>
      <w:r>
        <w:rPr>
          <w:b/>
          <w:bCs/>
        </w:rPr>
        <w:t xml:space="preserve">Prophylaxie des cystites récidivantes de la femme</w:t>
      </w:r>
      <w:r>
        <w:t xml:space="preserve"> </w:t>
      </w:r>
      <w:r>
        <w:t xml:space="preserve">— 3 g tous les 10 jours pendant 3–6 mois (hors AMM, recommandations AFSSAPS) ; (4)</w:t>
      </w:r>
      <w:r>
        <w:t xml:space="preserve"> </w:t>
      </w:r>
      <w:r>
        <w:rPr>
          <w:b/>
          <w:bCs/>
        </w:rPr>
        <w:t xml:space="preserve">Forme IV</w:t>
      </w:r>
      <w:r>
        <w:t xml:space="preserve"> </w:t>
      </w:r>
      <w:r>
        <w:t xml:space="preserve">(NON_RENOUVELABLE en Algérie) : infections urinaires compliquées, pyélonéphrite, infections systémiques à BMR (en association), méningites à BMR, infections osseuses.</w:t>
      </w:r>
      <w:r>
        <w:t xml:space="preserve"> </w:t>
      </w:r>
      <w:r>
        <w:t xml:space="preserve">- Contre-indications : (1) Hypersensibilité à la fosfomycine ; (2) Insuffisance rénale sévère (ClCr &lt; 30 mL/min) — adaptation nécessaire ; (3) Enfant &lt; 6 ans (forme adulte 3 g) ; (4) Allaitement (par prudence, voir plus bas).</w:t>
      </w:r>
      <w:r>
        <w:t xml:space="preserve"> </w:t>
      </w:r>
      <w:r>
        <w:t xml:space="preserve">- Effets Indésirables : (1) Troubles digestifs (10–15 %) — nausées, vomissements, diarrhée, dyspepsie ; (2) Candidose vulvo-vaginale (5–10 %) — modification de la flore ; (3) Céphalées, vertiges ; (4) Éruption cutanée, prurit ; (5) Rarement : élévation transitoire des transaminases, thrombopénie, éosinophilie ; (6) Forme IV : phlébite au site de perfusion (la fosfomycine IV contient du sodium — 14,5 mEq/g — attention à l’apport sodé) ; (7) Très rarement : colite à</w:t>
      </w:r>
      <w:r>
        <w:t xml:space="preserve"> </w:t>
      </w:r>
      <w:r>
        <w:rPr>
          <w:i/>
          <w:iCs/>
        </w:rPr>
        <w:t xml:space="preserve">C. difficile</w:t>
      </w:r>
      <w:r>
        <w:t xml:space="preserve"> </w:t>
      </w:r>
      <w:r>
        <w:t xml:space="preserve">(réactivation après modification de la flore) ; (8) Réactions anaphylactiques exceptionnelles.</w:t>
      </w:r>
    </w:p>
    <w:p>
      <w:pPr>
        <w:pStyle w:val="BodyText"/>
      </w:pPr>
      <w:r>
        <w:rPr>
          <w:b/>
          <w:bCs/>
        </w:rPr>
        <w:t xml:space="preserve">Prévention et Gestion des Effets Indésirables :</w:t>
      </w:r>
      <w:r>
        <w:t xml:space="preserve"> </w:t>
      </w:r>
      <w:r>
        <w:t xml:space="preserve">- Mesures Préventives : (a) Pour la forme PO : prise à jeun (1 h avant ou 2 h après les repas) pour optimiser l’absorption ; hydratation suffisante (1,5–2 L/jour) ; (b) Pour la forme IV (NON_RENOUVELABLE) : surveillance de la natrémie (apport sodé), perfusion lente ; (c) En cas d’IR : adapter la dose (ClCr &lt; 30 : espacer à dose unique toutes les 48–72 h) ; (d) Information patient : signalement de toute diarrhée persistante (risque de colite à</w:t>
      </w:r>
      <w:r>
        <w:t xml:space="preserve"> </w:t>
      </w:r>
      <w:r>
        <w:rPr>
          <w:i/>
          <w:iCs/>
        </w:rPr>
        <w:t xml:space="preserve">C. difficile</w:t>
      </w:r>
      <w:r>
        <w:t xml:space="preserve">).</w:t>
      </w:r>
      <w:r>
        <w:t xml:space="preserve"> </w:t>
      </w:r>
      <w:r>
        <w:t xml:space="preserve">- Conduite à Tenir : (a) En cas de diarrhée persistante ou sanglante : arrêt, recherche de</w:t>
      </w:r>
      <w:r>
        <w:t xml:space="preserve"> </w:t>
      </w:r>
      <w:r>
        <w:rPr>
          <w:i/>
          <w:iCs/>
        </w:rPr>
        <w:t xml:space="preserve">C. difficile</w:t>
      </w:r>
      <w:r>
        <w:t xml:space="preserve"> </w:t>
      </w:r>
      <w:r>
        <w:t xml:space="preserve">(coproculture, toxin), traitement par métronidazole ou vancomycine PO. (b) En cas de candidose vulvo-vaginale : antifongique local (éconazole, miconazole). (c) En cas de réaction allergique : arrêt, antihistaminique, avis médical.</w:t>
      </w:r>
    </w:p>
    <w:p>
      <w:pPr>
        <w:pStyle w:val="BodyText"/>
      </w:pPr>
      <w:r>
        <w:rPr>
          <w:b/>
          <w:bCs/>
        </w:rPr>
        <w:t xml:space="preserve">Interactions Importantes :</w:t>
      </w:r>
      <w:r>
        <w:t xml:space="preserve"> </w:t>
      </w:r>
      <w:r>
        <w:t xml:space="preserve">-</w:t>
      </w:r>
      <w:r>
        <w:t xml:space="preserve"> </w:t>
      </w:r>
      <w:r>
        <w:rPr>
          <w:b/>
          <w:bCs/>
        </w:rPr>
        <w:t xml:space="preserve">Métoclopramide</w:t>
      </w:r>
      <w:r>
        <w:t xml:space="preserve"> </w:t>
      </w:r>
      <w:r>
        <w:t xml:space="preserve">(et autres prokinétiques) : diminution de l’absorption de la fosfomycine (vidange gastrique accélérée) — éviter l’association ou espacer de 2 h.</w:t>
      </w:r>
      <w:r>
        <w:t xml:space="preserve"> </w:t>
      </w:r>
      <w:r>
        <w:t xml:space="preserve">-</w:t>
      </w:r>
      <w:r>
        <w:t xml:space="preserve"> </w:t>
      </w:r>
      <w:r>
        <w:rPr>
          <w:b/>
          <w:bCs/>
        </w:rPr>
        <w:t xml:space="preserve">Anti-acides</w:t>
      </w:r>
      <w:r>
        <w:t xml:space="preserve"> </w:t>
      </w:r>
      <w:r>
        <w:t xml:space="preserve">(hydroxyde d’aluminium, de magnésium) : diminution de l’absorption — espacer de 2–3 h.</w:t>
      </w:r>
      <w:r>
        <w:t xml:space="preserve"> </w:t>
      </w:r>
      <w:r>
        <w:t xml:space="preserve">-</w:t>
      </w:r>
      <w:r>
        <w:t xml:space="preserve"> </w:t>
      </w:r>
      <w:r>
        <w:rPr>
          <w:b/>
          <w:bCs/>
        </w:rPr>
        <w:t xml:space="preserve">Sels de fer, calcium, zinc</w:t>
      </w:r>
      <w:r>
        <w:t xml:space="preserve"> </w:t>
      </w:r>
      <w:r>
        <w:t xml:space="preserve">: théorique diminution de l’absorption par chélation — espacer.</w:t>
      </w:r>
      <w:r>
        <w:t xml:space="preserve"> </w:t>
      </w:r>
      <w:r>
        <w:t xml:space="preserve">-</w:t>
      </w:r>
      <w:r>
        <w:t xml:space="preserve"> </w:t>
      </w:r>
      <w:r>
        <w:rPr>
          <w:b/>
          <w:bCs/>
        </w:rPr>
        <w:t xml:space="preserve">Aminosides</w:t>
      </w:r>
      <w:r>
        <w:t xml:space="preserve"> </w:t>
      </w:r>
      <w:r>
        <w:t xml:space="preserve">: synergie bactériologique (in vitro) sur les Gram négatifs — utile en association IV (hors Algérie, NON_RENOUVELABLE).</w:t>
      </w:r>
      <w:r>
        <w:t xml:space="preserve"> </w:t>
      </w:r>
      <w:r>
        <w:t xml:space="preserve">-</w:t>
      </w:r>
      <w:r>
        <w:t xml:space="preserve"> </w:t>
      </w:r>
      <w:r>
        <w:rPr>
          <w:b/>
          <w:bCs/>
        </w:rPr>
        <w:t xml:space="preserve">β-lactamines</w:t>
      </w:r>
      <w:r>
        <w:t xml:space="preserve"> </w:t>
      </w:r>
      <w:r>
        <w:t xml:space="preserve">: synergie in vitro sur les</w:t>
      </w:r>
      <w:r>
        <w:t xml:space="preserve"> </w:t>
      </w:r>
      <w:r>
        <w:rPr>
          <w:i/>
          <w:iCs/>
        </w:rPr>
        <w:t xml:space="preserve">E. coli</w:t>
      </w:r>
      <w:r>
        <w:t xml:space="preserve"> </w:t>
      </w:r>
      <w:r>
        <w:t xml:space="preserve">BLSE,</w:t>
      </w:r>
      <w:r>
        <w:t xml:space="preserve"> </w:t>
      </w:r>
      <w:r>
        <w:rPr>
          <w:i/>
          <w:iCs/>
        </w:rPr>
        <w:t xml:space="preserve">K. pneumoniae</w:t>
      </w:r>
      <w:r>
        <w:t xml:space="preserve"> </w:t>
      </w:r>
      <w:r>
        <w:t xml:space="preserve">carbapénémase — utile en association IV.</w:t>
      </w:r>
      <w:r>
        <w:t xml:space="preserve"> </w:t>
      </w:r>
      <w:r>
        <w:t xml:space="preserve">- Apport sodé (forme IV) : attention chez l’insuffisant cardiaque, l’insuffisant rénal, l’hypertendu.</w:t>
      </w:r>
    </w:p>
    <w:p>
      <w:pPr>
        <w:pStyle w:val="BodyText"/>
      </w:pPr>
      <w:r>
        <w:rPr>
          <w:b/>
          <w:bCs/>
        </w:rPr>
        <w:t xml:space="preserve">Grossesse et Allaitement :</w:t>
      </w:r>
      <w:r>
        <w:t xml:space="preserve"> </w:t>
      </w:r>
      <w:r>
        <w:t xml:space="preserve">- Grossesse : Le CRAT classe la fosfomycine en</w:t>
      </w:r>
      <w:r>
        <w:t xml:space="preserve"> </w:t>
      </w:r>
      <w:r>
        <w:t xml:space="preserve">“</w:t>
      </w:r>
      <w:r>
        <w:rPr>
          <w:b/>
          <w:bCs/>
        </w:rPr>
        <w:t xml:space="preserve">envisageable</w:t>
      </w:r>
      <w:r>
        <w:t xml:space="preserve">”</w:t>
      </w:r>
      <w:r>
        <w:t xml:space="preserve"> </w:t>
      </w:r>
      <w:r>
        <w:t xml:space="preserve">à toutes les phases de la grossesse. Les études animales n’ont pas montré d’effet tératogène. Les données humaines (plusieurs milliers de grossesses exposées) ne montrent pas d’effet malformatif, de mort fœtale ou de prématurité. La fosfomycine traverse le placenta (rapport fœto-maternel ~ 0,4–0,7) avec des concentrations amniotiques et fœtales thérapeutiques. Indication retenue : cystite aiguë de la femme enceinte (2e et 3e trimestres), pyélonéphrite en association (forme IV, hors Algérie). La fosfomycine est souvent l’antibiotique de première intention dans la cystite de la femme enceite, en raison de son profil de sécurité supérieur aux fluoroquinolones (CI) et au cotrimoxazole (CI au 1er trimestre — neural tube defects — et au 3e trimestre — ictère nucléaire).</w:t>
      </w:r>
      <w:r>
        <w:t xml:space="preserve"> </w:t>
      </w:r>
      <w:r>
        <w:t xml:space="preserve">- Allaitement : Le CRAT considère la fosfomycine</w:t>
      </w:r>
      <w:r>
        <w:t xml:space="preserve"> </w:t>
      </w:r>
      <w:r>
        <w:t xml:space="preserve">“</w:t>
      </w:r>
      <w:r>
        <w:rPr>
          <w:b/>
          <w:bCs/>
        </w:rPr>
        <w:t xml:space="preserve">compatible</w:t>
      </w:r>
      <w:r>
        <w:t xml:space="preserve">”</w:t>
      </w:r>
      <w:r>
        <w:t xml:space="preserve"> </w:t>
      </w:r>
      <w:r>
        <w:t xml:space="preserve">avec l’allaitement. Le passage dans le lait maternel est faible (rapport lait/plasma &lt; 0,2), et la dose ingérée par le nourrisson est très inférieure à la dose pédiatrique. Seule une modification transitoire de la flore intestinale du nourrisson (diarrhée, candidose) est possible. À signaler à la mère et au pédiatre.</w:t>
      </w:r>
      <w:r>
        <w:t xml:space="preserve"> </w:t>
      </w:r>
      <w:r>
        <w:t xml:space="preserve">- Précisions : La fosfomycine est l’un des rares antibiotiques considérés comme sûrs pendant la grossesse et l’allaitement, ce qui en fait un choix de première intention dans la cystite de la femme enceinte ou allaitante.</w:t>
      </w:r>
    </w:p>
    <w:p>
      <w:pPr>
        <w:pStyle w:val="BodyText"/>
      </w:pPr>
      <w:r>
        <w:rPr>
          <w:b/>
          <w:bCs/>
        </w:rPr>
        <w:t xml:space="preserve">Posologie et Mode d’administration (Standard) :</w:t>
      </w:r>
      <w:r>
        <w:t xml:space="preserve"> </w:t>
      </w:r>
      <w:r>
        <w:t xml:space="preserve">- Adulte : (1)</w:t>
      </w:r>
      <w:r>
        <w:t xml:space="preserve"> </w:t>
      </w:r>
      <w:r>
        <w:rPr>
          <w:b/>
          <w:bCs/>
        </w:rPr>
        <w:t xml:space="preserve">Cystite aiguë non compliquée de la femme</w:t>
      </w:r>
      <w:r>
        <w:t xml:space="preserve"> </w:t>
      </w:r>
      <w:r>
        <w:t xml:space="preserve">:</w:t>
      </w:r>
      <w:r>
        <w:t xml:space="preserve"> </w:t>
      </w:r>
      <w:r>
        <w:rPr>
          <w:b/>
          <w:bCs/>
        </w:rPr>
        <w:t xml:space="preserve">3 g en prise unique</w:t>
      </w:r>
      <w:r>
        <w:t xml:space="preserve"> </w:t>
      </w:r>
      <w:r>
        <w:t xml:space="preserve">(1 sachet de MONURIL ADULTE, URICARE ou URONYX) à dissoudre dans un verre d’eau, à jeun (le soir au coucher après avoir vidé la vessie est l’option optimale) ; (2)</w:t>
      </w:r>
      <w:r>
        <w:t xml:space="preserve"> </w:t>
      </w:r>
      <w:r>
        <w:rPr>
          <w:b/>
          <w:bCs/>
        </w:rPr>
        <w:t xml:space="preserve">Prophylaxie des cystites récidivantes</w:t>
      </w:r>
      <w:r>
        <w:t xml:space="preserve"> </w:t>
      </w:r>
      <w:r>
        <w:t xml:space="preserve">: 3 g tous les 10 jours pendant 3–6 mois (hors AMM, recommandations AFSSAPS) ; (3)</w:t>
      </w:r>
      <w:r>
        <w:t xml:space="preserve"> </w:t>
      </w:r>
      <w:r>
        <w:rPr>
          <w:b/>
          <w:bCs/>
        </w:rPr>
        <w:t xml:space="preserve">Forme IV</w:t>
      </w:r>
      <w:r>
        <w:t xml:space="preserve"> </w:t>
      </w:r>
      <w:r>
        <w:t xml:space="preserve">(NON_RENOUVELABLE) : 4–8 g/jour en 2–3 perfusions de 30 min, jusqu’à 12–16 g/jour en réanimation (infections sévères à BMR).</w:t>
      </w:r>
      <w:r>
        <w:t xml:space="preserve"> </w:t>
      </w:r>
      <w:r>
        <w:t xml:space="preserve">- Enfant : (1) &gt; 6 ans, &lt; 12 ans : 2 g en prise unique ; (2) &gt; 12 ans : 3 g en prise unique ; (3) &lt; 6 ans : pas de forme pédiatrique adaptée en Algérie (formes en sachet 2 g NON disponibles).</w:t>
      </w:r>
      <w:r>
        <w:t xml:space="preserve"> </w:t>
      </w:r>
      <w:r>
        <w:t xml:space="preserve">- Adaptation à l’IR : ClCr 30–50 : 3 g × 1 puis 3 g à 48 h si besoin ; ClCr &lt; 30 : 3 g × 1 (dose unique, surveillance) ; dialyse : 3 g après chaque dialyse (la fosfomycine est dialysable).</w:t>
      </w:r>
      <w:r>
        <w:t xml:space="preserve"> </w:t>
      </w:r>
      <w:r>
        <w:t xml:space="preserve">- Durée : Monodose pour la cystite ; prophylaxie 3–6 mois ; IV : 7–14 jours selon l’indication.</w:t>
      </w:r>
      <w:r>
        <w:t xml:space="preserve"> </w:t>
      </w:r>
      <w:r>
        <w:t xml:space="preserve">- Moment de prise : À jeun, de préférence le soir au coucher après avoir vidé la vessie (concentrations urinaires maximales pendant la nuit, contact prolongé avec la muqueuse vésicale).</w:t>
      </w:r>
    </w:p>
    <w:p>
      <w:pPr>
        <w:pStyle w:val="BodyText"/>
      </w:pPr>
      <w:r>
        <w:rPr>
          <w:b/>
          <w:bCs/>
        </w:rPr>
        <w:t xml:space="preserve">Arbitrage et Bénéfices des Formes Galéniques :</w:t>
      </w:r>
      <w:r>
        <w:t xml:space="preserve"> </w:t>
      </w:r>
      <w:r>
        <w:t xml:space="preserve">La fosfomycine orale en sachet de 3 g monodose est l’une des formulations les plus pratiques de l’antibiothérapie : une seule prise, observance garantie, efficacité comparable à un traitement de 5–7 jours par fluoroquinolone ou cotrimoxazole. Les trois marques algériennes (MONURIL ADULTE de ZAMBON, URICARE de BIOCARE, URONYX de ONYX) sont bioéquivalentes et substituables. Le choix se fait sur la disponibilité et le coût. La forme IV (FOSFOCINE) étant NON_RENOUVELABLE, le pharmacien hospitalier doit informer les prescripteurs de l’indisponibilité et orienter vers les alternatives (méropénème, ceftazidime-avibactam, ceftolozane-tazobactam, aminosides, colistine) pour les infections systémiques à BMR. La fosfomycine PO monodose a révolutionné la prise en charge de la cystite de la femme jeune, avec un taux de succès clinique de 85–95 % sur les</w:t>
      </w:r>
      <w:r>
        <w:t xml:space="preserve"> </w:t>
      </w:r>
      <w:r>
        <w:rPr>
          <w:i/>
          <w:iCs/>
        </w:rPr>
        <w:t xml:space="preserve">E. coli</w:t>
      </w:r>
      <w:r>
        <w:t xml:space="preserve"> </w:t>
      </w:r>
      <w:r>
        <w:t xml:space="preserve">sensibles (résistance ~ 5–10 % en Algérie selon les études régionales). Pour la femme enceinte, c’est l’option de choix au 2e et 3e trimestre.</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Ce sachet contient un antibiotique actif sur les infections urinaires basses (cystite). Vous allez le prendre en UNE SEULE FOIS, ce qui est très pratique. Dissolvez le contenu du sachet dans un grand verre d’eau, à jeun (1 heure avant ou 2 heures après un repas), de préférence le soir au coucher après avoir uriné. Buvez beaucoup d’eau pendant les 24–48 heures suivantes. Les symptômes (brûlures, envies fréquentes) doivent disparaître en 2–3 jours. Si les symptômes persistent après 3 jours, ou si vous avez de la fièvre, des douleurs lombaires, du sang dans les urines, consultez votre médecin (risque de pyélonéphrite).</w:t>
      </w:r>
      <w:r>
        <w:t xml:space="preserve">”</w:t>
      </w:r>
      <w:r>
        <w:t xml:space="preserve"> </w:t>
      </w:r>
      <w:r>
        <w:t xml:space="preserve">- Mode d’utilisation pratique : (1) Dissoudre le contenu entier du sachet dans un verre d’eau (≈ 150 mL) ; (2) Bien mélanger jusqu’à dissolution complète ; (3) Boire immédiatement ; (4) Prendre à jeun, de préférence le soir au coucher ; (5) Ne pas fractionner la dose (tout le sachet en une fois) ; (6) Hydratation abondante pendant 24–48 h.</w:t>
      </w:r>
    </w:p>
    <w:p>
      <w:pPr>
        <w:pStyle w:val="BodyText"/>
      </w:pPr>
      <w:r>
        <w:rPr>
          <w:b/>
          <w:bCs/>
        </w:rPr>
        <w:t xml:space="preserve">Notes, Règles d’Or &amp; Pièges au Comptoir :</w:t>
      </w:r>
      <w:r>
        <w:t xml:space="preserve"> </w:t>
      </w:r>
      <w:r>
        <w:t xml:space="preserve">- Piège classique n°1 :</w:t>
      </w:r>
      <w:r>
        <w:t xml:space="preserve"> </w:t>
      </w:r>
      <w:r>
        <w:rPr>
          <w:b/>
          <w:bCs/>
        </w:rPr>
        <w:t xml:space="preserve">La fosfomycine PO monodose ne traite QUE les cystites non compliquées</w:t>
      </w:r>
      <w:r>
        <w:t xml:space="preserve"> </w:t>
      </w:r>
      <w:r>
        <w:t xml:space="preserve">— elle n’est PAS indiquée dans la pyélonéphrite, la prostatite, les infections urinaires compliquées (homme, femme enceinte avec fièvre, sonde urinaire). Toute prescription de fosfomycine pour ces indications est une erreur.</w:t>
      </w:r>
      <w:r>
        <w:t xml:space="preserve"> </w:t>
      </w:r>
      <w:r>
        <w:t xml:space="preserve">- Piège classique n°2 :</w:t>
      </w:r>
      <w:r>
        <w:t xml:space="preserve"> </w:t>
      </w:r>
      <w:r>
        <w:rPr>
          <w:b/>
          <w:bCs/>
        </w:rPr>
        <w:t xml:space="preserve">Résistance croisée élevée avec cotrimoxazole et fluoroquinolones ?</w:t>
      </w:r>
      <w:r>
        <w:t xml:space="preserve"> </w:t>
      </w:r>
      <w:r>
        <w:t xml:space="preserve">— NON, la fosfomycine a un mécanisme unique, et la résistance aux autres classes n’entraîne pas de résistance à la fosfomycine. C’est précisément ce qui en fait l’alternative de choix pour les cystites à</w:t>
      </w:r>
      <w:r>
        <w:t xml:space="preserve"> </w:t>
      </w:r>
      <w:r>
        <w:rPr>
          <w:i/>
          <w:iCs/>
        </w:rPr>
        <w:t xml:space="preserve">E. coli</w:t>
      </w:r>
      <w:r>
        <w:t xml:space="preserve"> </w:t>
      </w:r>
      <w:r>
        <w:t xml:space="preserve">résistants.</w:t>
      </w:r>
      <w:r>
        <w:t xml:space="preserve"> </w:t>
      </w:r>
      <w:r>
        <w:t xml:space="preserve">- Piège classique n°3 :</w:t>
      </w:r>
      <w:r>
        <w:t xml:space="preserve"> </w:t>
      </w:r>
      <w:r>
        <w:rPr>
          <w:b/>
          <w:bCs/>
        </w:rPr>
        <w:t xml:space="preserve">Effet retardé</w:t>
      </w:r>
      <w:r>
        <w:t xml:space="preserve"> </w:t>
      </w:r>
      <w:r>
        <w:t xml:space="preserve">— les symptômes (brûlures, pollakiurie) peuvent persister 24–48 h après la prise unique. Informer la patiente pour éviter les réconsultations inutiles.</w:t>
      </w:r>
      <w:r>
        <w:t xml:space="preserve"> </w:t>
      </w:r>
      <w:r>
        <w:t xml:space="preserve">- Piège classique n°4 :</w:t>
      </w:r>
      <w:r>
        <w:t xml:space="preserve"> </w:t>
      </w:r>
      <w:r>
        <w:rPr>
          <w:b/>
          <w:bCs/>
        </w:rPr>
        <w:t xml:space="preserve">Pas de forme pédiatrique en Algérie</w:t>
      </w:r>
      <w:r>
        <w:t xml:space="preserve"> </w:t>
      </w:r>
      <w:r>
        <w:t xml:space="preserve">— la dose de 2 g pour l’enfant de 6–12 ans nécessite une forme en sachet 2 g qui n’est pas disponible en Algérie (les spécialités 3 g ne sont pas adaptées à l’enfant &lt; 12 ans). Solution : utilisez le sachet 3 g pour les enfants &gt; 30 kg (avec ajustement de dose).</w:t>
      </w:r>
      <w:r>
        <w:t xml:space="preserve"> </w:t>
      </w:r>
      <w:r>
        <w:t xml:space="preserve">- Piège classique n°5 :</w:t>
      </w:r>
      <w:r>
        <w:t xml:space="preserve"> </w:t>
      </w:r>
      <w:r>
        <w:rPr>
          <w:b/>
          <w:bCs/>
        </w:rPr>
        <w:t xml:space="preserve">Ne pas associer avec métoclopramide ou anti-acides</w:t>
      </w:r>
      <w:r>
        <w:t xml:space="preserve"> </w:t>
      </w:r>
      <w:r>
        <w:t xml:space="preserve">— diminution de l’absorption. Espacer de 2–3 h.</w:t>
      </w:r>
      <w:r>
        <w:t xml:space="preserve"> </w:t>
      </w:r>
      <w:r>
        <w:t xml:space="preserve">- Règle de prise : 1 sachet de 3 g en une seule prise, à jeun, le soir au coucher après avoir vidé la vessie.</w:t>
      </w:r>
      <w:r>
        <w:t xml:space="preserve"> </w:t>
      </w:r>
      <w:r>
        <w:t xml:space="preserve">- Préparation et Conservation : sachets à T° ambiante &lt; 25 °C, à l’abri de l’humidité ; solution reconstituée : à boire immédiatement (ne pas conserver).</w:t>
      </w:r>
      <w:r>
        <w:t xml:space="preserve"> </w:t>
      </w:r>
      <w:r>
        <w:t xml:space="preserve">- Piège du surdosage / Substitution : (a) Surdosage PO : troubles digestifs, surveillance. (b) Substitution MONURIL ADULTE ↔ URICARE ↔ URONYX : bioéquivalents, substituables. (c) Ne pas confondre les formes</w:t>
      </w:r>
      <w:r>
        <w:t xml:space="preserve"> </w:t>
      </w:r>
      <w:r>
        <w:t xml:space="preserve">“</w:t>
      </w:r>
      <w:r>
        <w:t xml:space="preserve">Adulte</w:t>
      </w:r>
      <w:r>
        <w:t xml:space="preserve">”</w:t>
      </w:r>
      <w:r>
        <w:t xml:space="preserve"> </w:t>
      </w:r>
      <w:r>
        <w:t xml:space="preserve">(3 g) et</w:t>
      </w:r>
      <w:r>
        <w:t xml:space="preserve"> </w:t>
      </w:r>
      <w:r>
        <w:t xml:space="preserve">“</w:t>
      </w:r>
      <w:r>
        <w:t xml:space="preserve">Enfant</w:t>
      </w:r>
      <w:r>
        <w:t xml:space="preserve">”</w:t>
      </w:r>
      <w:r>
        <w:t xml:space="preserve"> </w:t>
      </w:r>
      <w:r>
        <w:t xml:space="preserve">(2 g) — cette dernière n’est pas disponible en Algérie.</w:t>
      </w:r>
    </w:p>
    <w:p>
      <w:r>
        <w:pict>
          <v:rect style="width:0;height:1.5pt" o:hralign="center" o:hrstd="t" o:hr="t"/>
        </w:pict>
      </w:r>
    </w:p>
    <w:bookmarkEnd w:id="218"/>
    <w:bookmarkEnd w:id="219"/>
    <w:bookmarkStart w:id="220" w:name="X503420135e1b8030bce8590b3b976088f967509"/>
    <w:p>
      <w:pPr>
        <w:pStyle w:val="Heading2"/>
      </w:pPr>
      <w:r>
        <w:t xml:space="preserve">7.8 Tableau comparatif des 12 DCI de la section</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DCI</w:t>
            </w:r>
          </w:p>
        </w:tc>
        <w:tc>
          <w:tcPr/>
          <w:p>
            <w:pPr>
              <w:pStyle w:val="Compact"/>
              <w:jc w:val="left"/>
            </w:pPr>
            <w:r>
              <w:t xml:space="preserve">Sous-classe</w:t>
            </w:r>
          </w:p>
        </w:tc>
        <w:tc>
          <w:tcPr/>
          <w:p>
            <w:pPr>
              <w:pStyle w:val="Compact"/>
              <w:jc w:val="left"/>
            </w:pPr>
            <w:r>
              <w:t xml:space="preserve">Spectre principal</w:t>
            </w:r>
          </w:p>
        </w:tc>
        <w:tc>
          <w:tcPr/>
          <w:p>
            <w:pPr>
              <w:pStyle w:val="Compact"/>
              <w:jc w:val="left"/>
            </w:pPr>
            <w:r>
              <w:t xml:space="preserve">Cible moléculaire</w:t>
            </w:r>
          </w:p>
        </w:tc>
        <w:tc>
          <w:tcPr/>
          <w:p>
            <w:pPr>
              <w:pStyle w:val="Compact"/>
              <w:jc w:val="left"/>
            </w:pPr>
            <w:r>
              <w:t xml:space="preserve">Demi-vie</w:t>
            </w:r>
          </w:p>
        </w:tc>
        <w:tc>
          <w:tcPr/>
          <w:p>
            <w:pPr>
              <w:pStyle w:val="Compact"/>
              <w:jc w:val="left"/>
            </w:pPr>
            <w:r>
              <w:t xml:space="preserve">Élimination</w:t>
            </w:r>
          </w:p>
        </w:tc>
        <w:tc>
          <w:tcPr/>
          <w:p>
            <w:pPr>
              <w:pStyle w:val="Compact"/>
              <w:jc w:val="left"/>
            </w:pPr>
            <w:r>
              <w:t xml:space="preserve">Posologie adulte</w:t>
            </w:r>
          </w:p>
        </w:tc>
        <w:tc>
          <w:tcPr/>
          <w:p>
            <w:pPr>
              <w:pStyle w:val="Compact"/>
              <w:jc w:val="left"/>
            </w:pPr>
            <w:r>
              <w:t xml:space="preserve">EI majeur</w:t>
            </w:r>
          </w:p>
        </w:tc>
        <w:tc>
          <w:tcPr/>
          <w:p>
            <w:pPr>
              <w:pStyle w:val="Compact"/>
              <w:jc w:val="left"/>
            </w:pPr>
            <w:r>
              <w:t xml:space="preserve">Grossesse</w:t>
            </w:r>
          </w:p>
        </w:tc>
      </w:tr>
      <w:tr>
        <w:tc>
          <w:tcPr/>
          <w:p>
            <w:pPr>
              <w:pStyle w:val="Compact"/>
              <w:jc w:val="left"/>
            </w:pPr>
            <w:r>
              <w:rPr>
                <w:b/>
                <w:bCs/>
              </w:rPr>
              <w:t xml:space="preserve">Vancomycine</w:t>
            </w:r>
          </w:p>
        </w:tc>
        <w:tc>
          <w:tcPr/>
          <w:p>
            <w:pPr>
              <w:pStyle w:val="Compact"/>
              <w:jc w:val="left"/>
            </w:pPr>
            <w:r>
              <w:t xml:space="preserve">Glycopeptide</w:t>
            </w:r>
          </w:p>
        </w:tc>
        <w:tc>
          <w:tcPr/>
          <w:p>
            <w:pPr>
              <w:pStyle w:val="Compact"/>
              <w:jc w:val="left"/>
            </w:pPr>
            <w:r>
              <w:t xml:space="preserve">Gram positif (SARM, ERV sensibles,</w:t>
            </w:r>
            <w:r>
              <w:t xml:space="preserve"> </w:t>
            </w:r>
            <w:r>
              <w:rPr>
                <w:i/>
                <w:iCs/>
              </w:rPr>
              <w:t xml:space="preserve">C. difficile</w:t>
            </w:r>
            <w:r>
              <w:t xml:space="preserve">)</w:t>
            </w:r>
          </w:p>
        </w:tc>
        <w:tc>
          <w:tcPr/>
          <w:p>
            <w:pPr>
              <w:pStyle w:val="Compact"/>
              <w:jc w:val="left"/>
            </w:pPr>
            <w:r>
              <w:t xml:space="preserve">D-Ala-D-Ala (paroi)</w:t>
            </w:r>
          </w:p>
        </w:tc>
        <w:tc>
          <w:tcPr/>
          <w:p>
            <w:pPr>
              <w:pStyle w:val="Compact"/>
              <w:jc w:val="left"/>
            </w:pPr>
            <w:r>
              <w:t xml:space="preserve">6–12 h</w:t>
            </w:r>
          </w:p>
        </w:tc>
        <w:tc>
          <w:tcPr/>
          <w:p>
            <w:pPr>
              <w:pStyle w:val="Compact"/>
              <w:jc w:val="left"/>
            </w:pPr>
            <w:r>
              <w:t xml:space="preserve">Rénale (&gt; 80 %)</w:t>
            </w:r>
          </w:p>
        </w:tc>
        <w:tc>
          <w:tcPr/>
          <w:p>
            <w:pPr>
              <w:pStyle w:val="Compact"/>
              <w:jc w:val="left"/>
            </w:pPr>
            <w:r>
              <w:t xml:space="preserve">IV : 15–20 mg/kg/12 h ; PO : 125 mg × 4/j × 10 j (</w:t>
            </w:r>
            <w:r>
              <w:rPr>
                <w:i/>
                <w:iCs/>
              </w:rPr>
              <w:t xml:space="preserve">C. difficile</w:t>
            </w:r>
            <w:r>
              <w:t xml:space="preserve">)</w:t>
            </w:r>
          </w:p>
        </w:tc>
        <w:tc>
          <w:tcPr/>
          <w:p>
            <w:pPr>
              <w:pStyle w:val="Compact"/>
              <w:jc w:val="left"/>
            </w:pPr>
            <w:r>
              <w:t xml:space="preserve">Syndrome homme rouge, néphrotoxicité, ototoxicité</w:t>
            </w:r>
          </w:p>
        </w:tc>
        <w:tc>
          <w:tcPr/>
          <w:p>
            <w:pPr>
              <w:pStyle w:val="Compact"/>
              <w:jc w:val="left"/>
            </w:pPr>
            <w:r>
              <w:t xml:space="preserve">Envisageable (CRAT)</w:t>
            </w:r>
          </w:p>
        </w:tc>
      </w:tr>
      <w:tr>
        <w:tc>
          <w:tcPr/>
          <w:p>
            <w:pPr>
              <w:pStyle w:val="Compact"/>
              <w:jc w:val="left"/>
            </w:pPr>
            <w:r>
              <w:rPr>
                <w:b/>
                <w:bCs/>
              </w:rPr>
              <w:t xml:space="preserve">Teicoplanine</w:t>
            </w:r>
          </w:p>
        </w:tc>
        <w:tc>
          <w:tcPr/>
          <w:p>
            <w:pPr>
              <w:pStyle w:val="Compact"/>
              <w:jc w:val="left"/>
            </w:pPr>
            <w:r>
              <w:t xml:space="preserve">Glycopeptide</w:t>
            </w:r>
          </w:p>
        </w:tc>
        <w:tc>
          <w:tcPr/>
          <w:p>
            <w:pPr>
              <w:pStyle w:val="Compact"/>
              <w:jc w:val="left"/>
            </w:pPr>
            <w:r>
              <w:t xml:space="preserve">Gram positif (SARM, ERV VanB)</w:t>
            </w:r>
          </w:p>
        </w:tc>
        <w:tc>
          <w:tcPr/>
          <w:p>
            <w:pPr>
              <w:pStyle w:val="Compact"/>
              <w:jc w:val="left"/>
            </w:pPr>
            <w:r>
              <w:t xml:space="preserve">D-Ala-D-Ala (paroi)</w:t>
            </w:r>
          </w:p>
        </w:tc>
        <w:tc>
          <w:tcPr/>
          <w:p>
            <w:pPr>
              <w:pStyle w:val="Compact"/>
              <w:jc w:val="left"/>
            </w:pPr>
            <w:r>
              <w:t xml:space="preserve">100 h</w:t>
            </w:r>
          </w:p>
        </w:tc>
        <w:tc>
          <w:tcPr/>
          <w:p>
            <w:pPr>
              <w:pStyle w:val="Compact"/>
              <w:jc w:val="left"/>
            </w:pPr>
            <w:r>
              <w:t xml:space="preserve">Rénale (80 %)</w:t>
            </w:r>
          </w:p>
        </w:tc>
        <w:tc>
          <w:tcPr/>
          <w:p>
            <w:pPr>
              <w:pStyle w:val="Compact"/>
              <w:jc w:val="left"/>
            </w:pPr>
            <w:r>
              <w:t xml:space="preserve">6–12 mg/kg/24 h (charge)</w:t>
            </w:r>
          </w:p>
        </w:tc>
        <w:tc>
          <w:tcPr/>
          <w:p>
            <w:pPr>
              <w:pStyle w:val="Compact"/>
              <w:jc w:val="left"/>
            </w:pPr>
            <w:r>
              <w:t xml:space="preserve">Néphrotoxicité (moindre), éruption</w:t>
            </w:r>
          </w:p>
        </w:tc>
        <w:tc>
          <w:tcPr/>
          <w:p>
            <w:pPr>
              <w:pStyle w:val="Compact"/>
              <w:jc w:val="left"/>
            </w:pPr>
            <w:r>
              <w:t xml:space="preserve">Envisageable (CRAT)</w:t>
            </w:r>
          </w:p>
        </w:tc>
      </w:tr>
      <w:tr>
        <w:tc>
          <w:tcPr/>
          <w:p>
            <w:pPr>
              <w:pStyle w:val="Compact"/>
              <w:jc w:val="left"/>
            </w:pPr>
            <w:r>
              <w:rPr>
                <w:b/>
                <w:bCs/>
              </w:rPr>
              <w:t xml:space="preserve">Colistine (Polymyxine E)</w:t>
            </w:r>
          </w:p>
        </w:tc>
        <w:tc>
          <w:tcPr/>
          <w:p>
            <w:pPr>
              <w:pStyle w:val="Compact"/>
              <w:jc w:val="left"/>
            </w:pPr>
            <w:r>
              <w:t xml:space="preserve">Polypeptide (base)</w:t>
            </w:r>
          </w:p>
        </w:tc>
        <w:tc>
          <w:tcPr/>
          <w:p>
            <w:pPr>
              <w:pStyle w:val="Compact"/>
              <w:jc w:val="left"/>
            </w:pPr>
            <w:r>
              <w:t xml:space="preserve">Gram négatif (</w:t>
            </w:r>
            <w:r>
              <w:rPr>
                <w:i/>
                <w:iCs/>
              </w:rPr>
              <w:t xml:space="preserve">Pseudomonas</w:t>
            </w:r>
            <w:r>
              <w:t xml:space="preserve">, EPC)</w:t>
            </w:r>
          </w:p>
        </w:tc>
        <w:tc>
          <w:tcPr/>
          <w:p>
            <w:pPr>
              <w:pStyle w:val="Compact"/>
              <w:jc w:val="left"/>
            </w:pPr>
            <w:r>
              <w:t xml:space="preserve">LPS membrane externe + membrane interne</w:t>
            </w:r>
          </w:p>
        </w:tc>
        <w:tc>
          <w:tcPr/>
          <w:p>
            <w:pPr>
              <w:pStyle w:val="Compact"/>
              <w:jc w:val="left"/>
            </w:pPr>
            <w:r>
              <w:t xml:space="preserve">4–8 h</w:t>
            </w:r>
          </w:p>
        </w:tc>
        <w:tc>
          <w:tcPr/>
          <w:p>
            <w:pPr>
              <w:pStyle w:val="Compact"/>
              <w:jc w:val="left"/>
            </w:pPr>
            <w:r>
              <w:t xml:space="preserve">Extra-rénale (colistine base) ; rénale (CMS)</w:t>
            </w:r>
          </w:p>
        </w:tc>
        <w:tc>
          <w:tcPr/>
          <w:p>
            <w:pPr>
              <w:pStyle w:val="Compact"/>
              <w:jc w:val="left"/>
            </w:pPr>
            <w:r>
              <w:t xml:space="preserve">IV : 4,5 MUI × 2/j (CMS) ; PO, aérosol, intrathécal</w:t>
            </w:r>
          </w:p>
        </w:tc>
        <w:tc>
          <w:tcPr/>
          <w:p>
            <w:pPr>
              <w:pStyle w:val="Compact"/>
              <w:jc w:val="left"/>
            </w:pPr>
            <w:r>
              <w:t xml:space="preserve">Néphrotoxicité 30–60 %, neurotoxicité, bloc NM</w:t>
            </w:r>
          </w:p>
        </w:tc>
        <w:tc>
          <w:tcPr/>
          <w:p>
            <w:pPr>
              <w:pStyle w:val="Compact"/>
              <w:jc w:val="left"/>
            </w:pPr>
            <w:r>
              <w:t xml:space="preserve">Envisageable (CRAT)</w:t>
            </w:r>
          </w:p>
        </w:tc>
      </w:tr>
      <w:tr>
        <w:tc>
          <w:tcPr/>
          <w:p>
            <w:pPr>
              <w:pStyle w:val="Compact"/>
              <w:jc w:val="left"/>
            </w:pPr>
            <w:r>
              <w:rPr>
                <w:b/>
                <w:bCs/>
              </w:rPr>
              <w:t xml:space="preserve">Colistiméthate sodique (CMS)</w:t>
            </w:r>
          </w:p>
        </w:tc>
        <w:tc>
          <w:tcPr/>
          <w:p>
            <w:pPr>
              <w:pStyle w:val="Compact"/>
              <w:jc w:val="left"/>
            </w:pPr>
            <w:r>
              <w:t xml:space="preserve">Prodrogue de colistine</w:t>
            </w:r>
          </w:p>
        </w:tc>
        <w:tc>
          <w:tcPr/>
          <w:p>
            <w:pPr>
              <w:pStyle w:val="Compact"/>
              <w:jc w:val="left"/>
            </w:pPr>
            <w:r>
              <w:t xml:space="preserve">Gram négatif (idem colistine)</w:t>
            </w:r>
          </w:p>
        </w:tc>
        <w:tc>
          <w:tcPr/>
          <w:p>
            <w:pPr>
              <w:pStyle w:val="Compact"/>
              <w:jc w:val="left"/>
            </w:pPr>
            <w:r>
              <w:t xml:space="preserve">Hydrolyse in vivo en colistine active</w:t>
            </w:r>
          </w:p>
        </w:tc>
        <w:tc>
          <w:tcPr/>
          <w:p>
            <w:pPr>
              <w:pStyle w:val="Compact"/>
              <w:jc w:val="left"/>
            </w:pPr>
            <w:r>
              <w:t xml:space="preserve">CMS : 2–3 h ; colistine : 4–8 h</w:t>
            </w:r>
          </w:p>
        </w:tc>
        <w:tc>
          <w:tcPr/>
          <w:p>
            <w:pPr>
              <w:pStyle w:val="Compact"/>
              <w:jc w:val="left"/>
            </w:pPr>
            <w:r>
              <w:t xml:space="preserve">CMS rénale ; colistine extra-rénale</w:t>
            </w:r>
          </w:p>
        </w:tc>
        <w:tc>
          <w:tcPr/>
          <w:p>
            <w:pPr>
              <w:pStyle w:val="Compact"/>
              <w:jc w:val="left"/>
            </w:pPr>
            <w:r>
              <w:t xml:space="preserve">4,5 MUI × 2/j IV ; 1–2 MUI × 2/j aérosol</w:t>
            </w:r>
          </w:p>
        </w:tc>
        <w:tc>
          <w:tcPr/>
          <w:p>
            <w:pPr>
              <w:pStyle w:val="Compact"/>
              <w:jc w:val="left"/>
            </w:pPr>
            <w:r>
              <w:t xml:space="preserve">Idem colistine</w:t>
            </w:r>
          </w:p>
        </w:tc>
        <w:tc>
          <w:tcPr/>
          <w:p>
            <w:pPr>
              <w:pStyle w:val="Compact"/>
              <w:jc w:val="left"/>
            </w:pPr>
            <w:r>
              <w:t xml:space="preserve">Envisageable (CRAT)</w:t>
            </w:r>
          </w:p>
        </w:tc>
      </w:tr>
      <w:tr>
        <w:tc>
          <w:tcPr/>
          <w:p>
            <w:pPr>
              <w:pStyle w:val="Compact"/>
              <w:jc w:val="left"/>
            </w:pPr>
            <w:r>
              <w:rPr>
                <w:b/>
                <w:bCs/>
              </w:rPr>
              <w:t xml:space="preserve">Polymyxine B</w:t>
            </w:r>
          </w:p>
        </w:tc>
        <w:tc>
          <w:tcPr/>
          <w:p>
            <w:pPr>
              <w:pStyle w:val="Compact"/>
              <w:jc w:val="left"/>
            </w:pPr>
            <w:r>
              <w:t xml:space="preserve">Polypeptide (topique)</w:t>
            </w:r>
          </w:p>
        </w:tc>
        <w:tc>
          <w:tcPr/>
          <w:p>
            <w:pPr>
              <w:pStyle w:val="Compact"/>
              <w:jc w:val="left"/>
            </w:pPr>
            <w:r>
              <w:t xml:space="preserve">Gram négatif (</w:t>
            </w:r>
            <w:r>
              <w:rPr>
                <w:i/>
                <w:iCs/>
              </w:rPr>
              <w:t xml:space="preserve">Pseudomonas</w:t>
            </w:r>
            <w:r>
              <w:t xml:space="preserve">,</w:t>
            </w:r>
            <w:r>
              <w:t xml:space="preserve"> </w:t>
            </w:r>
            <w:r>
              <w:rPr>
                <w:i/>
                <w:iCs/>
              </w:rPr>
              <w:t xml:space="preserve">E. coli</w:t>
            </w:r>
            <w:r>
              <w:t xml:space="preserve">)</w:t>
            </w:r>
          </w:p>
        </w:tc>
        <w:tc>
          <w:tcPr/>
          <w:p>
            <w:pPr>
              <w:pStyle w:val="Compact"/>
              <w:jc w:val="left"/>
            </w:pPr>
            <w:r>
              <w:t xml:space="preserve">LPS membrane externe + membrane interne</w:t>
            </w:r>
          </w:p>
        </w:tc>
        <w:tc>
          <w:tcPr/>
          <w:p>
            <w:pPr>
              <w:pStyle w:val="Compact"/>
              <w:jc w:val="left"/>
            </w:pPr>
            <w:r>
              <w:t xml:space="preserve">—</w:t>
            </w:r>
          </w:p>
        </w:tc>
        <w:tc>
          <w:tcPr/>
          <w:p>
            <w:pPr>
              <w:pStyle w:val="Compact"/>
              <w:jc w:val="left"/>
            </w:pPr>
            <w:r>
              <w:t xml:space="preserve">Topique</w:t>
            </w:r>
          </w:p>
        </w:tc>
        <w:tc>
          <w:tcPr/>
          <w:p>
            <w:pPr>
              <w:pStyle w:val="Compact"/>
              <w:jc w:val="left"/>
            </w:pPr>
            <w:r>
              <w:t xml:space="preserve">Collyre 1 gtte × 4–6/j ; gouttes auriculaires 2–3 gttes × 2–3/j × 7 j</w:t>
            </w:r>
          </w:p>
        </w:tc>
        <w:tc>
          <w:tcPr/>
          <w:p>
            <w:pPr>
              <w:pStyle w:val="Compact"/>
              <w:jc w:val="left"/>
            </w:pPr>
            <w:r>
              <w:t xml:space="preserve">Ototoxicité (tympan perforé), allergie contact, glaucome cortisonique</w:t>
            </w:r>
          </w:p>
        </w:tc>
        <w:tc>
          <w:tcPr/>
          <w:p>
            <w:pPr>
              <w:pStyle w:val="Compact"/>
              <w:jc w:val="left"/>
            </w:pPr>
            <w:r>
              <w:t xml:space="preserve">Envisageable topique (CRAT)</w:t>
            </w:r>
          </w:p>
        </w:tc>
      </w:tr>
      <w:tr>
        <w:tc>
          <w:tcPr/>
          <w:p>
            <w:pPr>
              <w:pStyle w:val="Compact"/>
              <w:jc w:val="left"/>
            </w:pPr>
            <w:r>
              <w:rPr>
                <w:b/>
                <w:bCs/>
              </w:rPr>
              <w:t xml:space="preserve">Bacitracine</w:t>
            </w:r>
          </w:p>
        </w:tc>
        <w:tc>
          <w:tcPr/>
          <w:p>
            <w:pPr>
              <w:pStyle w:val="Compact"/>
              <w:jc w:val="left"/>
            </w:pPr>
            <w:r>
              <w:t xml:space="preserve">Polypeptide (topique)</w:t>
            </w:r>
          </w:p>
        </w:tc>
        <w:tc>
          <w:tcPr/>
          <w:p>
            <w:pPr>
              <w:pStyle w:val="Compact"/>
              <w:jc w:val="left"/>
            </w:pPr>
            <w:r>
              <w:t xml:space="preserve">Gram positif (staph, strepto)</w:t>
            </w:r>
          </w:p>
        </w:tc>
        <w:tc>
          <w:tcPr/>
          <w:p>
            <w:pPr>
              <w:pStyle w:val="Compact"/>
              <w:jc w:val="left"/>
            </w:pPr>
            <w:r>
              <w:t xml:space="preserve">Lipid II (paroi) — bloque pyrophosphate undécaprényle</w:t>
            </w:r>
          </w:p>
        </w:tc>
        <w:tc>
          <w:tcPr/>
          <w:p>
            <w:pPr>
              <w:pStyle w:val="Compact"/>
              <w:jc w:val="left"/>
            </w:pPr>
            <w:r>
              <w:t xml:space="preserve">—</w:t>
            </w:r>
          </w:p>
        </w:tc>
        <w:tc>
          <w:tcPr/>
          <w:p>
            <w:pPr>
              <w:pStyle w:val="Compact"/>
              <w:jc w:val="left"/>
            </w:pPr>
            <w:r>
              <w:t xml:space="preserve">Topique</w:t>
            </w:r>
          </w:p>
        </w:tc>
        <w:tc>
          <w:tcPr/>
          <w:p>
            <w:pPr>
              <w:pStyle w:val="Compact"/>
              <w:jc w:val="left"/>
            </w:pPr>
            <w:r>
              <w:t xml:space="preserve">Poudre dermique × 2–3/j × 7 j</w:t>
            </w:r>
          </w:p>
        </w:tc>
        <w:tc>
          <w:tcPr/>
          <w:p>
            <w:pPr>
              <w:pStyle w:val="Compact"/>
              <w:jc w:val="left"/>
            </w:pPr>
            <w:r>
              <w:t xml:space="preserve">Allergie contact (néomycine), néphrotoxicité si étendue</w:t>
            </w:r>
          </w:p>
        </w:tc>
        <w:tc>
          <w:tcPr/>
          <w:p>
            <w:pPr>
              <w:pStyle w:val="Compact"/>
              <w:jc w:val="left"/>
            </w:pPr>
            <w:r>
              <w:t xml:space="preserve">Envisageable topique (CRAT)</w:t>
            </w:r>
          </w:p>
        </w:tc>
      </w:tr>
      <w:tr>
        <w:tc>
          <w:tcPr/>
          <w:p>
            <w:pPr>
              <w:pStyle w:val="Compact"/>
              <w:jc w:val="left"/>
            </w:pPr>
            <w:r>
              <w:rPr>
                <w:b/>
                <w:bCs/>
              </w:rPr>
              <w:t xml:space="preserve">Colistine + Tétracycline + Prednisolone</w:t>
            </w:r>
          </w:p>
        </w:tc>
        <w:tc>
          <w:tcPr/>
          <w:p>
            <w:pPr>
              <w:pStyle w:val="Compact"/>
              <w:jc w:val="left"/>
            </w:pPr>
            <w:r>
              <w:t xml:space="preserve">Polypeptide (assoc. locale)</w:t>
            </w:r>
          </w:p>
        </w:tc>
        <w:tc>
          <w:tcPr/>
          <w:p>
            <w:pPr>
              <w:pStyle w:val="Compact"/>
              <w:jc w:val="left"/>
            </w:pPr>
            <w:r>
              <w:t xml:space="preserve">Large spectre (oreille)</w:t>
            </w:r>
          </w:p>
        </w:tc>
        <w:tc>
          <w:tcPr/>
          <w:p>
            <w:pPr>
              <w:pStyle w:val="Compact"/>
              <w:jc w:val="left"/>
            </w:pPr>
            <w:r>
              <w:t xml:space="preserve">LPS + 30S ribosome + GR corticoïde</w:t>
            </w:r>
          </w:p>
        </w:tc>
        <w:tc>
          <w:tcPr/>
          <w:p>
            <w:pPr>
              <w:pStyle w:val="Compact"/>
              <w:jc w:val="left"/>
            </w:pPr>
            <w:r>
              <w:t xml:space="preserve">—</w:t>
            </w:r>
          </w:p>
        </w:tc>
        <w:tc>
          <w:tcPr/>
          <w:p>
            <w:pPr>
              <w:pStyle w:val="Compact"/>
              <w:jc w:val="left"/>
            </w:pPr>
            <w:r>
              <w:t xml:space="preserve">Topique auriculaire</w:t>
            </w:r>
          </w:p>
        </w:tc>
        <w:tc>
          <w:tcPr/>
          <w:p>
            <w:pPr>
              <w:pStyle w:val="Compact"/>
              <w:jc w:val="left"/>
            </w:pPr>
            <w:r>
              <w:t xml:space="preserve">2–3 gouttes × 2–3/j × 5–7 j</w:t>
            </w:r>
          </w:p>
        </w:tc>
        <w:tc>
          <w:tcPr/>
          <w:p>
            <w:pPr>
              <w:pStyle w:val="Compact"/>
              <w:jc w:val="left"/>
            </w:pPr>
            <w:r>
              <w:t xml:space="preserve">Ototoxicité (tympan perforé), surinfection mycotique</w:t>
            </w:r>
          </w:p>
        </w:tc>
        <w:tc>
          <w:tcPr/>
          <w:p>
            <w:pPr>
              <w:pStyle w:val="Compact"/>
              <w:jc w:val="left"/>
            </w:pPr>
            <w:r>
              <w:t xml:space="preserve">Envisageable (CRAT, tympan intact)</w:t>
            </w:r>
          </w:p>
        </w:tc>
      </w:tr>
      <w:tr>
        <w:tc>
          <w:tcPr/>
          <w:p>
            <w:pPr>
              <w:pStyle w:val="Compact"/>
              <w:jc w:val="left"/>
            </w:pPr>
            <w:r>
              <w:rPr>
                <w:b/>
                <w:bCs/>
              </w:rPr>
              <w:t xml:space="preserve">Daptomycine</w:t>
            </w:r>
          </w:p>
        </w:tc>
        <w:tc>
          <w:tcPr/>
          <w:p>
            <w:pPr>
              <w:pStyle w:val="Compact"/>
              <w:jc w:val="left"/>
            </w:pPr>
            <w:r>
              <w:t xml:space="preserve">Lipopeptide</w:t>
            </w:r>
          </w:p>
        </w:tc>
        <w:tc>
          <w:tcPr/>
          <w:p>
            <w:pPr>
              <w:pStyle w:val="Compact"/>
              <w:jc w:val="left"/>
            </w:pPr>
            <w:r>
              <w:t xml:space="preserve">Gram positif (SARM, ERV)</w:t>
            </w:r>
          </w:p>
        </w:tc>
        <w:tc>
          <w:tcPr/>
          <w:p>
            <w:pPr>
              <w:pStyle w:val="Compact"/>
              <w:jc w:val="left"/>
            </w:pPr>
            <w:r>
              <w:t xml:space="preserve">Canaux ioniques membrane → dépolarisation</w:t>
            </w:r>
          </w:p>
        </w:tc>
        <w:tc>
          <w:tcPr/>
          <w:p>
            <w:pPr>
              <w:pStyle w:val="Compact"/>
              <w:jc w:val="left"/>
            </w:pPr>
            <w:r>
              <w:t xml:space="preserve">8–9 h</w:t>
            </w:r>
          </w:p>
        </w:tc>
        <w:tc>
          <w:tcPr/>
          <w:p>
            <w:pPr>
              <w:pStyle w:val="Compact"/>
              <w:jc w:val="left"/>
            </w:pPr>
            <w:r>
              <w:t xml:space="preserve">Rénale (80 %)</w:t>
            </w:r>
          </w:p>
        </w:tc>
        <w:tc>
          <w:tcPr/>
          <w:p>
            <w:pPr>
              <w:pStyle w:val="Compact"/>
              <w:jc w:val="left"/>
            </w:pPr>
            <w:r>
              <w:t xml:space="preserve">4–10 mg/kg/24 h IV</w:t>
            </w:r>
          </w:p>
        </w:tc>
        <w:tc>
          <w:tcPr/>
          <w:p>
            <w:pPr>
              <w:pStyle w:val="Compact"/>
              <w:jc w:val="left"/>
            </w:pPr>
            <w:r>
              <w:t xml:space="preserve">Myopathie (CPK), rhabdomyolyse, eosinophilic pneumonia ; CI pneumonie</w:t>
            </w:r>
          </w:p>
        </w:tc>
        <w:tc>
          <w:tcPr/>
          <w:p>
            <w:pPr>
              <w:pStyle w:val="Compact"/>
              <w:jc w:val="left"/>
            </w:pPr>
            <w:r>
              <w:t xml:space="preserve">Envisageable (CRAT)</w:t>
            </w:r>
          </w:p>
        </w:tc>
      </w:tr>
      <w:tr>
        <w:tc>
          <w:tcPr/>
          <w:p>
            <w:pPr>
              <w:pStyle w:val="Compact"/>
              <w:jc w:val="left"/>
            </w:pPr>
            <w:r>
              <w:rPr>
                <w:b/>
                <w:bCs/>
              </w:rPr>
              <w:t xml:space="preserve">Chloramphénicol</w:t>
            </w:r>
          </w:p>
        </w:tc>
        <w:tc>
          <w:tcPr/>
          <w:p>
            <w:pPr>
              <w:pStyle w:val="Compact"/>
              <w:jc w:val="left"/>
            </w:pPr>
            <w:r>
              <w:t xml:space="preserve">Amphénicolé (topique)</w:t>
            </w:r>
          </w:p>
        </w:tc>
        <w:tc>
          <w:tcPr/>
          <w:p>
            <w:pPr>
              <w:pStyle w:val="Compact"/>
              <w:jc w:val="left"/>
            </w:pPr>
            <w:r>
              <w:t xml:space="preserve">Large spectre (collyre)</w:t>
            </w:r>
          </w:p>
        </w:tc>
        <w:tc>
          <w:tcPr/>
          <w:p>
            <w:pPr>
              <w:pStyle w:val="Compact"/>
              <w:jc w:val="left"/>
            </w:pPr>
            <w:r>
              <w:t xml:space="preserve">50S peptidyl-transférase</w:t>
            </w:r>
          </w:p>
        </w:tc>
        <w:tc>
          <w:tcPr/>
          <w:p>
            <w:pPr>
              <w:pStyle w:val="Compact"/>
              <w:jc w:val="left"/>
            </w:pPr>
            <w:r>
              <w:t xml:space="preserve">—</w:t>
            </w:r>
          </w:p>
        </w:tc>
        <w:tc>
          <w:tcPr/>
          <w:p>
            <w:pPr>
              <w:pStyle w:val="Compact"/>
              <w:jc w:val="left"/>
            </w:pPr>
            <w:r>
              <w:t xml:space="preserve">Topique</w:t>
            </w:r>
          </w:p>
        </w:tc>
        <w:tc>
          <w:tcPr/>
          <w:p>
            <w:pPr>
              <w:pStyle w:val="Compact"/>
              <w:jc w:val="left"/>
            </w:pPr>
            <w:r>
              <w:t xml:space="preserve">Collyre 1 gtte × 4–6/j × 5–7 j</w:t>
            </w:r>
          </w:p>
        </w:tc>
        <w:tc>
          <w:tcPr/>
          <w:p>
            <w:pPr>
              <w:pStyle w:val="Compact"/>
              <w:jc w:val="left"/>
            </w:pPr>
            <w:r>
              <w:t xml:space="preserve">Aplasie médullaire (rare), syndrome gris bébé, allergie</w:t>
            </w:r>
          </w:p>
        </w:tc>
        <w:tc>
          <w:tcPr/>
          <w:p>
            <w:pPr>
              <w:pStyle w:val="Compact"/>
              <w:jc w:val="left"/>
            </w:pPr>
            <w:r>
              <w:t xml:space="preserve">À éviter systémique ; topique compatible</w:t>
            </w:r>
          </w:p>
        </w:tc>
      </w:tr>
      <w:tr>
        <w:tc>
          <w:tcPr/>
          <w:p>
            <w:pPr>
              <w:pStyle w:val="Compact"/>
              <w:jc w:val="left"/>
            </w:pPr>
            <w:r>
              <w:rPr>
                <w:b/>
                <w:bCs/>
              </w:rPr>
              <w:t xml:space="preserve">Thiamphénicol</w:t>
            </w:r>
          </w:p>
        </w:tc>
        <w:tc>
          <w:tcPr/>
          <w:p>
            <w:pPr>
              <w:pStyle w:val="Compact"/>
              <w:jc w:val="left"/>
            </w:pPr>
            <w:r>
              <w:t xml:space="preserve">Amphénicolé (systémique)</w:t>
            </w:r>
          </w:p>
        </w:tc>
        <w:tc>
          <w:tcPr/>
          <w:p>
            <w:pPr>
              <w:pStyle w:val="Compact"/>
              <w:jc w:val="left"/>
            </w:pPr>
            <w:r>
              <w:t xml:space="preserve">Large spectre (H. influenzae, gonocoque, anaérobies)</w:t>
            </w:r>
          </w:p>
        </w:tc>
        <w:tc>
          <w:tcPr/>
          <w:p>
            <w:pPr>
              <w:pStyle w:val="Compact"/>
              <w:jc w:val="left"/>
            </w:pPr>
            <w:r>
              <w:t xml:space="preserve">50S peptidyl-transférase</w:t>
            </w:r>
          </w:p>
        </w:tc>
        <w:tc>
          <w:tcPr/>
          <w:p>
            <w:pPr>
              <w:pStyle w:val="Compact"/>
              <w:jc w:val="left"/>
            </w:pPr>
            <w:r>
              <w:t xml:space="preserve">3 h</w:t>
            </w:r>
          </w:p>
        </w:tc>
        <w:tc>
          <w:tcPr/>
          <w:p>
            <w:pPr>
              <w:pStyle w:val="Compact"/>
              <w:jc w:val="left"/>
            </w:pPr>
            <w:r>
              <w:t xml:space="preserve">Rénale (70 %)</w:t>
            </w:r>
          </w:p>
        </w:tc>
        <w:tc>
          <w:tcPr/>
          <w:p>
            <w:pPr>
              <w:pStyle w:val="Compact"/>
              <w:jc w:val="left"/>
            </w:pPr>
            <w:r>
              <w:t xml:space="preserve">PO : 500 mg × 3–4/j × 7–10 j ; IV : 750 mg × 2/j</w:t>
            </w:r>
          </w:p>
        </w:tc>
        <w:tc>
          <w:tcPr/>
          <w:p>
            <w:pPr>
              <w:pStyle w:val="Compact"/>
              <w:jc w:val="left"/>
            </w:pPr>
            <w:r>
              <w:t xml:space="preserve">Hépatotoxicité, aplasie (rare), syndrome gris bébé</w:t>
            </w:r>
          </w:p>
        </w:tc>
        <w:tc>
          <w:tcPr/>
          <w:p>
            <w:pPr>
              <w:pStyle w:val="Compact"/>
              <w:jc w:val="left"/>
            </w:pPr>
            <w:r>
              <w:t xml:space="preserve">À éviter 3e trimestre</w:t>
            </w:r>
          </w:p>
        </w:tc>
      </w:tr>
      <w:tr>
        <w:tc>
          <w:tcPr/>
          <w:p>
            <w:pPr>
              <w:pStyle w:val="Compact"/>
              <w:jc w:val="left"/>
            </w:pPr>
            <w:r>
              <w:rPr>
                <w:b/>
                <w:bCs/>
              </w:rPr>
              <w:t xml:space="preserve">Acide fusidique</w:t>
            </w:r>
          </w:p>
        </w:tc>
        <w:tc>
          <w:tcPr/>
          <w:p>
            <w:pPr>
              <w:pStyle w:val="Compact"/>
              <w:jc w:val="left"/>
            </w:pPr>
            <w:r>
              <w:t xml:space="preserve">Acide fusidique (stéroïdien)</w:t>
            </w:r>
          </w:p>
        </w:tc>
        <w:tc>
          <w:tcPr/>
          <w:p>
            <w:pPr>
              <w:pStyle w:val="Compact"/>
              <w:jc w:val="left"/>
            </w:pPr>
            <w:r>
              <w:t xml:space="preserve">Gram positif (SARM, staph, strepto)</w:t>
            </w:r>
          </w:p>
        </w:tc>
        <w:tc>
          <w:tcPr/>
          <w:p>
            <w:pPr>
              <w:pStyle w:val="Compact"/>
              <w:jc w:val="left"/>
            </w:pPr>
            <w:r>
              <w:t xml:space="preserve">Facteur d’élongation G (EF-G)</w:t>
            </w:r>
          </w:p>
        </w:tc>
        <w:tc>
          <w:tcPr/>
          <w:p>
            <w:pPr>
              <w:pStyle w:val="Compact"/>
              <w:jc w:val="left"/>
            </w:pPr>
            <w:r>
              <w:t xml:space="preserve">5–6 h</w:t>
            </w:r>
          </w:p>
        </w:tc>
        <w:tc>
          <w:tcPr/>
          <w:p>
            <w:pPr>
              <w:pStyle w:val="Compact"/>
              <w:jc w:val="left"/>
            </w:pPr>
            <w:r>
              <w:t xml:space="preserve">Biliaire (&gt; 90 %)</w:t>
            </w:r>
          </w:p>
        </w:tc>
        <w:tc>
          <w:tcPr/>
          <w:p>
            <w:pPr>
              <w:pStyle w:val="Compact"/>
              <w:jc w:val="left"/>
            </w:pPr>
            <w:r>
              <w:t xml:space="preserve">PO : 500 mg × 3/j (en association) ; topique : 2 % × 2–3/j × 7–10 j</w:t>
            </w:r>
          </w:p>
        </w:tc>
        <w:tc>
          <w:tcPr/>
          <w:p>
            <w:pPr>
              <w:pStyle w:val="Compact"/>
              <w:jc w:val="left"/>
            </w:pPr>
            <w:r>
              <w:t xml:space="preserve">Troubles digestifs, hépatotoxicité, interaction statines</w:t>
            </w:r>
          </w:p>
        </w:tc>
        <w:tc>
          <w:tcPr/>
          <w:p>
            <w:pPr>
              <w:pStyle w:val="Compact"/>
              <w:jc w:val="left"/>
            </w:pPr>
            <w:r>
              <w:t xml:space="preserve">Envisageable (CRAT)</w:t>
            </w:r>
          </w:p>
        </w:tc>
      </w:tr>
      <w:tr>
        <w:tc>
          <w:tcPr/>
          <w:p>
            <w:pPr>
              <w:pStyle w:val="Compact"/>
              <w:jc w:val="left"/>
            </w:pPr>
            <w:r>
              <w:rPr>
                <w:b/>
                <w:bCs/>
              </w:rPr>
              <w:t xml:space="preserve">Fosfomycine</w:t>
            </w:r>
          </w:p>
        </w:tc>
        <w:tc>
          <w:tcPr/>
          <w:p>
            <w:pPr>
              <w:pStyle w:val="Compact"/>
              <w:jc w:val="left"/>
            </w:pPr>
            <w:r>
              <w:t xml:space="preserve">Phosphonique</w:t>
            </w:r>
          </w:p>
        </w:tc>
        <w:tc>
          <w:tcPr/>
          <w:p>
            <w:pPr>
              <w:pStyle w:val="Compact"/>
              <w:jc w:val="left"/>
            </w:pPr>
            <w:r>
              <w:t xml:space="preserve">Large spectre (E. coli BLSE, SARM)</w:t>
            </w:r>
          </w:p>
        </w:tc>
        <w:tc>
          <w:tcPr/>
          <w:p>
            <w:pPr>
              <w:pStyle w:val="Compact"/>
              <w:jc w:val="left"/>
            </w:pPr>
            <w:r>
              <w:t xml:space="preserve">UDP-NAG pyruvyl-transférase (MurA) — covalent</w:t>
            </w:r>
          </w:p>
        </w:tc>
        <w:tc>
          <w:tcPr/>
          <w:p>
            <w:pPr>
              <w:pStyle w:val="Compact"/>
              <w:jc w:val="left"/>
            </w:pPr>
            <w:r>
              <w:t xml:space="preserve">5–7 h</w:t>
            </w:r>
          </w:p>
        </w:tc>
        <w:tc>
          <w:tcPr/>
          <w:p>
            <w:pPr>
              <w:pStyle w:val="Compact"/>
              <w:jc w:val="left"/>
            </w:pPr>
            <w:r>
              <w:t xml:space="preserve">Rénale (100 %)</w:t>
            </w:r>
          </w:p>
        </w:tc>
        <w:tc>
          <w:tcPr/>
          <w:p>
            <w:pPr>
              <w:pStyle w:val="Compact"/>
              <w:jc w:val="left"/>
            </w:pPr>
            <w:r>
              <w:t xml:space="preserve">PO : 3 g monodose ; IV : 4–8 g/j × 2–3 (NR Algérie)</w:t>
            </w:r>
          </w:p>
        </w:tc>
        <w:tc>
          <w:tcPr/>
          <w:p>
            <w:pPr>
              <w:pStyle w:val="Compact"/>
              <w:jc w:val="left"/>
            </w:pPr>
            <w:r>
              <w:t xml:space="preserve">Troubles digestifs, candidose, hyponatrémie (IV)</w:t>
            </w:r>
          </w:p>
        </w:tc>
        <w:tc>
          <w:tcPr/>
          <w:p>
            <w:pPr>
              <w:pStyle w:val="Compact"/>
              <w:jc w:val="left"/>
            </w:pPr>
            <w:r>
              <w:t xml:space="preserve">Envisageable (CRAT) — choix cystite grossesse</w:t>
            </w:r>
          </w:p>
        </w:tc>
      </w:tr>
    </w:tbl>
    <w:p>
      <w:r>
        <w:pict>
          <v:rect style="width:0;height:1.5pt" o:hralign="center" o:hrstd="t" o:hr="t"/>
        </w:pict>
      </w:r>
    </w:p>
    <w:bookmarkEnd w:id="220"/>
    <w:bookmarkStart w:id="221" w:name="Xc1d2a87139a4d6e9cae2299104cb97450a9e1e8"/>
    <w:p>
      <w:pPr>
        <w:pStyle w:val="Heading2"/>
      </w:pPr>
      <w:r>
        <w:t xml:space="preserve">7.9 Synthèse pédagogique — Messages clés à retenir pour l’étudiant en pharmacie</w:t>
      </w:r>
    </w:p>
    <w:p>
      <w:pPr>
        <w:numPr>
          <w:ilvl w:val="0"/>
          <w:numId w:val="1323"/>
        </w:numPr>
      </w:pPr>
      <w:r>
        <w:rPr>
          <w:b/>
          <w:bCs/>
        </w:rPr>
        <w:t xml:space="preserve">Diversité structurale et mécanistique exceptionnelle</w:t>
      </w:r>
      <w:r>
        <w:t xml:space="preserve"> </w:t>
      </w:r>
      <w:r>
        <w:t xml:space="preserve">: Cette section regroupe des antibiotiques aux structures chimiques très différentes (glycopeptides macro-moléculaires, peptides cationiques, lipopeptides amphiphiles, dérivés phénylpropanediol, stéroïdes, phosphonates) et aux cibles moléculaires originales (D-Ala-D-Ala, LPS, EF-G, MurA, membrane cytoplasmique). Cette diversité explique l’absence de résistance croisée entre ces classes et justifie leur rôle d’antibiotiques de réserve.</w:t>
      </w:r>
    </w:p>
    <w:p>
      <w:pPr>
        <w:numPr>
          <w:ilvl w:val="0"/>
          <w:numId w:val="1323"/>
        </w:numPr>
      </w:pPr>
      <w:r>
        <w:rPr>
          <w:b/>
          <w:bCs/>
        </w:rPr>
        <w:t xml:space="preserve">Glycopeptides = antibiotiques anti-Gram positif de réserve</w:t>
      </w:r>
      <w:r>
        <w:t xml:space="preserve"> </w:t>
      </w:r>
      <w:r>
        <w:t xml:space="preserve">: Vancomycine (bactéricide temps-dépendant, perfusion lente ≥ 1 h, surveillance Cmin 15–20 mg/L) et teicoplanine (demi-vie longue ~ 100 h, dose de charge obligatoire, IM possible). Le syndrome de l’homme rouge de la vancomycine n’est PAS une allergie mais une réaction anaphylactoïde histaminique dose-dépendante, évitée par la lenteur de perfusion.</w:t>
      </w:r>
    </w:p>
    <w:p>
      <w:pPr>
        <w:numPr>
          <w:ilvl w:val="0"/>
          <w:numId w:val="1323"/>
        </w:numPr>
      </w:pPr>
      <w:r>
        <w:rPr>
          <w:b/>
          <w:bCs/>
        </w:rPr>
        <w:t xml:space="preserve">Polymyxines = antibiotiques anti-Gram négatif ultra-résistants</w:t>
      </w:r>
      <w:r>
        <w:t xml:space="preserve"> </w:t>
      </w:r>
      <w:r>
        <w:t xml:space="preserve">: Colistine (CMS prodrogue IV, colistine base aérosol/topique), polymyxine B (topique). Néphrotoxicité 30–60 % et neurotoxicité (bloc neuromusculaire) en font des antibiotiques de dernier recours. Conversion UI ↔ mg : 1 MUI CMS = 80 mg colistine base = 30 mg CMS sel. CI absolue : myasthénie.</w:t>
      </w:r>
    </w:p>
    <w:p>
      <w:pPr>
        <w:numPr>
          <w:ilvl w:val="0"/>
          <w:numId w:val="1323"/>
        </w:numPr>
      </w:pPr>
      <w:r>
        <w:rPr>
          <w:b/>
          <w:bCs/>
        </w:rPr>
        <w:t xml:space="preserve">Ototoxicité des polymyxines et aminosides en topique auriculaire</w:t>
      </w:r>
      <w:r>
        <w:t xml:space="preserve"> </w:t>
      </w:r>
      <w:r>
        <w:t xml:space="preserve">: Toute prescription de gouttes auriculaires contenant un aminoglycoside ou une polymyxine (OTOCROVIS, PANOTILE) impose une otoscopie préalable systématique pour vérifier l’intégrité du tympan. En cas de perforation tympanique méconnue, l’administration peut provoquer une surdité irréversible.</w:t>
      </w:r>
    </w:p>
    <w:p>
      <w:pPr>
        <w:numPr>
          <w:ilvl w:val="0"/>
          <w:numId w:val="1323"/>
        </w:numPr>
      </w:pPr>
      <w:r>
        <w:rPr>
          <w:b/>
          <w:bCs/>
        </w:rPr>
        <w:t xml:space="preserve">Daptomycine : alternative à la vancomycine, mais CI dans la pneumonie</w:t>
      </w:r>
      <w:r>
        <w:t xml:space="preserve"> </w:t>
      </w:r>
      <w:r>
        <w:t xml:space="preserve">: Bactéricide rapidement concentration-dépendant par dépolarisation membranaire. Indications : bactériémie à SARM, endocardite, infections cutanées compliquées, infections osseuses. Contre-indication relative forte : pneumonie (inactivation par le surfactant pulmonaire). Surveillance CPK hebdomadaire et arrêt des statines (risque de rhabdomyolyse).</w:t>
      </w:r>
    </w:p>
    <w:p>
      <w:pPr>
        <w:numPr>
          <w:ilvl w:val="0"/>
          <w:numId w:val="1323"/>
        </w:numPr>
      </w:pPr>
      <w:r>
        <w:rPr>
          <w:b/>
          <w:bCs/>
        </w:rPr>
        <w:t xml:space="preserve">Chloramphénicol : relégué à l’usage ophtalmologique</w:t>
      </w:r>
      <w:r>
        <w:t xml:space="preserve"> </w:t>
      </w:r>
      <w:r>
        <w:t xml:space="preserve">: Hématotoxicité (aplasie médullaire 1/25 000, syndrome gris bébé) → retrait du marché systémique. Le collyre 0,4 % (CEBENICOL) reste une option utile, mais à limiter à 7–10 jours et à surveiller (signes d’aplasie à signaler). Le thiamphénicol (dérivé méthylsulfonyl moins toxique) est NON_RENOUVELABLE en Algérie.</w:t>
      </w:r>
    </w:p>
    <w:p>
      <w:pPr>
        <w:numPr>
          <w:ilvl w:val="0"/>
          <w:numId w:val="1323"/>
        </w:numPr>
      </w:pPr>
      <w:r>
        <w:rPr>
          <w:b/>
          <w:bCs/>
        </w:rPr>
        <w:t xml:space="preserve">Acide fusidique : pilier de la pharmacie algérienne</w:t>
      </w:r>
      <w:r>
        <w:t xml:space="preserve"> </w:t>
      </w:r>
      <w:r>
        <w:t xml:space="preserve">: Plus de 10 marques disponibles (topique dermique, ophtalmologique, PO). Bonne activité anti-staphylocoque (y compris SARM). En systémique : TOUJOURS en association (résistance émergente en monothérapie, fréquence ~ 10⁻⁸). Interaction grave avec les statines : rhabdomyolyse (arrêter les statines pendant le traitement).</w:t>
      </w:r>
    </w:p>
    <w:p>
      <w:pPr>
        <w:numPr>
          <w:ilvl w:val="0"/>
          <w:numId w:val="1323"/>
        </w:numPr>
      </w:pPr>
      <w:r>
        <w:rPr>
          <w:b/>
          <w:bCs/>
        </w:rPr>
        <w:t xml:space="preserve">Fosfomycine : monodose pratique pour cystite</w:t>
      </w:r>
      <w:r>
        <w:t xml:space="preserve"> </w:t>
      </w:r>
      <w:r>
        <w:t xml:space="preserve">: Forme orale en sachet de 3 g en prise unique, idéal pour la cystite aiguë non compliquée de la femme jeune et enceinte. Mécanisme original (inactivation covalente de MurA), pas de résistance croisée avec les autres classes. La forme IV (FOSFOCINE) est NON_RENOUVELABLE en Algérie — alternative importante pour les infections systémiques à BMR non disponible.</w:t>
      </w:r>
    </w:p>
    <w:p>
      <w:pPr>
        <w:numPr>
          <w:ilvl w:val="0"/>
          <w:numId w:val="1323"/>
        </w:numPr>
      </w:pPr>
      <w:r>
        <w:rPr>
          <w:b/>
          <w:bCs/>
        </w:rPr>
        <w:t xml:space="preserve">Surveillance des taux plasmatiques</w:t>
      </w:r>
      <w:r>
        <w:t xml:space="preserve"> </w:t>
      </w:r>
      <w:r>
        <w:t xml:space="preserve">: Vancomycine (Cmin 15–20 mg/L), teicoplanine (Cmin 15–30 mg/L), colistine (Cmax 2–4 mg/L), daptomycine (CPK, pas de dosage systématique). L’adaptation à l’insuffisance rénale est impérative pour la plupart de ces molécules (vancomycine, teicoplanine, CMS, daptomycine, fosfomycine IV).</w:t>
      </w:r>
    </w:p>
    <w:p>
      <w:pPr>
        <w:numPr>
          <w:ilvl w:val="0"/>
          <w:numId w:val="1323"/>
        </w:numPr>
      </w:pPr>
      <w:r>
        <w:rPr>
          <w:b/>
          <w:bCs/>
        </w:rPr>
        <w:t xml:space="preserve">Grossesse et allaitement</w:t>
      </w:r>
      <w:r>
        <w:t xml:space="preserve"> </w:t>
      </w:r>
      <w:r>
        <w:t xml:space="preserve">: La plupart de ces antibiotiques sont</w:t>
      </w:r>
      <w:r>
        <w:t xml:space="preserve"> </w:t>
      </w:r>
      <w:r>
        <w:t xml:space="preserve">“</w:t>
      </w:r>
      <w:r>
        <w:t xml:space="preserve">envisageables</w:t>
      </w:r>
      <w:r>
        <w:t xml:space="preserve">”</w:t>
      </w:r>
      <w:r>
        <w:t xml:space="preserve"> </w:t>
      </w:r>
      <w:r>
        <w:t xml:space="preserve">selon le CRAT en cas d’infection sévère justifiée. Particularités : chloramphénicol systémique CI au 3e trimestre (syndrome gris fœtal) ; fosfomycine PO monodose = choix de première intention dans la cystite de la femme enceinte ; daptomycine et teicoplanine à réserver aux infections sévères sans alternative. L’allaitement est généralement compatible sauf pour les formes systémiques de chloramphénicol et de thiamphénicol.</w:t>
      </w:r>
    </w:p>
    <w:p>
      <w:pPr>
        <w:numPr>
          <w:ilvl w:val="0"/>
          <w:numId w:val="1323"/>
        </w:numPr>
      </w:pPr>
      <w:r>
        <w:rPr>
          <w:b/>
          <w:bCs/>
        </w:rPr>
        <w:t xml:space="preserve">Disponibilité algérienne inégale</w:t>
      </w:r>
      <w:r>
        <w:t xml:space="preserve"> </w:t>
      </w:r>
      <w:r>
        <w:t xml:space="preserve">: Vancomycine (4 marques actives), teicoplanine (3 marques actives), colistine CMS (2 marques actives), polymyxine B (7 marques actives en associations), daptomycine (1 seule marque active — DAPTOCIN), chloramphénicol (1 marque active — CEBENICOL), thiamphénicol (NON_RENOUVELABLE), bacitracine (NON_RENOUVELABLE), acide fusidique (plus de 15 marques actives), fosfomycine PO (3 marques actives), fosfomycine IV (NON_RENOUVELABLE). Le pharmacien doit connaître ces ruptures d’approvisionnement pour orienter prescripteurs et patients vers les alternatives disponibles.</w:t>
      </w:r>
    </w:p>
    <w:p>
      <w:pPr>
        <w:numPr>
          <w:ilvl w:val="0"/>
          <w:numId w:val="1323"/>
        </w:numPr>
      </w:pPr>
      <w:r>
        <w:rPr>
          <w:b/>
          <w:bCs/>
        </w:rPr>
        <w:t xml:space="preserve">Pièges transversaux</w:t>
      </w:r>
      <w:r>
        <w:t xml:space="preserve"> </w:t>
      </w:r>
      <w:r>
        <w:t xml:space="preserve">: (a) Confusion UI ↔ mg pour la colistine ; (b) syndrome homme rouge ≠ allergie pour la vancomycine ; (c) daptomycine CI dans la pneumonie ; (d) acide fusidique + statine = rhabdomyolyse ; (e) gouttes auriculaires + tympan perforé = ototoxicité ; (f) fosfomycine monodose réservée à la cystite non compliquée ; (g) chloramphénicol PO retiré du marché algérien.</w:t>
      </w:r>
    </w:p>
    <w:p>
      <w:r>
        <w:pict>
          <v:rect style="width:0;height:1.5pt" o:hralign="center" o:hrstd="t" o:hr="t"/>
        </w:pict>
      </w:r>
    </w:p>
    <w:p>
      <w:pPr>
        <w:pStyle w:val="FirstParagraph"/>
      </w:pPr>
      <w:r>
        <w:rPr>
          <w:i/>
          <w:iCs/>
        </w:rPr>
        <w:t xml:space="preserve">Fin de la Section 7 — Glycopeptides, Polypeptides, Lipopeptides, Amphénicolés, Acide fusidique, Fosfomycine.</w:t>
      </w:r>
    </w:p>
    <w:p>
      <w:r>
        <w:pict>
          <v:rect style="width:0;height:1.5pt" o:hralign="center" o:hrstd="t" o:hr="t"/>
        </w:pict>
      </w:r>
    </w:p>
    <w:bookmarkEnd w:id="221"/>
    <w:bookmarkEnd w:id="222"/>
    <w:bookmarkStart w:id="260" w:name="X816284ac46e367c9f6271b1b813bebd54a59c5e"/>
    <w:p>
      <w:pPr>
        <w:pStyle w:val="Heading1"/>
      </w:pPr>
      <w:r>
        <w:t xml:space="preserve">Section 8 — Antituberculeux &amp; Associations antibiotiques locales</w:t>
      </w:r>
    </w:p>
    <w:bookmarkStart w:id="223" w:name="sommaire-de-la-section"/>
    <w:p>
      <w:pPr>
        <w:pStyle w:val="Heading2"/>
      </w:pPr>
      <w:r>
        <w:t xml:space="preserve">Sommaire de la section</w:t>
      </w:r>
    </w:p>
    <w:p>
      <w:pPr>
        <w:pStyle w:val="Compact"/>
        <w:numPr>
          <w:ilvl w:val="0"/>
          <w:numId w:val="1324"/>
        </w:numPr>
      </w:pPr>
      <w:r>
        <w:t xml:space="preserve">8.1. Sous-classe : Antituberculeux (.place dans l’antibiothérapie, particularités PK/PD)</w:t>
      </w:r>
    </w:p>
    <w:p>
      <w:pPr>
        <w:pStyle w:val="Compact"/>
        <w:numPr>
          <w:ilvl w:val="0"/>
          <w:numId w:val="1324"/>
        </w:numPr>
      </w:pPr>
      <w:r>
        <w:t xml:space="preserve">8.2. Sous-classe : Antituberculeux/Antilépreux (note)</w:t>
      </w:r>
    </w:p>
    <w:p>
      <w:pPr>
        <w:pStyle w:val="Compact"/>
        <w:numPr>
          <w:ilvl w:val="0"/>
          <w:numId w:val="1324"/>
        </w:numPr>
      </w:pPr>
      <w:r>
        <w:t xml:space="preserve">8.3. Sous-classe : Associations antibiotiques locales (corticoïde + antibiotique, AINS + aminoglycoside)</w:t>
      </w:r>
    </w:p>
    <w:p>
      <w:pPr>
        <w:pStyle w:val="Compact"/>
        <w:numPr>
          <w:ilvl w:val="0"/>
          <w:numId w:val="1324"/>
        </w:numPr>
      </w:pPr>
      <w:r>
        <w:t xml:space="preserve">8.4. Fiches DCI (9)</w:t>
      </w:r>
    </w:p>
    <w:p>
      <w:pPr>
        <w:pStyle w:val="Compact"/>
        <w:numPr>
          <w:ilvl w:val="1"/>
          <w:numId w:val="1325"/>
        </w:numPr>
      </w:pPr>
      <w:r>
        <w:t xml:space="preserve">8.4.1. Isoniazide</w:t>
      </w:r>
    </w:p>
    <w:p>
      <w:pPr>
        <w:pStyle w:val="Compact"/>
        <w:numPr>
          <w:ilvl w:val="1"/>
          <w:numId w:val="1325"/>
        </w:numPr>
      </w:pPr>
      <w:r>
        <w:t xml:space="preserve">8.4.2. Rifampicine</w:t>
      </w:r>
    </w:p>
    <w:p>
      <w:pPr>
        <w:pStyle w:val="Compact"/>
        <w:numPr>
          <w:ilvl w:val="1"/>
          <w:numId w:val="1325"/>
        </w:numPr>
      </w:pPr>
      <w:r>
        <w:t xml:space="preserve">8.4.3. Rifampicine + Isoniazide</w:t>
      </w:r>
    </w:p>
    <w:p>
      <w:pPr>
        <w:pStyle w:val="Compact"/>
        <w:numPr>
          <w:ilvl w:val="1"/>
          <w:numId w:val="1325"/>
        </w:numPr>
      </w:pPr>
      <w:r>
        <w:t xml:space="preserve">8.4.4. Rifampicine + Isoniazide + Pyrazinamide</w:t>
      </w:r>
    </w:p>
    <w:p>
      <w:pPr>
        <w:pStyle w:val="Compact"/>
        <w:numPr>
          <w:ilvl w:val="1"/>
          <w:numId w:val="1325"/>
        </w:numPr>
      </w:pPr>
      <w:r>
        <w:t xml:space="preserve">8.4.5. Rifamycine (Rifamycine SV)</w:t>
      </w:r>
    </w:p>
    <w:p>
      <w:pPr>
        <w:pStyle w:val="Compact"/>
        <w:numPr>
          <w:ilvl w:val="1"/>
          <w:numId w:val="1325"/>
        </w:numPr>
      </w:pPr>
      <w:r>
        <w:t xml:space="preserve">8.4.6. Éthambutol</w:t>
      </w:r>
    </w:p>
    <w:p>
      <w:pPr>
        <w:pStyle w:val="Compact"/>
        <w:numPr>
          <w:ilvl w:val="1"/>
          <w:numId w:val="1325"/>
        </w:numPr>
      </w:pPr>
      <w:r>
        <w:t xml:space="preserve">8.4.7. Pyrazinamide</w:t>
      </w:r>
    </w:p>
    <w:p>
      <w:pPr>
        <w:pStyle w:val="Compact"/>
        <w:numPr>
          <w:ilvl w:val="1"/>
          <w:numId w:val="1325"/>
        </w:numPr>
      </w:pPr>
      <w:r>
        <w:t xml:space="preserve">8.4.8. Associations corticoïde + antibiotique (ophtalmologique/ORL/dermologique)</w:t>
      </w:r>
    </w:p>
    <w:p>
      <w:pPr>
        <w:pStyle w:val="Compact"/>
        <w:numPr>
          <w:ilvl w:val="1"/>
          <w:numId w:val="1325"/>
        </w:numPr>
      </w:pPr>
      <w:r>
        <w:t xml:space="preserve">8.4.9. Associations AINS + aminoglycoside (topique)</w:t>
      </w:r>
    </w:p>
    <w:p>
      <w:pPr>
        <w:pStyle w:val="Compact"/>
        <w:numPr>
          <w:ilvl w:val="0"/>
          <w:numId w:val="1324"/>
        </w:numPr>
      </w:pPr>
      <w:r>
        <w:t xml:space="preserve">8.5. Tableau comparatif des antituberculeux systémiques</w:t>
      </w:r>
    </w:p>
    <w:p>
      <w:pPr>
        <w:pStyle w:val="Compact"/>
        <w:numPr>
          <w:ilvl w:val="0"/>
          <w:numId w:val="1324"/>
        </w:numPr>
      </w:pPr>
      <w:r>
        <w:t xml:space="preserve">8.6. Synthèse pédagogique pour la pratique officinale algérienne</w:t>
      </w:r>
    </w:p>
    <w:p>
      <w:r>
        <w:pict>
          <v:rect style="width:0;height:1.5pt" o:hralign="center" o:hrstd="t" o:hr="t"/>
        </w:pict>
      </w:r>
    </w:p>
    <w:bookmarkEnd w:id="223"/>
    <w:bookmarkStart w:id="230" w:name="sous-classe-antituberculeux"/>
    <w:p>
      <w:pPr>
        <w:pStyle w:val="Heading2"/>
      </w:pPr>
      <w:r>
        <w:t xml:space="preserve">8.1. Sous-classe : Antituberculeux</w:t>
      </w:r>
    </w:p>
    <w:bookmarkStart w:id="224" w:name="X3097f2990d42b8bc03ea010a2034a51bfed76cf"/>
    <w:p>
      <w:pPr>
        <w:pStyle w:val="Heading3"/>
      </w:pPr>
      <w:r>
        <w:t xml:space="preserve">Définition et place dans l’antibiothérapie</w:t>
      </w:r>
    </w:p>
    <w:p>
      <w:pPr>
        <w:pStyle w:val="FirstParagraph"/>
      </w:pPr>
      <w:r>
        <w:t xml:space="preserve">Les antituberculeux constituent une famille singulière au sein des anti-infectieux : ils ne sont pas actifs sur la flore bactérienne communautaire habituelle, mais sont spécifiquement dirigés contre le complexe</w:t>
      </w:r>
      <w:r>
        <w:t xml:space="preserve"> </w:t>
      </w:r>
      <w:r>
        <w:rPr>
          <w:i/>
          <w:iCs/>
        </w:rPr>
        <w:t xml:space="preserve">Mycobacterium tuberculosis</w:t>
      </w:r>
      <w:r>
        <w:t xml:space="preserve"> </w:t>
      </w:r>
      <w:r>
        <w:t xml:space="preserve">(</w:t>
      </w:r>
      <w:r>
        <w:rPr>
          <w:i/>
          <w:iCs/>
        </w:rPr>
        <w:t xml:space="preserve">M. tuberculosis</w:t>
      </w:r>
      <w:r>
        <w:t xml:space="preserve">,</w:t>
      </w:r>
      <w:r>
        <w:t xml:space="preserve"> </w:t>
      </w:r>
      <w:r>
        <w:rPr>
          <w:i/>
          <w:iCs/>
        </w:rPr>
        <w:t xml:space="preserve">M. bovis</w:t>
      </w:r>
      <w:r>
        <w:t xml:space="preserve">,</w:t>
      </w:r>
      <w:r>
        <w:t xml:space="preserve"> </w:t>
      </w:r>
      <w:r>
        <w:rPr>
          <w:i/>
          <w:iCs/>
        </w:rPr>
        <w:t xml:space="preserve">M. africanum</w:t>
      </w:r>
      <w:r>
        <w:t xml:space="preserve">,</w:t>
      </w:r>
      <w:r>
        <w:t xml:space="preserve"> </w:t>
      </w:r>
      <w:r>
        <w:rPr>
          <w:i/>
          <w:iCs/>
        </w:rPr>
        <w:t xml:space="preserve">M. canettii</w:t>
      </w:r>
      <w:r>
        <w:t xml:space="preserve">), et accessoirement contre certaines mycobactéries non tuberculeuses (MNT) et</w:t>
      </w:r>
      <w:r>
        <w:t xml:space="preserve"> </w:t>
      </w:r>
      <w:r>
        <w:rPr>
          <w:i/>
          <w:iCs/>
        </w:rPr>
        <w:t xml:space="preserve">M. leprae</w:t>
      </w:r>
      <w:r>
        <w:t xml:space="preserve">. Cette spécificité tient à la particularité structurale de la paroi des mycobactéries, extrêmement riche en lipides (acide mycolique, lipoarabinomannane, arabinogalactane, cire D), qui les rend imperméables à la plupart des antibiotiques conventionnels aux concentrations atteignables</w:t>
      </w:r>
      <w:r>
        <w:t xml:space="preserve"> </w:t>
      </w:r>
      <w:r>
        <w:rPr>
          <w:i/>
          <w:iCs/>
        </w:rPr>
        <w:t xml:space="preserve">in vivo</w:t>
      </w:r>
      <w:r>
        <w:t xml:space="preserve">.</w:t>
      </w:r>
    </w:p>
    <w:bookmarkEnd w:id="224"/>
    <w:bookmarkStart w:id="225" w:name="la-particularité-mycobactérienne"/>
    <w:p>
      <w:pPr>
        <w:pStyle w:val="Heading3"/>
      </w:pPr>
      <w:r>
        <w:t xml:space="preserve">La particularité mycobactérienne</w:t>
      </w:r>
    </w:p>
    <w:p>
      <w:pPr>
        <w:pStyle w:val="FirstParagraph"/>
      </w:pPr>
      <w:r>
        <w:t xml:space="preserve">La paroi mycobactérienne est composée de quatre couches superposées : (i) une couche interne peptidoglycane, (ii) une couche d’arabinogalactane liée covalemment au peptidoglycane, (iii) une couche d’acides mycoliques à très longue chaîne (C60–C90) esterifiant l’arabinogalactane, et (iv) une couche externe de glycolipides et de lipoarabinomannane (LAM). Cette architecture explique :</w:t>
      </w:r>
    </w:p>
    <w:p>
      <w:pPr>
        <w:pStyle w:val="Compact"/>
        <w:numPr>
          <w:ilvl w:val="0"/>
          <w:numId w:val="1326"/>
        </w:numPr>
      </w:pPr>
      <w:r>
        <w:t xml:space="preserve">La croissance lente (temps de génération de 12–24 h vs 20 min pour</w:t>
      </w:r>
      <w:r>
        <w:t xml:space="preserve"> </w:t>
      </w:r>
      <w:r>
        <w:rPr>
          <w:i/>
          <w:iCs/>
        </w:rPr>
        <w:t xml:space="preserve">E. coli</w:t>
      </w:r>
      <w:r>
        <w:t xml:space="preserve">), imposant des traitements prolongés ;</w:t>
      </w:r>
    </w:p>
    <w:p>
      <w:pPr>
        <w:pStyle w:val="Compact"/>
        <w:numPr>
          <w:ilvl w:val="0"/>
          <w:numId w:val="1326"/>
        </w:numPr>
      </w:pPr>
      <w:r>
        <w:t xml:space="preserve">La résistance intrinsèque à de nombreux antibiotiques (imperméabilité) ;</w:t>
      </w:r>
    </w:p>
    <w:p>
      <w:pPr>
        <w:pStyle w:val="Compact"/>
        <w:numPr>
          <w:ilvl w:val="0"/>
          <w:numId w:val="1326"/>
        </w:numPr>
      </w:pPr>
      <w:r>
        <w:t xml:space="preserve">La nécessité de cibles spécifiques de la synthèse pariétale mycobactérienne (acide mycolique, arabinogalactane) ou du métabolisme mycobactérien spécifique.</w:t>
      </w:r>
    </w:p>
    <w:bookmarkEnd w:id="225"/>
    <w:bookmarkStart w:id="226" w:name="classification-oms-des-antituberculeux"/>
    <w:p>
      <w:pPr>
        <w:pStyle w:val="Heading3"/>
      </w:pPr>
      <w:r>
        <w:t xml:space="preserve">Classification OMS des antituberculeux</w:t>
      </w:r>
    </w:p>
    <w:p>
      <w:pPr>
        <w:pStyle w:val="FirstParagraph"/>
      </w:pPr>
      <w:r>
        <w:t xml:space="preserve">L’OMS classe les antituberculeux en cinq groupes (regroupement révisé en 2019–2020) :</w:t>
      </w:r>
    </w:p>
    <w:p>
      <w:pPr>
        <w:pStyle w:val="Compact"/>
        <w:numPr>
          <w:ilvl w:val="0"/>
          <w:numId w:val="1327"/>
        </w:numPr>
      </w:pPr>
      <w:r>
        <w:rPr>
          <w:b/>
          <w:bCs/>
        </w:rPr>
        <w:t xml:space="preserve">Groupe A</w:t>
      </w:r>
      <w:r>
        <w:t xml:space="preserve"> </w:t>
      </w:r>
      <w:r>
        <w:t xml:space="preserve">(antituberculeux de première ligne essentiels) : Lévofloxacine, Moxifloxacine, Béd aquiline, Linezolide ;</w:t>
      </w:r>
    </w:p>
    <w:p>
      <w:pPr>
        <w:pStyle w:val="Compact"/>
        <w:numPr>
          <w:ilvl w:val="0"/>
          <w:numId w:val="1327"/>
        </w:numPr>
      </w:pPr>
      <w:r>
        <w:rPr>
          <w:b/>
          <w:bCs/>
        </w:rPr>
        <w:t xml:space="preserve">Groupe B</w:t>
      </w:r>
      <w:r>
        <w:t xml:space="preserve"> </w:t>
      </w:r>
      <w:r>
        <w:t xml:space="preserve">(de première ligne additionnels) : Clofazimine, Cyclosérine ;</w:t>
      </w:r>
    </w:p>
    <w:p>
      <w:pPr>
        <w:pStyle w:val="Compact"/>
        <w:numPr>
          <w:ilvl w:val="0"/>
          <w:numId w:val="1327"/>
        </w:numPr>
      </w:pPr>
      <w:r>
        <w:rPr>
          <w:b/>
          <w:bCs/>
        </w:rPr>
        <w:t xml:space="preserve">Groupe C</w:t>
      </w:r>
      <w:r>
        <w:t xml:space="preserve"> </w:t>
      </w:r>
      <w:r>
        <w:t xml:space="preserve">(de seconde ligne) : Éthionamide/Prothionamide, Pyrazinamide, Imipénème-cilastatine, Méropénème, Amikacine (ou Streptomycine), Éthambutol ;</w:t>
      </w:r>
    </w:p>
    <w:p>
      <w:pPr>
        <w:pStyle w:val="Compact"/>
        <w:numPr>
          <w:ilvl w:val="0"/>
          <w:numId w:val="1327"/>
        </w:numPr>
      </w:pPr>
      <w:r>
        <w:rPr>
          <w:b/>
          <w:bCs/>
        </w:rPr>
        <w:t xml:space="preserve">Médicaments de première ligne classique (schéma standard)</w:t>
      </w:r>
      <w:r>
        <w:t xml:space="preserve"> </w:t>
      </w:r>
      <w:r>
        <w:t xml:space="preserve">: Isoniazide (H), Rifampicine (R), Pyrazinamide (Z), Éthambutol (E) — abréviations OMS.</w:t>
      </w:r>
    </w:p>
    <w:p>
      <w:pPr>
        <w:pStyle w:val="FirstParagraph"/>
      </w:pPr>
      <w:r>
        <w:t xml:space="preserve">Le schéma thérapeutique standard de la tuberculose sensible (TBS) repose sur la quadrithérapie</w:t>
      </w:r>
      <w:r>
        <w:t xml:space="preserve"> </w:t>
      </w:r>
      <w:r>
        <w:rPr>
          <w:b/>
          <w:bCs/>
        </w:rPr>
        <w:t xml:space="preserve">2HRZE/4HR</w:t>
      </w:r>
      <w:r>
        <w:t xml:space="preserve"> </w:t>
      </w:r>
      <w:r>
        <w:t xml:space="preserve">: 2 mois d’Isoniazide + Rifampicine + Pyrazinamide + Éthambutol, suivis de 4 mois d’Isoniazide + Rifampicine, soit 6 mois au total. Cette stratégie combine :</w:t>
      </w:r>
    </w:p>
    <w:p>
      <w:pPr>
        <w:pStyle w:val="Compact"/>
        <w:numPr>
          <w:ilvl w:val="0"/>
          <w:numId w:val="1328"/>
        </w:numPr>
      </w:pPr>
      <w:r>
        <w:t xml:space="preserve">Médicaments bactéricides (H, R) ;</w:t>
      </w:r>
    </w:p>
    <w:p>
      <w:pPr>
        <w:pStyle w:val="Compact"/>
        <w:numPr>
          <w:ilvl w:val="0"/>
          <w:numId w:val="1328"/>
        </w:numPr>
      </w:pPr>
      <w:r>
        <w:t xml:space="preserve">Médicaments stérilisants (R, Z) capables d’éliminer les bacilles quiescents ;</w:t>
      </w:r>
    </w:p>
    <w:p>
      <w:pPr>
        <w:pStyle w:val="Compact"/>
        <w:numPr>
          <w:ilvl w:val="0"/>
          <w:numId w:val="1328"/>
        </w:numPr>
      </w:pPr>
      <w:r>
        <w:t xml:space="preserve">Médicaments prévenant l’émergence de résistances (E, Z).</w:t>
      </w:r>
    </w:p>
    <w:bookmarkEnd w:id="226"/>
    <w:bookmarkStart w:id="227" w:name="Xb061705a902f21e8c8a418947c693dc28ce97d2"/>
    <w:p>
      <w:pPr>
        <w:pStyle w:val="Heading3"/>
      </w:pPr>
      <w:r>
        <w:t xml:space="preserve">Spécificités pharmacocinétiques partagées</w:t>
      </w:r>
    </w:p>
    <w:p>
      <w:pPr>
        <w:pStyle w:val="Compact"/>
        <w:numPr>
          <w:ilvl w:val="0"/>
          <w:numId w:val="1329"/>
        </w:numPr>
      </w:pPr>
      <w:r>
        <w:rPr>
          <w:b/>
          <w:bCs/>
        </w:rPr>
        <w:t xml:space="preserve">Demi-vies courtes</w:t>
      </w:r>
      <w:r>
        <w:t xml:space="preserve"> </w:t>
      </w:r>
      <w:r>
        <w:t xml:space="preserve">nécessitant une prise quotidienne (H : 1–4 h ; R : 2–5 h ; Z : 9–10 h ; E : 2–4 h) ;</w:t>
      </w:r>
    </w:p>
    <w:p>
      <w:pPr>
        <w:pStyle w:val="Compact"/>
        <w:numPr>
          <w:ilvl w:val="0"/>
          <w:numId w:val="1329"/>
        </w:numPr>
      </w:pPr>
      <w:r>
        <w:rPr>
          <w:b/>
          <w:bCs/>
        </w:rPr>
        <w:t xml:space="preserve">Métabolisme hépatique prédominant</w:t>
      </w:r>
      <w:r>
        <w:t xml:space="preserve"> </w:t>
      </w:r>
      <w:r>
        <w:t xml:space="preserve">(cytochromes P450 pour R, N-acétyltransférase 2 pour H), à l’origine d’hépatotoxicité commune ;</w:t>
      </w:r>
    </w:p>
    <w:p>
      <w:pPr>
        <w:pStyle w:val="Compact"/>
        <w:numPr>
          <w:ilvl w:val="0"/>
          <w:numId w:val="1329"/>
        </w:numPr>
      </w:pPr>
      <w:r>
        <w:rPr>
          <w:b/>
          <w:bCs/>
        </w:rPr>
        <w:t xml:space="preserve">Diffusion intracellulaire</w:t>
      </w:r>
      <w:r>
        <w:t xml:space="preserve"> </w:t>
      </w:r>
      <w:r>
        <w:t xml:space="preserve">remarquable (macro phages, tuberculomes) car les mycobactéries sont des pathogènes intracellulaires facultatifs ;</w:t>
      </w:r>
    </w:p>
    <w:p>
      <w:pPr>
        <w:pStyle w:val="Compact"/>
        <w:numPr>
          <w:ilvl w:val="0"/>
          <w:numId w:val="1329"/>
        </w:numPr>
      </w:pPr>
      <w:r>
        <w:rPr>
          <w:b/>
          <w:bCs/>
        </w:rPr>
        <w:t xml:space="preserve">Inducteurs/inhibiteurs enzymatiques puissants</w:t>
      </w:r>
      <w:r>
        <w:t xml:space="preserve">, source d’interactions médicamenteuses majeures (rifampicine = inducteur pan-CYP) ;</w:t>
      </w:r>
    </w:p>
    <w:p>
      <w:pPr>
        <w:pStyle w:val="Compact"/>
        <w:numPr>
          <w:ilvl w:val="0"/>
          <w:numId w:val="1329"/>
        </w:numPr>
      </w:pPr>
      <w:r>
        <w:rPr>
          <w:b/>
          <w:bCs/>
        </w:rPr>
        <w:t xml:space="preserve">Nécessité d’une observance parfaite</w:t>
      </w:r>
      <w:r>
        <w:t xml:space="preserve"> </w:t>
      </w:r>
      <w:r>
        <w:t xml:space="preserve">sous peine d’émergence de résistances monothérapie-dépendantes (résistance primaire, secondaire, multirésistance MDR-TB, XDR-TB).</w:t>
      </w:r>
    </w:p>
    <w:bookmarkEnd w:id="227"/>
    <w:bookmarkStart w:id="228" w:name="contexte-épidémiologique-algérien"/>
    <w:p>
      <w:pPr>
        <w:pStyle w:val="Heading3"/>
      </w:pPr>
      <w:r>
        <w:t xml:space="preserve">Contexte épidémiologique algérien</w:t>
      </w:r>
    </w:p>
    <w:p>
      <w:pPr>
        <w:pStyle w:val="FirstParagraph"/>
      </w:pPr>
      <w:r>
        <w:t xml:space="preserve">L’Algérie est un pays à incidence tuberculeuse intermédiaire (environ 50–60 nouveaux cas pour 100 000 habitants/an, avec des disparités régionales : Hoggar, Tamanrasset, régions du Sud plus exposées). Le Programme National de Lutte Antituberculeuse (PNLAT) algérien repose sur :</w:t>
      </w:r>
    </w:p>
    <w:p>
      <w:pPr>
        <w:pStyle w:val="Compact"/>
        <w:numPr>
          <w:ilvl w:val="0"/>
          <w:numId w:val="1330"/>
        </w:numPr>
      </w:pPr>
      <w:r>
        <w:t xml:space="preserve">La détection par microscopie et culture (méthodes moléculaires GeneXpert MTB/RIF) ;</w:t>
      </w:r>
    </w:p>
    <w:p>
      <w:pPr>
        <w:pStyle w:val="Compact"/>
        <w:numPr>
          <w:ilvl w:val="0"/>
          <w:numId w:val="1330"/>
        </w:numPr>
      </w:pPr>
      <w:r>
        <w:t xml:space="preserve">Le traitement gratuit et standardisé selon le schéma OMS 2HRZE/4HR (directement observé, DOT) pour les formes sensibles ;</w:t>
      </w:r>
    </w:p>
    <w:p>
      <w:pPr>
        <w:pStyle w:val="Compact"/>
        <w:numPr>
          <w:ilvl w:val="0"/>
          <w:numId w:val="1330"/>
        </w:numPr>
      </w:pPr>
      <w:r>
        <w:t xml:space="preserve">La prise en charge des MDR-TB dans les structures spécialisées (CHU Mustapha, Oran, Constantine) avec schémas individualisés longs (9–20 mois).</w:t>
      </w:r>
    </w:p>
    <w:p>
      <w:pPr>
        <w:pStyle w:val="FirstParagraph"/>
      </w:pPr>
      <w:r>
        <w:t xml:space="preserve">Le pharmacien d’officine algérien joue un rôle stratégique dans :</w:t>
      </w:r>
    </w:p>
    <w:p>
      <w:pPr>
        <w:pStyle w:val="Compact"/>
        <w:numPr>
          <w:ilvl w:val="0"/>
          <w:numId w:val="1331"/>
        </w:numPr>
      </w:pPr>
      <w:r>
        <w:t xml:space="preserve">La</w:t>
      </w:r>
      <w:r>
        <w:t xml:space="preserve"> </w:t>
      </w:r>
      <w:r>
        <w:rPr>
          <w:b/>
          <w:bCs/>
        </w:rPr>
        <w:t xml:space="preserve">dispensation</w:t>
      </w:r>
      <w:r>
        <w:t xml:space="preserve"> </w:t>
      </w:r>
      <w:r>
        <w:t xml:space="preserve">des spécialités antituberculeuses ( Liste I, délivrance sur ordonnance du médecin pneumologue ou du médecin du PNLAT) ;</w:t>
      </w:r>
    </w:p>
    <w:p>
      <w:pPr>
        <w:pStyle w:val="Compact"/>
        <w:numPr>
          <w:ilvl w:val="0"/>
          <w:numId w:val="1331"/>
        </w:numPr>
      </w:pPr>
      <w:r>
        <w:t xml:space="preserve">L’</w:t>
      </w:r>
      <w:r>
        <w:rPr>
          <w:b/>
          <w:bCs/>
        </w:rPr>
        <w:t xml:space="preserve">observance</w:t>
      </w:r>
      <w:r>
        <w:t xml:space="preserve"> </w:t>
      </w:r>
      <w:r>
        <w:t xml:space="preserve">(éducation thérapeutique, gestion des oublis, repérage des EI : couleur des urines, ictère, troubles visuels) ;</w:t>
      </w:r>
    </w:p>
    <w:p>
      <w:pPr>
        <w:pStyle w:val="Compact"/>
        <w:numPr>
          <w:ilvl w:val="0"/>
          <w:numId w:val="1331"/>
        </w:numPr>
      </w:pPr>
      <w:r>
        <w:t xml:space="preserve">Le</w:t>
      </w:r>
      <w:r>
        <w:t xml:space="preserve"> </w:t>
      </w:r>
      <w:r>
        <w:rPr>
          <w:b/>
          <w:bCs/>
        </w:rPr>
        <w:t xml:space="preserve">suivi des interactions</w:t>
      </w:r>
      <w:r>
        <w:t xml:space="preserve"> </w:t>
      </w:r>
      <w:r>
        <w:t xml:space="preserve">(contraception orale, AVK, antirétroviraux, anticonvulsivants) ;</w:t>
      </w:r>
    </w:p>
    <w:p>
      <w:pPr>
        <w:pStyle w:val="Compact"/>
        <w:numPr>
          <w:ilvl w:val="0"/>
          <w:numId w:val="1331"/>
        </w:numPr>
      </w:pPr>
      <w:r>
        <w:t xml:space="preserve">La</w:t>
      </w:r>
      <w:r>
        <w:t xml:space="preserve"> </w:t>
      </w:r>
      <w:r>
        <w:rPr>
          <w:b/>
          <w:bCs/>
        </w:rPr>
        <w:t xml:space="preserve">vigilance hépatique</w:t>
      </w:r>
      <w:r>
        <w:t xml:space="preserve"> </w:t>
      </w:r>
      <w:r>
        <w:t xml:space="preserve">(surveillance ASAT/ALAT, vérification de l’absence de signes d’hépatotoxicité).</w:t>
      </w:r>
    </w:p>
    <w:bookmarkEnd w:id="228"/>
    <w:bookmarkStart w:id="229" w:name="note-sur-la-disponibilité-actuelle"/>
    <w:p>
      <w:pPr>
        <w:pStyle w:val="Heading3"/>
      </w:pPr>
      <w:r>
        <w:t xml:space="preserve">Note sur la disponibilité actuelle</w:t>
      </w:r>
    </w:p>
    <w:p>
      <w:pPr>
        <w:pStyle w:val="FirstParagraph"/>
      </w:pPr>
      <w:r>
        <w:t xml:space="preserve">Une particularité majeure du marché algérien mérite d’être soulignée d’emblée : la majorité des spécialités antituberculeuses systémiques de la nomenclature avril 2026 sont en statut</w:t>
      </w:r>
      <w:r>
        <w:t xml:space="preserve"> </w:t>
      </w:r>
      <w:r>
        <w:rPr>
          <w:b/>
          <w:bCs/>
        </w:rPr>
        <w:t xml:space="preserve">NON_RENOUVELABLE</w:t>
      </w:r>
      <w:r>
        <w:t xml:space="preserve"> </w:t>
      </w:r>
      <w:r>
        <w:t xml:space="preserve">ou</w:t>
      </w:r>
      <w:r>
        <w:t xml:space="preserve"> </w:t>
      </w:r>
      <w:r>
        <w:rPr>
          <w:b/>
          <w:bCs/>
        </w:rPr>
        <w:t xml:space="preserve">RETRAIT</w:t>
      </w:r>
      <w:r>
        <w:t xml:space="preserve">. Les antituberculeux de première ligne (H, R, Z, E) sont en pratique distribués via le circuit PNLAT (médicaments fournis gratuitement par le Ministère de la Santé) et ne transitent plus systématiquement par le circuit pharmaceutique commercial classique. Le pharmacien d’officina doit cependant connaître ces molécules, leurs EI et interactions, car il est fréquemment sollicité pour le suivi des patients traités (observance, EI, interactions avec les comorbidités).</w:t>
      </w:r>
    </w:p>
    <w:p>
      <w:r>
        <w:pict>
          <v:rect style="width:0;height:1.5pt" o:hralign="center" o:hrstd="t" o:hr="t"/>
        </w:pict>
      </w:r>
    </w:p>
    <w:bookmarkEnd w:id="229"/>
    <w:bookmarkEnd w:id="230"/>
    <w:bookmarkStart w:id="231" w:name="sous-classe-antituberculeuxantilépreux"/>
    <w:p>
      <w:pPr>
        <w:pStyle w:val="Heading2"/>
      </w:pPr>
      <w:r>
        <w:t xml:space="preserve">8.2. Sous-classe : Antituberculeux/Antilépreux</w:t>
      </w:r>
    </w:p>
    <w:p>
      <w:pPr>
        <w:pStyle w:val="FirstParagraph"/>
      </w:pPr>
      <w:r>
        <w:t xml:space="preserve">Bien que l’antituberculeux rifampicine soit également utilisé dans le traitement multibacillaire de la lèpre (dose unique mensuelle de 600 mg dans le schéma OMS PCT-MB : rifampicine + clofazimine + dapsone), la nomenclature algérienne ne comporte pas de spécialités spécifiquement étiquetées « antilépreux » indépendantes. La dapsone (diaminodiphénylsulfone) et la clofazimine ne figurent pas dans le fichier source ; elles sont distribuées via le programme national de lutte contre la lèpre, le plus souvent en importation exceptionnelle ou via les structures spécialisées. Le pharmacien doit néanmoins connaître la rifampicine comme antilépreux majeur (bactéricide bref à forte dose, 600 mg une fois/mois) et savoir que les associations pharmaceutiques contenant de la rifampicine sont incompatibles avec l’auto-médication du fait des interactions enzymatiques majeures.</w:t>
      </w:r>
    </w:p>
    <w:p>
      <w:r>
        <w:pict>
          <v:rect style="width:0;height:1.5pt" o:hralign="center" o:hrstd="t" o:hr="t"/>
        </w:pict>
      </w:r>
    </w:p>
    <w:bookmarkEnd w:id="231"/>
    <w:bookmarkStart w:id="236" w:name="X40a4bb5182cb11d34ea28f513f48fbaa71bb9b7"/>
    <w:p>
      <w:pPr>
        <w:pStyle w:val="Heading2"/>
      </w:pPr>
      <w:r>
        <w:t xml:space="preserve">8.3. Sous-classe : Associations antibiotiques locales</w:t>
      </w:r>
    </w:p>
    <w:bookmarkStart w:id="232" w:name="définition"/>
    <w:p>
      <w:pPr>
        <w:pStyle w:val="Heading3"/>
      </w:pPr>
      <w:r>
        <w:t xml:space="preserve">Définition</w:t>
      </w:r>
    </w:p>
    <w:p>
      <w:pPr>
        <w:pStyle w:val="FirstParagraph"/>
      </w:pPr>
      <w:r>
        <w:t xml:space="preserve">Les associations antibiotiques locales (topiques) regroupent les spécialités destinées à une application locale (ophtalmique, ORL/nasale/auriculaire, dermologique) combinant un antibiotique (ou un antifongique) à un autre principe actif (corticoïde, AINS, voire autre antibiotique). Elles visent à :</w:t>
      </w:r>
    </w:p>
    <w:p>
      <w:pPr>
        <w:pStyle w:val="Compact"/>
        <w:numPr>
          <w:ilvl w:val="0"/>
          <w:numId w:val="1332"/>
        </w:numPr>
      </w:pPr>
      <w:r>
        <w:rPr>
          <w:b/>
          <w:bCs/>
        </w:rPr>
        <w:t xml:space="preserve">Élargir le spectre</w:t>
      </w:r>
      <w:r>
        <w:t xml:space="preserve"> </w:t>
      </w:r>
      <w:r>
        <w:t xml:space="preserve">(couverture Gram +/Gram −/anaérobies, antifongique associé) ;</w:t>
      </w:r>
    </w:p>
    <w:p>
      <w:pPr>
        <w:pStyle w:val="Compact"/>
        <w:numPr>
          <w:ilvl w:val="0"/>
          <w:numId w:val="1332"/>
        </w:numPr>
      </w:pPr>
      <w:r>
        <w:rPr>
          <w:b/>
          <w:bCs/>
        </w:rPr>
        <w:t xml:space="preserve">Associer un effet anti-inflammatoire</w:t>
      </w:r>
      <w:r>
        <w:t xml:space="preserve"> </w:t>
      </w:r>
      <w:r>
        <w:t xml:space="preserve">puissant au traitement anti-infectieux (utile dans les inflammations sévères : conjonctivites, otites externes, dermatites surinfectées) ;</w:t>
      </w:r>
    </w:p>
    <w:p>
      <w:pPr>
        <w:pStyle w:val="Compact"/>
        <w:numPr>
          <w:ilvl w:val="0"/>
          <w:numId w:val="1332"/>
        </w:numPr>
      </w:pPr>
      <w:r>
        <w:rPr>
          <w:b/>
          <w:bCs/>
        </w:rPr>
        <w:t xml:space="preserve">Améliorer l’observance</w:t>
      </w:r>
      <w:r>
        <w:t xml:space="preserve"> </w:t>
      </w:r>
      <w:r>
        <w:t xml:space="preserve">en réduisant le nombre d’instillations/applications ;</w:t>
      </w:r>
    </w:p>
    <w:p>
      <w:pPr>
        <w:pStyle w:val="Compact"/>
        <w:numPr>
          <w:ilvl w:val="0"/>
          <w:numId w:val="1332"/>
        </w:numPr>
      </w:pPr>
      <w:r>
        <w:rPr>
          <w:b/>
          <w:bCs/>
        </w:rPr>
        <w:t xml:space="preserve">Réduire l’œdème</w:t>
      </w:r>
      <w:r>
        <w:t xml:space="preserve"> </w:t>
      </w:r>
      <w:r>
        <w:t xml:space="preserve">local, facteur d’efficacité antibactérienne (meilleure diffusion de l’antibiotique quand l’inflammation est contrôlée).</w:t>
      </w:r>
    </w:p>
    <w:bookmarkEnd w:id="232"/>
    <w:bookmarkStart w:id="233" w:name="Xbdedb27f3a0dd4dc0f7d0dfb058e02c426c2b57"/>
    <w:p>
      <w:pPr>
        <w:pStyle w:val="Heading3"/>
      </w:pPr>
      <w:r>
        <w:t xml:space="preserve">Particularités galéniques et pharmaceutiques</w:t>
      </w:r>
    </w:p>
    <w:p>
      <w:pPr>
        <w:pStyle w:val="Compact"/>
        <w:numPr>
          <w:ilvl w:val="0"/>
          <w:numId w:val="1333"/>
        </w:numPr>
      </w:pPr>
      <w:r>
        <w:rPr>
          <w:b/>
          <w:bCs/>
        </w:rPr>
        <w:t xml:space="preserve">Formes ophtalmiques</w:t>
      </w:r>
      <w:r>
        <w:t xml:space="preserve"> </w:t>
      </w:r>
      <w:r>
        <w:t xml:space="preserve">: collyres (solutions, suspensions), pommades ophtalmiques en récipient unidose ou en tube. Conservateurs (chlorure de benzalkonium) à connaître pour porteurs de lentilles et enfants.</w:t>
      </w:r>
    </w:p>
    <w:p>
      <w:pPr>
        <w:pStyle w:val="Compact"/>
        <w:numPr>
          <w:ilvl w:val="0"/>
          <w:numId w:val="1333"/>
        </w:numPr>
      </w:pPr>
      <w:r>
        <w:rPr>
          <w:b/>
          <w:bCs/>
        </w:rPr>
        <w:t xml:space="preserve">Formes ORL</w:t>
      </w:r>
      <w:r>
        <w:t xml:space="preserve"> </w:t>
      </w:r>
      <w:r>
        <w:t xml:space="preserve">: solutions auriculaires (gouttes), suspensions nasales (spray), suspensions endo-sinusiennes (nébulisation).</w:t>
      </w:r>
    </w:p>
    <w:p>
      <w:pPr>
        <w:pStyle w:val="Compact"/>
        <w:numPr>
          <w:ilvl w:val="0"/>
          <w:numId w:val="1333"/>
        </w:numPr>
      </w:pPr>
      <w:r>
        <w:rPr>
          <w:b/>
          <w:bCs/>
        </w:rPr>
        <w:t xml:space="preserve">Formes dermologiques</w:t>
      </w:r>
      <w:r>
        <w:t xml:space="preserve"> </w:t>
      </w:r>
      <w:r>
        <w:t xml:space="preserve">: pommades, crèmes. Particularité de la néomycine (aminoside) – sensibilisante, à éviter en application prolongée ou étendue.</w:t>
      </w:r>
    </w:p>
    <w:bookmarkEnd w:id="233"/>
    <w:bookmarkStart w:id="234" w:name="X573f1ee118108505a473cc9f9e0fc29be475330"/>
    <w:p>
      <w:pPr>
        <w:pStyle w:val="Heading3"/>
      </w:pPr>
      <w:r>
        <w:t xml:space="preserve">Cinq grandes associations identifiées en Algérie</w:t>
      </w:r>
    </w:p>
    <w:p>
      <w:pPr>
        <w:pStyle w:val="Compact"/>
        <w:numPr>
          <w:ilvl w:val="0"/>
          <w:numId w:val="1334"/>
        </w:numPr>
      </w:pPr>
      <w:r>
        <w:rPr>
          <w:b/>
          <w:bCs/>
        </w:rPr>
        <w:t xml:space="preserve">Nystatine + Triamcinolone + Néomycine</w:t>
      </w:r>
      <w:r>
        <w:t xml:space="preserve"> </w:t>
      </w:r>
      <w:r>
        <w:t xml:space="preserve">(dermologie) : antibiotique + antifongique + corticoïde (voire quadrithérapie avec un second antibiotique) pour dermatoses surinfectées ;</w:t>
      </w:r>
    </w:p>
    <w:p>
      <w:pPr>
        <w:pStyle w:val="Compact"/>
        <w:numPr>
          <w:ilvl w:val="0"/>
          <w:numId w:val="1334"/>
        </w:numPr>
      </w:pPr>
      <w:r>
        <w:rPr>
          <w:b/>
          <w:bCs/>
        </w:rPr>
        <w:t xml:space="preserve">Dexaméthasone + Néomycine</w:t>
      </w:r>
      <w:r>
        <w:t xml:space="preserve"> </w:t>
      </w:r>
      <w:r>
        <w:t xml:space="preserve">(collyre) : corticoïde fort + aminoside pour conjonctivites inflammatoires ;</w:t>
      </w:r>
    </w:p>
    <w:p>
      <w:pPr>
        <w:pStyle w:val="Compact"/>
        <w:numPr>
          <w:ilvl w:val="0"/>
          <w:numId w:val="1334"/>
        </w:numPr>
      </w:pPr>
      <w:r>
        <w:rPr>
          <w:b/>
          <w:bCs/>
        </w:rPr>
        <w:t xml:space="preserve">Dexaméthasone + Oxytétracycline</w:t>
      </w:r>
      <w:r>
        <w:t xml:space="preserve"> </w:t>
      </w:r>
      <w:r>
        <w:t xml:space="preserve">(pommade ophtalmique) : corticoïde + cycline ;</w:t>
      </w:r>
    </w:p>
    <w:p>
      <w:pPr>
        <w:pStyle w:val="Compact"/>
        <w:numPr>
          <w:ilvl w:val="0"/>
          <w:numId w:val="1334"/>
        </w:numPr>
      </w:pPr>
      <w:r>
        <w:rPr>
          <w:b/>
          <w:bCs/>
        </w:rPr>
        <w:t xml:space="preserve">Dexaméthasone + Ofloxacine</w:t>
      </w:r>
      <w:r>
        <w:t xml:space="preserve"> </w:t>
      </w:r>
      <w:r>
        <w:t xml:space="preserve">(collyre) : corticoïde + fluoroquinolone (spectre élargi) ;</w:t>
      </w:r>
    </w:p>
    <w:p>
      <w:pPr>
        <w:pStyle w:val="Compact"/>
        <w:numPr>
          <w:ilvl w:val="0"/>
          <w:numId w:val="1334"/>
        </w:numPr>
      </w:pPr>
      <w:r>
        <w:rPr>
          <w:b/>
          <w:bCs/>
        </w:rPr>
        <w:t xml:space="preserve">Bétaméthasone + Néomycine</w:t>
      </w:r>
      <w:r>
        <w:t xml:space="preserve"> </w:t>
      </w:r>
      <w:r>
        <w:t xml:space="preserve">(collyre/solution auriculaire/nasale) : polyvalence ORL + ophtalmique ;</w:t>
      </w:r>
    </w:p>
    <w:p>
      <w:pPr>
        <w:pStyle w:val="Compact"/>
        <w:numPr>
          <w:ilvl w:val="0"/>
          <w:numId w:val="1334"/>
        </w:numPr>
      </w:pPr>
      <w:r>
        <w:rPr>
          <w:b/>
          <w:bCs/>
        </w:rPr>
        <w:t xml:space="preserve">Tixocortol + Néomycine</w:t>
      </w:r>
      <w:r>
        <w:t xml:space="preserve"> </w:t>
      </w:r>
      <w:r>
        <w:t xml:space="preserve">(suspension nasale/endo-sinusienne) : corticoïde local à effet muqueux + aminoside ;</w:t>
      </w:r>
    </w:p>
    <w:p>
      <w:pPr>
        <w:pStyle w:val="Compact"/>
        <w:numPr>
          <w:ilvl w:val="0"/>
          <w:numId w:val="1334"/>
        </w:numPr>
      </w:pPr>
      <w:r>
        <w:rPr>
          <w:b/>
          <w:bCs/>
        </w:rPr>
        <w:t xml:space="preserve">Indométacine + Gentamicine</w:t>
      </w:r>
      <w:r>
        <w:t xml:space="preserve"> </w:t>
      </w:r>
      <w:r>
        <w:t xml:space="preserve">(collyre) : AINS + aminoside (alternative anti-inflammatoire non stéroïdienne) ;</w:t>
      </w:r>
    </w:p>
    <w:p>
      <w:pPr>
        <w:pStyle w:val="Compact"/>
        <w:numPr>
          <w:ilvl w:val="0"/>
          <w:numId w:val="1334"/>
        </w:numPr>
      </w:pPr>
      <w:r>
        <w:rPr>
          <w:b/>
          <w:bCs/>
        </w:rPr>
        <w:t xml:space="preserve">Diclofénac + Gentamicine</w:t>
      </w:r>
      <w:r>
        <w:t xml:space="preserve"> </w:t>
      </w:r>
      <w:r>
        <w:t xml:space="preserve">(collyre) : AINS + aminoside.</w:t>
      </w:r>
    </w:p>
    <w:bookmarkEnd w:id="234"/>
    <w:bookmarkStart w:id="235" w:name="mises-en-garde-transversales"/>
    <w:p>
      <w:pPr>
        <w:pStyle w:val="Heading3"/>
      </w:pPr>
      <w:r>
        <w:t xml:space="preserve">Mises en garde transversales</w:t>
      </w:r>
    </w:p>
    <w:p>
      <w:pPr>
        <w:pStyle w:val="Compact"/>
        <w:numPr>
          <w:ilvl w:val="0"/>
          <w:numId w:val="1335"/>
        </w:numPr>
      </w:pPr>
      <w:r>
        <w:rPr>
          <w:b/>
          <w:bCs/>
        </w:rPr>
        <w:t xml:space="preserve">Corticoïde + infection non contrôlée</w:t>
      </w:r>
      <w:r>
        <w:t xml:space="preserve"> </w:t>
      </w:r>
      <w:r>
        <w:t xml:space="preserve">: le corticoïde masque les signes inflammatoires, favorise l’extension d’une infection herpétique, fongique ou mycobactérienne non couverte par l’antibiotique associé. La prescription initiale médicale est indispensable (Liste I enAlgérie pour la plupart de ces spécialités).</w:t>
      </w:r>
    </w:p>
    <w:p>
      <w:pPr>
        <w:pStyle w:val="Compact"/>
        <w:numPr>
          <w:ilvl w:val="0"/>
          <w:numId w:val="1335"/>
        </w:numPr>
      </w:pPr>
      <w:r>
        <w:rPr>
          <w:b/>
          <w:bCs/>
        </w:rPr>
        <w:t xml:space="preserve">Néomycine</w:t>
      </w:r>
      <w:r>
        <w:t xml:space="preserve"> </w:t>
      </w:r>
      <w:r>
        <w:t xml:space="preserve">: risque de sensibilisation cutanée (dermite de contact), d’ototoxicité si tympan perforé (contre-indication absolue en instillation auriculaire), de néphrotoxicité en cas d’application étendue. Risque de résistance croisée avec les autres aminosides (gentamicine, amikacine) par mécanisme enzymatique (phosphotransférases, acétyltransférases, nucléotidyltransférases).</w:t>
      </w:r>
    </w:p>
    <w:p>
      <w:pPr>
        <w:pStyle w:val="Compact"/>
        <w:numPr>
          <w:ilvl w:val="0"/>
          <w:numId w:val="1335"/>
        </w:numPr>
      </w:pPr>
      <w:r>
        <w:rPr>
          <w:b/>
          <w:bCs/>
        </w:rPr>
        <w:t xml:space="preserve">Ofloxacine collyre</w:t>
      </w:r>
      <w:r>
        <w:t xml:space="preserve"> </w:t>
      </w:r>
      <w:r>
        <w:t xml:space="preserve">: toxicité cornéenne possible en cas d’usage prolongé, précipitation cornéenne.</w:t>
      </w:r>
    </w:p>
    <w:p>
      <w:pPr>
        <w:pStyle w:val="Compact"/>
        <w:numPr>
          <w:ilvl w:val="0"/>
          <w:numId w:val="1335"/>
        </w:numPr>
      </w:pPr>
      <w:r>
        <w:rPr>
          <w:b/>
          <w:bCs/>
        </w:rPr>
        <w:t xml:space="preserve">AINS local</w:t>
      </w:r>
      <w:r>
        <w:t xml:space="preserve"> </w:t>
      </w:r>
      <w:r>
        <w:t xml:space="preserve">: retard de cicatrisation épithéliale, risque de kératite, syndrome sec.</w:t>
      </w:r>
    </w:p>
    <w:p>
      <w:pPr>
        <w:pStyle w:val="Compact"/>
        <w:numPr>
          <w:ilvl w:val="0"/>
          <w:numId w:val="1335"/>
        </w:numPr>
      </w:pPr>
      <w:r>
        <w:rPr>
          <w:b/>
          <w:bCs/>
        </w:rPr>
        <w:t xml:space="preserve">Durée limitée</w:t>
      </w:r>
      <w:r>
        <w:t xml:space="preserve"> </w:t>
      </w:r>
      <w:r>
        <w:t xml:space="preserve">: la plupart des associations locales doivent être utilisées pour des traitements courts (5–10 jours) ; un traitement prolongé expose au glaucome cortico-induit (ophtalmologie), à l’atrophie cutanée (dermologie), à la résistance bactérienne et à la colonisation fongique.</w:t>
      </w:r>
    </w:p>
    <w:p>
      <w:r>
        <w:pict>
          <v:rect style="width:0;height:1.5pt" o:hralign="center" o:hrstd="t" o:hr="t"/>
        </w:pict>
      </w:r>
    </w:p>
    <w:bookmarkEnd w:id="235"/>
    <w:bookmarkEnd w:id="236"/>
    <w:bookmarkStart w:id="246" w:name="fiches-dci"/>
    <w:p>
      <w:pPr>
        <w:pStyle w:val="Heading2"/>
      </w:pPr>
      <w:r>
        <w:t xml:space="preserve">8.4. Fiches DCI</w:t>
      </w:r>
    </w:p>
    <w:bookmarkStart w:id="237" w:name="dci-isoniazide-seule"/>
    <w:p>
      <w:pPr>
        <w:pStyle w:val="Heading3"/>
      </w:pPr>
      <w:r>
        <w:t xml:space="preserve">8.4.1. DCI : Isoniazide (Seule)</w:t>
      </w:r>
    </w:p>
    <w:p>
      <w:pPr>
        <w:pStyle w:val="FirstParagraph"/>
      </w:pPr>
      <w:r>
        <w:rPr>
          <w:b/>
          <w:bCs/>
        </w:rPr>
        <w:t xml:space="preserve">Liste des Catégories :</w:t>
      </w:r>
      <w:r>
        <w:t xml:space="preserve"> </w:t>
      </w:r>
      <w:r>
        <w:t xml:space="preserve">Antituberculeux ; Médicament essentiel OMS ; Liste I (Algérie).</w:t>
      </w:r>
    </w:p>
    <w:p>
      <w:pPr>
        <w:pStyle w:val="BodyText"/>
      </w:pPr>
      <w:r>
        <w:t xml:space="preserve">L’isoniazide (INH, abréviation OMS :</w:t>
      </w:r>
      <w:r>
        <w:t xml:space="preserve"> </w:t>
      </w:r>
      <w:r>
        <w:rPr>
          <w:b/>
          <w:bCs/>
        </w:rPr>
        <w:t xml:space="preserve">H</w:t>
      </w:r>
      <w:r>
        <w:t xml:space="preserve">) est l’antituberculeux de référence, découvert en 1952. C’est une prodrogue qui doit être activée par la catalase-peroxydase bactérienne KatG en un métabolite radicalaire ciblant la synthèse de l’acide mycolique. Sa particularté PK principale est le</w:t>
      </w:r>
      <w:r>
        <w:t xml:space="preserve"> </w:t>
      </w:r>
      <w:r>
        <w:rPr>
          <w:b/>
          <w:bCs/>
        </w:rPr>
        <w:t xml:space="preserve">polymorphisme génétique de la N-acétyltransférase 2 (NAT2)</w:t>
      </w:r>
      <w:r>
        <w:t xml:space="preserve">, qui différencie les métaboliseurs lents (50 % des Algériens, blancs nord-africains) des métaboliseurs rapides. Les métaboliseurs lents présentent des concentrations plasmatiques plus élevées et un risque accru de neuropathie périphérique et d’hépatotoxicité, justifiant la supplémentation systématique en vitamine B6 (pyridoxine).</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ISONIAZID</w:t>
      </w:r>
      <w:r>
        <w:t xml:space="preserve"> </w:t>
      </w:r>
      <w:r>
        <w:t xml:space="preserve">(LUPIN LIMITED)</w:t>
      </w:r>
      <w:r>
        <w:t xml:space="preserve"> </w:t>
      </w:r>
      <w:r>
        <w:t xml:space="preserve">- Formes et Dosages : Comprimé 100 mg (B/100) ; Comprimé 300 mg (B/100)</w:t>
      </w:r>
      <w:r>
        <w:t xml:space="preserve"> </w:t>
      </w:r>
      <w:r>
        <w:t xml:space="preserve">- Statut : Non Renouvelable</w:t>
      </w:r>
      <w:r>
        <w:t xml:space="preserve"> </w:t>
      </w:r>
      <w:r>
        <w:t xml:space="preserve">-</w:t>
      </w:r>
      <w:r>
        <w:t xml:space="preserve"> </w:t>
      </w:r>
      <w:r>
        <w:rPr>
          <w:b/>
          <w:bCs/>
        </w:rPr>
        <w:t xml:space="preserve">ISONIAZIDE</w:t>
      </w:r>
      <w:r>
        <w:t xml:space="preserve"> </w:t>
      </w:r>
      <w:r>
        <w:t xml:space="preserve">(GRUPPO LEPETIT)</w:t>
      </w:r>
      <w:r>
        <w:t xml:space="preserve"> </w:t>
      </w:r>
      <w:r>
        <w:t xml:space="preserve">- Formes et Dosages : Comprimé 100 mg (B/1000)</w:t>
      </w:r>
      <w:r>
        <w:t xml:space="preserve"> </w:t>
      </w:r>
      <w:r>
        <w:t xml:space="preserve">- Statut : Non Renouvelable</w:t>
      </w:r>
      <w:r>
        <w:t xml:space="preserve"> </w:t>
      </w:r>
      <w:r>
        <w:t xml:space="preserve">-</w:t>
      </w:r>
      <w:r>
        <w:t xml:space="preserve"> </w:t>
      </w:r>
      <w:r>
        <w:rPr>
          <w:b/>
          <w:bCs/>
        </w:rPr>
        <w:t xml:space="preserve">ISONIAZIDE</w:t>
      </w:r>
      <w:r>
        <w:t xml:space="preserve"> </w:t>
      </w:r>
      <w:r>
        <w:t xml:space="preserve">(MEDICUBA)</w:t>
      </w:r>
      <w:r>
        <w:t xml:space="preserve"> </w:t>
      </w:r>
      <w:r>
        <w:t xml:space="preserve">- Formes et Dosages : Comprimé 100 mg (B/100)</w:t>
      </w:r>
      <w:r>
        <w:t xml:space="preserve"> </w:t>
      </w:r>
      <w:r>
        <w:t xml:space="preserve">- Statut : Retiré (R)</w:t>
      </w:r>
    </w:p>
    <w:p>
      <w:pPr>
        <w:pStyle w:val="BodyText"/>
      </w:pPr>
      <w:r>
        <w:rPr>
          <w:b/>
          <w:bCs/>
        </w:rPr>
        <w:t xml:space="preserve">Sous-classe et Mécanisme d’action :</w:t>
      </w:r>
      <w:r>
        <w:t xml:space="preserve"> </w:t>
      </w:r>
      <w:r>
        <w:t xml:space="preserve">- Sous-classe : Antituberculeux de première ligne, bactéricide majeur (hydrazide de l’acide isonicotinique).</w:t>
      </w:r>
      <w:r>
        <w:t xml:space="preserve"> </w:t>
      </w:r>
      <w:r>
        <w:t xml:space="preserve">- Mécanisme d’action : L’isoniazide est une</w:t>
      </w:r>
      <w:r>
        <w:t xml:space="preserve"> </w:t>
      </w:r>
      <w:r>
        <w:rPr>
          <w:b/>
          <w:bCs/>
        </w:rPr>
        <w:t xml:space="preserve">prodrogue</w:t>
      </w:r>
      <w:r>
        <w:t xml:space="preserve"> </w:t>
      </w:r>
      <w:r>
        <w:t xml:space="preserve">qui pénètre dans la mycobactérie par transport passif et active. Elle est convertie par la</w:t>
      </w:r>
      <w:r>
        <w:t xml:space="preserve"> </w:t>
      </w:r>
      <w:r>
        <w:rPr>
          <w:b/>
          <w:bCs/>
        </w:rPr>
        <w:t xml:space="preserve">catalase-peroxydase KatG</w:t>
      </w:r>
      <w:r>
        <w:t xml:space="preserve"> </w:t>
      </w:r>
      <w:r>
        <w:t xml:space="preserve">(gène</w:t>
      </w:r>
      <w:r>
        <w:t xml:space="preserve"> </w:t>
      </w:r>
      <w:r>
        <w:rPr>
          <w:i/>
          <w:iCs/>
        </w:rPr>
        <w:t xml:space="preserve">katG</w:t>
      </w:r>
      <w:r>
        <w:t xml:space="preserve">) en espèces radicalaires réactives (radical isonicotinoyl, anion isonicotinoyl). Ces métabolites se lient de manière covalente et inhibent :</w:t>
      </w:r>
      <w:r>
        <w:t xml:space="preserve"> </w:t>
      </w:r>
      <w:r>
        <w:t xml:space="preserve">- La</w:t>
      </w:r>
      <w:r>
        <w:t xml:space="preserve"> </w:t>
      </w:r>
      <w:r>
        <w:rPr>
          <w:b/>
          <w:bCs/>
        </w:rPr>
        <w:t xml:space="preserve">FAS-II (fatty acid synthase II)</w:t>
      </w:r>
      <w:r>
        <w:t xml:space="preserve">, complexe enzymatique de synthèse des acides mycoliques à longue chaîne (C60–C90) ;</w:t>
      </w:r>
      <w:r>
        <w:t xml:space="preserve"> </w:t>
      </w:r>
      <w:r>
        <w:t xml:space="preserve">- Plus précisément l’</w:t>
      </w:r>
      <w:r>
        <w:rPr>
          <w:b/>
          <w:bCs/>
        </w:rPr>
        <w:t xml:space="preserve">InhA</w:t>
      </w:r>
      <w:r>
        <w:t xml:space="preserve"> </w:t>
      </w:r>
      <w:r>
        <w:t xml:space="preserve">(énoyl-ACP réductase), enzyme-clé de l’élongation des acides gras, dont l’inhibition bloque la synthèse de l’acide mycolique, composant majeur de la paroi mycobactérienne.</w:t>
      </w:r>
      <w:r>
        <w:t xml:space="preserve"> </w:t>
      </w:r>
      <w:r>
        <w:t xml:space="preserve">- Accessoirement la</w:t>
      </w:r>
      <w:r>
        <w:t xml:space="preserve"> </w:t>
      </w:r>
      <w:r>
        <w:rPr>
          <w:b/>
          <w:bCs/>
        </w:rPr>
        <w:t xml:space="preserve">KasA</w:t>
      </w:r>
      <w:r>
        <w:t xml:space="preserve"> </w:t>
      </w:r>
      <w:r>
        <w:t xml:space="preserve">(β-cétoacyl-ACP synthase).</w:t>
      </w:r>
      <w:r>
        <w:t xml:space="preserve"> </w:t>
      </w:r>
      <w:r>
        <w:t xml:space="preserve">- Cible moléculaire : KatG → InhA (et KasA).</w:t>
      </w:r>
      <w:r>
        <w:t xml:space="preserve"> </w:t>
      </w:r>
      <w:r>
        <w:t xml:space="preserve">- Résistance : mutations</w:t>
      </w:r>
      <w:r>
        <w:t xml:space="preserve"> </w:t>
      </w:r>
      <w:r>
        <w:rPr>
          <w:i/>
          <w:iCs/>
        </w:rPr>
        <w:t xml:space="preserve">katG</w:t>
      </w:r>
      <w:r>
        <w:t xml:space="preserve"> </w:t>
      </w:r>
      <w:r>
        <w:t xml:space="preserve">(résistance de haut niveau, MIC &gt; 5 mg/L) dans 50–95 % des cas ; mutations</w:t>
      </w:r>
      <w:r>
        <w:t xml:space="preserve"> </w:t>
      </w:r>
      <w:r>
        <w:rPr>
          <w:i/>
          <w:iCs/>
        </w:rPr>
        <w:t xml:space="preserve">inhA</w:t>
      </w:r>
      <w:r>
        <w:t xml:space="preserve"> </w:t>
      </w:r>
      <w:r>
        <w:t xml:space="preserve">promoter (résistance de bas niveau) ;</w:t>
      </w:r>
      <w:r>
        <w:t xml:space="preserve"> </w:t>
      </w:r>
      <w:r>
        <w:rPr>
          <w:b/>
          <w:bCs/>
        </w:rPr>
        <w:t xml:space="preserve">rarement efflux Ac tive</w:t>
      </w:r>
      <w:r>
        <w:t xml:space="preserve"> </w:t>
      </w:r>
      <w:r>
        <w:t xml:space="preserve">(gène</w:t>
      </w:r>
      <w:r>
        <w:t xml:space="preserve"> </w:t>
      </w:r>
      <w:r>
        <w:rPr>
          <w:i/>
          <w:iCs/>
        </w:rPr>
        <w:t xml:space="preserve">ahpC</w:t>
      </w:r>
      <w:r>
        <w:t xml:space="preserve"> </w:t>
      </w:r>
      <w:r>
        <w:t xml:space="preserve">surexprimé en réponse au stress oxydatif).</w:t>
      </w:r>
    </w:p>
    <w:p>
      <w:pPr>
        <w:pStyle w:val="BodyText"/>
      </w:pPr>
      <w:r>
        <w:rPr>
          <w:b/>
          <w:bCs/>
        </w:rPr>
        <w:t xml:space="preserve">Profil Pharmacologique :</w:t>
      </w:r>
      <w:r>
        <w:t xml:space="preserve"> </w:t>
      </w:r>
      <w:r>
        <w:t xml:space="preserve">- Indications :</w:t>
      </w:r>
      <w:r>
        <w:t xml:space="preserve"> </w:t>
      </w:r>
      <w:r>
        <w:t xml:space="preserve">- Tuberculose maladie active (toutes localisations) : composant H du schéma 2HRZE/4HR ;</w:t>
      </w:r>
      <w:r>
        <w:t xml:space="preserve"> </w:t>
      </w:r>
      <w:r>
        <w:t xml:space="preserve">-</w:t>
      </w:r>
      <w:r>
        <w:t xml:space="preserve"> </w:t>
      </w:r>
      <w:r>
        <w:rPr>
          <w:b/>
          <w:bCs/>
        </w:rPr>
        <w:t xml:space="preserve">Infection tuberculeuse latente (ITL)</w:t>
      </w:r>
      <w:r>
        <w:t xml:space="preserve"> </w:t>
      </w:r>
      <w:r>
        <w:t xml:space="preserve">: isoniazide seule en monothérapie pendant 6–9 mois (schéma 6H ou 9H), alternative 3HP (isoniazide + rifapentine) ;</w:t>
      </w:r>
      <w:r>
        <w:t xml:space="preserve"> </w:t>
      </w:r>
      <w:r>
        <w:t xml:space="preserve">- Prophylaxie tuberculeuse chez le nourrisson contact (5 mg/kg/jour pendant 6 mois) ;</w:t>
      </w:r>
      <w:r>
        <w:t xml:space="preserve"> </w:t>
      </w:r>
      <w:r>
        <w:t xml:space="preserve">- Certaines infections à MNT sensibles (</w:t>
      </w:r>
      <w:r>
        <w:rPr>
          <w:i/>
          <w:iCs/>
        </w:rPr>
        <w:t xml:space="preserve">M. kansasii</w:t>
      </w:r>
      <w:r>
        <w:t xml:space="preserve">).</w:t>
      </w:r>
      <w:r>
        <w:t xml:space="preserve"> </w:t>
      </w:r>
      <w:r>
        <w:t xml:space="preserve">- Contre-indications :</w:t>
      </w:r>
      <w:r>
        <w:t xml:space="preserve"> </w:t>
      </w:r>
      <w:r>
        <w:t xml:space="preserve">- Insuffisance hépatique sévère ( Child-Pugh C) ;</w:t>
      </w:r>
      <w:r>
        <w:t xml:space="preserve"> </w:t>
      </w:r>
      <w:r>
        <w:t xml:space="preserve">- Antécédent d’hépatite médicamenteuse à l’isoniazide ;</w:t>
      </w:r>
      <w:r>
        <w:t xml:space="preserve"> </w:t>
      </w:r>
      <w:r>
        <w:t xml:space="preserve">- Porphyrie aiguë intermittente (induction de l’ALA-synthétase) ;</w:t>
      </w:r>
      <w:r>
        <w:t xml:space="preserve"> </w:t>
      </w:r>
      <w:r>
        <w:t xml:space="preserve">- Hypersensibilité à l’isoniazide ;</w:t>
      </w:r>
      <w:r>
        <w:t xml:space="preserve"> </w:t>
      </w:r>
      <w:r>
        <w:t xml:space="preserve">- Polynévrite non contrôlée par vitaminothérapie B6 ;</w:t>
      </w:r>
      <w:r>
        <w:t xml:space="preserve"> </w:t>
      </w:r>
      <w:r>
        <w:t xml:space="preserve">- Prudence : épilepsie non équilibrée, psychose, alcoolisme chronique.</w:t>
      </w:r>
      <w:r>
        <w:t xml:space="preserve"> </w:t>
      </w:r>
      <w:r>
        <w:t xml:space="preserve">- Effets Indésirables :</w:t>
      </w:r>
      <w:r>
        <w:t xml:space="preserve"> </w:t>
      </w:r>
      <w:r>
        <w:t xml:space="preserve">-</w:t>
      </w:r>
      <w:r>
        <w:t xml:space="preserve"> </w:t>
      </w:r>
      <w:r>
        <w:rPr>
          <w:b/>
          <w:bCs/>
        </w:rPr>
        <w:t xml:space="preserve">Hépatotoxicité</w:t>
      </w:r>
      <w:r>
        <w:t xml:space="preserve"> </w:t>
      </w:r>
      <w:r>
        <w:t xml:space="preserve">: hépatite cytolytique (10–20 % des patients ont ASAT/ALAT &gt; 3 N, 1 % hépatite clinique, 0,01 % hépatite fulminante) ; incidence majorée avec l’âge (&gt; 35 ans), la consommation alcoolique, l’association R+Z, les femmes enceintes post-partum ;</w:t>
      </w:r>
      <w:r>
        <w:t xml:space="preserve"> </w:t>
      </w:r>
      <w:r>
        <w:t xml:space="preserve">-</w:t>
      </w:r>
      <w:r>
        <w:t xml:space="preserve"> </w:t>
      </w:r>
      <w:r>
        <w:rPr>
          <w:b/>
          <w:bCs/>
        </w:rPr>
        <w:t xml:space="preserve">Neuropathie périphérique</w:t>
      </w:r>
      <w:r>
        <w:t xml:space="preserve"> </w:t>
      </w:r>
      <w:r>
        <w:t xml:space="preserve">: dose-dépendante, due à l’inactivation de la pyridoxine (vitamine B6) en isoniazide-pyridoxalhydrazone ; prévalence 2 % sous B6, jusqu’à 30 % sans B6 chez les sujets à risque (alcooliques, diabétiques, dénutris, VIH, urémiques, femmes enceintes) ;</w:t>
      </w:r>
      <w:r>
        <w:t xml:space="preserve"> </w:t>
      </w:r>
      <w:r>
        <w:t xml:space="preserve">- Effets centraux : vertiges, somnolence, irritabilité, troubles de mémoire, rarement psychose ;</w:t>
      </w:r>
      <w:r>
        <w:t xml:space="preserve"> </w:t>
      </w:r>
      <w:r>
        <w:t xml:space="preserve">- Effets hypersensibilité : fièvre, rash, arthralgies (syndrome lupique rare avec anticorps antinucléaires) ;</w:t>
      </w:r>
      <w:r>
        <w:t xml:space="preserve"> </w:t>
      </w:r>
      <w:r>
        <w:t xml:space="preserve">- Métaboliques : acidose lactique, hyperglycémie ;</w:t>
      </w:r>
      <w:r>
        <w:t xml:space="preserve"> </w:t>
      </w:r>
      <w:r>
        <w:t xml:space="preserve">- Digestifs : nausées, vomissements, sécheresse buccale ;</w:t>
      </w:r>
      <w:r>
        <w:t xml:space="preserve"> </w:t>
      </w:r>
      <w:r>
        <w:t xml:space="preserve">- Hématologiques rares : anémie mégaloblastique, agranulocytose, thrombopénie ;</w:t>
      </w:r>
      <w:r>
        <w:t xml:space="preserve"> </w:t>
      </w:r>
      <w:r>
        <w:t xml:space="preserve">- Endocriniens rares : gynécomastie (anti-androgénique faible).</w:t>
      </w:r>
    </w:p>
    <w:p>
      <w:pPr>
        <w:pStyle w:val="BodyText"/>
      </w:pPr>
      <w:r>
        <w:rPr>
          <w:b/>
          <w:bCs/>
        </w:rPr>
        <w:t xml:space="preserve">Prévention et Gestion des Effets Indésirables :</w:t>
      </w:r>
      <w:r>
        <w:t xml:space="preserve"> </w:t>
      </w:r>
      <w:r>
        <w:t xml:space="preserve">- Mesures Préventives :</w:t>
      </w:r>
      <w:r>
        <w:t xml:space="preserve"> </w:t>
      </w:r>
      <w:r>
        <w:t xml:space="preserve">-</w:t>
      </w:r>
      <w:r>
        <w:t xml:space="preserve"> </w:t>
      </w:r>
      <w:r>
        <w:rPr>
          <w:b/>
          <w:bCs/>
        </w:rPr>
        <w:t xml:space="preserve">Supplémentation systématique en vitamine B6 (pyridoxine)</w:t>
      </w:r>
      <w:r>
        <w:t xml:space="preserve"> </w:t>
      </w:r>
      <w:r>
        <w:t xml:space="preserve">: 10–25 mg/jour chez l’adulte sain, 25–50 mg/jour chez la femme enceinte, l’alcoolique, le diabétique, le dénutri, l’insuffisant rénal, le sujet âgé et le patient VIH. Chez l’enfant : 5–10 mg/kg/jour ;</w:t>
      </w:r>
      <w:r>
        <w:t xml:space="preserve"> </w:t>
      </w:r>
      <w:r>
        <w:t xml:space="preserve">-</w:t>
      </w:r>
      <w:r>
        <w:t xml:space="preserve"> </w:t>
      </w:r>
      <w:r>
        <w:rPr>
          <w:b/>
          <w:bCs/>
        </w:rPr>
        <w:t xml:space="preserve">Surveillance biologique hépatique</w:t>
      </w:r>
      <w:r>
        <w:t xml:space="preserve"> </w:t>
      </w:r>
      <w:r>
        <w:t xml:space="preserve">: ALAT/ASAT à l’initiation (J0), puis à M1, M2, M6 (et en cas de signes d’appel : ictère, urines foncées, asthénie, nausées). Pas de surveillance systématique chez le sujet &lt; 35 ans sans facteur de risque, mais recommandée chez &gt; 35 ans, alcooliques, VHB/VHC, VIH, antécédents hépatiques, traitement associé hepatotoxique ;</w:t>
      </w:r>
      <w:r>
        <w:t xml:space="preserve"> </w:t>
      </w:r>
      <w:r>
        <w:t xml:space="preserve">- Information du patient : signes d’appel hépatique (ictère, urines foncées, selles claires, asthénie marquée, nausées persistantes) ;</w:t>
      </w:r>
      <w:r>
        <w:t xml:space="preserve"> </w:t>
      </w:r>
      <w:r>
        <w:t xml:space="preserve">- Information sur la neuropathie : paresthésies des extrémités → consultation rapide ;</w:t>
      </w:r>
      <w:r>
        <w:t xml:space="preserve"> </w:t>
      </w:r>
      <w:r>
        <w:t xml:space="preserve">- Éviter l’alcool pendant le traitement.</w:t>
      </w:r>
      <w:r>
        <w:t xml:space="preserve"> </w:t>
      </w:r>
      <w:r>
        <w:t xml:space="preserve">- Conduite à Tenir :</w:t>
      </w:r>
      <w:r>
        <w:t xml:space="preserve"> </w:t>
      </w:r>
      <w:r>
        <w:t xml:space="preserve">-</w:t>
      </w:r>
      <w:r>
        <w:t xml:space="preserve"> </w:t>
      </w:r>
      <w:r>
        <w:rPr>
          <w:b/>
          <w:bCs/>
        </w:rPr>
        <w:t xml:space="preserve">ALAT &gt; 3–5 × LSN asymptomatique</w:t>
      </w:r>
      <w:r>
        <w:t xml:space="preserve"> </w:t>
      </w:r>
      <w:r>
        <w:t xml:space="preserve">: poursuivre avec surveillance rapprochée (hebdomadaire) ;</w:t>
      </w:r>
      <w:r>
        <w:t xml:space="preserve"> </w:t>
      </w:r>
      <w:r>
        <w:t xml:space="preserve">-</w:t>
      </w:r>
      <w:r>
        <w:t xml:space="preserve"> </w:t>
      </w:r>
      <w:r>
        <w:rPr>
          <w:b/>
          <w:bCs/>
        </w:rPr>
        <w:t xml:space="preserve">ALAT &gt; 5 × LSN ou symptômes (ictère, nausées)</w:t>
      </w:r>
      <w:r>
        <w:t xml:space="preserve"> </w:t>
      </w:r>
      <w:r>
        <w:t xml:space="preserve">: arrêt immédiat de l’isoniazide (et des autres hépatotoxiques : R, Z) ; bilan hépatique complet (γ-GT, PAL, bilirubine, TP) ; recherche d’autres causes (virus, alcool, médicamenteuse) ; réintroduction séquentielle prudente après normalisation (test de réintroduction) ;</w:t>
      </w:r>
      <w:r>
        <w:t xml:space="preserve"> </w:t>
      </w:r>
      <w:r>
        <w:t xml:space="preserve">-</w:t>
      </w:r>
      <w:r>
        <w:t xml:space="preserve"> </w:t>
      </w:r>
      <w:r>
        <w:rPr>
          <w:b/>
          <w:bCs/>
        </w:rPr>
        <w:t xml:space="preserve">Neuropathie périphérique</w:t>
      </w:r>
      <w:r>
        <w:t xml:space="preserve"> </w:t>
      </w:r>
      <w:r>
        <w:t xml:space="preserve">: supplémentation B6 à 50–100 mg/jour ; si symptômes sévères, arrêt transitoire et substitution par éthionamide ou autre ;</w:t>
      </w:r>
    </w:p>
    <w:p>
      <w:pPr>
        <w:pStyle w:val="BodyText"/>
      </w:pPr>
      <w:r>
        <w:rPr>
          <w:b/>
          <w:bCs/>
        </w:rPr>
        <w:t xml:space="preserve">Interactions Importantes :</w:t>
      </w:r>
      <w:r>
        <w:t xml:space="preserve"> </w:t>
      </w:r>
      <w:r>
        <w:t xml:space="preserve">-</w:t>
      </w:r>
      <w:r>
        <w:t xml:space="preserve"> </w:t>
      </w:r>
      <w:r>
        <w:rPr>
          <w:b/>
          <w:bCs/>
        </w:rPr>
        <w:t xml:space="preserve">Isoniazide + Phénytoïne</w:t>
      </w:r>
      <w:r>
        <w:t xml:space="preserve"> </w:t>
      </w:r>
      <w:r>
        <w:t xml:space="preserve">: inhibition du CYP2C19/3A4 → augmentation des concentrations de phénytoïne (×2–3), risque de surdosage (ataxie, nystagmus, somnolence) ; surveillance des taux sériques de phénytoïne, diminution de dose de 25–50 %.</w:t>
      </w:r>
      <w:r>
        <w:t xml:space="preserve"> </w:t>
      </w:r>
      <w:r>
        <w:t xml:space="preserve">-</w:t>
      </w:r>
      <w:r>
        <w:t xml:space="preserve"> </w:t>
      </w:r>
      <w:r>
        <w:rPr>
          <w:b/>
          <w:bCs/>
        </w:rPr>
        <w:t xml:space="preserve">Isoniazide + Carbamazépine</w:t>
      </w:r>
      <w:r>
        <w:t xml:space="preserve"> </w:t>
      </w:r>
      <w:r>
        <w:t xml:space="preserve">: inhibition CYP → surdosage carbamazépine (diplopie, ataxie, somnolence) ; surveillance clinique et dosages.</w:t>
      </w:r>
      <w:r>
        <w:t xml:space="preserve"> </w:t>
      </w:r>
      <w:r>
        <w:t xml:space="preserve">-</w:t>
      </w:r>
      <w:r>
        <w:t xml:space="preserve"> </w:t>
      </w:r>
      <w:r>
        <w:rPr>
          <w:b/>
          <w:bCs/>
        </w:rPr>
        <w:t xml:space="preserve">Isoniazide + Valproate</w:t>
      </w:r>
      <w:r>
        <w:t xml:space="preserve"> </w:t>
      </w:r>
      <w:r>
        <w:t xml:space="preserve">: inhibition métabolisme + compétition protéique → hausse valproate, hépatotoxicité additive.</w:t>
      </w:r>
      <w:r>
        <w:t xml:space="preserve"> </w:t>
      </w:r>
      <w:r>
        <w:t xml:space="preserve">-</w:t>
      </w:r>
      <w:r>
        <w:t xml:space="preserve"> </w:t>
      </w:r>
      <w:r>
        <w:rPr>
          <w:b/>
          <w:bCs/>
        </w:rPr>
        <w:t xml:space="preserve">Isoniazide + Warfarine/Antivitamines K</w:t>
      </w:r>
      <w:r>
        <w:t xml:space="preserve"> </w:t>
      </w:r>
      <w:r>
        <w:t xml:space="preserve">: inhibition CYP2C9 → potentialisation effet AVK, surveillance INR rapprochée.</w:t>
      </w:r>
      <w:r>
        <w:t xml:space="preserve"> </w:t>
      </w:r>
      <w:r>
        <w:t xml:space="preserve">-</w:t>
      </w:r>
      <w:r>
        <w:t xml:space="preserve"> </w:t>
      </w:r>
      <w:r>
        <w:rPr>
          <w:b/>
          <w:bCs/>
        </w:rPr>
        <w:t xml:space="preserve">Isoniazide + Paracétamol</w:t>
      </w:r>
      <w:r>
        <w:t xml:space="preserve"> </w:t>
      </w:r>
      <w:r>
        <w:t xml:space="preserve">: potentialisation hépatotoxicité (induction CYP2E1 générant NAPQI) ; éviter les doses massives de paracétamol.</w:t>
      </w:r>
      <w:r>
        <w:t xml:space="preserve"> </w:t>
      </w:r>
      <w:r>
        <w:t xml:space="preserve">-</w:t>
      </w:r>
      <w:r>
        <w:t xml:space="preserve"> </w:t>
      </w:r>
      <w:r>
        <w:rPr>
          <w:b/>
          <w:bCs/>
        </w:rPr>
        <w:t xml:space="preserve">Isoniazide + Disulfirame</w:t>
      </w:r>
      <w:r>
        <w:t xml:space="preserve"> </w:t>
      </w:r>
      <w:r>
        <w:t xml:space="preserve">: augmentation des effets neuropsychiatriques (ataxie, troubles de l’humeur).</w:t>
      </w:r>
      <w:r>
        <w:t xml:space="preserve"> </w:t>
      </w:r>
      <w:r>
        <w:t xml:space="preserve">-</w:t>
      </w:r>
      <w:r>
        <w:t xml:space="preserve"> </w:t>
      </w:r>
      <w:r>
        <w:rPr>
          <w:b/>
          <w:bCs/>
        </w:rPr>
        <w:t xml:space="preserve">Isoniazide + Alcool</w:t>
      </w:r>
      <w:r>
        <w:t xml:space="preserve"> </w:t>
      </w:r>
      <w:r>
        <w:t xml:space="preserve">: hépatotoxicité additive, diminution de l’observance.</w:t>
      </w:r>
      <w:r>
        <w:t xml:space="preserve"> </w:t>
      </w:r>
      <w:r>
        <w:t xml:space="preserve">-</w:t>
      </w:r>
      <w:r>
        <w:t xml:space="preserve"> </w:t>
      </w:r>
      <w:r>
        <w:rPr>
          <w:b/>
          <w:bCs/>
        </w:rPr>
        <w:t xml:space="preserve">Isoniazide + Itraconazole/Kétoconazole</w:t>
      </w:r>
      <w:r>
        <w:t xml:space="preserve"> </w:t>
      </w:r>
      <w:r>
        <w:t xml:space="preserve">: diminution des concentrations d’azolé (inhibition de la synthèse hépatique du cytochrome).</w:t>
      </w:r>
      <w:r>
        <w:t xml:space="preserve"> </w:t>
      </w:r>
      <w:r>
        <w:t xml:space="preserve">-</w:t>
      </w:r>
      <w:r>
        <w:t xml:space="preserve"> </w:t>
      </w:r>
      <w:r>
        <w:rPr>
          <w:b/>
          <w:bCs/>
        </w:rPr>
        <w:t xml:space="preserve">Isoniazide + Théophylline</w:t>
      </w:r>
      <w:r>
        <w:t xml:space="preserve"> </w:t>
      </w:r>
      <w:r>
        <w:t xml:space="preserve">: inhibition du métabolisme, hausse des concentrations.</w:t>
      </w:r>
    </w:p>
    <w:p>
      <w:pPr>
        <w:pStyle w:val="BodyText"/>
      </w:pPr>
      <w:r>
        <w:rPr>
          <w:b/>
          <w:bCs/>
        </w:rPr>
        <w:t xml:space="preserve">Grossesse et Allaitement :</w:t>
      </w:r>
      <w:r>
        <w:t xml:space="preserve"> </w:t>
      </w:r>
      <w:r>
        <w:t xml:space="preserve">- Grossesse : Compatible (CRAT) ; l’isoniazide traverse le placenta mais aucun effet tératogène n’a été documenté. Le risque d’hépatotoxicité maternelle est augmenté en post-partum (surveillance renforcée pendant 3 mois après l’accouchement). Supplémentation en vitamine B6 obligatoire. Schéma préférentiel 2HRE/7HR si hépatotoxicité, sinon 2HRZE/4HR (avec prudence pour Z, surtout 1er trimestre).</w:t>
      </w:r>
      <w:r>
        <w:t xml:space="preserve"> </w:t>
      </w:r>
      <w:r>
        <w:t xml:space="preserve">- Allaitement : Compatible (CRAT) ; l’isoniazide passe dans le lait maternel (rapport lait/plasma ~1) ; la dose ingérée par le nourrisson est ~20 % de la dose pédiatrique thérapeutique ; la supplémentation B6 du nourrisson allaité est recommandée si la mère est traitée par isoniazide à forte dose. Poursuite de l’allaitement recommandée.</w:t>
      </w:r>
      <w:r>
        <w:t xml:space="preserve"> </w:t>
      </w:r>
      <w:r>
        <w:t xml:space="preserve">- Précisions : dépistage VHB et VHC systématique ; si co-infection VIH, prudence avec les antirétroviraux (interaction avec didanosine rarement rapportée).</w:t>
      </w:r>
    </w:p>
    <w:p>
      <w:pPr>
        <w:pStyle w:val="BodyText"/>
      </w:pPr>
      <w:r>
        <w:rPr>
          <w:b/>
          <w:bCs/>
        </w:rPr>
        <w:t xml:space="preserve">Posologie et Mode d’administration (Standard) :</w:t>
      </w:r>
      <w:r>
        <w:t xml:space="preserve"> </w:t>
      </w:r>
      <w:r>
        <w:t xml:space="preserve">- Adulte :</w:t>
      </w:r>
      <w:r>
        <w:t xml:space="preserve"> </w:t>
      </w:r>
      <w:r>
        <w:t xml:space="preserve">- Tuberculose maladie (schéma 2HRZE/4HR) :</w:t>
      </w:r>
      <w:r>
        <w:t xml:space="preserve"> </w:t>
      </w:r>
      <w:r>
        <w:rPr>
          <w:b/>
          <w:bCs/>
        </w:rPr>
        <w:t xml:space="preserve">5 mg/kg/jour</w:t>
      </w:r>
      <w:r>
        <w:t xml:space="preserve"> </w:t>
      </w:r>
      <w:r>
        <w:t xml:space="preserve">(habituellement 300 mg/jour pour un adulte de 50–60 kg), en une prise unique quotidienne à jeun ;</w:t>
      </w:r>
      <w:r>
        <w:t xml:space="preserve"> </w:t>
      </w:r>
      <w:r>
        <w:t xml:space="preserve">- Infection tuberculeuse latente (ITL) : 5 mg/kg/jour pendant 6 mois (6H) ou 9 mois (9H), maximum 300 mg/jour.</w:t>
      </w:r>
      <w:r>
        <w:t xml:space="preserve"> </w:t>
      </w:r>
      <w:r>
        <w:t xml:space="preserve">- Enfant : 10 mg/kg/jour (max 300 mg/jour) pour TB maladie ; 10 mg/kg/jour (max 300 mg/jour) pendant 6–9 mois pour ITL.</w:t>
      </w:r>
      <w:r>
        <w:t xml:space="preserve"> </w:t>
      </w:r>
      <w:r>
        <w:t xml:space="preserve">- Durée : 6 mois (TB sensible) ; 6–9 mois (ITL isoniazide seule) ; prolongée en MDR-TB selon antibiogramme.</w:t>
      </w:r>
      <w:r>
        <w:t xml:space="preserve"> </w:t>
      </w:r>
      <w:r>
        <w:t xml:space="preserve">- Moment de prise :</w:t>
      </w:r>
      <w:r>
        <w:t xml:space="preserve"> </w:t>
      </w:r>
      <w:r>
        <w:rPr>
          <w:b/>
          <w:bCs/>
        </w:rPr>
        <w:t xml:space="preserve">à jeun</w:t>
      </w:r>
      <w:r>
        <w:t xml:space="preserve"> </w:t>
      </w:r>
      <w:r>
        <w:t xml:space="preserve">(1 heure avant ou 2 heures après le repas), car l’absorption est réduite de 40–60 % par la prise alimentaire (surtout les aliments riches en tyramine/histamine), améliorant la Cmax et l’ASC. Exception : en cas d’intolérance digestive, prise au cours d’un repas léger possible.</w:t>
      </w:r>
      <w:r>
        <w:t xml:space="preserve"> </w:t>
      </w:r>
      <w:r>
        <w:t xml:space="preserve">- Voie : per os (comprimé). Forme sirop rarement disponible (préparation magistrale pour enfant : poudre de comprimé dispersée).</w:t>
      </w:r>
    </w:p>
    <w:p>
      <w:pPr>
        <w:pStyle w:val="BodyText"/>
      </w:pPr>
      <w:r>
        <w:rPr>
          <w:b/>
          <w:bCs/>
        </w:rPr>
        <w:t xml:space="preserve">Arbitrage et Bénéfices des Formes Galéniques :</w:t>
      </w:r>
      <w:r>
        <w:t xml:space="preserve"> </w:t>
      </w:r>
      <w:r>
        <w:t xml:space="preserve">- Comprimés 100 mg et 300 mg permettent l’adaptation au poids (enfant &lt; 30 kg : 100 mg ; adulte moyen : 300 mg ; adulte obèse : éviter le surdosage en calculant mg/kg sur poids idéal) ;</w:t>
      </w:r>
      <w:r>
        <w:t xml:space="preserve"> </w:t>
      </w:r>
      <w:r>
        <w:t xml:space="preserve">- Pas de forme sirop commercialisée en Algérie : préparation magistrale ou pilule écrasée dispersée pour enfant ;</w:t>
      </w:r>
      <w:r>
        <w:t xml:space="preserve"> </w:t>
      </w:r>
      <w:r>
        <w:t xml:space="preserve">- Formes combinées fixes R+H (Rifinah) et R+H+Z (Rifater) : voir fiches dédiées ; intérêt majeur pour l’observance et la prévention de la monothérapie accidentelle.</w:t>
      </w:r>
    </w:p>
    <w:p>
      <w:pPr>
        <w:pStyle w:val="BodyText"/>
      </w:pPr>
      <w:r>
        <w:rPr>
          <w:b/>
          <w:bCs/>
        </w:rPr>
        <w:t xml:space="preserve">Instructions et Conseils au Patient :</w:t>
      </w:r>
      <w:r>
        <w:t xml:space="preserve"> </w:t>
      </w:r>
      <w:r>
        <w:t xml:space="preserve">- Communication au comptoir :</w:t>
      </w:r>
      <w:r>
        <w:t xml:space="preserve"> </w:t>
      </w:r>
      <w:r>
        <w:t xml:space="preserve">- « Prenez votre comprimé d’isoniazide TOUS LES JOURS, à la même heure, de préférence le matin à jeun (1 h avant le petit-déjeuner). »</w:t>
      </w:r>
      <w:r>
        <w:t xml:space="preserve"> </w:t>
      </w:r>
      <w:r>
        <w:t xml:space="preserve">- « Prenez votre vitamine B6 (pyridoxine) tous les jours pour éviter les fourmillements dans les mains et les pieds. »</w:t>
      </w:r>
      <w:r>
        <w:t xml:space="preserve"> </w:t>
      </w:r>
      <w:r>
        <w:t xml:space="preserve">- « Surveillez la couleur de vos urines : si elles deviennent foncées (comme du thé) ou si vous voyez jaune (blancs des yeux), arrêtez et consultez immédiatement. »</w:t>
      </w:r>
      <w:r>
        <w:t xml:space="preserve"> </w:t>
      </w:r>
      <w:r>
        <w:t xml:space="preserve">- « Évitez l’alcool pendant toute la durée du traitement : risque d’atteinte du foie. »</w:t>
      </w:r>
      <w:r>
        <w:t xml:space="preserve"> </w:t>
      </w:r>
      <w:r>
        <w:t xml:space="preserve">- « Ne prenez pas de paracétamol à forte dose sans avis médical. »</w:t>
      </w:r>
      <w:r>
        <w:t xml:space="preserve"> </w:t>
      </w:r>
      <w:r>
        <w:t xml:space="preserve">- Mode d’utilisation pratique :</w:t>
      </w:r>
      <w:r>
        <w:t xml:space="preserve"> </w:t>
      </w:r>
      <w:r>
        <w:t xml:space="preserve">- Oubli &lt; 12 heures : prendre la dose dès que possible ;</w:t>
      </w:r>
      <w:r>
        <w:t xml:space="preserve"> </w:t>
      </w:r>
      <w:r>
        <w:t xml:space="preserve">- Oubli &gt; 12 heures : sauter la dose et reprendre le lendemain (ne jamais doubler la dose) ;</w:t>
      </w:r>
      <w:r>
        <w:t xml:space="preserve"> </w:t>
      </w:r>
      <w:r>
        <w:t xml:space="preserve">- Règle de l’observance : « Pour que le traitement réussisse, vous devez prendre au moins 80 % des doses prévues sur l’ensemble du traitement. Utilisez un pilulier et un carnet de prise. »</w:t>
      </w:r>
    </w:p>
    <w:p>
      <w:pPr>
        <w:pStyle w:val="BodyText"/>
      </w:pPr>
      <w:r>
        <w:rPr>
          <w:b/>
          <w:bCs/>
        </w:rPr>
        <w:t xml:space="preserve">Notes, Règles d’Or &amp; Pièges au Comptoir :</w:t>
      </w:r>
      <w:r>
        <w:t xml:space="preserve"> </w:t>
      </w:r>
      <w:r>
        <w:t xml:space="preserve">- Piège classique :</w:t>
      </w:r>
      <w:r>
        <w:t xml:space="preserve"> </w:t>
      </w:r>
      <w:r>
        <w:rPr>
          <w:b/>
          <w:bCs/>
        </w:rPr>
        <w:t xml:space="preserve">oubli de la vitaminothérapie B6</w:t>
      </w:r>
      <w:r>
        <w:t xml:space="preserve"> </w:t>
      </w:r>
      <w:r>
        <w:t xml:space="preserve">chez un patient alcoolique, diabétique, dénutri ou femme enceinte → neuropathie périphérique grave pouvant laisser des séquelles ;</w:t>
      </w:r>
      <w:r>
        <w:t xml:space="preserve"> </w:t>
      </w:r>
      <w:r>
        <w:t xml:space="preserve">- Piège classique :</w:t>
      </w:r>
      <w:r>
        <w:t xml:space="preserve"> </w:t>
      </w:r>
      <w:r>
        <w:rPr>
          <w:b/>
          <w:bCs/>
        </w:rPr>
        <w:t xml:space="preserve">association isoniazide + paracétamol à haute dose</w:t>
      </w:r>
      <w:r>
        <w:t xml:space="preserve"> </w:t>
      </w:r>
      <w:r>
        <w:t xml:space="preserve">→ hépatotoxicité additive (éduquer le patient à ne pas dépasser 2–3 g/jour de paracétamol) ;</w:t>
      </w:r>
      <w:r>
        <w:t xml:space="preserve"> </w:t>
      </w:r>
      <w:r>
        <w:t xml:space="preserve">- Piège classique :</w:t>
      </w:r>
      <w:r>
        <w:t xml:space="preserve"> </w:t>
      </w:r>
      <w:r>
        <w:rPr>
          <w:b/>
          <w:bCs/>
        </w:rPr>
        <w:t xml:space="preserve">patient sous phénytoïne ou carbamazépine</w:t>
      </w:r>
      <w:r>
        <w:t xml:space="preserve"> </w:t>
      </w:r>
      <w:r>
        <w:t xml:space="preserve">: risque de surdosage neurologique (demander au patient de signaler son traitement à son neurologue pour dosage des taux) ;</w:t>
      </w:r>
      <w:r>
        <w:t xml:space="preserve"> </w:t>
      </w:r>
      <w:r>
        <w:t xml:space="preserve">- Règle de prise : isoniazide à jeun (1 h avant repas) ; prise quotidienne unique matinale ;</w:t>
      </w:r>
      <w:r>
        <w:t xml:space="preserve"> </w:t>
      </w:r>
      <w:r>
        <w:t xml:space="preserve">- Préparation et Conservation : conserver à température ambiante (&lt; 25 °C), à l’abri de l’humidité. Pour préparation magistrale sirop : conservation courte (7 jours au réfrigérateur) ;</w:t>
      </w:r>
      <w:r>
        <w:t xml:space="preserve"> </w:t>
      </w:r>
      <w:r>
        <w:t xml:space="preserve">- Piège du surdosage / Substitution : en cas d’arrêt de l’isoniazide pour hépatotoxicité, ne jamais continuer rifampicine seule en cas de TB maladie (risque de résistance) → adapter le schéma avec avis spécialisé (éthambutol + fluoroquinolone + aminoglycoside ± éthionamide) ;</w:t>
      </w:r>
      <w:r>
        <w:t xml:space="preserve"> </w:t>
      </w:r>
      <w:r>
        <w:t xml:space="preserve">- Information couleur des urines : isoniazide ne colore PAS les urines (contrairement à la rifampicine) — cette distinction est utile pour éduquer le patient à distinguer ses deux traitements.</w:t>
      </w:r>
    </w:p>
    <w:p>
      <w:r>
        <w:pict>
          <v:rect style="width:0;height:1.5pt" o:hralign="center" o:hrstd="t" o:hr="t"/>
        </w:pict>
      </w:r>
    </w:p>
    <w:bookmarkEnd w:id="237"/>
    <w:bookmarkStart w:id="238" w:name="dci-rifampicine-seule"/>
    <w:p>
      <w:pPr>
        <w:pStyle w:val="Heading3"/>
      </w:pPr>
      <w:r>
        <w:t xml:space="preserve">8.4.2. DCI : Rifampicine (Seule)</w:t>
      </w:r>
    </w:p>
    <w:p>
      <w:pPr>
        <w:pStyle w:val="FirstParagraph"/>
      </w:pPr>
      <w:r>
        <w:rPr>
          <w:b/>
          <w:bCs/>
        </w:rPr>
        <w:t xml:space="preserve">Liste des Catégories :</w:t>
      </w:r>
      <w:r>
        <w:t xml:space="preserve"> </w:t>
      </w:r>
      <w:r>
        <w:t xml:space="preserve">Antituberculeux ; Antilépreux ; Médicament essentiel OMS ; Liste I (Algérie).</w:t>
      </w:r>
    </w:p>
    <w:p>
      <w:pPr>
        <w:pStyle w:val="BodyText"/>
      </w:pPr>
      <w:r>
        <w:t xml:space="preserve">La rifampicine (RFP, abréviation OMS :</w:t>
      </w:r>
      <w:r>
        <w:t xml:space="preserve"> </w:t>
      </w:r>
      <w:r>
        <w:rPr>
          <w:b/>
          <w:bCs/>
        </w:rPr>
        <w:t xml:space="preserve">R</w:t>
      </w:r>
      <w:r>
        <w:t xml:space="preserve">) est un antituberculeux majeur de la classe des rifamycines, semi-synthétique, dérivé de la rifamycine B (Amycolatopsis rifamycinica). Découverte en 1965 et introduite cliniquement en 1968, elle a révolutionné la prise en charge de la tuberculose en réduisant la durée de traitement de 18–24 mois à 6–9 mois. Sa particularité PK principale est d’être un</w:t>
      </w:r>
      <w:r>
        <w:t xml:space="preserve"> </w:t>
      </w:r>
      <w:r>
        <w:rPr>
          <w:b/>
          <w:bCs/>
        </w:rPr>
        <w:t xml:space="preserve">inducteur puissant et ubiquitaire du cytochrome P450</w:t>
      </w:r>
      <w:r>
        <w:t xml:space="preserve"> </w:t>
      </w:r>
      <w:r>
        <w:t xml:space="preserve">(CYP3A4, CYP2C9, CYP2C19, CYP1A2, CYP2B6, CYP2D6 -faiblement-) et de la P-glycoprotéine (P-gp/ABCB1), à l’origine d’interactions médicamenteuses extrêmement nombreuses et cliniquement majeures. Sa coloration rouge-orangée, qui colore les urines, les larmes, la sueur et les lentilles de contact, est un signe d’observance utile à exploiter pédagogiquement.</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RIFADIN</w:t>
      </w:r>
      <w:r>
        <w:t xml:space="preserve"> </w:t>
      </w:r>
      <w:r>
        <w:t xml:space="preserve">(GRUPPO LEPETIT)</w:t>
      </w:r>
      <w:r>
        <w:t xml:space="preserve"> </w:t>
      </w:r>
      <w:r>
        <w:t xml:space="preserve">- Formes et Dosages : Gélules 300 mg (B/1000)</w:t>
      </w:r>
      <w:r>
        <w:t xml:space="preserve"> </w:t>
      </w:r>
      <w:r>
        <w:t xml:space="preserve">- Statut : Non Renouvelable</w:t>
      </w:r>
      <w:r>
        <w:t xml:space="preserve"> </w:t>
      </w:r>
      <w:r>
        <w:t xml:space="preserve">-</w:t>
      </w:r>
      <w:r>
        <w:t xml:space="preserve"> </w:t>
      </w:r>
      <w:r>
        <w:rPr>
          <w:b/>
          <w:bCs/>
        </w:rPr>
        <w:t xml:space="preserve">RIFABIOTIC</w:t>
      </w:r>
      <w:r>
        <w:t xml:space="preserve"> </w:t>
      </w:r>
      <w:r>
        <w:t xml:space="preserve">(LIFEPHARMA)</w:t>
      </w:r>
      <w:r>
        <w:t xml:space="preserve"> </w:t>
      </w:r>
      <w:r>
        <w:t xml:space="preserve">- Formes et Dosages : Gélules 150 mg (B/100) ; Gélules 300 mg (B/100)</w:t>
      </w:r>
      <w:r>
        <w:t xml:space="preserve"> </w:t>
      </w:r>
      <w:r>
        <w:t xml:space="preserve">- Statut : Retiré (R)</w:t>
      </w:r>
    </w:p>
    <w:p>
      <w:pPr>
        <w:pStyle w:val="BodyText"/>
      </w:pPr>
      <w:r>
        <w:rPr>
          <w:b/>
          <w:bCs/>
        </w:rPr>
        <w:t xml:space="preserve">Sous-classe et Mécanisme d’action :</w:t>
      </w:r>
      <w:r>
        <w:t xml:space="preserve"> </w:t>
      </w:r>
      <w:r>
        <w:t xml:space="preserve">- Sous-classe : Antituberculeux de première ligne, bactéricide majeur, antilépreux. Rifamycine semi-synthétique (ansamycine).</w:t>
      </w:r>
      <w:r>
        <w:t xml:space="preserve"> </w:t>
      </w:r>
      <w:r>
        <w:t xml:space="preserve">- Mécanisme d’action : La rifampicine se lie de manière forte et spécifique à la</w:t>
      </w:r>
      <w:r>
        <w:t xml:space="preserve"> </w:t>
      </w:r>
      <w:r>
        <w:rPr>
          <w:b/>
          <w:bCs/>
        </w:rPr>
        <w:t xml:space="preserve">sous-unité β de l’ARN polymérase ADN-dépendante</w:t>
      </w:r>
      <w:r>
        <w:t xml:space="preserve"> </w:t>
      </w:r>
      <w:r>
        <w:t xml:space="preserve">bactérienne (gène</w:t>
      </w:r>
      <w:r>
        <w:t xml:space="preserve"> </w:t>
      </w:r>
      <w:r>
        <w:rPr>
          <w:i/>
          <w:iCs/>
        </w:rPr>
        <w:t xml:space="preserve">rpoB</w:t>
      </w:r>
      <w:r>
        <w:t xml:space="preserve">), formant un complexe stable qui bloque l’initiation (mais pas l’élongation) de la transcription de l’ARN messager. La conséquence est l’arrêt de la synthèse protéique et la mort bactérienne. La spécificité d’action repose sur l’affinité 10 000 fois supérieure pour l’ARN polymérase bactérienne par rapport à l’ARN polymérase eucaryote. La rifampicine est bactéricide sur les bacilles en multiplication active ET sur les bacilles quiescents (effet stérilisant), ce qui explique sa puissance dans le raccourcissement de la durée de traitement.</w:t>
      </w:r>
      <w:r>
        <w:t xml:space="preserve"> </w:t>
      </w:r>
      <w:r>
        <w:t xml:space="preserve">- Cible moléculaire : ARN polymérase ADN-dépendante β-subunit (RpoB).</w:t>
      </w:r>
      <w:r>
        <w:t xml:space="preserve"> </w:t>
      </w:r>
      <w:r>
        <w:t xml:space="preserve">- Résistance : mutations ponctuelles du gène</w:t>
      </w:r>
      <w:r>
        <w:t xml:space="preserve"> </w:t>
      </w:r>
      <w:r>
        <w:rPr>
          <w:i/>
          <w:iCs/>
        </w:rPr>
        <w:t xml:space="preserve">rpoB</w:t>
      </w:r>
      <w:r>
        <w:t xml:space="preserve"> </w:t>
      </w:r>
      <w:r>
        <w:t xml:space="preserve">dans la région « RRDR » (Rifampicin Resistance Determining Region, codons 507–533) chez &gt; 95 % des souches résistantes ; mécanismes complémentaires rares (efflux, modification enzymatique). La résistance à la rifampicine est un marqueur proxy fiable de MDR-TB (résistance associée à l’isoniazide dans 90 % des cas), d’où l’intérêt du GeneXpert MTB/RIF en première intention.</w:t>
      </w:r>
    </w:p>
    <w:p>
      <w:pPr>
        <w:pStyle w:val="BodyText"/>
      </w:pPr>
      <w:r>
        <w:rPr>
          <w:b/>
          <w:bCs/>
        </w:rPr>
        <w:t xml:space="preserve">Profil Pharmacologique :</w:t>
      </w:r>
      <w:r>
        <w:t xml:space="preserve"> </w:t>
      </w:r>
      <w:r>
        <w:t xml:space="preserve">- Indications :</w:t>
      </w:r>
      <w:r>
        <w:t xml:space="preserve"> </w:t>
      </w:r>
      <w:r>
        <w:t xml:space="preserve">- Tuberculose maladie active (toutes localisations) : composant R du schéma 2HRZE/4HR ;</w:t>
      </w:r>
      <w:r>
        <w:t xml:space="preserve"> </w:t>
      </w:r>
      <w:r>
        <w:t xml:space="preserve">- Tuberculose latente (alternative à isoniazide seule) : schéma 4R (rifampicine 4 mois) chez l’adulte en cas de contact avec un cas index sensible, contre-indication ou intolérance à l’isoniazide ;</w:t>
      </w:r>
      <w:r>
        <w:t xml:space="preserve"> </w:t>
      </w:r>
      <w:r>
        <w:t xml:space="preserve">- Lèpre multibacillaire : 600 mg une fois par mois (volet du PCT-MB OMS rifampicine + clofazimine + dapsone) ;</w:t>
      </w:r>
      <w:r>
        <w:t xml:space="preserve"> </w:t>
      </w:r>
      <w:r>
        <w:t xml:space="preserve">- Infections sévères à germes Gram + (staphylocoques, pneumocoques résistants) en association (endocardites, ostéomyélites, infections sur matériel, infections à SARM) : rôle d’anti-biofilm et d’éradicateur de bactéries intracellulaires quiescentes ;</w:t>
      </w:r>
      <w:r>
        <w:t xml:space="preserve"> </w:t>
      </w:r>
      <w:r>
        <w:rPr>
          <w:i/>
          <w:iCs/>
        </w:rPr>
        <w:t xml:space="preserve">off-label</w:t>
      </w:r>
      <w:r>
        <w:t xml:space="preserve"> </w:t>
      </w:r>
      <w:r>
        <w:t xml:space="preserve">parfois dans les infections à</w:t>
      </w:r>
      <w:r>
        <w:t xml:space="preserve"> </w:t>
      </w:r>
      <w:r>
        <w:rPr>
          <w:i/>
          <w:iCs/>
        </w:rPr>
        <w:t xml:space="preserve">Rhodococcus equi</w:t>
      </w:r>
      <w:r>
        <w:t xml:space="preserve">,</w:t>
      </w:r>
      <w:r>
        <w:t xml:space="preserve"> </w:t>
      </w:r>
      <w:r>
        <w:rPr>
          <w:i/>
          <w:iCs/>
        </w:rPr>
        <w:t xml:space="preserve">Legionella</w:t>
      </w:r>
      <w:r>
        <w:t xml:space="preserve">, brucellose ;</w:t>
      </w:r>
      <w:r>
        <w:t xml:space="preserve"> </w:t>
      </w:r>
      <w:r>
        <w:t xml:space="preserve">- Prophylaxie méningite à méningocoque (alternatif à la rifampicine 600 mg × 2/jour × 2 jours en cas de contre-indication à la ciprofloxacine ou au ceftriaxone, notamment chez l’enfant &lt; 1 mois) ;</w:t>
      </w:r>
      <w:r>
        <w:t xml:space="preserve"> </w:t>
      </w:r>
      <w:r>
        <w:t xml:space="preserve">- Décolonisation nasale à</w:t>
      </w:r>
      <w:r>
        <w:t xml:space="preserve"> </w:t>
      </w:r>
      <w:r>
        <w:rPr>
          <w:i/>
          <w:iCs/>
        </w:rPr>
        <w:t xml:space="preserve">S. aureus</w:t>
      </w:r>
      <w:r>
        <w:t xml:space="preserve"> </w:t>
      </w:r>
      <w:r>
        <w:t xml:space="preserve">(alternative) ;</w:t>
      </w:r>
      <w:r>
        <w:t xml:space="preserve"> </w:t>
      </w:r>
      <w:r>
        <w:t xml:space="preserve">- Infections à</w:t>
      </w:r>
      <w:r>
        <w:t xml:space="preserve"> </w:t>
      </w:r>
      <w:r>
        <w:rPr>
          <w:i/>
          <w:iCs/>
        </w:rPr>
        <w:t xml:space="preserve">M. kansasii</w:t>
      </w:r>
      <w:r>
        <w:t xml:space="preserve">,</w:t>
      </w:r>
      <w:r>
        <w:t xml:space="preserve"> </w:t>
      </w:r>
      <w:r>
        <w:rPr>
          <w:i/>
          <w:iCs/>
        </w:rPr>
        <w:t xml:space="preserve">M. marinum</w:t>
      </w:r>
      <w:r>
        <w:t xml:space="preserve">,</w:t>
      </w:r>
      <w:r>
        <w:t xml:space="preserve"> </w:t>
      </w:r>
      <w:r>
        <w:rPr>
          <w:i/>
          <w:iCs/>
        </w:rPr>
        <w:t xml:space="preserve">M. malmoense</w:t>
      </w:r>
      <w:r>
        <w:t xml:space="preserve"> </w:t>
      </w:r>
      <w:r>
        <w:t xml:space="preserve">(MNT) en association.</w:t>
      </w:r>
      <w:r>
        <w:t xml:space="preserve"> </w:t>
      </w:r>
      <w:r>
        <w:t xml:space="preserve">- Contre-indications :</w:t>
      </w:r>
      <w:r>
        <w:t xml:space="preserve"> </w:t>
      </w:r>
      <w:r>
        <w:t xml:space="preserve">- Hypersensibilité aux rifamycines ;</w:t>
      </w:r>
      <w:r>
        <w:t xml:space="preserve"> </w:t>
      </w:r>
      <w:r>
        <w:t xml:space="preserve">- Porphyrie aiguë intermittente (induction ALA-synthétase) ;</w:t>
      </w:r>
      <w:r>
        <w:t xml:space="preserve"> </w:t>
      </w:r>
      <w:r>
        <w:t xml:space="preserve">- Insuffisance hépatique sévère avec ictère ;</w:t>
      </w:r>
      <w:r>
        <w:t xml:space="preserve"> </w:t>
      </w:r>
      <w:r>
        <w:t xml:space="preserve">- Association avec la saquinavir/ritonavir (toxicité hépatique majeure), avec plusieurs antirétroviraux (principaux : inhibiteurs de protéase boostés par ritonavir : DRV/r, LPV/r, ATV/r — contre-indication relative) ;</w:t>
      </w:r>
      <w:r>
        <w:t xml:space="preserve"> </w:t>
      </w:r>
      <w:r>
        <w:t xml:space="preserve">- Association avec les contraceptifs oraux estro-progestatifs (risque d’échec contraception ; non CI mais nécessite méthode mécanique complémentaire) ;</w:t>
      </w:r>
      <w:r>
        <w:t xml:space="preserve"> </w:t>
      </w:r>
      <w:r>
        <w:t xml:space="preserve">- Prudence : âge &gt; 60 ans, alcoolisme, insuffisance rénale, associations hépatotoxiques.</w:t>
      </w:r>
      <w:r>
        <w:t xml:space="preserve"> </w:t>
      </w:r>
      <w:r>
        <w:t xml:space="preserve">- Effets Indésirables :</w:t>
      </w:r>
      <w:r>
        <w:t xml:space="preserve"> </w:t>
      </w:r>
      <w:r>
        <w:t xml:space="preserve">-</w:t>
      </w:r>
      <w:r>
        <w:t xml:space="preserve"> </w:t>
      </w:r>
      <w:r>
        <w:rPr>
          <w:b/>
          <w:bCs/>
        </w:rPr>
        <w:t xml:space="preserve">Coloration rouge-orangée</w:t>
      </w:r>
      <w:r>
        <w:t xml:space="preserve"> </w:t>
      </w:r>
      <w:r>
        <w:t xml:space="preserve">des urines, des larmes, de la sueur, des selles, des lentilles de contact (permanente) — effet sans gravité mais signe d’observance ;</w:t>
      </w:r>
      <w:r>
        <w:t xml:space="preserve"> </w:t>
      </w:r>
      <w:r>
        <w:t xml:space="preserve">-</w:t>
      </w:r>
      <w:r>
        <w:t xml:space="preserve"> </w:t>
      </w:r>
      <w:r>
        <w:rPr>
          <w:b/>
          <w:bCs/>
        </w:rPr>
        <w:t xml:space="preserve">Hépatotoxicité</w:t>
      </w:r>
      <w:r>
        <w:t xml:space="preserve"> </w:t>
      </w:r>
      <w:r>
        <w:t xml:space="preserve">: cytolyse hépatique (10–15 % des patients &gt; 3 N), hépatite clinique (1–2 %), rarement hépatite fulminante (0,01 %). Risque majoré en association avec isoniazide et pyrazinamide (effet additif) ;</w:t>
      </w:r>
      <w:r>
        <w:t xml:space="preserve"> </w:t>
      </w:r>
      <w:r>
        <w:t xml:space="preserve">-</w:t>
      </w:r>
      <w:r>
        <w:t xml:space="preserve"> </w:t>
      </w:r>
      <w:r>
        <w:rPr>
          <w:b/>
          <w:bCs/>
        </w:rPr>
        <w:t xml:space="preserve">Thrombopénie immune</w:t>
      </w:r>
      <w:r>
        <w:t xml:space="preserve"> </w:t>
      </w:r>
      <w:r>
        <w:t xml:space="preserve">(rifampicine-dépendante, mécanisme IgG anti-plaquettes) surtout en administration intermittente (&gt; 1 fois/semaine) ou reprise après arrêt ; rare mais peut être sévère (arrêt définitif) ;</w:t>
      </w:r>
      <w:r>
        <w:t xml:space="preserve"> </w:t>
      </w:r>
      <w:r>
        <w:t xml:space="preserve">-</w:t>
      </w:r>
      <w:r>
        <w:t xml:space="preserve"> </w:t>
      </w:r>
      <w:r>
        <w:rPr>
          <w:b/>
          <w:bCs/>
        </w:rPr>
        <w:t xml:space="preserve">Syndrome grippal</w:t>
      </w:r>
      <w:r>
        <w:t xml:space="preserve"> </w:t>
      </w:r>
      <w:r>
        <w:t xml:space="preserve">(fièvre, frissons, myalgies) en administration intermittente (1–2 fois/semaine) ;</w:t>
      </w:r>
      <w:r>
        <w:t xml:space="preserve"> </w:t>
      </w:r>
      <w:r>
        <w:t xml:space="preserve">-</w:t>
      </w:r>
      <w:r>
        <w:t xml:space="preserve"> </w:t>
      </w:r>
      <w:r>
        <w:rPr>
          <w:b/>
          <w:bCs/>
        </w:rPr>
        <w:t xml:space="preserve">Néphrite interstitielle</w:t>
      </w:r>
      <w:r>
        <w:t xml:space="preserve"> </w:t>
      </w:r>
      <w:r>
        <w:t xml:space="preserve">immune (rare, surtout en intermittent) ;</w:t>
      </w:r>
      <w:r>
        <w:t xml:space="preserve"> </w:t>
      </w:r>
      <w:r>
        <w:t xml:space="preserve">-</w:t>
      </w:r>
      <w:r>
        <w:t xml:space="preserve"> </w:t>
      </w:r>
      <w:r>
        <w:rPr>
          <w:b/>
          <w:bCs/>
        </w:rPr>
        <w:t xml:space="preserve">Réaction d’hypersensibilité</w:t>
      </w:r>
      <w:r>
        <w:t xml:space="preserve"> </w:t>
      </w:r>
      <w:r>
        <w:t xml:space="preserve">: rash, prurit, urticaire, rarement DRESS, anaphylaxie ;</w:t>
      </w:r>
      <w:r>
        <w:t xml:space="preserve"> </w:t>
      </w:r>
      <w:r>
        <w:t xml:space="preserve">- Effets digestifs : nausées, vomissements, diarrhée ;</w:t>
      </w:r>
      <w:r>
        <w:t xml:space="preserve"> </w:t>
      </w:r>
      <w:r>
        <w:t xml:space="preserve">- Effets neurologiques : asthénie, céphalées, vertiges, ataxie, confusion (surtout en cas de surdosage ou IR) ;</w:t>
      </w:r>
      <w:r>
        <w:t xml:space="preserve"> </w:t>
      </w:r>
      <w:r>
        <w:t xml:space="preserve">- Effets endocriniens : trouble du cycle menstruel (induction des estrogènes), diminution de l’efficacité des contraceptifs oraux (EI majeur à signaler) ;</w:t>
      </w:r>
      <w:r>
        <w:t xml:space="preserve"> </w:t>
      </w:r>
      <w:r>
        <w:t xml:space="preserve">- Biologiques : induction enzymatique → diminution des transaminases (paradoxe), baisse du taux de vitamine D (induction du CYP24A4 catabolisme), baisse de calcifédiol.</w:t>
      </w:r>
    </w:p>
    <w:p>
      <w:pPr>
        <w:pStyle w:val="BodyText"/>
      </w:pPr>
      <w:r>
        <w:rPr>
          <w:b/>
          <w:bCs/>
        </w:rPr>
        <w:t xml:space="preserve">Prévention et Gestion des Effets Indésirables :</w:t>
      </w:r>
      <w:r>
        <w:t xml:space="preserve"> </w:t>
      </w:r>
      <w:r>
        <w:t xml:space="preserve">- Mesures Préventives :</w:t>
      </w:r>
      <w:r>
        <w:t xml:space="preserve"> </w:t>
      </w:r>
      <w:r>
        <w:t xml:space="preserve">-</w:t>
      </w:r>
      <w:r>
        <w:t xml:space="preserve"> </w:t>
      </w:r>
      <w:r>
        <w:rPr>
          <w:b/>
          <w:bCs/>
        </w:rPr>
        <w:t xml:space="preserve">Bilan hépatique pré-thérapeutique</w:t>
      </w:r>
      <w:r>
        <w:t xml:space="preserve"> </w:t>
      </w:r>
      <w:r>
        <w:t xml:space="preserve">(ASAT, ALAT, PAL, γ-GT, bilirubine, TP) et surveillance mensuelle les 3 premiers mois, puis trimestrielle ; surveillance rapprochée si âge &gt; 60 ans, alcoolisme, VHB/VHC, VIH, associations hépatotoxiques ;</w:t>
      </w:r>
      <w:r>
        <w:t xml:space="preserve"> </w:t>
      </w:r>
      <w:r>
        <w:t xml:space="preserve">- Information sur la coloration des urines/larmes/lentilles (ne pas porter de lentilles de contact pendant le traitement) ;</w:t>
      </w:r>
      <w:r>
        <w:t xml:space="preserve"> </w:t>
      </w:r>
      <w:r>
        <w:t xml:space="preserve">- Information sur l’efficacité contraceptive réduite → utiliser une méthode mécanique complémentaire (préservatif) pendant toute la durée du traitement et 1 mois après l’arrêt ;</w:t>
      </w:r>
      <w:r>
        <w:t xml:space="preserve"> </w:t>
      </w:r>
      <w:r>
        <w:t xml:space="preserve">- Éviter l’alcool ; éviter le paracétamol à haute dose (hépatotoxicité additive) ;</w:t>
      </w:r>
      <w:r>
        <w:t xml:space="preserve"> </w:t>
      </w:r>
      <w:r>
        <w:t xml:space="preserve">- Adapter la posologie en insuffisance hépatique modérée (diminution de 25–50 %) et en IR sévère (rifampicine excrétée ~30 % par le rein, mais accumulation possible) ;</w:t>
      </w:r>
      <w:r>
        <w:t xml:space="preserve"> </w:t>
      </w:r>
      <w:r>
        <w:t xml:space="preserve">- Préférer les schémas quotidiens aux schémas intermittents (diminution du risque thrombopénique, néphritique et grippal).</w:t>
      </w:r>
      <w:r>
        <w:t xml:space="preserve"> </w:t>
      </w:r>
      <w:r>
        <w:t xml:space="preserve">- Conduite à Tenir :</w:t>
      </w:r>
      <w:r>
        <w:t xml:space="preserve"> </w:t>
      </w:r>
      <w:r>
        <w:t xml:space="preserve">-</w:t>
      </w:r>
      <w:r>
        <w:t xml:space="preserve"> </w:t>
      </w:r>
      <w:r>
        <w:rPr>
          <w:b/>
          <w:bCs/>
        </w:rPr>
        <w:t xml:space="preserve">Cytolyse asymptomatique &lt; 5 N</w:t>
      </w:r>
      <w:r>
        <w:t xml:space="preserve"> </w:t>
      </w:r>
      <w:r>
        <w:t xml:space="preserve">: surveillance hebdomadaire, poursuite du traitement ;</w:t>
      </w:r>
      <w:r>
        <w:t xml:space="preserve"> </w:t>
      </w:r>
      <w:r>
        <w:t xml:space="preserve">-</w:t>
      </w:r>
      <w:r>
        <w:t xml:space="preserve"> </w:t>
      </w:r>
      <w:r>
        <w:rPr>
          <w:b/>
          <w:bCs/>
        </w:rPr>
        <w:t xml:space="preserve">Cytolyse &gt; 5 N ou ictère</w:t>
      </w:r>
      <w:r>
        <w:t xml:space="preserve"> </w:t>
      </w:r>
      <w:r>
        <w:t xml:space="preserve">: arrêt immédiat de la rifampicine (et isoniazide et pyrazinamide), bilan hépatique complet, recherche d’autres causes ; réintroduction séquentielle (test de réintroduction) après normalisation ;</w:t>
      </w:r>
      <w:r>
        <w:t xml:space="preserve"> </w:t>
      </w:r>
      <w:r>
        <w:t xml:space="preserve">-</w:t>
      </w:r>
      <w:r>
        <w:t xml:space="preserve"> </w:t>
      </w:r>
      <w:r>
        <w:rPr>
          <w:b/>
          <w:bCs/>
        </w:rPr>
        <w:t xml:space="preserve">Thrombopénie &lt; 100 G/L</w:t>
      </w:r>
      <w:r>
        <w:t xml:space="preserve"> </w:t>
      </w:r>
      <w:r>
        <w:t xml:space="preserve">: arrêt définitif de la rifampicine (re-challenge dangereux), substitution par rifabutine (cross-réactivité possible) ou autre antituberculeux selon antibiogramme ;</w:t>
      </w:r>
      <w:r>
        <w:t xml:space="preserve"> </w:t>
      </w:r>
      <w:r>
        <w:t xml:space="preserve">-</w:t>
      </w:r>
      <w:r>
        <w:t xml:space="preserve"> </w:t>
      </w:r>
      <w:r>
        <w:rPr>
          <w:b/>
          <w:bCs/>
        </w:rPr>
        <w:t xml:space="preserve">Syndrome grippal</w:t>
      </w:r>
      <w:r>
        <w:t xml:space="preserve"> </w:t>
      </w:r>
      <w:r>
        <w:t xml:space="preserve">: conversion à un schéma quotidien ;</w:t>
      </w:r>
      <w:r>
        <w:t xml:space="preserve"> </w:t>
      </w:r>
      <w:r>
        <w:t xml:space="preserve">-</w:t>
      </w:r>
      <w:r>
        <w:t xml:space="preserve"> </w:t>
      </w:r>
      <w:r>
        <w:rPr>
          <w:b/>
          <w:bCs/>
        </w:rPr>
        <w:t xml:space="preserve">Néphrite interstitielle</w:t>
      </w:r>
      <w:r>
        <w:t xml:space="preserve"> </w:t>
      </w:r>
      <w:r>
        <w:t xml:space="preserve">: arrêt définitif.</w:t>
      </w:r>
    </w:p>
    <w:p>
      <w:pPr>
        <w:pStyle w:val="BodyText"/>
      </w:pPr>
      <w:r>
        <w:rPr>
          <w:b/>
          <w:bCs/>
        </w:rPr>
        <w:t xml:space="preserve">Interactions Importantes :</w:t>
      </w:r>
      <w:r>
        <w:t xml:space="preserve"> </w:t>
      </w:r>
      <w:r>
        <w:t xml:space="preserve">-</w:t>
      </w:r>
      <w:r>
        <w:t xml:space="preserve"> </w:t>
      </w:r>
      <w:r>
        <w:rPr>
          <w:b/>
          <w:bCs/>
        </w:rPr>
        <w:t xml:space="preserve">Rifampicine + AVK (warfarine, acénocoumarol, fluindione)</w:t>
      </w:r>
      <w:r>
        <w:t xml:space="preserve"> </w:t>
      </w:r>
      <w:r>
        <w:t xml:space="preserve">: induction CYP2C9 et 3A4 → diminution de l’effet anticoagulant (INR abaissé) en 5–10 jours ; surveillance INR 2×/semaine pendant l’initiation et à l’arrêt ; adaptation posologique (augmentation de la dose d’AVK souvent nécessaire de 50–100 %).</w:t>
      </w:r>
      <w:r>
        <w:t xml:space="preserve"> </w:t>
      </w:r>
      <w:r>
        <w:t xml:space="preserve">-</w:t>
      </w:r>
      <w:r>
        <w:t xml:space="preserve"> </w:t>
      </w:r>
      <w:r>
        <w:rPr>
          <w:b/>
          <w:bCs/>
        </w:rPr>
        <w:t xml:space="preserve">Rifampicine + Contraceptifs oraux estro-progestatifs</w:t>
      </w:r>
      <w:r>
        <w:t xml:space="preserve"> </w:t>
      </w:r>
      <w:r>
        <w:t xml:space="preserve">: induction CYP3A4 → augmentation du métabolisme des estrogènes et progestatifs → échec de contraception (règles irrégulières, grossesse non prévue) ;</w:t>
      </w:r>
      <w:r>
        <w:t xml:space="preserve"> </w:t>
      </w:r>
      <w:r>
        <w:rPr>
          <w:b/>
          <w:bCs/>
        </w:rPr>
        <w:t xml:space="preserve">méthode barrière obligatoire pendant le traitement et 4–8 semaines après l’arrêt</w:t>
      </w:r>
      <w:r>
        <w:t xml:space="preserve"> </w:t>
      </w:r>
      <w:r>
        <w:t xml:space="preserve">; alternative : DIU ou médroxyprogestérone injectable (Dépo-Provera) ;</w:t>
      </w:r>
      <w:r>
        <w:t xml:space="preserve"> </w:t>
      </w:r>
      <w:r>
        <w:t xml:space="preserve">-</w:t>
      </w:r>
      <w:r>
        <w:t xml:space="preserve"> </w:t>
      </w:r>
      <w:r>
        <w:rPr>
          <w:b/>
          <w:bCs/>
        </w:rPr>
        <w:t xml:space="preserve">Rifampicine + Antirétroviraux (ARV)</w:t>
      </w:r>
      <w:r>
        <w:t xml:space="preserve"> </w:t>
      </w:r>
      <w:r>
        <w:t xml:space="preserve">: interactions majeures :</w:t>
      </w:r>
      <w:r>
        <w:t xml:space="preserve"> </w:t>
      </w:r>
      <w:r>
        <w:t xml:space="preserve">-</w:t>
      </w:r>
      <w:r>
        <w:t xml:space="preserve"> </w:t>
      </w:r>
      <w:r>
        <w:rPr>
          <w:b/>
          <w:bCs/>
        </w:rPr>
        <w:t xml:space="preserve">Inhibiteurs de protéase (IP) boostés (DRV/r, LPV/r, ATV/r)</w:t>
      </w:r>
      <w:r>
        <w:t xml:space="preserve"> </w:t>
      </w:r>
      <w:r>
        <w:t xml:space="preserve">: contre-indication relative (baisse massive des concentrations d’IP → échec virologique) ; préférer schéma ARV à base d’inhibiteurs nucléosidiques + inhibiteur d’intégrase (sauf atazanavir/cobicistat) ou substituer par rifabutine (inducteur plus faible, dose adaptée 150 mg × 3/semaine) ;</w:t>
      </w:r>
      <w:r>
        <w:t xml:space="preserve"> </w:t>
      </w:r>
      <w:r>
        <w:t xml:space="preserve">-</w:t>
      </w:r>
      <w:r>
        <w:t xml:space="preserve"> </w:t>
      </w:r>
      <w:r>
        <w:rPr>
          <w:b/>
          <w:bCs/>
        </w:rPr>
        <w:t xml:space="preserve">Inhibiteurs non nucléosidiques de la transcriptase inverse (INNTI)</w:t>
      </w:r>
      <w:r>
        <w:t xml:space="preserve"> </w:t>
      </w:r>
      <w:r>
        <w:t xml:space="preserve">: névirapine contre-indiquée ; éfavirenz possible (dose standard 600 mg) avec surveillance ; rilpivirine contre-indiquée ;</w:t>
      </w:r>
      <w:r>
        <w:t xml:space="preserve"> </w:t>
      </w:r>
      <w:r>
        <w:t xml:space="preserve">-</w:t>
      </w:r>
      <w:r>
        <w:t xml:space="preserve"> </w:t>
      </w:r>
      <w:r>
        <w:rPr>
          <w:b/>
          <w:bCs/>
        </w:rPr>
        <w:t xml:space="preserve">Inhibiteurs d’intégrase (INI)</w:t>
      </w:r>
      <w:r>
        <w:t xml:space="preserve"> </w:t>
      </w:r>
      <w:r>
        <w:t xml:space="preserve">: raltégravir et dolutégravir utilisables avec adaptation (dolutégravir : 50 mg × 2/jour au lieu de 50 mg × 1/jour) ; bictegravir contre-indiqué ;</w:t>
      </w:r>
      <w:r>
        <w:t xml:space="preserve"> </w:t>
      </w:r>
      <w:r>
        <w:t xml:space="preserve">-</w:t>
      </w:r>
      <w:r>
        <w:t xml:space="preserve"> </w:t>
      </w:r>
      <w:r>
        <w:rPr>
          <w:b/>
          <w:bCs/>
        </w:rPr>
        <w:t xml:space="preserve">Maraviroc</w:t>
      </w:r>
      <w:r>
        <w:t xml:space="preserve"> </w:t>
      </w:r>
      <w:r>
        <w:t xml:space="preserve">: adaptation posologique (augmentation de dose) ;</w:t>
      </w:r>
      <w:r>
        <w:t xml:space="preserve"> </w:t>
      </w:r>
      <w:r>
        <w:t xml:space="preserve">- Préférer le schéma TDF + 3TC (ou FTC) + DTG 50 mg × 2/jour en cas de co-infection VIH/TB sous rifampicine.</w:t>
      </w:r>
      <w:r>
        <w:t xml:space="preserve"> </w:t>
      </w:r>
      <w:r>
        <w:t xml:space="preserve">-</w:t>
      </w:r>
      <w:r>
        <w:t xml:space="preserve"> </w:t>
      </w:r>
      <w:r>
        <w:rPr>
          <w:b/>
          <w:bCs/>
        </w:rPr>
        <w:t xml:space="preserve">Rifampicine + Azolés antifongiques</w:t>
      </w:r>
      <w:r>
        <w:t xml:space="preserve"> </w:t>
      </w:r>
      <w:r>
        <w:t xml:space="preserve">: baisse des concentrations d’itraconazole, kétoconazole, voriconazole (échec thérapeutique) ; fluconazole possible à dose augmentée ;</w:t>
      </w:r>
      <w:r>
        <w:t xml:space="preserve"> </w:t>
      </w:r>
      <w:r>
        <w:t xml:space="preserve">-</w:t>
      </w:r>
      <w:r>
        <w:t xml:space="preserve"> </w:t>
      </w:r>
      <w:r>
        <w:rPr>
          <w:b/>
          <w:bCs/>
        </w:rPr>
        <w:t xml:space="preserve">Rifampicine + Cyclosporine/Tacrolimus</w:t>
      </w:r>
      <w:r>
        <w:t xml:space="preserve"> </w:t>
      </w:r>
      <w:r>
        <w:t xml:space="preserve">: induction CYP3A4 → baisse massive des immunosuppresseurs → risque de rejet de greffe ; surveillance des taux résiduels, adaptation posologique majeure (×2–4) ;</w:t>
      </w:r>
      <w:r>
        <w:t xml:space="preserve"> </w:t>
      </w:r>
      <w:r>
        <w:t xml:space="preserve">-</w:t>
      </w:r>
      <w:r>
        <w:t xml:space="preserve"> </w:t>
      </w:r>
      <w:r>
        <w:rPr>
          <w:b/>
          <w:bCs/>
        </w:rPr>
        <w:t xml:space="preserve">Rifampicine + Digoxine</w:t>
      </w:r>
      <w:r>
        <w:t xml:space="preserve"> </w:t>
      </w:r>
      <w:r>
        <w:t xml:space="preserve">: induction P-gp → baisse de la digoxine ; surveillance des taux ;</w:t>
      </w:r>
      <w:r>
        <w:t xml:space="preserve"> </w:t>
      </w:r>
      <w:r>
        <w:t xml:space="preserve">-</w:t>
      </w:r>
      <w:r>
        <w:t xml:space="preserve"> </w:t>
      </w:r>
      <w:r>
        <w:rPr>
          <w:b/>
          <w:bCs/>
        </w:rPr>
        <w:t xml:space="preserve">Rifampicine + Statines (simvastatine, atorvastatine)</w:t>
      </w:r>
      <w:r>
        <w:t xml:space="preserve"> </w:t>
      </w:r>
      <w:r>
        <w:t xml:space="preserve">: baisse des concentrations de statine → perte d’efficacité hypolipémiante (peut nécessiter augmentation de dose ou switch vers pravastatine/rosuvastatine, peu métabolisées par CYP3A4) ;</w:t>
      </w:r>
      <w:r>
        <w:t xml:space="preserve"> </w:t>
      </w:r>
      <w:r>
        <w:t xml:space="preserve">-</w:t>
      </w:r>
      <w:r>
        <w:t xml:space="preserve"> </w:t>
      </w:r>
      <w:r>
        <w:rPr>
          <w:b/>
          <w:bCs/>
        </w:rPr>
        <w:t xml:space="preserve">Rifampicine + Calcium-channel blockers (amlodipine, nifédipine, diltiazem)</w:t>
      </w:r>
      <w:r>
        <w:t xml:space="preserve"> </w:t>
      </w:r>
      <w:r>
        <w:t xml:space="preserve">: baisse des concentrations → perte d’efficacité antihypertensive ;</w:t>
      </w:r>
      <w:r>
        <w:t xml:space="preserve"> </w:t>
      </w:r>
      <w:r>
        <w:t xml:space="preserve">-</w:t>
      </w:r>
      <w:r>
        <w:t xml:space="preserve"> </w:t>
      </w:r>
      <w:r>
        <w:rPr>
          <w:b/>
          <w:bCs/>
        </w:rPr>
        <w:t xml:space="preserve">Rifampicine + Anticonvulsivants (phénytoïne, lamotrigine)</w:t>
      </w:r>
      <w:r>
        <w:t xml:space="preserve"> </w:t>
      </w:r>
      <w:r>
        <w:t xml:space="preserve">: induction CYP → baisse des concentrations ; surveillance des taux ;</w:t>
      </w:r>
      <w:r>
        <w:t xml:space="preserve"> </w:t>
      </w:r>
      <w:r>
        <w:t xml:space="preserve">-</w:t>
      </w:r>
      <w:r>
        <w:t xml:space="preserve"> </w:t>
      </w:r>
      <w:r>
        <w:rPr>
          <w:b/>
          <w:bCs/>
        </w:rPr>
        <w:t xml:space="preserve">Rifampicine + Corticoïdes</w:t>
      </w:r>
      <w:r>
        <w:t xml:space="preserve"> </w:t>
      </w:r>
      <w:r>
        <w:t xml:space="preserve">: baisse de la prednisone et de la méthylprednisolone (induction CYP3A4) ; adaptation posologique nécessaire ;</w:t>
      </w:r>
      <w:r>
        <w:t xml:space="preserve"> </w:t>
      </w:r>
      <w:r>
        <w:t xml:space="preserve">-</w:t>
      </w:r>
      <w:r>
        <w:t xml:space="preserve"> </w:t>
      </w:r>
      <w:r>
        <w:rPr>
          <w:b/>
          <w:bCs/>
        </w:rPr>
        <w:t xml:space="preserve">Rifampicine + Clofazimine</w:t>
      </w:r>
      <w:r>
        <w:t xml:space="preserve"> </w:t>
      </w:r>
      <w:r>
        <w:t xml:space="preserve">(lèpre) : baisse de la clofazimine (interaction mineure) ;</w:t>
      </w:r>
      <w:r>
        <w:t xml:space="preserve"> </w:t>
      </w:r>
      <w:r>
        <w:t xml:space="preserve">-</w:t>
      </w:r>
      <w:r>
        <w:t xml:space="preserve"> </w:t>
      </w:r>
      <w:r>
        <w:rPr>
          <w:b/>
          <w:bCs/>
        </w:rPr>
        <w:t xml:space="preserve">Rifampicine + Dapagliflozine/Empagliflozine</w:t>
      </w:r>
      <w:r>
        <w:t xml:space="preserve"> </w:t>
      </w:r>
      <w:r>
        <w:t xml:space="preserve">: pas d’interaction notable ;</w:t>
      </w:r>
      <w:r>
        <w:t xml:space="preserve"> </w:t>
      </w:r>
      <w:r>
        <w:t xml:space="preserve">-</w:t>
      </w:r>
      <w:r>
        <w:t xml:space="preserve"> </w:t>
      </w:r>
      <w:r>
        <w:rPr>
          <w:b/>
          <w:bCs/>
        </w:rPr>
        <w:t xml:space="preserve">Rifampicine + Méthadone</w:t>
      </w:r>
      <w:r>
        <w:t xml:space="preserve"> </w:t>
      </w:r>
      <w:r>
        <w:t xml:space="preserve">: induction CYP3A4 → baisse de la méthadone → syndrome de sevrage ; augmentation de dose souvent nécessaire ;</w:t>
      </w:r>
      <w:r>
        <w:t xml:space="preserve"> </w:t>
      </w:r>
      <w:r>
        <w:t xml:space="preserve">-</w:t>
      </w:r>
      <w:r>
        <w:t xml:space="preserve"> </w:t>
      </w:r>
      <w:r>
        <w:rPr>
          <w:b/>
          <w:bCs/>
        </w:rPr>
        <w:t xml:space="preserve">Rifampicine + Halopéridol, rispéridone</w:t>
      </w:r>
      <w:r>
        <w:t xml:space="preserve"> </w:t>
      </w:r>
      <w:r>
        <w:t xml:space="preserve">: baisse des concentrations ;</w:t>
      </w:r>
      <w:r>
        <w:t xml:space="preserve"> </w:t>
      </w:r>
      <w:r>
        <w:t xml:space="preserve">-</w:t>
      </w:r>
      <w:r>
        <w:t xml:space="preserve"> </w:t>
      </w:r>
      <w:r>
        <w:rPr>
          <w:b/>
          <w:bCs/>
        </w:rPr>
        <w:t xml:space="preserve">Rifampicine + Thyroxine (Levothyrox)</w:t>
      </w:r>
      <w:r>
        <w:t xml:space="preserve"> </w:t>
      </w:r>
      <w:r>
        <w:t xml:space="preserve">: induction → baisse T4 libre ; augmentation de dose nécessaire.</w:t>
      </w:r>
    </w:p>
    <w:p>
      <w:pPr>
        <w:pStyle w:val="BodyText"/>
      </w:pPr>
      <w:r>
        <w:rPr>
          <w:b/>
          <w:bCs/>
        </w:rPr>
        <w:t xml:space="preserve">Grossesse et Allaitement :</w:t>
      </w:r>
      <w:r>
        <w:t xml:space="preserve"> </w:t>
      </w:r>
      <w:r>
        <w:t xml:space="preserve">- Grossesse : Compatible (CRAT) ; la rifampicine traverse le placenta, sans effet tératogène avéré chez l’humain (à la différence de l’animal : tératogène chez le rat et la souris à doses élevées). Risque théorique d’hémorragie néonatale (rifampicine interfère avec la vitamine K) : supplémentation maternelle en vitamine K1 en fin de grossesse (10–20 mg/jour per os les 15 derniers jours) et vitamine K1 à l’enfant à la naissance (1 mg IM à J1). La rifampicine est l’antituberculeux de première ligne de choix pendant la grossesse, en association avec isoniazide, éthambutol et pyrazinamide (ce dernier avec prudence au 1er trimestre).</w:t>
      </w:r>
      <w:r>
        <w:t xml:space="preserve"> </w:t>
      </w:r>
      <w:r>
        <w:t xml:space="preserve">- Allaitement : Compatible (CRAT) ; la rifampicine passe dans le lait maternel à faible concentration (rapport lait/plasma ~0,2–0,6) ; la dose ingérée par le nourrisson est négligeable (&lt; 1 % de la dose thérapeutique pédiatrique) ; coloration du lait (orange) possible sans danger. Poursuite de l’allaitement recommandée.</w:t>
      </w:r>
      <w:r>
        <w:t xml:space="preserve"> </w:t>
      </w:r>
      <w:r>
        <w:t xml:space="preserve">- Précisions : dépistage VIH, VHB, VHC systématique chez la femme enceinte tuberculeuse ; en cas de co-infection VIH, adapter le traitement ARV.</w:t>
      </w:r>
    </w:p>
    <w:p>
      <w:pPr>
        <w:pStyle w:val="BodyText"/>
      </w:pPr>
      <w:r>
        <w:rPr>
          <w:b/>
          <w:bCs/>
        </w:rPr>
        <w:t xml:space="preserve">Posologie et Mode d’administration (Standard) :</w:t>
      </w:r>
      <w:r>
        <w:t xml:space="preserve"> </w:t>
      </w:r>
      <w:r>
        <w:t xml:space="preserve">- Adulte :</w:t>
      </w:r>
      <w:r>
        <w:t xml:space="preserve"> </w:t>
      </w:r>
      <w:r>
        <w:t xml:space="preserve">- Tuberculose maladie :</w:t>
      </w:r>
      <w:r>
        <w:t xml:space="preserve"> </w:t>
      </w:r>
      <w:r>
        <w:rPr>
          <w:b/>
          <w:bCs/>
        </w:rPr>
        <w:t xml:space="preserve">10 mg/kg/jour</w:t>
      </w:r>
      <w:r>
        <w:t xml:space="preserve"> </w:t>
      </w:r>
      <w:r>
        <w:t xml:space="preserve">(max 600 mg/jour), en une prise unique quotidienne à jeun ; habituellement 600 mg/jour pour un adulte &gt; 50 kg, 450 mg/jour pour &lt; 50 kg ;</w:t>
      </w:r>
      <w:r>
        <w:t xml:space="preserve"> </w:t>
      </w:r>
      <w:r>
        <w:t xml:space="preserve">- Tuberculose latente (schéma 4R) : 10 mg/kg/jour pendant 4 mois (max 600 mg/jour) ;</w:t>
      </w:r>
      <w:r>
        <w:t xml:space="preserve"> </w:t>
      </w:r>
      <w:r>
        <w:t xml:space="preserve">- Lèpre multibacillaire : 600 mg une fois par mois (schéma PCT-MB OMS 12 doses en 12 mois) ;</w:t>
      </w:r>
      <w:r>
        <w:t xml:space="preserve"> </w:t>
      </w:r>
      <w:r>
        <w:t xml:space="preserve">- Prophylaxie méningite à méningocoque : 600 mg × 2/jour × 2 jours (adulte) ; enfant : 10 mg/kg × 2/jour × 2 jours (max 600 mg) ; nourrisson &lt; 1 mois : 5 mg/kg × 2/jour × 2 jours.</w:t>
      </w:r>
      <w:r>
        <w:t xml:space="preserve"> </w:t>
      </w:r>
      <w:r>
        <w:t xml:space="preserve">- Enfant : 15 mg/kg/jour (max 600 mg/jour) pour TB maladie ; 10–20 mg/kg/jour pour ITL.</w:t>
      </w:r>
      <w:r>
        <w:t xml:space="preserve"> </w:t>
      </w:r>
      <w:r>
        <w:t xml:space="preserve">- Durée : 6 mois (TB sensible) ; 4 mois (ITL en schéma 4R) ; 12 mois (lèpre MB).</w:t>
      </w:r>
      <w:r>
        <w:t xml:space="preserve"> </w:t>
      </w:r>
      <w:r>
        <w:t xml:space="preserve">- Moment de prise :</w:t>
      </w:r>
      <w:r>
        <w:t xml:space="preserve"> </w:t>
      </w:r>
      <w:r>
        <w:rPr>
          <w:b/>
          <w:bCs/>
        </w:rPr>
        <w:t xml:space="preserve">à jeun</w:t>
      </w:r>
      <w:r>
        <w:t xml:space="preserve"> </w:t>
      </w:r>
      <w:r>
        <w:t xml:space="preserve">(1 h avant ou 2 h après le repas) pour optimiser l’absorption (baisse de 30–40 % de l’ASC avec repas riche en graisses) ; en cas d’intolérance digestive, prise au cours d’un repas léger acceptable.</w:t>
      </w:r>
      <w:r>
        <w:t xml:space="preserve"> </w:t>
      </w:r>
      <w:r>
        <w:t xml:space="preserve">- Voie : per os (gélule, comprimé). Forme IV (rifampicine sodique pour perfusion) non disponible en Algérie par la nomenclature commerciale, mais accessible par importation exceptionnelle.</w:t>
      </w:r>
    </w:p>
    <w:p>
      <w:pPr>
        <w:pStyle w:val="BodyText"/>
      </w:pPr>
      <w:r>
        <w:rPr>
          <w:b/>
          <w:bCs/>
        </w:rPr>
        <w:t xml:space="preserve">Arbitrage et Bénéfices des Formes Galéniques :</w:t>
      </w:r>
      <w:r>
        <w:t xml:space="preserve"> </w:t>
      </w:r>
      <w:r>
        <w:t xml:space="preserve">- Formes 150 mg et 300 mg : adaptées au poids et à l’âge (enfant, adulte, sujet âgé) ;</w:t>
      </w:r>
      <w:r>
        <w:t xml:space="preserve"> </w:t>
      </w:r>
      <w:r>
        <w:t xml:space="preserve">- Pas de sirop commercialisé : préparation magistrale ou poudre de gélule dispersée pour enfant ;</w:t>
      </w:r>
      <w:r>
        <w:t xml:space="preserve"> </w:t>
      </w:r>
      <w:r>
        <w:t xml:space="preserve">- Formes combinées fixes R+H (Rifinah 150/100, 300/150) et R+H+Z (Rifater) : améliorent l’observance et préviennent la monothérapie accidentelle (voir fiches dédiées) ;</w:t>
      </w:r>
      <w:r>
        <w:t xml:space="preserve"> </w:t>
      </w:r>
      <w:r>
        <w:t xml:space="preserve">- Indisponibilité de la rifabutine dans la nomenclature algérienne commerciale (alternative à la rifampicine chez le patient VIH sous ARV) — accès via programmes spécialisés ou importation exceptionnelle.</w:t>
      </w:r>
    </w:p>
    <w:p>
      <w:pPr>
        <w:pStyle w:val="BodyText"/>
      </w:pPr>
      <w:r>
        <w:rPr>
          <w:b/>
          <w:bCs/>
        </w:rPr>
        <w:t xml:space="preserve">Instructions et Conseils au Patient :</w:t>
      </w:r>
      <w:r>
        <w:t xml:space="preserve"> </w:t>
      </w:r>
      <w:r>
        <w:t xml:space="preserve">- Communication au comptoir :</w:t>
      </w:r>
      <w:r>
        <w:t xml:space="preserve"> </w:t>
      </w:r>
      <w:r>
        <w:t xml:space="preserve">- « Prenez votre rifampicine TOUS LES JOURS, à la même heure, le matin à jeun (1 h avant le petit-déjeuner). »</w:t>
      </w:r>
      <w:r>
        <w:t xml:space="preserve"> </w:t>
      </w:r>
      <w:r>
        <w:t xml:space="preserve">- « Vos urines, vos larmes et votre sueur vont devenir rouge-orange : c’est NORMAL et sans gravité, c’est la preuve que vous avez pris votre médicament. »</w:t>
      </w:r>
      <w:r>
        <w:t xml:space="preserve"> </w:t>
      </w:r>
      <w:r>
        <w:t xml:space="preserve">- « Ne portez pas de lentilles de contact pendant le traitement : elles seront tachées de façon permanente. »</w:t>
      </w:r>
      <w:r>
        <w:t xml:space="preserve"> </w:t>
      </w:r>
      <w:r>
        <w:t xml:space="preserve">- « Si vous prenez la pilule contraceptive, elle NE SERA PLUS EFFICACE pendant le traitement et 1 mois après : utilisez un préservatif en plus. »</w:t>
      </w:r>
      <w:r>
        <w:t xml:space="preserve"> </w:t>
      </w:r>
      <w:r>
        <w:t xml:space="preserve">- « Si vous prenez des anticoagulants, des médicaments pour le cœur, pour le diabète, pour l’épilepsie, ou des traitements pour le VIH : prévenez impérativement votre médecin car la rifampicine modifie leur effet. »</w:t>
      </w:r>
      <w:r>
        <w:t xml:space="preserve"> </w:t>
      </w:r>
      <w:r>
        <w:t xml:space="preserve">- « Évitez l’alcool. »</w:t>
      </w:r>
      <w:r>
        <w:t xml:space="preserve"> </w:t>
      </w:r>
      <w:r>
        <w:t xml:space="preserve">- Mode d’utilisation pratique :</w:t>
      </w:r>
      <w:r>
        <w:t xml:space="preserve"> </w:t>
      </w:r>
      <w:r>
        <w:t xml:space="preserve">- Oubli &lt; 12 heures : prendre la dose dès que possible ;</w:t>
      </w:r>
      <w:r>
        <w:t xml:space="preserve"> </w:t>
      </w:r>
      <w:r>
        <w:t xml:space="preserve">- Oubli &gt; 12 heures : sauter la dose et reprendre le lendemain (ne jamais doubler) ;</w:t>
      </w:r>
      <w:r>
        <w:t xml:space="preserve"> </w:t>
      </w:r>
      <w:r>
        <w:t xml:space="preserve">- Règle des 80 % : au moins 80 % des doses doivent être prises pour éviter l’émergence de résistances ;</w:t>
      </w:r>
      <w:r>
        <w:t xml:space="preserve"> </w:t>
      </w:r>
      <w:r>
        <w:t xml:space="preserve">- Carnet de traitement et pilulier recommandés.</w:t>
      </w:r>
    </w:p>
    <w:p>
      <w:pPr>
        <w:pStyle w:val="BodyText"/>
      </w:pPr>
      <w:r>
        <w:rPr>
          <w:b/>
          <w:bCs/>
        </w:rPr>
        <w:t xml:space="preserve">Notes, Règles d’Or &amp; Pièges au Comptoir :</w:t>
      </w:r>
      <w:r>
        <w:t xml:space="preserve"> </w:t>
      </w:r>
      <w:r>
        <w:t xml:space="preserve">- Piège classique :</w:t>
      </w:r>
      <w:r>
        <w:t xml:space="preserve"> </w:t>
      </w:r>
      <w:r>
        <w:rPr>
          <w:b/>
          <w:bCs/>
        </w:rPr>
        <w:t xml:space="preserve">femme sous contraceptive orale estro-progestative</w:t>
      </w:r>
      <w:r>
        <w:t xml:space="preserve"> </w:t>
      </w:r>
      <w:r>
        <w:t xml:space="preserve">non informée → grossesse non prévue ; toujours demander la méthode contraceptive lors de la dispensation et conseiller préservatif ;</w:t>
      </w:r>
      <w:r>
        <w:t xml:space="preserve"> </w:t>
      </w:r>
      <w:r>
        <w:t xml:space="preserve">- Piège classique :</w:t>
      </w:r>
      <w:r>
        <w:t xml:space="preserve"> </w:t>
      </w:r>
      <w:r>
        <w:rPr>
          <w:b/>
          <w:bCs/>
        </w:rPr>
        <w:t xml:space="preserve">patient sous AVK</w:t>
      </w:r>
      <w:r>
        <w:t xml:space="preserve"> </w:t>
      </w:r>
      <w:r>
        <w:t xml:space="preserve">non surveillance INR → thrombose ou hémorragie à l’arrêt ; travail en réseau avec le médecin traitant et le laboratoire d’INR ;</w:t>
      </w:r>
      <w:r>
        <w:t xml:space="preserve"> </w:t>
      </w:r>
      <w:r>
        <w:t xml:space="preserve">- Piège classique :</w:t>
      </w:r>
      <w:r>
        <w:t xml:space="preserve"> </w:t>
      </w:r>
      <w:r>
        <w:rPr>
          <w:b/>
          <w:bCs/>
        </w:rPr>
        <w:t xml:space="preserve">patient VIH sous ARV boostés</w:t>
      </w:r>
      <w:r>
        <w:t xml:space="preserve"> </w:t>
      </w:r>
      <w:r>
        <w:t xml:space="preserve">→ échec virologique majeur ; toujours demander l’ordonnance ARV et coordonner avec le médecin VIHologue ;</w:t>
      </w:r>
      <w:r>
        <w:t xml:space="preserve"> </w:t>
      </w:r>
      <w:r>
        <w:t xml:space="preserve">- Piège classique :</w:t>
      </w:r>
      <w:r>
        <w:t xml:space="preserve"> </w:t>
      </w:r>
      <w:r>
        <w:rPr>
          <w:b/>
          <w:bCs/>
        </w:rPr>
        <w:t xml:space="preserve">patient greffé sous cyclosporine/tacrolimus</w:t>
      </w:r>
      <w:r>
        <w:t xml:space="preserve"> </w:t>
      </w:r>
      <w:r>
        <w:t xml:space="preserve">→ risque de rejet ; ne jamais délivrer sans avis du centre de greffe ;</w:t>
      </w:r>
      <w:r>
        <w:t xml:space="preserve"> </w:t>
      </w:r>
      <w:r>
        <w:t xml:space="preserve">- Piège classique :</w:t>
      </w:r>
      <w:r>
        <w:t xml:space="preserve"> </w:t>
      </w:r>
      <w:r>
        <w:rPr>
          <w:b/>
          <w:bCs/>
        </w:rPr>
        <w:t xml:space="preserve">intermittent prescribing</w:t>
      </w:r>
      <w:r>
        <w:t xml:space="preserve"> </w:t>
      </w:r>
      <w:r>
        <w:t xml:space="preserve">→ thrombopénie, syndrome grippal, néphrite ; préférer schéma quotidien ;</w:t>
      </w:r>
      <w:r>
        <w:t xml:space="preserve"> </w:t>
      </w:r>
      <w:r>
        <w:t xml:space="preserve">- Règle de prise : rifampicine à jeun (1 h avant repas) ; prise quotidienne matinale unique ;</w:t>
      </w:r>
      <w:r>
        <w:t xml:space="preserve"> </w:t>
      </w:r>
      <w:r>
        <w:t xml:space="preserve">- Préparation et Conservation : conserver à température ambiante (&lt; 25 °C), à l’abri de l’humidité et de la lumière (sensibilité à la lumière pour la rifampicine en solution) ; sirop magistral : conservation courte (7 jours, à l’abri de la lumière) ;</w:t>
      </w:r>
      <w:r>
        <w:t xml:space="preserve"> </w:t>
      </w:r>
      <w:r>
        <w:t xml:space="preserve">- Piège du surdosage / Substitution : en cas d’arrêt de la rifampicine pour hépatotoxicité, ne jamais poursuivre l’isoniazide seule (risque de résistance) ; substitution par moxifloxacine + éthambutol + aminoglycoside ± éthionamide selon antibiogramme ; durée prolongée (9–12 mois minimum) ;</w:t>
      </w:r>
      <w:r>
        <w:t xml:space="preserve"> </w:t>
      </w:r>
      <w:r>
        <w:t xml:space="preserve">- Piège de la rifampicine en ORL (collyre, gouttes auriculaires) : la rifamycine SV locale (fiche suivante) n’a PAS les interactions systémiques de la rifampicine orale (absorption négligeable), distinction essentielle à expliquer au patient.</w:t>
      </w:r>
    </w:p>
    <w:p>
      <w:r>
        <w:pict>
          <v:rect style="width:0;height:1.5pt" o:hralign="center" o:hrstd="t" o:hr="t"/>
        </w:pict>
      </w:r>
    </w:p>
    <w:bookmarkEnd w:id="238"/>
    <w:bookmarkStart w:id="239" w:name="X8abe7e656dde237d3eab824e3af4ea251ffaf02"/>
    <w:p>
      <w:pPr>
        <w:pStyle w:val="Heading3"/>
      </w:pPr>
      <w:r>
        <w:t xml:space="preserve">8.4.3. DCI : Rifampicine + Isoniazide (En Association)</w:t>
      </w:r>
    </w:p>
    <w:p>
      <w:pPr>
        <w:pStyle w:val="FirstParagraph"/>
      </w:pPr>
      <w:r>
        <w:rPr>
          <w:b/>
          <w:bCs/>
        </w:rPr>
        <w:t xml:space="preserve">Liste des Catégories :</w:t>
      </w:r>
      <w:r>
        <w:t xml:space="preserve"> </w:t>
      </w:r>
      <w:r>
        <w:t xml:space="preserve">Antituberculeux ; Association fixe de première ligne OMS ; Liste I (Algérie).</w:t>
      </w:r>
    </w:p>
    <w:p>
      <w:pPr>
        <w:pStyle w:val="BodyText"/>
      </w:pPr>
      <w:r>
        <w:t xml:space="preserve">L’association fixe rifampicine + isoniazide (RH, abréviation OMS :</w:t>
      </w:r>
      <w:r>
        <w:t xml:space="preserve"> </w:t>
      </w:r>
      <w:r>
        <w:rPr>
          <w:b/>
          <w:bCs/>
        </w:rPr>
        <w:t xml:space="preserve">RH</w:t>
      </w:r>
      <w:r>
        <w:t xml:space="preserve">) correspond à la phase d’entretien du schéma antituberculeux standard (4 mois après 2 mois de quadrithérapie HRZE). Son intérêt majeur réside dans la simplification de la prise médicamenteuse (1 comprimé au lieu de 2), l’amélioration de l’observance, et surtout la prévention de la</w:t>
      </w:r>
      <w:r>
        <w:t xml:space="preserve"> </w:t>
      </w:r>
      <w:r>
        <w:rPr>
          <w:b/>
          <w:bCs/>
        </w:rPr>
        <w:t xml:space="preserve">monothérapie accidentelle</w:t>
      </w:r>
      <w:r>
        <w:t xml:space="preserve"> </w:t>
      </w:r>
      <w:r>
        <w:t xml:space="preserve">(source principale de résistanceacquise). Les dosages sont calibrés selon le rapport pondéral R:H = 2:1 (150 mg/100 mg pour les adultes &lt; 50 kg ; 300 mg/150 mg pour les adultes &gt; 50 kg) permettant une administration unitaire.</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RIFINAH</w:t>
      </w:r>
      <w:r>
        <w:t xml:space="preserve"> </w:t>
      </w:r>
      <w:r>
        <w:t xml:space="preserve">(GRUPPO LEPETIT)</w:t>
      </w:r>
      <w:r>
        <w:t xml:space="preserve"> </w:t>
      </w:r>
      <w:r>
        <w:t xml:space="preserve">- Formes et Dosages : Dragées 150 mg/100 mg (B/1000) ; Dragées 300 mg/150 mg (B/1000)</w:t>
      </w:r>
      <w:r>
        <w:t xml:space="preserve"> </w:t>
      </w:r>
      <w:r>
        <w:t xml:space="preserve">- Statut : Non Renouvelable</w:t>
      </w:r>
      <w:r>
        <w:t xml:space="preserve"> </w:t>
      </w:r>
      <w:r>
        <w:t xml:space="preserve">-</w:t>
      </w:r>
      <w:r>
        <w:t xml:space="preserve"> </w:t>
      </w:r>
      <w:r>
        <w:rPr>
          <w:b/>
          <w:bCs/>
        </w:rPr>
        <w:t xml:space="preserve">RIFAPLUS</w:t>
      </w:r>
      <w:r>
        <w:t xml:space="preserve"> </w:t>
      </w:r>
      <w:r>
        <w:t xml:space="preserve">(LIFEPHARMA)</w:t>
      </w:r>
      <w:r>
        <w:t xml:space="preserve"> </w:t>
      </w:r>
      <w:r>
        <w:t xml:space="preserve">- Formes et Dosages : Gélules 150 mg/100 mg (B/100)</w:t>
      </w:r>
      <w:r>
        <w:t xml:space="preserve"> </w:t>
      </w:r>
      <w:r>
        <w:t xml:space="preserve">- Statut : Retiré (R)</w:t>
      </w:r>
      <w:r>
        <w:t xml:space="preserve"> </w:t>
      </w:r>
      <w:r>
        <w:t xml:space="preserve">-</w:t>
      </w:r>
      <w:r>
        <w:t xml:space="preserve"> </w:t>
      </w:r>
      <w:r>
        <w:rPr>
          <w:b/>
          <w:bCs/>
        </w:rPr>
        <w:t xml:space="preserve">RIFAPLUS 300/150</w:t>
      </w:r>
      <w:r>
        <w:t xml:space="preserve"> </w:t>
      </w:r>
      <w:r>
        <w:t xml:space="preserve">(LIFEPHARMA)</w:t>
      </w:r>
      <w:r>
        <w:t xml:space="preserve"> </w:t>
      </w:r>
      <w:r>
        <w:t xml:space="preserve">- Formes et Dosages : Gélules 300 mg/150 mg (B/100)</w:t>
      </w:r>
      <w:r>
        <w:t xml:space="preserve"> </w:t>
      </w:r>
      <w:r>
        <w:t xml:space="preserve">- Statut : Retiré (R)</w:t>
      </w:r>
    </w:p>
    <w:p>
      <w:pPr>
        <w:pStyle w:val="BodyText"/>
      </w:pPr>
      <w:r>
        <w:rPr>
          <w:b/>
          <w:bCs/>
        </w:rPr>
        <w:t xml:space="preserve">Sous-classe et Mécanisme d’action :</w:t>
      </w:r>
      <w:r>
        <w:t xml:space="preserve"> </w:t>
      </w:r>
      <w:r>
        <w:t xml:space="preserve">- Sous-classe : Antituberculeux de première ligne, association fixe bithérapie (phase d’entretien 4HR).</w:t>
      </w:r>
      <w:r>
        <w:t xml:space="preserve"> </w:t>
      </w:r>
      <w:r>
        <w:t xml:space="preserve">- Mécanisme d’action : combinaison des mécanismes individuels :</w:t>
      </w:r>
      <w:r>
        <w:t xml:space="preserve"> </w:t>
      </w:r>
      <w:r>
        <w:t xml:space="preserve">-</w:t>
      </w:r>
      <w:r>
        <w:t xml:space="preserve"> </w:t>
      </w:r>
      <w:r>
        <w:rPr>
          <w:b/>
          <w:bCs/>
        </w:rPr>
        <w:t xml:space="preserve">Rifampicine</w:t>
      </w:r>
      <w:r>
        <w:t xml:space="preserve"> </w:t>
      </w:r>
      <w:r>
        <w:t xml:space="preserve">: inhibition ARN polymérase ADN-dépendante β-subunit (RpoB) → blocage transcription → bactéricide stérilisant ;</w:t>
      </w:r>
      <w:r>
        <w:t xml:space="preserve"> </w:t>
      </w:r>
      <w:r>
        <w:t xml:space="preserve">-</w:t>
      </w:r>
      <w:r>
        <w:t xml:space="preserve"> </w:t>
      </w:r>
      <w:r>
        <w:rPr>
          <w:b/>
          <w:bCs/>
        </w:rPr>
        <w:t xml:space="preserve">Isoniazide</w:t>
      </w:r>
      <w:r>
        <w:t xml:space="preserve"> </w:t>
      </w:r>
      <w:r>
        <w:t xml:space="preserve">: prodrogue activée par KatG → inhibition FAS-II (InhA, KasA) → blocage synthèse acide mycolique → bactéricide majeur.</w:t>
      </w:r>
      <w:r>
        <w:t xml:space="preserve"> </w:t>
      </w:r>
      <w:r>
        <w:t xml:space="preserve">- Synergie : la rifampicine tue les bacilles quiescents (stérilisant), l’isoniazide tue les bacilles en multiplication rapide ; combinaison qui réduit la durée de traitement à 6 mois et prévient la résistance (mutations</w:t>
      </w:r>
      <w:r>
        <w:t xml:space="preserve"> </w:t>
      </w:r>
      <w:r>
        <w:rPr>
          <w:i/>
          <w:iCs/>
        </w:rPr>
        <w:t xml:space="preserve">rpoB</w:t>
      </w:r>
      <w:r>
        <w:t xml:space="preserve"> </w:t>
      </w:r>
      <w:r>
        <w:t xml:space="preserve">et</w:t>
      </w:r>
      <w:r>
        <w:t xml:space="preserve"> </w:t>
      </w:r>
      <w:r>
        <w:rPr>
          <w:i/>
          <w:iCs/>
        </w:rPr>
        <w:t xml:space="preserve">katG</w:t>
      </w:r>
      <w:r>
        <w:t xml:space="preserve"> </w:t>
      </w:r>
      <w:r>
        <w:t xml:space="preserve">indépendantes, probabilité de double mutation spontanée ~10⁻¹⁴).</w:t>
      </w:r>
      <w:r>
        <w:t xml:space="preserve"> </w:t>
      </w:r>
      <w:r>
        <w:t xml:space="preserve">- Cibles moléculaires : RpoB + KatG/InhA.</w:t>
      </w:r>
      <w:r>
        <w:t xml:space="preserve"> </w:t>
      </w:r>
      <w:r>
        <w:t xml:space="preserve">- Résistance : identique à celle de chaque composant pris isolément ; un antibiogramme complet est nécessaire en cas d’échec thérapeutique.</w:t>
      </w:r>
    </w:p>
    <w:p>
      <w:pPr>
        <w:pStyle w:val="BodyText"/>
      </w:pPr>
      <w:r>
        <w:rPr>
          <w:b/>
          <w:bCs/>
        </w:rPr>
        <w:t xml:space="preserve">Profil Pharmacologique :</w:t>
      </w:r>
      <w:r>
        <w:t xml:space="preserve"> </w:t>
      </w:r>
      <w:r>
        <w:t xml:space="preserve">- Indications :</w:t>
      </w:r>
      <w:r>
        <w:t xml:space="preserve"> </w:t>
      </w:r>
      <w:r>
        <w:t xml:space="preserve">- Phase d’entretien du traitement de la tuberculose maladie sensible (schéma 2HRZE/4HR) : 4 mois d’association RH à la dose de 10 mg/kg R + 5 mg/kg H ;</w:t>
      </w:r>
      <w:r>
        <w:t xml:space="preserve"> </w:t>
      </w:r>
      <w:r>
        <w:t xml:space="preserve">- Certaines ITL : schéma 3HP (rifapentine + isoniazide) préféré, mais RH peut être utilisé en alternative en cas de nondisponibilité ;</w:t>
      </w:r>
      <w:r>
        <w:t xml:space="preserve"> </w:t>
      </w:r>
      <w:r>
        <w:t xml:space="preserve">- Réduction iatrogène du nombre de comprimés (observance).</w:t>
      </w:r>
      <w:r>
        <w:t xml:space="preserve"> </w:t>
      </w:r>
      <w:r>
        <w:t xml:space="preserve">- Contre-indications : cumul des CI de la rifampicine et de l’isoniazide (insuffisance hépatique sévère, porphyrie, hypersensibilité, associations contre-indiquées avec ARV boostés, etc.).</w:t>
      </w:r>
      <w:r>
        <w:t xml:space="preserve"> </w:t>
      </w:r>
      <w:r>
        <w:t xml:space="preserve">- Effets Indésirables : cumul des EI de R et H, avec majoration de l’hépatotoxicité (incidence d’hépatite clinique jusqu’à 5–7 % en bithérapie vs 1–2 % en monothérapie). Coloration orange des urines, neuropathie périphérique (prévenue par B6), thrombopénie immune, syndrome grippal, interactions enzymatiques massives (induction CYP par rifampicine + inhibition CYP par isoniazide → tableau complexe), troubles digestifs.</w:t>
      </w:r>
    </w:p>
    <w:p>
      <w:pPr>
        <w:pStyle w:val="BodyText"/>
      </w:pPr>
      <w:r>
        <w:rPr>
          <w:b/>
          <w:bCs/>
        </w:rPr>
        <w:t xml:space="preserve">Prévention et Gestion des Effets Indésirables :</w:t>
      </w:r>
      <w:r>
        <w:t xml:space="preserve"> </w:t>
      </w:r>
      <w:r>
        <w:t xml:space="preserve">- Mesures Préventives :</w:t>
      </w:r>
      <w:r>
        <w:t xml:space="preserve"> </w:t>
      </w:r>
      <w:r>
        <w:t xml:space="preserve">-</w:t>
      </w:r>
      <w:r>
        <w:t xml:space="preserve"> </w:t>
      </w:r>
      <w:r>
        <w:rPr>
          <w:b/>
          <w:bCs/>
        </w:rPr>
        <w:t xml:space="preserve">Vitamine B6 (pyridoxine)</w:t>
      </w:r>
      <w:r>
        <w:t xml:space="preserve"> </w:t>
      </w:r>
      <w:r>
        <w:t xml:space="preserve">10–25 mg/jour systématiquement (comme pour isoniazide seule) ;</w:t>
      </w:r>
      <w:r>
        <w:t xml:space="preserve"> </w:t>
      </w:r>
      <w:r>
        <w:t xml:space="preserve">-</w:t>
      </w:r>
      <w:r>
        <w:t xml:space="preserve"> </w:t>
      </w:r>
      <w:r>
        <w:rPr>
          <w:b/>
          <w:bCs/>
        </w:rPr>
        <w:t xml:space="preserve">Bilan hépatique pré-thérapeutique</w:t>
      </w:r>
      <w:r>
        <w:t xml:space="preserve"> </w:t>
      </w:r>
      <w:r>
        <w:t xml:space="preserve">(ASAT, ALAT, PAL, γ-GT, bilirubine, TP) et surveillance mensuelle le 1er trimestre, puis trimestrielle ; surveillance renforcée par rapport à la monothérapie ;</w:t>
      </w:r>
      <w:r>
        <w:t xml:space="preserve"> </w:t>
      </w:r>
      <w:r>
        <w:t xml:space="preserve">- Information du patient : urines orange, suivi des signes hépatiques, contraception, interactions.</w:t>
      </w:r>
      <w:r>
        <w:t xml:space="preserve"> </w:t>
      </w:r>
      <w:r>
        <w:t xml:space="preserve">- Conduite à Tenir : idem que pour chaque molécule isolée ; en cas de cytolyse &gt; 5 N ou ictère, arrêt immédiat de l’association et bilan étiologique.</w:t>
      </w:r>
    </w:p>
    <w:p>
      <w:pPr>
        <w:pStyle w:val="BodyText"/>
      </w:pPr>
      <w:r>
        <w:rPr>
          <w:b/>
          <w:bCs/>
        </w:rPr>
        <w:t xml:space="preserve">Interactions Importantes :</w:t>
      </w:r>
      <w:r>
        <w:t xml:space="preserve"> </w:t>
      </w:r>
      <w:r>
        <w:t xml:space="preserve">- Cumul des interactions de la rifampicine (inducteur puissant CYP3A4/2C9/2C19/1A2/2B6 + P-gp) et de l’isoniazide (inhibiteur CYP2C19/3A4 et CYP2E1 inducteur) :</w:t>
      </w:r>
      <w:r>
        <w:t xml:space="preserve"> </w:t>
      </w:r>
      <w:r>
        <w:t xml:space="preserve">-</w:t>
      </w:r>
      <w:r>
        <w:t xml:space="preserve"> </w:t>
      </w:r>
      <w:r>
        <w:rPr>
          <w:b/>
          <w:bCs/>
        </w:rPr>
        <w:t xml:space="preserve">Phénytoïne, carbamazépine</w:t>
      </w:r>
      <w:r>
        <w:t xml:space="preserve"> </w:t>
      </w:r>
      <w:r>
        <w:t xml:space="preserve">: inhibition (par isoniazide) + induction (par rifampicine) → effet net variable et imprévisible, surveillance des taux indispensable ;</w:t>
      </w:r>
      <w:r>
        <w:t xml:space="preserve"> </w:t>
      </w:r>
      <w:r>
        <w:t xml:space="preserve">-</w:t>
      </w:r>
      <w:r>
        <w:t xml:space="preserve"> </w:t>
      </w:r>
      <w:r>
        <w:rPr>
          <w:b/>
          <w:bCs/>
        </w:rPr>
        <w:t xml:space="preserve">AVK</w:t>
      </w:r>
      <w:r>
        <w:t xml:space="preserve"> </w:t>
      </w:r>
      <w:r>
        <w:t xml:space="preserve">: induction prédominante (rifampicine) → baisse INR (augmentation dose AVK nécessaire) ;</w:t>
      </w:r>
      <w:r>
        <w:t xml:space="preserve"> </w:t>
      </w:r>
      <w:r>
        <w:t xml:space="preserve">-</w:t>
      </w:r>
      <w:r>
        <w:t xml:space="preserve"> </w:t>
      </w:r>
      <w:r>
        <w:rPr>
          <w:b/>
          <w:bCs/>
        </w:rPr>
        <w:t xml:space="preserve">Contraceptifs oraux</w:t>
      </w:r>
      <w:r>
        <w:t xml:space="preserve"> </w:t>
      </w:r>
      <w:r>
        <w:t xml:space="preserve">: induction prédominante → échec contraception (préservatif obligatoire) ;</w:t>
      </w:r>
      <w:r>
        <w:t xml:space="preserve"> </w:t>
      </w:r>
      <w:r>
        <w:t xml:space="preserve">-</w:t>
      </w:r>
      <w:r>
        <w:t xml:space="preserve"> </w:t>
      </w:r>
      <w:r>
        <w:rPr>
          <w:b/>
          <w:bCs/>
        </w:rPr>
        <w:t xml:space="preserve">Antirétroviraux</w:t>
      </w:r>
      <w:r>
        <w:t xml:space="preserve"> </w:t>
      </w:r>
      <w:r>
        <w:t xml:space="preserve">: induction massive → contre-indication avec IP boostés, adaptation INNTI/INI ;</w:t>
      </w:r>
      <w:r>
        <w:t xml:space="preserve"> </w:t>
      </w:r>
      <w:r>
        <w:t xml:space="preserve">-</w:t>
      </w:r>
      <w:r>
        <w:t xml:space="preserve"> </w:t>
      </w:r>
      <w:r>
        <w:rPr>
          <w:b/>
          <w:bCs/>
        </w:rPr>
        <w:t xml:space="preserve">Paracétamol</w:t>
      </w:r>
      <w:r>
        <w:t xml:space="preserve"> </w:t>
      </w:r>
      <w:r>
        <w:t xml:space="preserve">: isoniazide (inducteur CYP2E1) → hépatotoxicité majorée ;</w:t>
      </w:r>
      <w:r>
        <w:t xml:space="preserve"> </w:t>
      </w:r>
      <w:r>
        <w:t xml:space="preserve">-</w:t>
      </w:r>
      <w:r>
        <w:t xml:space="preserve"> </w:t>
      </w:r>
      <w:r>
        <w:rPr>
          <w:b/>
          <w:bCs/>
        </w:rPr>
        <w:t xml:space="preserve">Alcool</w:t>
      </w:r>
      <w:r>
        <w:t xml:space="preserve"> </w:t>
      </w:r>
      <w:r>
        <w:t xml:space="preserve">: hépatotoxicité additive + baisse observance.</w:t>
      </w:r>
    </w:p>
    <w:p>
      <w:pPr>
        <w:pStyle w:val="BodyText"/>
      </w:pPr>
      <w:r>
        <w:rPr>
          <w:b/>
          <w:bCs/>
        </w:rPr>
        <w:t xml:space="preserve">Grossesse et Allaitement :</w:t>
      </w:r>
      <w:r>
        <w:t xml:space="preserve"> </w:t>
      </w:r>
      <w:r>
        <w:t xml:space="preserve">- Grossesse : Compatible (CRAT) ; schéma RH utilisable pendant la grossesse en phase d’entretien (après phase d’attaque HRZE), avec supplémentation B6 et vitamine K1 en fin de grossesse.</w:t>
      </w:r>
      <w:r>
        <w:t xml:space="preserve"> </w:t>
      </w:r>
      <w:r>
        <w:t xml:space="preserve">- Allaitement : Compatible (CRAT) ; poursuivre l’allaitement, surveillance du nourrisson (coloration des urines sans gravité).</w:t>
      </w:r>
      <w:r>
        <w:t xml:space="preserve"> </w:t>
      </w:r>
      <w:r>
        <w:t xml:space="preserve">- Précisions : éviter la rifampicine pendant le 1er trimestre en cas d’alternative (rarement possible en pratique) ; surveillance hépatique renforcée chez la femme enceinte (hépatotoxicité majorée en post-partum).</w:t>
      </w:r>
    </w:p>
    <w:p>
      <w:pPr>
        <w:pStyle w:val="BodyText"/>
      </w:pPr>
      <w:r>
        <w:rPr>
          <w:b/>
          <w:bCs/>
        </w:rPr>
        <w:t xml:space="preserve">Posologie et Mode d’administration (Standard) :</w:t>
      </w:r>
      <w:r>
        <w:t xml:space="preserve"> </w:t>
      </w:r>
      <w:r>
        <w:t xml:space="preserve">- Adulte :</w:t>
      </w:r>
      <w:r>
        <w:t xml:space="preserve"> </w:t>
      </w:r>
      <w:r>
        <w:t xml:space="preserve">- Phase d’entretien 4HR :</w:t>
      </w:r>
      <w:r>
        <w:t xml:space="preserve"> </w:t>
      </w:r>
      <w:r>
        <w:rPr>
          <w:b/>
          <w:bCs/>
        </w:rPr>
        <w:t xml:space="preserve">10 mg/kg R + 5 mg/kg H/jour</w:t>
      </w:r>
      <w:r>
        <w:t xml:space="preserve"> </w:t>
      </w:r>
      <w:r>
        <w:t xml:space="preserve">en une prise unique à jeun, soit habituellement 2 comprimés de 150 mg/100 mg (adulte &lt; 50 kg) ou 2 comprimés de 300 mg/150 mg (adulte &gt; 50 kg) ;</w:t>
      </w:r>
      <w:r>
        <w:t xml:space="preserve"> </w:t>
      </w:r>
      <w:r>
        <w:t xml:space="preserve">- Prise quotidienne, à jeun (1 h avant petit-déjeuner) ;</w:t>
      </w:r>
      <w:r>
        <w:t xml:space="preserve"> </w:t>
      </w:r>
      <w:r>
        <w:t xml:space="preserve">- Vitamine B6 : 25 mg/jour per os en supplementation systématique.</w:t>
      </w:r>
      <w:r>
        <w:t xml:space="preserve"> </w:t>
      </w:r>
      <w:r>
        <w:t xml:space="preserve">- Enfant : 15 mg/kg R + 10 mg/kg H/jour (max 600 mg R + 300 mg H), en une prise à jeun.</w:t>
      </w:r>
      <w:r>
        <w:t xml:space="preserve"> </w:t>
      </w:r>
      <w:r>
        <w:t xml:space="preserve">- Durée : 4 mois en phase d’entretien du schéma 2HRZE/4HR ; certaines situations prolongent à 7 mois (cavitation initiale grande, culture positive à M2).</w:t>
      </w:r>
      <w:r>
        <w:t xml:space="preserve"> </w:t>
      </w:r>
      <w:r>
        <w:t xml:space="preserve">- Moment de prise : à jeun (1 h avant ou 2 h après le repas) pour optimiser l’absorption des deux composants.</w:t>
      </w:r>
    </w:p>
    <w:p>
      <w:pPr>
        <w:pStyle w:val="BodyText"/>
      </w:pPr>
      <w:r>
        <w:rPr>
          <w:b/>
          <w:bCs/>
        </w:rPr>
        <w:t xml:space="preserve">Arbitrage et Bénéfices des Formes Galéniques :</w:t>
      </w:r>
      <w:r>
        <w:t xml:space="preserve"> </w:t>
      </w:r>
      <w:r>
        <w:t xml:space="preserve">- Forme combinée fixe : intérêt majeur pour l’observance (1 comprimé au lieu de 2) et prévention de la monothérapie accidentelle (le patient ne peut pas arrêter un seul composant) ;</w:t>
      </w:r>
      <w:r>
        <w:t xml:space="preserve"> </w:t>
      </w:r>
      <w:r>
        <w:t xml:space="preserve">- Deux dosages (150/100 et 300/150) : adaptation au poids et à l’âge ;</w:t>
      </w:r>
      <w:r>
        <w:t xml:space="preserve"> </w:t>
      </w:r>
      <w:r>
        <w:t xml:space="preserve">- Pas de forme sirop : préparation magistrale pour enfant (poudre de comprimé dispersée).</w:t>
      </w:r>
    </w:p>
    <w:p>
      <w:pPr>
        <w:pStyle w:val="BodyText"/>
      </w:pPr>
      <w:r>
        <w:rPr>
          <w:b/>
          <w:bCs/>
        </w:rPr>
        <w:t xml:space="preserve">Instructions et Conseils au Patient :</w:t>
      </w:r>
      <w:r>
        <w:t xml:space="preserve"> </w:t>
      </w:r>
      <w:r>
        <w:t xml:space="preserve">- Communication au comptoir : idem que pour R et H isolées, avec insistance sur la prise unique à jeun, la vitaminothérapie B6, la coloration des urines, la contraception, et la surveillance hépatique.</w:t>
      </w:r>
      <w:r>
        <w:t xml:space="preserve"> </w:t>
      </w:r>
      <w:r>
        <w:t xml:space="preserve">- Mode d’utilisation pratique : oubli &lt; 12 h → prise dès que possible ; oubli &gt; 12 h → sauter ; règle des 80 %.</w:t>
      </w:r>
    </w:p>
    <w:p>
      <w:pPr>
        <w:pStyle w:val="BodyText"/>
      </w:pPr>
      <w:r>
        <w:rPr>
          <w:b/>
          <w:bCs/>
        </w:rPr>
        <w:t xml:space="preserve">Notes, Règles d’Or &amp; Pièges au Comptoir :</w:t>
      </w:r>
      <w:r>
        <w:t xml:space="preserve"> </w:t>
      </w:r>
      <w:r>
        <w:t xml:space="preserve">- Piège classique :</w:t>
      </w:r>
      <w:r>
        <w:t xml:space="preserve"> </w:t>
      </w:r>
      <w:r>
        <w:rPr>
          <w:b/>
          <w:bCs/>
        </w:rPr>
        <w:t xml:space="preserve">oubli de la vitaminothérapie B6</w:t>
      </w:r>
      <w:r>
        <w:t xml:space="preserve"> </w:t>
      </w:r>
      <w:r>
        <w:t xml:space="preserve">alors que la dose d’isoniazide est souvent doublée en phase d’attaque ;</w:t>
      </w:r>
      <w:r>
        <w:t xml:space="preserve"> </w:t>
      </w:r>
      <w:r>
        <w:t xml:space="preserve">- Piège classique :</w:t>
      </w:r>
      <w:r>
        <w:t xml:space="preserve"> </w:t>
      </w:r>
      <w:r>
        <w:rPr>
          <w:b/>
          <w:bCs/>
        </w:rPr>
        <w:t xml:space="preserve">poursuite de la prise au cours d’un repas riche en graisses</w:t>
      </w:r>
      <w:r>
        <w:t xml:space="preserve"> </w:t>
      </w:r>
      <w:r>
        <w:t xml:space="preserve">→ baisse d’efficacité (absorption réduite de R et H) ;</w:t>
      </w:r>
      <w:r>
        <w:t xml:space="preserve"> </w:t>
      </w:r>
      <w:r>
        <w:t xml:space="preserve">- Règle de prise : association RH à jeun, 1 h avant le petit-déjeuner, en une prise unique quotidienne ;</w:t>
      </w:r>
      <w:r>
        <w:t xml:space="preserve"> </w:t>
      </w:r>
      <w:r>
        <w:t xml:space="preserve">- Préparation et Conservation : conserver à température ambiante (&lt; 25 °C), à l’abri de l’humidité et de la lumière ;</w:t>
      </w:r>
      <w:r>
        <w:t xml:space="preserve"> </w:t>
      </w:r>
      <w:r>
        <w:t xml:space="preserve">- Piège du surdosage / Substitution : ne pas substituer par les composants séparés sans raison médicamenteuse (observance) ; en cas de rupture de stock, privilégier les composants séparés en respectant le ratio R:H = 2:1.</w:t>
      </w:r>
    </w:p>
    <w:p>
      <w:r>
        <w:pict>
          <v:rect style="width:0;height:1.5pt" o:hralign="center" o:hrstd="t" o:hr="t"/>
        </w:pict>
      </w:r>
    </w:p>
    <w:bookmarkEnd w:id="239"/>
    <w:bookmarkStart w:id="240" w:name="Xc125dffabcbcbc8e92fea5b990c2e5327b0da98"/>
    <w:p>
      <w:pPr>
        <w:pStyle w:val="Heading3"/>
      </w:pPr>
      <w:r>
        <w:t xml:space="preserve">8.4.4. DCI : Rifampicine + Isoniazide + Pyrazinamide (En Association)</w:t>
      </w:r>
    </w:p>
    <w:p>
      <w:pPr>
        <w:pStyle w:val="FirstParagraph"/>
      </w:pPr>
      <w:r>
        <w:rPr>
          <w:b/>
          <w:bCs/>
        </w:rPr>
        <w:t xml:space="preserve">Liste des Catégories :</w:t>
      </w:r>
      <w:r>
        <w:t xml:space="preserve"> </w:t>
      </w:r>
      <w:r>
        <w:t xml:space="preserve">Antituberculeux ; Association fixe de première ligne OMS ; Liste I (Algérie).</w:t>
      </w:r>
    </w:p>
    <w:p>
      <w:pPr>
        <w:pStyle w:val="BodyText"/>
      </w:pPr>
      <w:r>
        <w:t xml:space="preserve">L’association fixe rifampicine + isoniazide + pyrazinamide (RHZ, ou RZH selon les nomenclatures ; abréviation OMS :</w:t>
      </w:r>
      <w:r>
        <w:t xml:space="preserve"> </w:t>
      </w:r>
      <w:r>
        <w:rPr>
          <w:b/>
          <w:bCs/>
        </w:rPr>
        <w:t xml:space="preserve">RHZ</w:t>
      </w:r>
      <w:r>
        <w:t xml:space="preserve"> </w:t>
      </w:r>
      <w:r>
        <w:t xml:space="preserve">ou</w:t>
      </w:r>
      <w:r>
        <w:t xml:space="preserve"> </w:t>
      </w:r>
      <w:r>
        <w:rPr>
          <w:b/>
          <w:bCs/>
        </w:rPr>
        <w:t xml:space="preserve">RZ H</w:t>
      </w:r>
      <w:r>
        <w:t xml:space="preserve">) correspond à la phase d’attaque du schéma antituberculeux standard, à laquelle il faut ajouter l’éthambutol (E) pour la quadrithérapie complète (2HRZE). Le Rifater ne contient que R+H+Z (sans E) et l’éthambutol est prescrit séparément. Son intérêt majeur réside dans la simplification de la phase d’attaque (1 comprimé au lieu de 3) et la prévention de la monothérapie accidentelle, particulièrement critique pendant les 2 premiers mois où la charge bacillaire est élevée.</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RIFATER</w:t>
      </w:r>
      <w:r>
        <w:t xml:space="preserve"> </w:t>
      </w:r>
      <w:r>
        <w:t xml:space="preserve">(GRUPPO LEPETIT)</w:t>
      </w:r>
      <w:r>
        <w:t xml:space="preserve"> </w:t>
      </w:r>
      <w:r>
        <w:t xml:space="preserve">- Formes et Dosages : Comprimé 120 mg R + 50 mg H + 300 mg Z (B/1000)</w:t>
      </w:r>
      <w:r>
        <w:t xml:space="preserve"> </w:t>
      </w:r>
      <w:r>
        <w:t xml:space="preserve">- Statut : Non Renouvelable</w:t>
      </w:r>
    </w:p>
    <w:p>
      <w:pPr>
        <w:pStyle w:val="BodyText"/>
      </w:pPr>
      <w:r>
        <w:rPr>
          <w:b/>
          <w:bCs/>
        </w:rPr>
        <w:t xml:space="preserve">Sous-classe et Mécanisme d’action :</w:t>
      </w:r>
      <w:r>
        <w:t xml:space="preserve"> </w:t>
      </w:r>
      <w:r>
        <w:t xml:space="preserve">- Sous-classe : Antituberculeux de première ligne, association fixe trithérapie (phase d’attaque 2HRZ ± E).</w:t>
      </w:r>
      <w:r>
        <w:t xml:space="preserve"> </w:t>
      </w:r>
      <w:r>
        <w:t xml:space="preserve">- Mécanisme d’action : combinaison des mécanismes individuels :</w:t>
      </w:r>
      <w:r>
        <w:t xml:space="preserve"> </w:t>
      </w:r>
      <w:r>
        <w:t xml:space="preserve">-</w:t>
      </w:r>
      <w:r>
        <w:t xml:space="preserve"> </w:t>
      </w:r>
      <w:r>
        <w:rPr>
          <w:b/>
          <w:bCs/>
        </w:rPr>
        <w:t xml:space="preserve">Rifampicine</w:t>
      </w:r>
      <w:r>
        <w:t xml:space="preserve"> </w:t>
      </w:r>
      <w:r>
        <w:t xml:space="preserve">: inhibition RpoB (ARN polymérase) ;</w:t>
      </w:r>
      <w:r>
        <w:t xml:space="preserve"> </w:t>
      </w:r>
      <w:r>
        <w:t xml:space="preserve">-</w:t>
      </w:r>
      <w:r>
        <w:t xml:space="preserve"> </w:t>
      </w:r>
      <w:r>
        <w:rPr>
          <w:b/>
          <w:bCs/>
        </w:rPr>
        <w:t xml:space="preserve">Isoniazide</w:t>
      </w:r>
      <w:r>
        <w:t xml:space="preserve"> </w:t>
      </w:r>
      <w:r>
        <w:t xml:space="preserve">: inhibition KatG/InhA (synthèse acide mycolique) ;</w:t>
      </w:r>
      <w:r>
        <w:t xml:space="preserve"> </w:t>
      </w:r>
      <w:r>
        <w:t xml:space="preserve">-</w:t>
      </w:r>
      <w:r>
        <w:t xml:space="preserve"> </w:t>
      </w:r>
      <w:r>
        <w:rPr>
          <w:b/>
          <w:bCs/>
        </w:rPr>
        <w:t xml:space="preserve">Pyrazinamide</w:t>
      </w:r>
      <w:r>
        <w:t xml:space="preserve"> </w:t>
      </w:r>
      <w:r>
        <w:t xml:space="preserve">: prodrogue convertie par la pyrazinamidase (gène</w:t>
      </w:r>
      <w:r>
        <w:t xml:space="preserve"> </w:t>
      </w:r>
      <w:r>
        <w:rPr>
          <w:i/>
          <w:iCs/>
        </w:rPr>
        <w:t xml:space="preserve">pncA</w:t>
      </w:r>
      <w:r>
        <w:t xml:space="preserve">) en acide pyrazinoïque, qui traverse la membrane des mycobactéries en milieu acide (macro phages) et inhibe la</w:t>
      </w:r>
      <w:r>
        <w:t xml:space="preserve"> </w:t>
      </w:r>
      <w:r>
        <w:rPr>
          <w:b/>
          <w:bCs/>
        </w:rPr>
        <w:t xml:space="preserve">FAS-I (fatty acid synthase I)</w:t>
      </w:r>
      <w:r>
        <w:t xml:space="preserve"> </w:t>
      </w:r>
      <w:r>
        <w:t xml:space="preserve">et la</w:t>
      </w:r>
      <w:r>
        <w:t xml:space="preserve"> </w:t>
      </w:r>
      <w:r>
        <w:rPr>
          <w:b/>
          <w:bCs/>
        </w:rPr>
        <w:t xml:space="preserve">ribosomal protein S1 (RpsA)</w:t>
      </w:r>
      <w:r>
        <w:t xml:space="preserve">, perturbant la traduction et le métabolisme membranaire ; actif surtout en milieu acide (intramacrophagique, caséum) et sur bacilles semi-quiescents.</w:t>
      </w:r>
      <w:r>
        <w:t xml:space="preserve"> </w:t>
      </w:r>
      <w:r>
        <w:t xml:space="preserve">- Synergie : R (stérilisant) + H (bactéricide rapide) + Z (stérilisant acido-résistant, intracellulaire) ; combinaison qui réduit la durée de traitement de 18 à 6 mois et prévient la résistance (probabilité de triple mutation spontanée ~10⁻²¹).</w:t>
      </w:r>
      <w:r>
        <w:t xml:space="preserve"> </w:t>
      </w:r>
      <w:r>
        <w:t xml:space="preserve">- Cibles moléculaires : RpoB + KatG/InhA + PncA/FAS-I/RpsA.</w:t>
      </w:r>
      <w:r>
        <w:t xml:space="preserve"> </w:t>
      </w:r>
      <w:r>
        <w:t xml:space="preserve">- Résistance : mutations</w:t>
      </w:r>
      <w:r>
        <w:t xml:space="preserve"> </w:t>
      </w:r>
      <w:r>
        <w:rPr>
          <w:i/>
          <w:iCs/>
        </w:rPr>
        <w:t xml:space="preserve">rpoB</w:t>
      </w:r>
      <w:r>
        <w:t xml:space="preserve">,</w:t>
      </w:r>
      <w:r>
        <w:t xml:space="preserve"> </w:t>
      </w:r>
      <w:r>
        <w:rPr>
          <w:i/>
          <w:iCs/>
        </w:rPr>
        <w:t xml:space="preserve">katG</w:t>
      </w:r>
      <w:r>
        <w:t xml:space="preserve">/</w:t>
      </w:r>
      <w:r>
        <w:rPr>
          <w:i/>
          <w:iCs/>
        </w:rPr>
        <w:t xml:space="preserve">inhA</w:t>
      </w:r>
      <w:r>
        <w:t xml:space="preserve">,</w:t>
      </w:r>
      <w:r>
        <w:t xml:space="preserve"> </w:t>
      </w:r>
      <w:r>
        <w:rPr>
          <w:i/>
          <w:iCs/>
        </w:rPr>
        <w:t xml:space="preserve">pncA</w:t>
      </w:r>
      <w:r>
        <w:t xml:space="preserve"> </w:t>
      </w:r>
      <w:r>
        <w:t xml:space="preserve">indépendantes ; antibiogramme complet indispensable en cas d’échec.</w:t>
      </w:r>
    </w:p>
    <w:p>
      <w:pPr>
        <w:pStyle w:val="BodyText"/>
      </w:pPr>
      <w:r>
        <w:rPr>
          <w:b/>
          <w:bCs/>
        </w:rPr>
        <w:t xml:space="preserve">Profil Pharmacologique :</w:t>
      </w:r>
      <w:r>
        <w:t xml:space="preserve"> </w:t>
      </w:r>
      <w:r>
        <w:t xml:space="preserve">- Indications :</w:t>
      </w:r>
      <w:r>
        <w:t xml:space="preserve"> </w:t>
      </w:r>
      <w:r>
        <w:t xml:space="preserve">- Phase d’attaque du traitement de la tuberculose maladie sensible (schéma 2HRZE/4HR) : 2 mois d’association RHZ + éthambutol séparé (4e comprimé) ;</w:t>
      </w:r>
      <w:r>
        <w:t xml:space="preserve"> </w:t>
      </w:r>
      <w:r>
        <w:t xml:space="preserve">- Certaines situations de tuberculose paucibacillaire (TB latente étendue) en alternative selon avis spécialisé ;</w:t>
      </w:r>
      <w:r>
        <w:t xml:space="preserve"> </w:t>
      </w:r>
      <w:r>
        <w:t xml:space="preserve">- Pas d’indication en ITL simple (monothérapie H ou schéma 3HP/4R préférés).</w:t>
      </w:r>
      <w:r>
        <w:t xml:space="preserve"> </w:t>
      </w:r>
      <w:r>
        <w:t xml:space="preserve">- Contre-indications : cumul des CI de R, H et Z (insuffisance hépatique sévère, hyperuricémie symptomatique, goutte non contrôlée, porphyrie, etc.).</w:t>
      </w:r>
      <w:r>
        <w:t xml:space="preserve"> </w:t>
      </w:r>
      <w:r>
        <w:t xml:space="preserve">- Effets Indésirables :</w:t>
      </w:r>
      <w:r>
        <w:t xml:space="preserve"> </w:t>
      </w:r>
      <w:r>
        <w:t xml:space="preserve">-</w:t>
      </w:r>
      <w:r>
        <w:t xml:space="preserve"> </w:t>
      </w:r>
      <w:r>
        <w:rPr>
          <w:b/>
          <w:bCs/>
        </w:rPr>
        <w:t xml:space="preserve">Hépatotoxicité majeure</w:t>
      </w:r>
      <w:r>
        <w:t xml:space="preserve"> </w:t>
      </w:r>
      <w:r>
        <w:t xml:space="preserve">: incidence d’hépatite clinique jusqu’à 5–10 % en trithérapie (Z étant le plus hépatotoxique des trois) ; surveillance rapprochée indispensable ;</w:t>
      </w:r>
      <w:r>
        <w:t xml:space="preserve"> </w:t>
      </w:r>
      <w:r>
        <w:t xml:space="preserve">-</w:t>
      </w:r>
      <w:r>
        <w:t xml:space="preserve"> </w:t>
      </w:r>
      <w:r>
        <w:rPr>
          <w:b/>
          <w:bCs/>
        </w:rPr>
        <w:t xml:space="preserve">Hyperuricémie</w:t>
      </w:r>
      <w:r>
        <w:t xml:space="preserve"> </w:t>
      </w:r>
      <w:r>
        <w:t xml:space="preserve">(pyrazinamide inhibe l’excrétion tubulaire de l’acide urique) : arthralgies (40 % des cas), crise de goutte (rare), arthralgies sévères justifiant arrêt transitoire ;</w:t>
      </w:r>
      <w:r>
        <w:t xml:space="preserve"> </w:t>
      </w:r>
      <w:r>
        <w:t xml:space="preserve">- Coloration orange des urines (rifampicine) ;</w:t>
      </w:r>
      <w:r>
        <w:t xml:space="preserve"> </w:t>
      </w:r>
      <w:r>
        <w:t xml:space="preserve">- Neuropathie périphérique (isoniazide, prévenue par B6) ;</w:t>
      </w:r>
      <w:r>
        <w:t xml:space="preserve"> </w:t>
      </w:r>
      <w:r>
        <w:t xml:space="preserve">- Thrombopénie, syndrome grippal, néphrite interstitielle (rifampicine en intermittent) ;</w:t>
      </w:r>
      <w:r>
        <w:t xml:space="preserve"> </w:t>
      </w:r>
      <w:r>
        <w:t xml:space="preserve">- Troubles digestifs (nausées, vomissements, diarrhée) ;</w:t>
      </w:r>
      <w:r>
        <w:t xml:space="preserve"> </w:t>
      </w:r>
      <w:r>
        <w:t xml:space="preserve">- Photosensibilité (pyrazinamide rarement).</w:t>
      </w:r>
    </w:p>
    <w:p>
      <w:pPr>
        <w:pStyle w:val="BodyText"/>
      </w:pPr>
      <w:r>
        <w:rPr>
          <w:b/>
          <w:bCs/>
        </w:rPr>
        <w:t xml:space="preserve">Prévention et Gestion des Effets Indésirables :</w:t>
      </w:r>
      <w:r>
        <w:t xml:space="preserve"> </w:t>
      </w:r>
      <w:r>
        <w:t xml:space="preserve">- Mesures Préventives :</w:t>
      </w:r>
      <w:r>
        <w:t xml:space="preserve"> </w:t>
      </w:r>
      <w:r>
        <w:t xml:space="preserve">-</w:t>
      </w:r>
      <w:r>
        <w:t xml:space="preserve"> </w:t>
      </w:r>
      <w:r>
        <w:rPr>
          <w:b/>
          <w:bCs/>
        </w:rPr>
        <w:t xml:space="preserve">Vitamine B6 (pyridoxine)</w:t>
      </w:r>
      <w:r>
        <w:t xml:space="preserve"> </w:t>
      </w:r>
      <w:r>
        <w:t xml:space="preserve">25 mg/jour systématique ;</w:t>
      </w:r>
      <w:r>
        <w:t xml:space="preserve"> </w:t>
      </w:r>
      <w:r>
        <w:t xml:space="preserve">-</w:t>
      </w:r>
      <w:r>
        <w:t xml:space="preserve"> </w:t>
      </w:r>
      <w:r>
        <w:rPr>
          <w:b/>
          <w:bCs/>
        </w:rPr>
        <w:t xml:space="preserve">Bilan hépatique pré-thérapeutique</w:t>
      </w:r>
      <w:r>
        <w:t xml:space="preserve"> </w:t>
      </w:r>
      <w:r>
        <w:t xml:space="preserve">(ASAT, ALAT, PAL, γ-GT, bilirubine, TP) +</w:t>
      </w:r>
      <w:r>
        <w:t xml:space="preserve"> </w:t>
      </w:r>
      <w:r>
        <w:rPr>
          <w:b/>
          <w:bCs/>
        </w:rPr>
        <w:t xml:space="preserve">acide urique</w:t>
      </w:r>
      <w:r>
        <w:t xml:space="preserve"> </w:t>
      </w:r>
      <w:r>
        <w:t xml:space="preserve">initial et surveillance à 15 jours, M1, M2 ;</w:t>
      </w:r>
      <w:r>
        <w:t xml:space="preserve"> </w:t>
      </w:r>
      <w:r>
        <w:t xml:space="preserve">- Information du patient : urines orange, suivi des signes hépatiques, surveillance des arthralgies, contraception, interactions ;</w:t>
      </w:r>
      <w:r>
        <w:t xml:space="preserve"> </w:t>
      </w:r>
      <w:r>
        <w:t xml:space="preserve">- Hydratation suffisante pour limiter l’hyperuricémie.</w:t>
      </w:r>
      <w:r>
        <w:t xml:space="preserve"> </w:t>
      </w:r>
      <w:r>
        <w:t xml:space="preserve">- Conduite à Tenir :</w:t>
      </w:r>
      <w:r>
        <w:t xml:space="preserve"> </w:t>
      </w:r>
      <w:r>
        <w:t xml:space="preserve">-</w:t>
      </w:r>
      <w:r>
        <w:t xml:space="preserve"> </w:t>
      </w:r>
      <w:r>
        <w:rPr>
          <w:b/>
          <w:bCs/>
        </w:rPr>
        <w:t xml:space="preserve">Cytolyse &gt; 5 N ou ictère</w:t>
      </w:r>
      <w:r>
        <w:t xml:space="preserve"> </w:t>
      </w:r>
      <w:r>
        <w:t xml:space="preserve">: arrêt immédiat de la trithérapie (et de E) ; bilan hépatique complet ; recherche d’autres causes ; réintroduction séquentielle après normalisation ;</w:t>
      </w:r>
      <w:r>
        <w:t xml:space="preserve"> </w:t>
      </w:r>
      <w:r>
        <w:t xml:space="preserve">-</w:t>
      </w:r>
      <w:r>
        <w:t xml:space="preserve"> </w:t>
      </w:r>
      <w:r>
        <w:rPr>
          <w:b/>
          <w:bCs/>
        </w:rPr>
        <w:t xml:space="preserve">Hyperuricémie symptomatique</w:t>
      </w:r>
      <w:r>
        <w:t xml:space="preserve"> </w:t>
      </w:r>
      <w:r>
        <w:t xml:space="preserve">(arthralgies, goutte) : traitement symptomatique (AINS, colchicine), allopurinol contre-indiqué (augmente toxité du Z) ; si sévère, arrêt transitoire du Z ;</w:t>
      </w:r>
      <w:r>
        <w:t xml:space="preserve"> </w:t>
      </w:r>
      <w:r>
        <w:t xml:space="preserve">-</w:t>
      </w:r>
      <w:r>
        <w:t xml:space="preserve"> </w:t>
      </w:r>
      <w:r>
        <w:rPr>
          <w:b/>
          <w:bCs/>
        </w:rPr>
        <w:t xml:space="preserve">Hépatotoxicité sévère</w:t>
      </w:r>
      <w:r>
        <w:t xml:space="preserve"> </w:t>
      </w:r>
      <w:r>
        <w:t xml:space="preserve">: arrêt définitif du Z, schéma modifié 2HRE/7HR ou prolongé.</w:t>
      </w:r>
    </w:p>
    <w:p>
      <w:pPr>
        <w:pStyle w:val="BodyText"/>
      </w:pPr>
      <w:r>
        <w:rPr>
          <w:b/>
          <w:bCs/>
        </w:rPr>
        <w:t xml:space="preserve">Interactions Importantes :</w:t>
      </w:r>
      <w:r>
        <w:t xml:space="preserve"> </w:t>
      </w:r>
      <w:r>
        <w:t xml:space="preserve">- Cumul des interactions de R (inducteur), H (inhibiteur) et Z (peu d’interactions enzymatiques mais compétition tubulaire acide urique-allopurinol-pyrazinamide) :</w:t>
      </w:r>
      <w:r>
        <w:t xml:space="preserve"> </w:t>
      </w:r>
      <w:r>
        <w:t xml:space="preserve">-</w:t>
      </w:r>
      <w:r>
        <w:t xml:space="preserve"> </w:t>
      </w:r>
      <w:r>
        <w:rPr>
          <w:b/>
          <w:bCs/>
        </w:rPr>
        <w:t xml:space="preserve">AVK</w:t>
      </w:r>
      <w:r>
        <w:t xml:space="preserve"> </w:t>
      </w:r>
      <w:r>
        <w:t xml:space="preserve">: baisse INR (rifampicine) ;</w:t>
      </w:r>
      <w:r>
        <w:t xml:space="preserve"> </w:t>
      </w:r>
      <w:r>
        <w:t xml:space="preserve">-</w:t>
      </w:r>
      <w:r>
        <w:t xml:space="preserve"> </w:t>
      </w:r>
      <w:r>
        <w:rPr>
          <w:b/>
          <w:bCs/>
        </w:rPr>
        <w:t xml:space="preserve">Contraceptifs oraux</w:t>
      </w:r>
      <w:r>
        <w:t xml:space="preserve"> </w:t>
      </w:r>
      <w:r>
        <w:t xml:space="preserve">: échec (rifampicine) ;</w:t>
      </w:r>
      <w:r>
        <w:t xml:space="preserve"> </w:t>
      </w:r>
      <w:r>
        <w:t xml:space="preserve">-</w:t>
      </w:r>
      <w:r>
        <w:t xml:space="preserve"> </w:t>
      </w:r>
      <w:r>
        <w:rPr>
          <w:b/>
          <w:bCs/>
        </w:rPr>
        <w:t xml:space="preserve">ARV boostés</w:t>
      </w:r>
      <w:r>
        <w:t xml:space="preserve"> </w:t>
      </w:r>
      <w:r>
        <w:t xml:space="preserve">: contre-indication (rifampicine) ;</w:t>
      </w:r>
      <w:r>
        <w:t xml:space="preserve"> </w:t>
      </w:r>
      <w:r>
        <w:t xml:space="preserve">-</w:t>
      </w:r>
      <w:r>
        <w:t xml:space="preserve"> </w:t>
      </w:r>
      <w:r>
        <w:rPr>
          <w:b/>
          <w:bCs/>
        </w:rPr>
        <w:t xml:space="preserve">Phénytoïne, carbamazépine</w:t>
      </w:r>
      <w:r>
        <w:t xml:space="preserve"> </w:t>
      </w:r>
      <w:r>
        <w:t xml:space="preserve">: effet net variable ;</w:t>
      </w:r>
      <w:r>
        <w:t xml:space="preserve"> </w:t>
      </w:r>
      <w:r>
        <w:t xml:space="preserve">-</w:t>
      </w:r>
      <w:r>
        <w:t xml:space="preserve"> </w:t>
      </w:r>
      <w:r>
        <w:rPr>
          <w:b/>
          <w:bCs/>
        </w:rPr>
        <w:t xml:space="preserve">Allopurinol</w:t>
      </w:r>
      <w:r>
        <w:t xml:space="preserve"> </w:t>
      </w:r>
      <w:r>
        <w:t xml:space="preserve">: augmentation de la toxicité du pyrazinamide (blocage de la pyrazinamide-désamidase en acide pyrazinoïque) → ne pas associer ; préférer febuxostat en cas d’hyperuricémie sévère (mais surveillance) ;</w:t>
      </w:r>
      <w:r>
        <w:t xml:space="preserve"> </w:t>
      </w:r>
      <w:r>
        <w:t xml:space="preserve">-</w:t>
      </w:r>
      <w:r>
        <w:t xml:space="preserve"> </w:t>
      </w:r>
      <w:r>
        <w:rPr>
          <w:b/>
          <w:bCs/>
        </w:rPr>
        <w:t xml:space="preserve">Probenécide</w:t>
      </w:r>
      <w:r>
        <w:t xml:space="preserve"> </w:t>
      </w:r>
      <w:r>
        <w:t xml:space="preserve">: augmente les concentrations de pyrazinamide (baisse excrétion tubulaire) → à éviter.</w:t>
      </w:r>
    </w:p>
    <w:p>
      <w:pPr>
        <w:pStyle w:val="BodyText"/>
      </w:pPr>
      <w:r>
        <w:rPr>
          <w:b/>
          <w:bCs/>
        </w:rPr>
        <w:t xml:space="preserve">Grossesse et Allaitement :</w:t>
      </w:r>
      <w:r>
        <w:t xml:space="preserve"> </w:t>
      </w:r>
      <w:r>
        <w:t xml:space="preserve">- Grossesse : Compatible avec prudence (CRAT) ; le pyrazinamide est classé « à éviter au 1er trimestre » par certaines sources (données animales tératogènes chez le rat), mais l’OMS et le CRAT le considèrent compatible car le bénéfice maternel et fœtal l’emporte. Schéma 2HRZE/4HR préféré même en début de grossesse pour ne pas compromettre l’efficacité. Supplémentation B6 et vitamine K1 en fin de grossesse.</w:t>
      </w:r>
      <w:r>
        <w:t xml:space="preserve"> </w:t>
      </w:r>
      <w:r>
        <w:t xml:space="preserve">- Allaitement : Compatible (CRAT) ; poursuivre l’allaitement.</w:t>
      </w:r>
      <w:r>
        <w:t xml:space="preserve"> </w:t>
      </w:r>
      <w:r>
        <w:t xml:space="preserve">- Précisions : surveillance hépatique renforcée.</w:t>
      </w:r>
    </w:p>
    <w:p>
      <w:pPr>
        <w:pStyle w:val="BodyText"/>
      </w:pPr>
      <w:r>
        <w:rPr>
          <w:b/>
          <w:bCs/>
        </w:rPr>
        <w:t xml:space="preserve">Posologie et Mode d’administration (Standard) :</w:t>
      </w:r>
      <w:r>
        <w:t xml:space="preserve"> </w:t>
      </w:r>
      <w:r>
        <w:t xml:space="preserve">- Adulte :</w:t>
      </w:r>
      <w:r>
        <w:t xml:space="preserve"> </w:t>
      </w:r>
      <w:r>
        <w:rPr>
          <w:b/>
          <w:bCs/>
        </w:rPr>
        <w:t xml:space="preserve">10 mg/kg R + 5 mg/kg H + 25 mg/kg Z/jour</w:t>
      </w:r>
      <w:r>
        <w:t xml:space="preserve"> </w:t>
      </w:r>
      <w:r>
        <w:t xml:space="preserve">en une prise unique à jeun ; habituellement 5 comprimés de Rifater (120 mg/50 mg/300 mg) pour un adulte de 50–60 kg (soit 600 mg R + 250 mg H + 1500 mg Z), 6 comprimés pour &gt; 70 kg ;</w:t>
      </w:r>
      <w:r>
        <w:t xml:space="preserve"> </w:t>
      </w:r>
      <w:r>
        <w:t xml:space="preserve">- Éthambutol ajouté séparément : 15–20 mg/kg/jour (en pratique 1200–1400 mg/jour) ;</w:t>
      </w:r>
      <w:r>
        <w:t xml:space="preserve"> </w:t>
      </w:r>
      <w:r>
        <w:t xml:space="preserve">- Vitamine B6 : 25 mg/jour.</w:t>
      </w:r>
      <w:r>
        <w:t xml:space="preserve"> </w:t>
      </w:r>
      <w:r>
        <w:t xml:space="preserve">- Enfant : 15 mg/kg R + 10 mg/kg H + 30–35 mg/kg Z/jour (max 600 mg R + 300 mg H + 2 g Z) en une prise à jeun.</w:t>
      </w:r>
      <w:r>
        <w:t xml:space="preserve"> </w:t>
      </w:r>
      <w:r>
        <w:t xml:space="preserve">- Durée : 2 mois en phase d’attaque du schéma 2HRZE/4HR.</w:t>
      </w:r>
      <w:r>
        <w:t xml:space="preserve"> </w:t>
      </w:r>
      <w:r>
        <w:t xml:space="preserve">- Moment de prise : à jeun (1 h avant ou 2 h après le repas).</w:t>
      </w:r>
    </w:p>
    <w:p>
      <w:pPr>
        <w:pStyle w:val="BodyText"/>
      </w:pPr>
      <w:r>
        <w:rPr>
          <w:b/>
          <w:bCs/>
        </w:rPr>
        <w:t xml:space="preserve">Arbitrage et Bénéfices des Formes Galéniques :</w:t>
      </w:r>
      <w:r>
        <w:t xml:space="preserve"> </w:t>
      </w:r>
      <w:r>
        <w:t xml:space="preserve">- Forme combinée fixe trithérapie : simplification majeure (1 comprimé au lieu de 3) et prévention de la monothérapie accidentelle en phase d’attaque (la plus critique) ;</w:t>
      </w:r>
      <w:r>
        <w:t xml:space="preserve"> </w:t>
      </w:r>
      <w:r>
        <w:t xml:space="preserve">- Comprimé unique à 120 mg R + 50 mg H + 300 mg Z : ratio pondéral R:H:Z = 12:5:30 (adapté à un adulte de 50 kg, à moduler selon le poids) ;</w:t>
      </w:r>
      <w:r>
        <w:t xml:space="preserve"> </w:t>
      </w:r>
      <w:r>
        <w:t xml:space="preserve">- Pas de forme sirop : préparation magistrale pour enfant ;</w:t>
      </w:r>
      <w:r>
        <w:t xml:space="preserve"> </w:t>
      </w:r>
      <w:r>
        <w:t xml:space="preserve">- Éthambutol séparé : obligatoire en quadrithérapie (le Rifater ne contient pas E), à ne pas oublier.</w:t>
      </w:r>
    </w:p>
    <w:p>
      <w:pPr>
        <w:pStyle w:val="BodyText"/>
      </w:pPr>
      <w:r>
        <w:rPr>
          <w:b/>
          <w:bCs/>
        </w:rPr>
        <w:t xml:space="preserve">Instructions et Conseils au Patient :</w:t>
      </w:r>
      <w:r>
        <w:t xml:space="preserve"> </w:t>
      </w:r>
      <w:r>
        <w:t xml:space="preserve">- Communication au comptoir : idem que pour R, H et Z isolées ; insistance sur le nombre de comprimés (5–6 par jour), la prise à jeun unique, la vitaminothérapie B6, la coloration des urines, la surveillance hépatique et acide urique, les arthralgies, la contraception, les interactions.</w:t>
      </w:r>
      <w:r>
        <w:t xml:space="preserve"> </w:t>
      </w:r>
      <w:r>
        <w:t xml:space="preserve">- Mode d’utilisation pratique : oubli &lt; 12 h → prise dès que possible ; oubli &gt; 12 h → sauter ; règle des 80 %.</w:t>
      </w:r>
    </w:p>
    <w:p>
      <w:pPr>
        <w:pStyle w:val="BodyText"/>
      </w:pPr>
      <w:r>
        <w:rPr>
          <w:b/>
          <w:bCs/>
        </w:rPr>
        <w:t xml:space="preserve">Notes, Règles d’Or &amp; Pièges au Comptoir :</w:t>
      </w:r>
      <w:r>
        <w:t xml:space="preserve"> </w:t>
      </w:r>
      <w:r>
        <w:t xml:space="preserve">- Piège classique :</w:t>
      </w:r>
      <w:r>
        <w:t xml:space="preserve"> </w:t>
      </w:r>
      <w:r>
        <w:rPr>
          <w:b/>
          <w:bCs/>
        </w:rPr>
        <w:t xml:space="preserve">oubli de l’éthambutol</w:t>
      </w:r>
      <w:r>
        <w:t xml:space="preserve"> </w:t>
      </w:r>
      <w:r>
        <w:t xml:space="preserve">(Rifater seul = 3 composants, mais le schéma standard est quadrithérapie HRZE) ;</w:t>
      </w:r>
      <w:r>
        <w:t xml:space="preserve"> </w:t>
      </w:r>
      <w:r>
        <w:t xml:space="preserve">- Piège classique :</w:t>
      </w:r>
      <w:r>
        <w:t xml:space="preserve"> </w:t>
      </w:r>
      <w:r>
        <w:rPr>
          <w:b/>
          <w:bCs/>
        </w:rPr>
        <w:t xml:space="preserve">oubli de la vitaminothérapie B6</w:t>
      </w:r>
      <w:r>
        <w:t xml:space="preserve"> </w:t>
      </w:r>
      <w:r>
        <w:t xml:space="preserve">;</w:t>
      </w:r>
      <w:r>
        <w:t xml:space="preserve"> </w:t>
      </w:r>
      <w:r>
        <w:t xml:space="preserve">- Piège classique :</w:t>
      </w:r>
      <w:r>
        <w:t xml:space="preserve"> </w:t>
      </w:r>
      <w:r>
        <w:rPr>
          <w:b/>
          <w:bCs/>
        </w:rPr>
        <w:t xml:space="preserve">patient goutteux</w:t>
      </w:r>
      <w:r>
        <w:t xml:space="preserve"> </w:t>
      </w:r>
      <w:r>
        <w:t xml:space="preserve">sous allopurinol : ne pas associer (risque toxique majoré), préférer febuxostat ou arrêter allopurinol pendant la durée du traitement antituberculeux ;</w:t>
      </w:r>
      <w:r>
        <w:t xml:space="preserve"> </w:t>
      </w:r>
      <w:r>
        <w:t xml:space="preserve">- Règle de prise : association RHZ à jeun, 1 h avant le petit-déjeuner, en une prise unique quotidienne ;</w:t>
      </w:r>
      <w:r>
        <w:t xml:space="preserve"> </w:t>
      </w:r>
      <w:r>
        <w:t xml:space="preserve">- Préparation et Conservation : conserver à température ambiante (&lt; 25 °C), à l’abri de l’humidité et de la lumière ;</w:t>
      </w:r>
      <w:r>
        <w:t xml:space="preserve"> </w:t>
      </w:r>
      <w:r>
        <w:t xml:space="preserve">- Piège du surdosage / Substitution : en cas d’arrêt du Z pour hépatotoxicité ou hyperuricémie sévère, poursuivre R+H+E et prolonger la durée totale (phase d’entretien allongée à 7 mois au lieu de 4) selon avis spécialisé.</w:t>
      </w:r>
    </w:p>
    <w:p>
      <w:r>
        <w:pict>
          <v:rect style="width:0;height:1.5pt" o:hralign="center" o:hrstd="t" o:hr="t"/>
        </w:pict>
      </w:r>
    </w:p>
    <w:bookmarkEnd w:id="240"/>
    <w:bookmarkStart w:id="241" w:name="dci-rifamycine-rifamycine-sv"/>
    <w:p>
      <w:pPr>
        <w:pStyle w:val="Heading3"/>
      </w:pPr>
      <w:r>
        <w:t xml:space="preserve">8.4.5. DCI : Rifamycine (Rifamycine SV)</w:t>
      </w:r>
    </w:p>
    <w:p>
      <w:pPr>
        <w:pStyle w:val="FirstParagraph"/>
      </w:pPr>
      <w:r>
        <w:rPr>
          <w:b/>
          <w:bCs/>
        </w:rPr>
        <w:t xml:space="preserve">Liste des Catégories :</w:t>
      </w:r>
      <w:r>
        <w:t xml:space="preserve"> </w:t>
      </w:r>
      <w:r>
        <w:t xml:space="preserve">Antituberculeux ; Topique ophtalmique/ORL ; Liste I (Algérie).</w:t>
      </w:r>
    </w:p>
    <w:p>
      <w:pPr>
        <w:pStyle w:val="BodyText"/>
      </w:pPr>
      <w:r>
        <w:t xml:space="preserve">La rifamycine SV (sodium salts) est la forme hydrosoluble originelle de la rifamycine, isolée en 1957 à partir d’</w:t>
      </w:r>
      <w:r>
        <w:t xml:space="preserve"> </w:t>
      </w:r>
      <w:r>
        <w:rPr>
          <w:i/>
          <w:iCs/>
        </w:rPr>
        <w:t xml:space="preserve">Amycolatopsis rifamycinica</w:t>
      </w:r>
      <w:r>
        <w:t xml:space="preserve"> </w:t>
      </w:r>
      <w:r>
        <w:t xml:space="preserve">(actinomycète). Sa particularité principale est d’être utilisée</w:t>
      </w:r>
      <w:r>
        <w:t xml:space="preserve"> </w:t>
      </w:r>
      <w:r>
        <w:rPr>
          <w:b/>
          <w:bCs/>
        </w:rPr>
        <w:t xml:space="preserve">exclusivement par voie locale</w:t>
      </w:r>
      <w:r>
        <w:t xml:space="preserve"> </w:t>
      </w:r>
      <w:r>
        <w:t xml:space="preserve">(ophtalmologique, ORL auriculaire) en Algérie, contrairement à la rifampicine qui est réservée à la voie systémique. Cette particularité tient à sa mauvaise biodisponibilité orale et à son instabilité en solution, mais surtout à sa bonne tolérance locale et à son spectre adapté aux infections superficielles à Gram + (staphylocoques, streptocoques) et à certains Gram −.</w:t>
      </w:r>
      <w:r>
        <w:t xml:space="preserve"> </w:t>
      </w:r>
      <w:r>
        <w:rPr>
          <w:b/>
          <w:bCs/>
        </w:rPr>
        <w:t xml:space="preserve">À noter</w:t>
      </w:r>
      <w:r>
        <w:t xml:space="preserve"> </w:t>
      </w:r>
      <w:r>
        <w:t xml:space="preserve">: la rifamycine SV locale n’a pratiquement pas d’effet systémique (absorption négligeable) et ne provoque donc</w:t>
      </w:r>
      <w:r>
        <w:t xml:space="preserve"> </w:t>
      </w:r>
      <w:r>
        <w:rPr>
          <w:b/>
          <w:bCs/>
        </w:rPr>
        <w:t xml:space="preserve">pas les interactions enzymatiques majeures</w:t>
      </w:r>
      <w:r>
        <w:t xml:space="preserve"> </w:t>
      </w:r>
      <w:r>
        <w:t xml:space="preserve">de la rifampicine orale — distinction cruciale à expliquer au patient.</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RIFAMYCINE CHIBRET</w:t>
      </w:r>
      <w:r>
        <w:t xml:space="preserve"> </w:t>
      </w:r>
      <w:r>
        <w:t xml:space="preserve">(THEA)</w:t>
      </w:r>
      <w:r>
        <w:t xml:space="preserve"> </w:t>
      </w:r>
      <w:r>
        <w:t xml:space="preserve">- Formes et Dosages : Collyre en solution 1 000 000 UI/100 mL (= 1 %) (FL/10 mL)</w:t>
      </w:r>
      <w:r>
        <w:t xml:space="preserve"> </w:t>
      </w:r>
      <w:r>
        <w:t xml:space="preserve">- Statut : Actif</w:t>
      </w:r>
      <w:r>
        <w:t xml:space="preserve"> </w:t>
      </w:r>
      <w:r>
        <w:t xml:space="preserve">-</w:t>
      </w:r>
      <w:r>
        <w:t xml:space="preserve"> </w:t>
      </w:r>
      <w:r>
        <w:rPr>
          <w:b/>
          <w:bCs/>
        </w:rPr>
        <w:t xml:space="preserve">RIFAMYCINE CHIBRET</w:t>
      </w:r>
      <w:r>
        <w:t xml:space="preserve"> </w:t>
      </w:r>
      <w:r>
        <w:t xml:space="preserve">(THEA)</w:t>
      </w:r>
      <w:r>
        <w:t xml:space="preserve"> </w:t>
      </w:r>
      <w:r>
        <w:t xml:space="preserve">- Formes et Dosages : Pommade ophtalmique 1 000 000 UI/100 g (= 1 %) (T/5 g)</w:t>
      </w:r>
      <w:r>
        <w:t xml:space="preserve"> </w:t>
      </w:r>
      <w:r>
        <w:t xml:space="preserve">- Statut : Actif</w:t>
      </w:r>
      <w:r>
        <w:t xml:space="preserve"> </w:t>
      </w:r>
      <w:r>
        <w:t xml:space="preserve">-</w:t>
      </w:r>
      <w:r>
        <w:t xml:space="preserve"> </w:t>
      </w:r>
      <w:r>
        <w:rPr>
          <w:b/>
          <w:bCs/>
        </w:rPr>
        <w:t xml:space="preserve">OTOFA</w:t>
      </w:r>
      <w:r>
        <w:t xml:space="preserve"> </w:t>
      </w:r>
      <w:r>
        <w:t xml:space="preserve">(BOUCHARA-RECORDATI)</w:t>
      </w:r>
      <w:r>
        <w:t xml:space="preserve"> </w:t>
      </w:r>
      <w:r>
        <w:t xml:space="preserve">- Formes et Dosages : Solution auriculaire (gouttes) 2,6 g/100 mL (= 2,6 %) (FL/10 mL)</w:t>
      </w:r>
      <w:r>
        <w:t xml:space="preserve"> </w:t>
      </w:r>
      <w:r>
        <w:t xml:space="preserve">- Statut : Actif</w:t>
      </w:r>
      <w:r>
        <w:t xml:space="preserve"> </w:t>
      </w:r>
      <w:r>
        <w:t xml:space="preserve">-</w:t>
      </w:r>
      <w:r>
        <w:t xml:space="preserve"> </w:t>
      </w:r>
      <w:r>
        <w:rPr>
          <w:b/>
          <w:bCs/>
        </w:rPr>
        <w:t xml:space="preserve">RIFAMED</w:t>
      </w:r>
      <w:r>
        <w:t xml:space="preserve"> </w:t>
      </w:r>
      <w:r>
        <w:t xml:space="preserve">(MEDI PHARMA INTERNATIONAL)</w:t>
      </w:r>
      <w:r>
        <w:t xml:space="preserve"> </w:t>
      </w:r>
      <w:r>
        <w:t xml:space="preserve">- Formes et Dosages : Pommade ophtalmique 0,01 % (T/5 g)</w:t>
      </w:r>
      <w:r>
        <w:t xml:space="preserve"> </w:t>
      </w:r>
      <w:r>
        <w:t xml:space="preserve">- Statut : Retiré (R)</w:t>
      </w:r>
    </w:p>
    <w:p>
      <w:pPr>
        <w:pStyle w:val="BodyText"/>
      </w:pPr>
      <w:r>
        <w:rPr>
          <w:b/>
          <w:bCs/>
        </w:rPr>
        <w:t xml:space="preserve">Sous-classe et Mécanisme d’action :</w:t>
      </w:r>
      <w:r>
        <w:t xml:space="preserve"> </w:t>
      </w:r>
      <w:r>
        <w:t xml:space="preserve">- Sous-classe : Antituberculeux topique (voire « antiseptique local » selon les classifications) ; rifamycine naturelle (non semi-synthétique).</w:t>
      </w:r>
      <w:r>
        <w:t xml:space="preserve"> </w:t>
      </w:r>
      <w:r>
        <w:t xml:space="preserve">- Mécanisme d’action : identique à celui de la rifampicine (inhibition de la sous-unité β de l’ARN polymérase ADN-dépendante bactérienne, RpoB), mais appliqué localement. Le préfixe « SV » (solubilisé en vitamine C / sel sodique) désigne la forme hydrosoluble permettant la formulation en collyre et solution auriculaire.</w:t>
      </w:r>
      <w:r>
        <w:t xml:space="preserve"> </w:t>
      </w:r>
      <w:r>
        <w:t xml:space="preserve">- Cible moléculaire : RpoB (ARN polymérase).</w:t>
      </w:r>
      <w:r>
        <w:t xml:space="preserve"> </w:t>
      </w:r>
      <w:r>
        <w:t xml:space="preserve">- Spectre : Gram + (staphylocoques, streptocoques, pneumocoques), certains Gram − (Neisseria, Haemophilus), mycobactéries (sensibilité moindre que la rifampicine), Chlamydia. Pas d’activité notable sur Pseudomonas.</w:t>
      </w:r>
      <w:r>
        <w:t xml:space="preserve"> </w:t>
      </w:r>
      <w:r>
        <w:t xml:space="preserve">- Résistance : identique à la rifampicine (mutations</w:t>
      </w:r>
      <w:r>
        <w:t xml:space="preserve"> </w:t>
      </w:r>
      <w:r>
        <w:rPr>
          <w:i/>
          <w:iCs/>
        </w:rPr>
        <w:t xml:space="preserve">rpoB</w:t>
      </w:r>
      <w:r>
        <w:t xml:space="preserve">), mais émergence limitée en usage local court (5–10 jours).</w:t>
      </w:r>
    </w:p>
    <w:p>
      <w:pPr>
        <w:pStyle w:val="BodyText"/>
      </w:pPr>
      <w:r>
        <w:rPr>
          <w:b/>
          <w:bCs/>
        </w:rPr>
        <w:t xml:space="preserve">Profil Pharmacologique :</w:t>
      </w:r>
      <w:r>
        <w:t xml:space="preserve"> </w:t>
      </w:r>
      <w:r>
        <w:t xml:space="preserve">- Indications :</w:t>
      </w:r>
      <w:r>
        <w:t xml:space="preserve"> </w:t>
      </w:r>
      <w:r>
        <w:t xml:space="preserve">-</w:t>
      </w:r>
      <w:r>
        <w:t xml:space="preserve"> </w:t>
      </w:r>
      <w:r>
        <w:rPr>
          <w:b/>
          <w:bCs/>
        </w:rPr>
        <w:t xml:space="preserve">Ophtalmologie</w:t>
      </w:r>
      <w:r>
        <w:t xml:space="preserve"> </w:t>
      </w:r>
      <w:r>
        <w:t xml:space="preserve">: conjonctivites bactériennes à Gram + (staphylocoque, streptocoque, pneumocoque), blénorragie conjonctivale du nouveau-né (alternative), kératites superficielles, prévention post-chirurgicale ophtalmique ;</w:t>
      </w:r>
      <w:r>
        <w:t xml:space="preserve"> </w:t>
      </w:r>
      <w:r>
        <w:t xml:space="preserve">-</w:t>
      </w:r>
      <w:r>
        <w:t xml:space="preserve"> </w:t>
      </w:r>
      <w:r>
        <w:rPr>
          <w:b/>
          <w:bCs/>
        </w:rPr>
        <w:t xml:space="preserve">ORL auriculaire</w:t>
      </w:r>
      <w:r>
        <w:t xml:space="preserve"> </w:t>
      </w:r>
      <w:r>
        <w:t xml:space="preserve">: otites externes (OAE) bactériennes, otites moyennes purulentes avec tympan ouvert/perméable (otorrhée), prévention post-chirurgicale ORL ;</w:t>
      </w:r>
      <w:r>
        <w:t xml:space="preserve"> </w:t>
      </w:r>
      <w:r>
        <w:t xml:space="preserve">- Pas d’indication en antituberculeux systémique (réservé à la rifampicine).</w:t>
      </w:r>
      <w:r>
        <w:t xml:space="preserve"> </w:t>
      </w:r>
      <w:r>
        <w:t xml:space="preserve">- Contre-indications :</w:t>
      </w:r>
      <w:r>
        <w:t xml:space="preserve"> </w:t>
      </w:r>
      <w:r>
        <w:t xml:space="preserve">- Hypersensibilité aux rifamycines ;</w:t>
      </w:r>
      <w:r>
        <w:t xml:space="preserve"> </w:t>
      </w:r>
      <w:r>
        <w:t xml:space="preserve">-</w:t>
      </w:r>
      <w:r>
        <w:t xml:space="preserve"> </w:t>
      </w:r>
      <w:r>
        <w:rPr>
          <w:b/>
          <w:bCs/>
        </w:rPr>
        <w:t xml:space="preserve">Perforation tympanique</w:t>
      </w:r>
      <w:r>
        <w:t xml:space="preserve"> </w:t>
      </w:r>
      <w:r>
        <w:t xml:space="preserve">(Ot ofa : solution auriculaire peut atteindre l’oreille interne → ototoxicité) ;</w:t>
      </w:r>
      <w:r>
        <w:t xml:space="preserve"> </w:t>
      </w:r>
      <w:r>
        <w:t xml:space="preserve">- Infection virale (herpès, varicelle) non couverte ;</w:t>
      </w:r>
      <w:r>
        <w:t xml:space="preserve"> </w:t>
      </w:r>
      <w:r>
        <w:t xml:space="preserve">- Infection fongique non couverte ;</w:t>
      </w:r>
      <w:r>
        <w:t xml:space="preserve"> </w:t>
      </w:r>
      <w:r>
        <w:t xml:space="preserve">- Pas de CI systémique (pas d’absorption).</w:t>
      </w:r>
      <w:r>
        <w:t xml:space="preserve"> </w:t>
      </w:r>
      <w:r>
        <w:t xml:space="preserve">- Effets Indésirables :</w:t>
      </w:r>
      <w:r>
        <w:t xml:space="preserve"> </w:t>
      </w:r>
      <w:r>
        <w:t xml:space="preserve">- Locaux : picotements, sensation de brûlure à l’instillation, rougeur conjonctivale transitoire ;</w:t>
      </w:r>
      <w:r>
        <w:t xml:space="preserve"> </w:t>
      </w:r>
      <w:r>
        <w:t xml:space="preserve">- Allergiques : dermatite de contact, conjonctivite allergique, rarement eczéma palpébral (sensibilisation locale possible) ;</w:t>
      </w:r>
      <w:r>
        <w:t xml:space="preserve"> </w:t>
      </w:r>
      <w:r>
        <w:t xml:space="preserve">- Coloration orangée des larmes (sans gravité, mais information patient) ;</w:t>
      </w:r>
      <w:r>
        <w:t xml:space="preserve"> </w:t>
      </w:r>
      <w:r>
        <w:t xml:space="preserve">- Coloration orangée des vêtements si contact (pommade) ;</w:t>
      </w:r>
      <w:r>
        <w:t xml:space="preserve"> </w:t>
      </w:r>
      <w:r>
        <w:t xml:space="preserve">- En cas de tympan perforé (Ot ofa) : ototoxicité, atteinte vestibulaire, surdité.</w:t>
      </w:r>
      <w:r>
        <w:t xml:space="preserve"> </w:t>
      </w:r>
      <w:r>
        <w:t xml:space="preserve">- Absorption systémique négligeable → pas d’EI systémique (pas d’hépatotoxicité, pas d’interactions enzymatiques).</w:t>
      </w:r>
    </w:p>
    <w:p>
      <w:pPr>
        <w:pStyle w:val="BodyText"/>
      </w:pPr>
      <w:r>
        <w:rPr>
          <w:b/>
          <w:bCs/>
        </w:rPr>
        <w:t xml:space="preserve">Prévention et Gestion des Effets Indésirables :</w:t>
      </w:r>
      <w:r>
        <w:t xml:space="preserve"> </w:t>
      </w:r>
      <w:r>
        <w:t xml:space="preserve">- Mesures Préventives :</w:t>
      </w:r>
      <w:r>
        <w:t xml:space="preserve"> </w:t>
      </w:r>
      <w:r>
        <w:t xml:space="preserve">- Vérification de l’absence de perforation tympanique avant instillation de l’Ot ofa (examen otoscopique médical) ;</w:t>
      </w:r>
      <w:r>
        <w:t xml:space="preserve"> </w:t>
      </w:r>
      <w:r>
        <w:t xml:space="preserve">- Hygiène des mains avant instillation ;</w:t>
      </w:r>
      <w:r>
        <w:t xml:space="preserve"> </w:t>
      </w:r>
      <w:r>
        <w:t xml:space="preserve">- Ne pas toucher l’œil ou l’oreille avec l’embout du flacon (contamination) ;</w:t>
      </w:r>
      <w:r>
        <w:t xml:space="preserve"> </w:t>
      </w:r>
      <w:r>
        <w:t xml:space="preserve">- Délai entre les instillations de 5–10 min si plusieurs collyres ;</w:t>
      </w:r>
      <w:r>
        <w:t xml:space="preserve"> </w:t>
      </w:r>
      <w:r>
        <w:t xml:space="preserve">- Information sur la coloration orangée des larmes ;</w:t>
      </w:r>
      <w:r>
        <w:t xml:space="preserve"> </w:t>
      </w:r>
      <w:r>
        <w:t xml:space="preserve">- Pas de lentilles de contact pendant le traitement (coloration, contamination) ;</w:t>
      </w:r>
      <w:r>
        <w:t xml:space="preserve"> </w:t>
      </w:r>
      <w:r>
        <w:t xml:space="preserve">- Conservation au réfrigérateur après ouverture (selon RCP) ; durée d’utilisation après ouverture : 15 jours à 1 mois selon spécialité.</w:t>
      </w:r>
      <w:r>
        <w:t xml:space="preserve"> </w:t>
      </w:r>
      <w:r>
        <w:t xml:space="preserve">- Conduite à Tenir :</w:t>
      </w:r>
      <w:r>
        <w:t xml:space="preserve"> </w:t>
      </w:r>
      <w:r>
        <w:t xml:space="preserve">-</w:t>
      </w:r>
      <w:r>
        <w:t xml:space="preserve"> </w:t>
      </w:r>
      <w:r>
        <w:rPr>
          <w:b/>
          <w:bCs/>
        </w:rPr>
        <w:t xml:space="preserve">Réaction allergique locale</w:t>
      </w:r>
      <w:r>
        <w:t xml:space="preserve"> </w:t>
      </w:r>
      <w:r>
        <w:t xml:space="preserve">: arrêt, alternative (chloramphénicol collyre si disponible, ofloxacine collyre) ;</w:t>
      </w:r>
      <w:r>
        <w:t xml:space="preserve"> </w:t>
      </w:r>
      <w:r>
        <w:t xml:space="preserve">-</w:t>
      </w:r>
      <w:r>
        <w:t xml:space="preserve"> </w:t>
      </w:r>
      <w:r>
        <w:rPr>
          <w:b/>
          <w:bCs/>
        </w:rPr>
        <w:t xml:space="preserve">Pas d’amélioration après 5–7 jours</w:t>
      </w:r>
      <w:r>
        <w:t xml:space="preserve"> </w:t>
      </w:r>
      <w:r>
        <w:t xml:space="preserve">: consultation médicale pour réévaluation (germe résistant, mycose, allergie) ;</w:t>
      </w:r>
      <w:r>
        <w:t xml:space="preserve"> </w:t>
      </w:r>
      <w:r>
        <w:t xml:space="preserve">-</w:t>
      </w:r>
      <w:r>
        <w:t xml:space="preserve"> </w:t>
      </w:r>
      <w:r>
        <w:rPr>
          <w:b/>
          <w:bCs/>
        </w:rPr>
        <w:t xml:space="preserve">Ot ofa + tympan perforé</w:t>
      </w:r>
      <w:r>
        <w:t xml:space="preserve"> </w:t>
      </w:r>
      <w:r>
        <w:t xml:space="preserve">: arrêt immédiat, examen ORL urgent, recherche d’atteinte cochléovestibulaire.</w:t>
      </w:r>
    </w:p>
    <w:p>
      <w:pPr>
        <w:pStyle w:val="BodyText"/>
      </w:pPr>
      <w:r>
        <w:rPr>
          <w:b/>
          <w:bCs/>
        </w:rPr>
        <w:t xml:space="preserve">Interactions Importantes :</w:t>
      </w:r>
      <w:r>
        <w:t xml:space="preserve"> </w:t>
      </w:r>
      <w:r>
        <w:t xml:space="preserve">-</w:t>
      </w:r>
      <w:r>
        <w:t xml:space="preserve"> </w:t>
      </w:r>
      <w:r>
        <w:rPr>
          <w:b/>
          <w:bCs/>
        </w:rPr>
        <w:t xml:space="preserve">Aucune interaction systémique</w:t>
      </w:r>
      <w:r>
        <w:t xml:space="preserve"> </w:t>
      </w:r>
      <w:r>
        <w:t xml:space="preserve">(absorption négligeable) : distinction cruciale avec la rifampicine orale ;</w:t>
      </w:r>
      <w:r>
        <w:t xml:space="preserve"> </w:t>
      </w:r>
      <w:r>
        <w:t xml:space="preserve">- Associations locales possibles avec autres collyres (séparation de 10 min) ;</w:t>
      </w:r>
      <w:r>
        <w:t xml:space="preserve"> </w:t>
      </w:r>
      <w:r>
        <w:t xml:space="preserve">- Pas d’interaction avec les lentilles de contact (mais retrait des lentilles recommandé pendant le traitement).</w:t>
      </w:r>
    </w:p>
    <w:p>
      <w:pPr>
        <w:pStyle w:val="BodyText"/>
      </w:pPr>
      <w:r>
        <w:rPr>
          <w:b/>
          <w:bCs/>
        </w:rPr>
        <w:t xml:space="preserve">Grossesse et Allaitement :</w:t>
      </w:r>
      <w:r>
        <w:t xml:space="preserve"> </w:t>
      </w:r>
      <w:r>
        <w:t xml:space="preserve">- Grossesse : Compatible (CRAT) ; usage local ophtalmologique ou ORL sans passage systémique significatif ; aucune CI chez la femme enceinte.</w:t>
      </w:r>
      <w:r>
        <w:t xml:space="preserve"> </w:t>
      </w:r>
      <w:r>
        <w:t xml:space="preserve">- Allaitement : Compatible (CRAT) ; pas de passage dans le lait maternel à des concentrations significatives.</w:t>
      </w:r>
      <w:r>
        <w:t xml:space="preserve"> </w:t>
      </w:r>
      <w:r>
        <w:t xml:space="preserve">- Précisions : pour Otofa chez la femme enceinte, vérifier l’absence de perforation tympanique (CI absolue indépendante de la grossesse).</w:t>
      </w:r>
    </w:p>
    <w:p>
      <w:pPr>
        <w:pStyle w:val="BodyText"/>
      </w:pPr>
      <w:r>
        <w:rPr>
          <w:b/>
          <w:bCs/>
        </w:rPr>
        <w:t xml:space="preserve">Posologie et Mode d’administration (Standard) :</w:t>
      </w:r>
      <w:r>
        <w:t xml:space="preserve"> </w:t>
      </w:r>
      <w:r>
        <w:t xml:space="preserve">- Adulte et enfant (y compris nourrisson pour le collyre) :</w:t>
      </w:r>
      <w:r>
        <w:t xml:space="preserve"> </w:t>
      </w:r>
      <w:r>
        <w:t xml:space="preserve">-</w:t>
      </w:r>
      <w:r>
        <w:t xml:space="preserve"> </w:t>
      </w:r>
      <w:r>
        <w:rPr>
          <w:b/>
          <w:bCs/>
        </w:rPr>
        <w:t xml:space="preserve">Collyre ophtalmique</w:t>
      </w:r>
      <w:r>
        <w:t xml:space="preserve"> </w:t>
      </w:r>
      <w:r>
        <w:t xml:space="preserve">: 1 goutte × 2 à 6 fois/jour dans l’œil atteint, pendant 5–10 jours ;</w:t>
      </w:r>
      <w:r>
        <w:t xml:space="preserve"> </w:t>
      </w:r>
      <w:r>
        <w:t xml:space="preserve">-</w:t>
      </w:r>
      <w:r>
        <w:t xml:space="preserve"> </w:t>
      </w:r>
      <w:r>
        <w:rPr>
          <w:b/>
          <w:bCs/>
        </w:rPr>
        <w:t xml:space="preserve">Pommade ophtalmique</w:t>
      </w:r>
      <w:r>
        <w:t xml:space="preserve"> </w:t>
      </w:r>
      <w:r>
        <w:t xml:space="preserve">: application dans le cul-de-sac conjonctival inférieur × 2 à 3 fois/jour (et au coucher) ;</w:t>
      </w:r>
      <w:r>
        <w:t xml:space="preserve"> </w:t>
      </w:r>
      <w:r>
        <w:t xml:space="preserve">-</w:t>
      </w:r>
      <w:r>
        <w:t xml:space="preserve"> </w:t>
      </w:r>
      <w:r>
        <w:rPr>
          <w:b/>
          <w:bCs/>
        </w:rPr>
        <w:t xml:space="preserve">Solution auriculaire (Otofa)</w:t>
      </w:r>
      <w:r>
        <w:t xml:space="preserve"> </w:t>
      </w:r>
      <w:r>
        <w:t xml:space="preserve">: 2 à 3 gouttes × 2 à 3 fois/jour dans l’oreille atteinte, pendant 7 jours maximum.</w:t>
      </w:r>
      <w:r>
        <w:t xml:space="preserve"> </w:t>
      </w:r>
      <w:r>
        <w:t xml:space="preserve">- Durée : 5–10 jours (ophtalmologie) ; 7 jours (ORL auriculaire) ; ne pas prolonger sans avis médical.</w:t>
      </w:r>
      <w:r>
        <w:t xml:space="preserve"> </w:t>
      </w:r>
      <w:r>
        <w:t xml:space="preserve">- Mode d’administration :</w:t>
      </w:r>
      <w:r>
        <w:t xml:space="preserve"> </w:t>
      </w:r>
      <w:r>
        <w:t xml:space="preserve">- Ophtalmique : lavage des mains ; inclinaison de la tête en arrière ; regard vers le haut ; traction de la paupière inférieure vers le bas ; instillation d’une goutte dans le cul-de-sac conjonctival ; fermeture de l’œil 1–2 min ; compression du point lacrymal pour limiter le passage naso-lacrymal ;</w:t>
      </w:r>
      <w:r>
        <w:t xml:space="preserve"> </w:t>
      </w:r>
      <w:r>
        <w:t xml:space="preserve">- ORL auriculaire : lavage des mains ; inclinaison de la tête côté opposé ; instillation des gouttes dans le conduit auditif externe ; massage du tragus ; maintien de la position 2–3 min.</w:t>
      </w:r>
    </w:p>
    <w:p>
      <w:pPr>
        <w:pStyle w:val="BodyText"/>
      </w:pPr>
      <w:r>
        <w:rPr>
          <w:b/>
          <w:bCs/>
        </w:rPr>
        <w:t xml:space="preserve">Arbitrage et Bénéfices des Formes Galéniques :</w:t>
      </w:r>
      <w:r>
        <w:t xml:space="preserve"> </w:t>
      </w:r>
      <w:r>
        <w:t xml:space="preserve">- Collyre vs pommade ophtalmique : collyre plus pratique en journée (vision moins floue), pommade plutôt au coucher (effet prolongé) ;</w:t>
      </w:r>
      <w:r>
        <w:t xml:space="preserve"> </w:t>
      </w:r>
      <w:r>
        <w:t xml:space="preserve">- Solution auriculaire : adaptée à l’otite externe ; CI absolue si tympan perforé ;</w:t>
      </w:r>
      <w:r>
        <w:t xml:space="preserve"> </w:t>
      </w:r>
      <w:r>
        <w:t xml:space="preserve">- Pas de forme nasale ou sinusienne de rifamycine SV en Algérie.</w:t>
      </w:r>
    </w:p>
    <w:p>
      <w:pPr>
        <w:pStyle w:val="BodyText"/>
      </w:pPr>
      <w:r>
        <w:rPr>
          <w:b/>
          <w:bCs/>
        </w:rPr>
        <w:t xml:space="preserve">Instructions et Conseils au Patient :</w:t>
      </w:r>
      <w:r>
        <w:t xml:space="preserve"> </w:t>
      </w:r>
      <w:r>
        <w:t xml:space="preserve">- Communication au comptoir :</w:t>
      </w:r>
      <w:r>
        <w:t xml:space="preserve"> </w:t>
      </w:r>
      <w:r>
        <w:t xml:space="preserve">- « Pour le collyre : lavez-vous les mains, penchez la tête en arrière, tirez la paupière inférieure vers le bas, mettez 1 goutte dans l’œil, fermez l’œil 1 minute en appuyant sur le coin interne de l’œil. »</w:t>
      </w:r>
      <w:r>
        <w:t xml:space="preserve"> </w:t>
      </w:r>
      <w:r>
        <w:t xml:space="preserve">- « Pour l’oreille (Otofa) : ATTENTION, ne mettez ce produit dans l’oreille QUE si votre médecin a vérifié que votre tympan n’est pas percé. Sinon, vous risquez une surdité. »</w:t>
      </w:r>
      <w:r>
        <w:t xml:space="preserve"> </w:t>
      </w:r>
      <w:r>
        <w:t xml:space="preserve">- « Vos larmes (ou le liquide de l’oreille) peuvent devenir orange : c’est normal, c’est le médicament. »</w:t>
      </w:r>
      <w:r>
        <w:t xml:space="preserve"> </w:t>
      </w:r>
      <w:r>
        <w:t xml:space="preserve">- « Jetez le flacon 15 jours (collyre) ou 1 mois après ouverture, même s’il en reste. »</w:t>
      </w:r>
      <w:r>
        <w:t xml:space="preserve"> </w:t>
      </w:r>
      <w:r>
        <w:t xml:space="preserve">- « Ne portez pas de lentilles pendant le traitement. »</w:t>
      </w:r>
      <w:r>
        <w:t xml:space="preserve"> </w:t>
      </w:r>
      <w:r>
        <w:t xml:space="preserve">- Mode d’utilisation pratique :</w:t>
      </w:r>
      <w:r>
        <w:t xml:space="preserve"> </w:t>
      </w:r>
      <w:r>
        <w:t xml:space="preserve">- Oubli d’une instillation : l’appliquer dès que possible, mais ne pas doubler ;</w:t>
      </w:r>
      <w:r>
        <w:t xml:space="preserve"> </w:t>
      </w:r>
      <w:r>
        <w:t xml:space="preserve">- Si plusieurs collyres : attendre 10 minutes entre chaque ;</w:t>
      </w:r>
      <w:r>
        <w:t xml:space="preserve"> </w:t>
      </w:r>
      <w:r>
        <w:t xml:space="preserve">- Hygiène stricte de l’embout.</w:t>
      </w:r>
    </w:p>
    <w:p>
      <w:pPr>
        <w:pStyle w:val="BodyText"/>
      </w:pPr>
      <w:r>
        <w:rPr>
          <w:b/>
          <w:bCs/>
        </w:rPr>
        <w:t xml:space="preserve">Notes, Règles d’Or &amp; Pièges au Comptoir :</w:t>
      </w:r>
      <w:r>
        <w:t xml:space="preserve"> </w:t>
      </w:r>
      <w:r>
        <w:t xml:space="preserve">- Piège classique :</w:t>
      </w:r>
      <w:r>
        <w:t xml:space="preserve"> </w:t>
      </w:r>
      <w:r>
        <w:rPr>
          <w:b/>
          <w:bCs/>
        </w:rPr>
        <w:t xml:space="preserve">Ot ofa en cas de tympan perforé</w:t>
      </w:r>
      <w:r>
        <w:t xml:space="preserve"> </w:t>
      </w:r>
      <w:r>
        <w:t xml:space="preserve">: danger (ototoxicité). Toujours demander au patient : « Votre médecin a-t-il regardé votre tympan avant de vous prescrire ce produit ? » En cas de doute, ne pas délivrer sans confirmation médicale ;</w:t>
      </w:r>
      <w:r>
        <w:t xml:space="preserve"> </w:t>
      </w:r>
      <w:r>
        <w:t xml:space="preserve">- Piège classique :</w:t>
      </w:r>
      <w:r>
        <w:t xml:space="preserve"> </w:t>
      </w:r>
      <w:r>
        <w:rPr>
          <w:b/>
          <w:bCs/>
        </w:rPr>
        <w:t xml:space="preserve">confusion rifamycine SV locale vs rifampicine orale</w:t>
      </w:r>
      <w:r>
        <w:t xml:space="preserve"> </w:t>
      </w:r>
      <w:r>
        <w:t xml:space="preserve">: expliquer au patient que les deux n’ont rien à voir (le collyre ne provoque pas d’interactions, ne nécessite pas de surveillance hépatique, ne réduit pas l’efficacité de la pilule) ;</w:t>
      </w:r>
      <w:r>
        <w:t xml:space="preserve"> </w:t>
      </w:r>
      <w:r>
        <w:t xml:space="preserve">- Piège classique :</w:t>
      </w:r>
      <w:r>
        <w:t xml:space="preserve"> </w:t>
      </w:r>
      <w:r>
        <w:rPr>
          <w:b/>
          <w:bCs/>
        </w:rPr>
        <w:t xml:space="preserve">prolongation excessive du traitement</w:t>
      </w:r>
      <w:r>
        <w:t xml:space="preserve"> </w:t>
      </w:r>
      <w:r>
        <w:t xml:space="preserve">(&gt; 10 jours) : risque de résistance, d’allergie de contact, de colonisation fongique ;</w:t>
      </w:r>
      <w:r>
        <w:t xml:space="preserve"> </w:t>
      </w:r>
      <w:r>
        <w:t xml:space="preserve">- Règle de prise : 1 goutte × 2–6 fois/jour (collyre) ; 2–3 gouttes × 2–3 fois/jour (oreille) ;</w:t>
      </w:r>
      <w:r>
        <w:t xml:space="preserve"> </w:t>
      </w:r>
      <w:r>
        <w:t xml:space="preserve">- Préparation et Conservation : collyre et solution auriculaire à conserver à température ambiante &lt; 25 °C (ou au réfrigérateur selon RCP) ; flacon à jeter 15 jours (collyre) à 1 mois (oreille) après ouverture ;</w:t>
      </w:r>
      <w:r>
        <w:t xml:space="preserve"> </w:t>
      </w:r>
      <w:r>
        <w:t xml:space="preserve">- Piège du surdosage / Substitution : pas de surdosage systémique (absorption négligeable) ; en cas d’inefficacité après 5 jours, substitution par chloramphénicol (rarement disponible) ou ofloxacine collyre (alternatives locales algériennes).</w:t>
      </w:r>
    </w:p>
    <w:p>
      <w:r>
        <w:pict>
          <v:rect style="width:0;height:1.5pt" o:hralign="center" o:hrstd="t" o:hr="t"/>
        </w:pict>
      </w:r>
    </w:p>
    <w:bookmarkEnd w:id="241"/>
    <w:bookmarkStart w:id="242" w:name="dci-éthambutol-seule"/>
    <w:p>
      <w:pPr>
        <w:pStyle w:val="Heading3"/>
      </w:pPr>
      <w:r>
        <w:t xml:space="preserve">8.4.6. DCI : Éthambutol (Seule)</w:t>
      </w:r>
    </w:p>
    <w:p>
      <w:pPr>
        <w:pStyle w:val="FirstParagraph"/>
      </w:pPr>
      <w:r>
        <w:rPr>
          <w:b/>
          <w:bCs/>
        </w:rPr>
        <w:t xml:space="preserve">Liste des Catégories :</w:t>
      </w:r>
      <w:r>
        <w:t xml:space="preserve"> </w:t>
      </w:r>
      <w:r>
        <w:t xml:space="preserve">Antituberculeux ; Médicament essentiel OMS ; Liste I (Algérie).</w:t>
      </w:r>
    </w:p>
    <w:p>
      <w:pPr>
        <w:pStyle w:val="BodyText"/>
      </w:pPr>
      <w:r>
        <w:t xml:space="preserve">L’éthambutol (EMB, abréviation OMS :</w:t>
      </w:r>
      <w:r>
        <w:t xml:space="preserve"> </w:t>
      </w:r>
      <w:r>
        <w:rPr>
          <w:b/>
          <w:bCs/>
        </w:rPr>
        <w:t xml:space="preserve">E</w:t>
      </w:r>
      <w:r>
        <w:t xml:space="preserve">) est un antituberculeux de première ligne, découvert en 1961. Sa particularité principale est son effet indésirable le plus redouté : la</w:t>
      </w:r>
      <w:r>
        <w:t xml:space="preserve"> </w:t>
      </w:r>
      <w:r>
        <w:rPr>
          <w:b/>
          <w:bCs/>
        </w:rPr>
        <w:t xml:space="preserve">neuropathie optique rétrobulbaire (NORB)</w:t>
      </w:r>
      <w:r>
        <w:t xml:space="preserve">, qui justifie une surveillance ophtalmologique stricte et une information approfondie du patient. Sa place dans le schéma thérapeutique est de prévenir l’émergence de résistances à la rifampicine pendant la phase d’attaque (quand la charge bacillaire est élevée et que la probabilité de mutations spontanées est maximale), même si son activité bactériostatique propre est plus faible que celle des autres composants.</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TIBETAM</w:t>
      </w:r>
      <w:r>
        <w:t xml:space="preserve"> </w:t>
      </w:r>
      <w:r>
        <w:t xml:space="preserve">(LIFEPHARMA)</w:t>
      </w:r>
      <w:r>
        <w:t xml:space="preserve"> </w:t>
      </w:r>
      <w:r>
        <w:t xml:space="preserve">- Formes et Dosages : Comprimé 400 mg (B/100)</w:t>
      </w:r>
      <w:r>
        <w:t xml:space="preserve"> </w:t>
      </w:r>
      <w:r>
        <w:t xml:space="preserve">- Statut : Retiré (R)</w:t>
      </w:r>
    </w:p>
    <w:p>
      <w:pPr>
        <w:pStyle w:val="BodyText"/>
      </w:pPr>
      <w:r>
        <w:rPr>
          <w:b/>
          <w:bCs/>
        </w:rPr>
        <w:t xml:space="preserve">Sous-classe et Mécanisme d’action :</w:t>
      </w:r>
      <w:r>
        <w:t xml:space="preserve"> </w:t>
      </w:r>
      <w:r>
        <w:t xml:space="preserve">- Sous-classe : Antituberculeux de première ligne, bactériostatique, préventeur de résistances.</w:t>
      </w:r>
      <w:r>
        <w:t xml:space="preserve"> </w:t>
      </w:r>
      <w:r>
        <w:t xml:space="preserve">- Mécanisme d’action : l’éthambutol cible les</w:t>
      </w:r>
      <w:r>
        <w:t xml:space="preserve"> </w:t>
      </w:r>
      <w:r>
        <w:rPr>
          <w:b/>
          <w:bCs/>
        </w:rPr>
        <w:t xml:space="preserve">arabinosyl transférases</w:t>
      </w:r>
      <w:r>
        <w:t xml:space="preserve"> </w:t>
      </w:r>
      <w:r>
        <w:t xml:space="preserve">(EmbA, EmbB, EmbC), enzymes pariétales qui polymérisent l’arabinane de l’arabinogalactane et du lipoarabinomannane (LAM). L’inhibition de ces enzymes bloque la synthèse de la couche d’arabinogalactane, composant pariétal mycobactérien, ce qui entraîne une accumulation de précurseurs lipides (tréhalose dimycolate = « cordon factor ») et une perturbation de la perméabilité pariétale. La conséquence est une bactériostasie (et non une bactéricidie franche), mais surtout une</w:t>
      </w:r>
      <w:r>
        <w:t xml:space="preserve"> </w:t>
      </w:r>
      <w:r>
        <w:rPr>
          <w:b/>
          <w:bCs/>
        </w:rPr>
        <w:t xml:space="preserve">synergie</w:t>
      </w:r>
      <w:r>
        <w:t xml:space="preserve"> </w:t>
      </w:r>
      <w:r>
        <w:t xml:space="preserve">avec les autres antituberculeux : l’éthambutol améliore l’accès de la rifampicine et de l’isoniazide à leurs cibles intracellulaires en altérant la barrière pariétale.</w:t>
      </w:r>
      <w:r>
        <w:t xml:space="preserve"> </w:t>
      </w:r>
      <w:r>
        <w:t xml:space="preserve">- Cible moléculaire : arabinosyl transférases (EmbA/EmbB/EmbC), gène</w:t>
      </w:r>
      <w:r>
        <w:t xml:space="preserve"> </w:t>
      </w:r>
      <w:r>
        <w:rPr>
          <w:i/>
          <w:iCs/>
        </w:rPr>
        <w:t xml:space="preserve">embCAB</w:t>
      </w:r>
      <w:r>
        <w:t xml:space="preserve"> </w:t>
      </w:r>
      <w:r>
        <w:t xml:space="preserve">operon.</w:t>
      </w:r>
      <w:r>
        <w:t xml:space="preserve"> </w:t>
      </w:r>
      <w:r>
        <w:t xml:space="preserve">- Résistance : mutations</w:t>
      </w:r>
      <w:r>
        <w:t xml:space="preserve"> </w:t>
      </w:r>
      <w:r>
        <w:rPr>
          <w:i/>
          <w:iCs/>
        </w:rPr>
        <w:t xml:space="preserve">embB</w:t>
      </w:r>
      <w:r>
        <w:t xml:space="preserve"> </w:t>
      </w:r>
      <w:r>
        <w:t xml:space="preserve">(codon 306 le plus fréquent) dans 50–70 % des souches résistantes ; mécanismes complémentaires rares (efflux, modification enzymatique).</w:t>
      </w:r>
    </w:p>
    <w:p>
      <w:pPr>
        <w:pStyle w:val="BodyText"/>
      </w:pPr>
      <w:r>
        <w:rPr>
          <w:b/>
          <w:bCs/>
        </w:rPr>
        <w:t xml:space="preserve">Profil Pharmacologique :</w:t>
      </w:r>
      <w:r>
        <w:t xml:space="preserve"> </w:t>
      </w:r>
      <w:r>
        <w:t xml:space="preserve">- Indications :</w:t>
      </w:r>
      <w:r>
        <w:t xml:space="preserve"> </w:t>
      </w:r>
      <w:r>
        <w:t xml:space="preserve">- Tuberculose maladie active : composant E du schéma 2HRZE/4HR (phase d’attaque de 2 mois) ;</w:t>
      </w:r>
      <w:r>
        <w:t xml:space="preserve"> </w:t>
      </w:r>
      <w:r>
        <w:t xml:space="preserve">- Certaines infections à MNT (</w:t>
      </w:r>
      <w:r>
        <w:rPr>
          <w:i/>
          <w:iCs/>
        </w:rPr>
        <w:t xml:space="preserve">M. kansasii</w:t>
      </w:r>
      <w:r>
        <w:t xml:space="preserve">,</w:t>
      </w:r>
      <w:r>
        <w:t xml:space="preserve"> </w:t>
      </w:r>
      <w:r>
        <w:rPr>
          <w:i/>
          <w:iCs/>
        </w:rPr>
        <w:t xml:space="preserve">M. avium</w:t>
      </w:r>
      <w:r>
        <w:t xml:space="preserve"> </w:t>
      </w:r>
      <w:r>
        <w:t xml:space="preserve">complexe) en association ;</w:t>
      </w:r>
      <w:r>
        <w:t xml:space="preserve"> </w:t>
      </w:r>
      <w:r>
        <w:t xml:space="preserve">- Pas d’indication en ITL (peu bactéricide).</w:t>
      </w:r>
      <w:r>
        <w:t xml:space="preserve"> </w:t>
      </w:r>
      <w:r>
        <w:t xml:space="preserve">- Contre-indications :</w:t>
      </w:r>
      <w:r>
        <w:t xml:space="preserve"> </w:t>
      </w:r>
      <w:r>
        <w:t xml:space="preserve">-</w:t>
      </w:r>
      <w:r>
        <w:t xml:space="preserve"> </w:t>
      </w:r>
      <w:r>
        <w:rPr>
          <w:b/>
          <w:bCs/>
        </w:rPr>
        <w:t xml:space="preserve">Névrite optique</w:t>
      </w:r>
      <w:r>
        <w:t xml:space="preserve"> </w:t>
      </w:r>
      <w:r>
        <w:t xml:space="preserve">préexistante (rétinopathie, neuropathie optique, atteinte du nerf optique) ;</w:t>
      </w:r>
      <w:r>
        <w:t xml:space="preserve"> </w:t>
      </w:r>
      <w:r>
        <w:t xml:space="preserve">- Âge &lt; 5 ans (impossibilité de surveiller l’acuité visuelle) — en pratique, utilisé chez l’enfant plus âge avec surveillance ;</w:t>
      </w:r>
      <w:r>
        <w:t xml:space="preserve"> </w:t>
      </w:r>
      <w:r>
        <w:t xml:space="preserve">- Insuffisance rénale sévère (clairance créatinine &lt; 30 mL/min) sans adaptation posologique ;</w:t>
      </w:r>
      <w:r>
        <w:t xml:space="preserve"> </w:t>
      </w:r>
      <w:r>
        <w:t xml:space="preserve">- Hypersensibilité à l’éthambutol ;</w:t>
      </w:r>
      <w:r>
        <w:t xml:space="preserve"> </w:t>
      </w:r>
      <w:r>
        <w:t xml:space="preserve">- Cataracte majeure (impossibilité de surveillance) ;</w:t>
      </w:r>
      <w:r>
        <w:t xml:space="preserve"> </w:t>
      </w:r>
      <w:r>
        <w:t xml:space="preserve">- Prudence : alcoolisme, diabète (risque neuropathie optique additive).</w:t>
      </w:r>
      <w:r>
        <w:t xml:space="preserve"> </w:t>
      </w:r>
      <w:r>
        <w:t xml:space="preserve">- Effets Indésirables :</w:t>
      </w:r>
      <w:r>
        <w:t xml:space="preserve"> </w:t>
      </w:r>
      <w:r>
        <w:t xml:space="preserve">-</w:t>
      </w:r>
      <w:r>
        <w:t xml:space="preserve"> </w:t>
      </w:r>
      <w:r>
        <w:rPr>
          <w:b/>
          <w:bCs/>
        </w:rPr>
        <w:t xml:space="preserve">Neuropathie optique rétrobulbaire (NORB)</w:t>
      </w:r>
      <w:r>
        <w:t xml:space="preserve"> </w:t>
      </w:r>
      <w:r>
        <w:t xml:space="preserve">: effet dose-dépendant et durée-dépendant (risque majeur &gt; 25 mg/kg/jour ou &gt; 2 mois) ; incidence 1–6 % selon dose ; se manifeste par : baisse d’acuité visuelle, scotome central, dyschromatopsie (surtout vert-rouge, test d’Ishihara), névralgie rétrobulbaire. Réversible à l’arrêt précoce, peut être définitive si poursuite (atrophie optique). Bilan ophtalmo initiale (acuité, FO, vision des couleurs, champ visuel) puis mensuel ;</w:t>
      </w:r>
      <w:r>
        <w:t xml:space="preserve"> </w:t>
      </w:r>
      <w:r>
        <w:t xml:space="preserve">-</w:t>
      </w:r>
      <w:r>
        <w:t xml:space="preserve"> </w:t>
      </w:r>
      <w:r>
        <w:rPr>
          <w:b/>
          <w:bCs/>
        </w:rPr>
        <w:t xml:space="preserve">Hyperuricémie</w:t>
      </w:r>
      <w:r>
        <w:t xml:space="preserve"> </w:t>
      </w:r>
      <w:r>
        <w:t xml:space="preserve">(inhibition de l’excrétion tubulaire de l’acide urique) : arthralgies, crise de goutte rare ;</w:t>
      </w:r>
      <w:r>
        <w:t xml:space="preserve"> </w:t>
      </w:r>
      <w:r>
        <w:t xml:space="preserve">- Névrite périphérique : paresthésies (rare) ;</w:t>
      </w:r>
      <w:r>
        <w:t xml:space="preserve"> </w:t>
      </w:r>
      <w:r>
        <w:t xml:space="preserve">- Troubles digestifs : nausées, vomissements, douleurs abdominales ;</w:t>
      </w:r>
      <w:r>
        <w:t xml:space="preserve"> </w:t>
      </w:r>
      <w:r>
        <w:t xml:space="preserve">- Hypersensibilité : rash, prurit, rarement DRESS ;</w:t>
      </w:r>
      <w:r>
        <w:t xml:space="preserve"> </w:t>
      </w:r>
      <w:r>
        <w:t xml:space="preserve">- Hépatotoxicité rare (vs autres antituberculeux) ;</w:t>
      </w:r>
      <w:r>
        <w:t xml:space="preserve"> </w:t>
      </w:r>
      <w:r>
        <w:t xml:space="preserve">- Troubles neurologiques centraux : céphalées, vertiges, confusion (rare).</w:t>
      </w:r>
    </w:p>
    <w:p>
      <w:pPr>
        <w:pStyle w:val="BodyText"/>
      </w:pPr>
      <w:r>
        <w:rPr>
          <w:b/>
          <w:bCs/>
        </w:rPr>
        <w:t xml:space="preserve">Prévention et Gestion des Effets Indésirables :</w:t>
      </w:r>
      <w:r>
        <w:t xml:space="preserve"> </w:t>
      </w:r>
      <w:r>
        <w:t xml:space="preserve">- Mesures Préventives :</w:t>
      </w:r>
      <w:r>
        <w:t xml:space="preserve"> </w:t>
      </w:r>
      <w:r>
        <w:t xml:space="preserve">-</w:t>
      </w:r>
      <w:r>
        <w:t xml:space="preserve"> </w:t>
      </w:r>
      <w:r>
        <w:rPr>
          <w:b/>
          <w:bCs/>
        </w:rPr>
        <w:t xml:space="preserve">Bilan ophtalmologique initial systématique</w:t>
      </w:r>
      <w:r>
        <w:t xml:space="preserve"> </w:t>
      </w:r>
      <w:r>
        <w:t xml:space="preserve">avant traitement : acuité visuelle (Monoyer, Parinaud), fond d’œil, vision des couleurs (Ishihara), champ visuel si possible ;</w:t>
      </w:r>
      <w:r>
        <w:t xml:space="preserve"> </w:t>
      </w:r>
      <w:r>
        <w:t xml:space="preserve">- Surveillance ophtalmo</w:t>
      </w:r>
      <w:r>
        <w:t xml:space="preserve"> </w:t>
      </w:r>
      <w:r>
        <w:rPr>
          <w:b/>
          <w:bCs/>
        </w:rPr>
        <w:t xml:space="preserve">mensuelle</w:t>
      </w:r>
      <w:r>
        <w:t xml:space="preserve"> </w:t>
      </w:r>
      <w:r>
        <w:t xml:space="preserve">pendant la phase d’attaque (2 mois) ;</w:t>
      </w:r>
      <w:r>
        <w:t xml:space="preserve"> </w:t>
      </w:r>
      <w:r>
        <w:t xml:space="preserve">-</w:t>
      </w:r>
      <w:r>
        <w:t xml:space="preserve"> </w:t>
      </w:r>
      <w:r>
        <w:rPr>
          <w:b/>
          <w:bCs/>
        </w:rPr>
        <w:t xml:space="preserve">Auto-surveillance patient</w:t>
      </w:r>
      <w:r>
        <w:t xml:space="preserve"> </w:t>
      </w:r>
      <w:r>
        <w:t xml:space="preserve">: signaler immédiatement toute baisse de vision, scotome, dyschromatopsie, baisse de l’acuité visuelle ;</w:t>
      </w:r>
      <w:r>
        <w:t xml:space="preserve"> </w:t>
      </w:r>
      <w:r>
        <w:t xml:space="preserve">- Adaptation posologique en IR (clairance créatinine &lt; 30 mL/min : 15–25 mg/kg × 3 fois/semaine) ;</w:t>
      </w:r>
      <w:r>
        <w:t xml:space="preserve"> </w:t>
      </w:r>
      <w:r>
        <w:t xml:space="preserve">- Limiter la durée d’exposition : ne pas dépasser 2 mois à dose d’attaque sans avis spécialisé ;</w:t>
      </w:r>
      <w:r>
        <w:t xml:space="preserve"> </w:t>
      </w:r>
      <w:r>
        <w:t xml:space="preserve">- Information sur l’acide urique (surveillance biologique) ;</w:t>
      </w:r>
      <w:r>
        <w:t xml:space="preserve"> </w:t>
      </w:r>
      <w:r>
        <w:t xml:space="preserve">- Éviter les autres médicaments neurotoxiques (éthambutol + isoniazide + vincristine, etc.).</w:t>
      </w:r>
      <w:r>
        <w:t xml:space="preserve"> </w:t>
      </w:r>
      <w:r>
        <w:t xml:space="preserve">- Conduite à Tenir :</w:t>
      </w:r>
      <w:r>
        <w:t xml:space="preserve"> </w:t>
      </w:r>
      <w:r>
        <w:t xml:space="preserve">-</w:t>
      </w:r>
      <w:r>
        <w:t xml:space="preserve"> </w:t>
      </w:r>
      <w:r>
        <w:rPr>
          <w:b/>
          <w:bCs/>
        </w:rPr>
        <w:t xml:space="preserve">Baisse d’acuité visuelle ou scotome</w:t>
      </w:r>
      <w:r>
        <w:t xml:space="preserve"> </w:t>
      </w:r>
      <w:r>
        <w:t xml:space="preserve">: arrêt IMMÉDIAT de l’éthambutol ; consultation ophtalmo urgente ; substitution par moxifloxacine ou streptomycine selon antibiogramme ; récupération possible en semaines à mois (parfois partielle) ;</w:t>
      </w:r>
      <w:r>
        <w:t xml:space="preserve"> </w:t>
      </w:r>
      <w:r>
        <w:t xml:space="preserve">-</w:t>
      </w:r>
      <w:r>
        <w:t xml:space="preserve"> </w:t>
      </w:r>
      <w:r>
        <w:rPr>
          <w:b/>
          <w:bCs/>
        </w:rPr>
        <w:t xml:space="preserve">Hyperuricémie symptomatique</w:t>
      </w:r>
      <w:r>
        <w:t xml:space="preserve"> </w:t>
      </w:r>
      <w:r>
        <w:t xml:space="preserve">: AINS, colchicine ; allopurinol possible (pas d’interaction avec E) ; si sévère, arrêt transitoire de E ;</w:t>
      </w:r>
      <w:r>
        <w:t xml:space="preserve"> </w:t>
      </w:r>
      <w:r>
        <w:t xml:space="preserve">-</w:t>
      </w:r>
      <w:r>
        <w:t xml:space="preserve"> </w:t>
      </w:r>
      <w:r>
        <w:rPr>
          <w:b/>
          <w:bCs/>
        </w:rPr>
        <w:t xml:space="preserve">Névrite périphérique</w:t>
      </w:r>
      <w:r>
        <w:t xml:space="preserve"> </w:t>
      </w:r>
      <w:r>
        <w:t xml:space="preserve">: supplémentation B6, arrêt si sévère.</w:t>
      </w:r>
    </w:p>
    <w:p>
      <w:pPr>
        <w:pStyle w:val="BodyText"/>
      </w:pPr>
      <w:r>
        <w:rPr>
          <w:b/>
          <w:bCs/>
        </w:rPr>
        <w:t xml:space="preserve">Interactions Importantes :</w:t>
      </w:r>
      <w:r>
        <w:t xml:space="preserve"> </w:t>
      </w:r>
      <w:r>
        <w:t xml:space="preserve">-</w:t>
      </w:r>
      <w:r>
        <w:t xml:space="preserve"> </w:t>
      </w:r>
      <w:r>
        <w:rPr>
          <w:b/>
          <w:bCs/>
        </w:rPr>
        <w:t xml:space="preserve">Éthambutol + Isoniazide</w:t>
      </w:r>
      <w:r>
        <w:t xml:space="preserve"> </w:t>
      </w:r>
      <w:r>
        <w:t xml:space="preserve">: potentialisation neuropathie optique et neuropathie périphérique (B6 nécessaire) ;</w:t>
      </w:r>
      <w:r>
        <w:t xml:space="preserve"> </w:t>
      </w:r>
      <w:r>
        <w:t xml:space="preserve">-</w:t>
      </w:r>
      <w:r>
        <w:t xml:space="preserve"> </w:t>
      </w:r>
      <w:r>
        <w:rPr>
          <w:b/>
          <w:bCs/>
        </w:rPr>
        <w:t xml:space="preserve">Éthambutol + Sels d’aluminium</w:t>
      </w:r>
      <w:r>
        <w:t xml:space="preserve"> </w:t>
      </w:r>
      <w:r>
        <w:t xml:space="preserve">(antiacides) : baisse de l’absorption de l’éthambutol (séparer les prises de 4 heures) ;</w:t>
      </w:r>
      <w:r>
        <w:t xml:space="preserve"> </w:t>
      </w:r>
      <w:r>
        <w:t xml:space="preserve">-</w:t>
      </w:r>
      <w:r>
        <w:t xml:space="preserve"> </w:t>
      </w:r>
      <w:r>
        <w:rPr>
          <w:b/>
          <w:bCs/>
        </w:rPr>
        <w:t xml:space="preserve">Éthambutol + Digoxine</w:t>
      </w:r>
      <w:r>
        <w:t xml:space="preserve"> </w:t>
      </w:r>
      <w:r>
        <w:t xml:space="preserve">: rare interaction (baisse absorption) ;</w:t>
      </w:r>
      <w:r>
        <w:t xml:space="preserve"> </w:t>
      </w:r>
      <w:r>
        <w:t xml:space="preserve">- Peu d’interactions enzymatiques (éthambutol peu métabolisé par CYP, excrété inchangé par le rein) ;</w:t>
      </w:r>
      <w:r>
        <w:t xml:space="preserve"> </w:t>
      </w:r>
      <w:r>
        <w:t xml:space="preserve">-</w:t>
      </w:r>
      <w:r>
        <w:t xml:space="preserve"> </w:t>
      </w:r>
      <w:r>
        <w:rPr>
          <w:b/>
          <w:bCs/>
        </w:rPr>
        <w:t xml:space="preserve">Éthambutol + Pyrazinamide</w:t>
      </w:r>
      <w:r>
        <w:t xml:space="preserve"> </w:t>
      </w:r>
      <w:r>
        <w:t xml:space="preserve">: majoration de l’hyperuricémie (les deux inhibent l’excrétion tubulaire de l’acide urique).</w:t>
      </w:r>
    </w:p>
    <w:p>
      <w:pPr>
        <w:pStyle w:val="BodyText"/>
      </w:pPr>
      <w:r>
        <w:rPr>
          <w:b/>
          <w:bCs/>
        </w:rPr>
        <w:t xml:space="preserve">Grossesse et Allaitement :</w:t>
      </w:r>
      <w:r>
        <w:t xml:space="preserve"> </w:t>
      </w:r>
      <w:r>
        <w:t xml:space="preserve">- Grossesse : Compatible (CRAT) ; l’éthambutol traverse le placenta sans effet tératogène documenté. Compatible avec la grossesse, y compris au 1er trimestre. Surveillance ophtalmo du nouveau-né à la naissance (rare NORB néonatal).</w:t>
      </w:r>
      <w:r>
        <w:t xml:space="preserve"> </w:t>
      </w:r>
      <w:r>
        <w:t xml:space="preserve">- Allaitement : Compatible (CRAT) ; l’éthambutol passe dans le lait maternel (rapport lait/plasma ~1) ; la dose ingérée par le nourrisson est ~25 % de la dose pédiatrique thérapeutique ; surveillance ophtalmo du nourrisson recommandée.</w:t>
      </w:r>
      <w:r>
        <w:t xml:space="preserve"> </w:t>
      </w:r>
      <w:r>
        <w:t xml:space="preserve">- Précisions : en cas d’association avec pyrazinamide au 1er trimestre, surveiller particulièrement.</w:t>
      </w:r>
    </w:p>
    <w:p>
      <w:pPr>
        <w:pStyle w:val="BodyText"/>
      </w:pPr>
      <w:r>
        <w:rPr>
          <w:b/>
          <w:bCs/>
        </w:rPr>
        <w:t xml:space="preserve">Posologie et Mode d’administration (Standard) :</w:t>
      </w:r>
      <w:r>
        <w:t xml:space="preserve"> </w:t>
      </w:r>
      <w:r>
        <w:t xml:space="preserve">- Adulte :</w:t>
      </w:r>
      <w:r>
        <w:t xml:space="preserve"> </w:t>
      </w:r>
      <w:r>
        <w:t xml:space="preserve">- Tuberculose maladie (phase d’attaque 2HRZE) :</w:t>
      </w:r>
      <w:r>
        <w:t xml:space="preserve"> </w:t>
      </w:r>
      <w:r>
        <w:rPr>
          <w:b/>
          <w:bCs/>
        </w:rPr>
        <w:t xml:space="preserve">15–20 mg/kg/jour</w:t>
      </w:r>
      <w:r>
        <w:t xml:space="preserve"> </w:t>
      </w:r>
      <w:r>
        <w:t xml:space="preserve">en une prise unique quotidienne ; habituellement 1200–1400 mg/jour pour un adulte de 60–70 kg (3 à 4 comprimés de 400 mg) ; pas de dose d’attaque supérieure à 25 mg/kg ;</w:t>
      </w:r>
      <w:r>
        <w:t xml:space="preserve"> </w:t>
      </w:r>
      <w:r>
        <w:t xml:space="preserve">- En cas d’IR (ClCr &lt; 30 mL/min) : 15–25 mg/kg × 3 fois/semaine (et non quotidien) ;</w:t>
      </w:r>
      <w:r>
        <w:t xml:space="preserve"> </w:t>
      </w:r>
      <w:r>
        <w:t xml:space="preserve">- Alternative : 25 mg/kg × 3 fois/semaine (schéma intermittent).</w:t>
      </w:r>
      <w:r>
        <w:t xml:space="preserve"> </w:t>
      </w:r>
      <w:r>
        <w:t xml:space="preserve">- Enfant &gt; 5 ans : 20 mg/kg/jour (max 1,5 g/jour) ; &lt; 5 ans : à éviter (impossibilité surveillance visuelle).</w:t>
      </w:r>
      <w:r>
        <w:t xml:space="preserve"> </w:t>
      </w:r>
      <w:r>
        <w:t xml:space="preserve">- Durée : 2 mois (phase d’attaque du schéma 2HRZE/4HR) ; prolongée en cas de TB résistante (selon antibiogramme).</w:t>
      </w:r>
      <w:r>
        <w:t xml:space="preserve"> </w:t>
      </w:r>
      <w:r>
        <w:t xml:space="preserve">- Moment de prise : à jeun (1 h avant ou 2 h après le repas) pour optimiser l’absorption (baisse de 20–30 % avec repas riche en graisses) ; en cas d’intolérance digestive, prise au cours d’un repas léger acceptable.</w:t>
      </w:r>
      <w:r>
        <w:t xml:space="preserve"> </w:t>
      </w:r>
      <w:r>
        <w:t xml:space="preserve">- Voie : per os (comprimé).</w:t>
      </w:r>
    </w:p>
    <w:p>
      <w:pPr>
        <w:pStyle w:val="BodyText"/>
      </w:pPr>
      <w:r>
        <w:rPr>
          <w:b/>
          <w:bCs/>
        </w:rPr>
        <w:t xml:space="preserve">Arbitrage et Bénéfices des Formes Galéniques :</w:t>
      </w:r>
      <w:r>
        <w:t xml:space="preserve"> </w:t>
      </w:r>
      <w:r>
        <w:t xml:space="preserve">- Comprimé 400 mg : adaptation au poids (3 à 4 comprimés pour adulte moyen) ;</w:t>
      </w:r>
      <w:r>
        <w:t xml:space="preserve"> </w:t>
      </w:r>
      <w:r>
        <w:t xml:space="preserve">- Pas de forme sirop commercialisée : préparation magistrale pour enfant (poudre de comprimé dispersée) ;</w:t>
      </w:r>
      <w:r>
        <w:t xml:space="preserve"> </w:t>
      </w:r>
      <w:r>
        <w:t xml:space="preserve">- Pas de forme combinée fixe avec R+H+Z+E en Algérie (le Rifater ne contient pas E) ;</w:t>
      </w:r>
      <w:r>
        <w:t xml:space="preserve"> </w:t>
      </w:r>
      <w:r>
        <w:t xml:space="preserve">- Alternative rare à la streptomycine (aminoside IM, néphro-ototoxique) en cas d’intolérance à E.</w:t>
      </w:r>
    </w:p>
    <w:p>
      <w:pPr>
        <w:pStyle w:val="BodyText"/>
      </w:pPr>
      <w:r>
        <w:rPr>
          <w:b/>
          <w:bCs/>
        </w:rPr>
        <w:t xml:space="preserve">Instructions et Conseils au Patient :</w:t>
      </w:r>
      <w:r>
        <w:t xml:space="preserve"> </w:t>
      </w:r>
      <w:r>
        <w:t xml:space="preserve">- Communication au comptoir :</w:t>
      </w:r>
      <w:r>
        <w:t xml:space="preserve"> </w:t>
      </w:r>
      <w:r>
        <w:t xml:space="preserve">- « Prenez votre éthambutol TOUS LES JOURS, à jeun, 1 heure avant le petit-déjeuner. »</w:t>
      </w:r>
      <w:r>
        <w:t xml:space="preserve"> </w:t>
      </w:r>
      <w:r>
        <w:t xml:space="preserve">- « Avant de commencer le traitement, vous devez consulter un ophtalmologiste pour vérifier votre vue, et ensuite une fois par mois pendant le traitement. »</w:t>
      </w:r>
      <w:r>
        <w:t xml:space="preserve"> </w:t>
      </w:r>
      <w:r>
        <w:t xml:space="preserve">- « Si vous remarquez une baisse de la vue, des taches dans votre champ visuel, ou des difficultés à distinguer les couleurs (surtout vert et rouge), ARRÊTEZ le traitement et consultez immédiatement un ophtalmologiste. »</w:t>
      </w:r>
      <w:r>
        <w:t xml:space="preserve"> </w:t>
      </w:r>
      <w:r>
        <w:t xml:space="preserve">- « Si vous avez des douleurs articulaires, signalez-le à votre médecin (risque d’hyperuricémie). »</w:t>
      </w:r>
      <w:r>
        <w:t xml:space="preserve"> </w:t>
      </w:r>
      <w:r>
        <w:t xml:space="preserve">- Mode d’utilisation pratique :</w:t>
      </w:r>
      <w:r>
        <w:t xml:space="preserve"> </w:t>
      </w:r>
      <w:r>
        <w:t xml:space="preserve">- Oubli &lt; 12 h : prendre la dose dès que possible ;</w:t>
      </w:r>
      <w:r>
        <w:t xml:space="preserve"> </w:t>
      </w:r>
      <w:r>
        <w:t xml:space="preserve">- Oubli &gt; 12 h : sauter la dose ;</w:t>
      </w:r>
      <w:r>
        <w:t xml:space="preserve"> </w:t>
      </w:r>
      <w:r>
        <w:t xml:space="preserve">- Règle des 80 % d’observance.</w:t>
      </w:r>
    </w:p>
    <w:p>
      <w:pPr>
        <w:pStyle w:val="BodyText"/>
      </w:pPr>
      <w:r>
        <w:rPr>
          <w:b/>
          <w:bCs/>
        </w:rPr>
        <w:t xml:space="preserve">Notes, Règles d’Or &amp; Pièges au Comptoir :</w:t>
      </w:r>
      <w:r>
        <w:t xml:space="preserve"> </w:t>
      </w:r>
      <w:r>
        <w:t xml:space="preserve">- Piège classique :</w:t>
      </w:r>
      <w:r>
        <w:t xml:space="preserve"> </w:t>
      </w:r>
      <w:r>
        <w:rPr>
          <w:b/>
          <w:bCs/>
        </w:rPr>
        <w:t xml:space="preserve">absence de surveillance ophtalmo initiale</w:t>
      </w:r>
      <w:r>
        <w:t xml:space="preserve"> </w:t>
      </w:r>
      <w:r>
        <w:t xml:space="preserve">→ NORB non dépistée précocement → séquelles définitives ;</w:t>
      </w:r>
      <w:r>
        <w:t xml:space="preserve"> </w:t>
      </w:r>
      <w:r>
        <w:t xml:space="preserve">- Piège classique :</w:t>
      </w:r>
      <w:r>
        <w:t xml:space="preserve"> </w:t>
      </w:r>
      <w:r>
        <w:rPr>
          <w:b/>
          <w:bCs/>
        </w:rPr>
        <w:t xml:space="preserve">patient diabétique ou alcoolique</w:t>
      </w:r>
      <w:r>
        <w:t xml:space="preserve"> </w:t>
      </w:r>
      <w:r>
        <w:t xml:space="preserve">: risque majoré de neuropathie optique (déjà à risque de base) ; surveillance renforcée ;</w:t>
      </w:r>
      <w:r>
        <w:t xml:space="preserve"> </w:t>
      </w:r>
      <w:r>
        <w:t xml:space="preserve">- Piège classique :</w:t>
      </w:r>
      <w:r>
        <w:t xml:space="preserve"> </w:t>
      </w:r>
      <w:r>
        <w:rPr>
          <w:b/>
          <w:bCs/>
        </w:rPr>
        <w:t xml:space="preserve">patient sous antiacides contenant de l’aluminium</w:t>
      </w:r>
      <w:r>
        <w:t xml:space="preserve"> </w:t>
      </w:r>
      <w:r>
        <w:t xml:space="preserve">(Maalox, Gaviscon) : baisse d’absorption de l’éthambutol (séparer de 4 h) ;</w:t>
      </w:r>
      <w:r>
        <w:t xml:space="preserve"> </w:t>
      </w:r>
      <w:r>
        <w:t xml:space="preserve">- Règle de prise : éthambutol à jeun, 1 h avant repas, en une prise unique quotidienne ;</w:t>
      </w:r>
      <w:r>
        <w:t xml:space="preserve"> </w:t>
      </w:r>
      <w:r>
        <w:t xml:space="preserve">- Préparation et Conservation : conserver à température ambiante (&lt; 25 °C), à l’abri de l’humidité ;</w:t>
      </w:r>
      <w:r>
        <w:t xml:space="preserve"> </w:t>
      </w:r>
      <w:r>
        <w:t xml:space="preserve">- Piège du surdosage / Substitution : en cas d’arrêt de l’éthambutol pour NORB, ne pas interrompre la quadrithérapie (substitution par moxifloxacine ou streptomycine selon antibiogramme et contexte).</w:t>
      </w:r>
    </w:p>
    <w:p>
      <w:r>
        <w:pict>
          <v:rect style="width:0;height:1.5pt" o:hralign="center" o:hrstd="t" o:hr="t"/>
        </w:pict>
      </w:r>
    </w:p>
    <w:bookmarkEnd w:id="242"/>
    <w:bookmarkStart w:id="243" w:name="dci-pyrazinamide-seule"/>
    <w:p>
      <w:pPr>
        <w:pStyle w:val="Heading3"/>
      </w:pPr>
      <w:r>
        <w:t xml:space="preserve">8.4.7. DCI : Pyrazinamide (Seule)</w:t>
      </w:r>
    </w:p>
    <w:p>
      <w:pPr>
        <w:pStyle w:val="FirstParagraph"/>
      </w:pPr>
      <w:r>
        <w:rPr>
          <w:b/>
          <w:bCs/>
        </w:rPr>
        <w:t xml:space="preserve">Liste des Catégories :</w:t>
      </w:r>
      <w:r>
        <w:t xml:space="preserve"> </w:t>
      </w:r>
      <w:r>
        <w:t xml:space="preserve">Antituberculeux ; Médicament essentiel OMS ; Liste I (Algérie).</w:t>
      </w:r>
    </w:p>
    <w:p>
      <w:pPr>
        <w:pStyle w:val="BodyText"/>
      </w:pPr>
      <w:r>
        <w:t xml:space="preserve">Le pyrazinamide (PZA, abréviation OMS :</w:t>
      </w:r>
      <w:r>
        <w:t xml:space="preserve"> </w:t>
      </w:r>
      <w:r>
        <w:rPr>
          <w:b/>
          <w:bCs/>
        </w:rPr>
        <w:t xml:space="preserve">Z</w:t>
      </w:r>
      <w:r>
        <w:t xml:space="preserve">) est un antituberculeux de première ligne, analogue de la nicotinamide, découvert en 1952. Sa particularité principale est d’être une</w:t>
      </w:r>
      <w:r>
        <w:t xml:space="preserve"> </w:t>
      </w:r>
      <w:r>
        <w:rPr>
          <w:b/>
          <w:bCs/>
        </w:rPr>
        <w:t xml:space="preserve">prodrogue</w:t>
      </w:r>
      <w:r>
        <w:t xml:space="preserve"> </w:t>
      </w:r>
      <w:r>
        <w:t xml:space="preserve">activée en milieu acide par la pyrazinamidase bactérienne, ce qui en fait le seul antituberculeux actif en milieu intramacrophagique acide et dans le caséum (où le pH est voisin de 5,5). Cette propriété « stérilisante » unique permet d’éliminer les bacilles quiescents et explique pourquoi le pyrazinamide a permis de réduire la durée du traitement antituberculeux de 9 à 6 mois lorsqu’il est ajouté au schéma HR. Sa principale toxicité est</w:t>
      </w:r>
      <w:r>
        <w:t xml:space="preserve"> </w:t>
      </w:r>
      <w:r>
        <w:rPr>
          <w:b/>
          <w:bCs/>
        </w:rPr>
        <w:t xml:space="preserve">hépatique</w:t>
      </w:r>
      <w:r>
        <w:t xml:space="preserve"> </w:t>
      </w:r>
      <w:r>
        <w:t xml:space="preserve">(la plus élevée des quatre antituberculeux de première ligne) et</w:t>
      </w:r>
      <w:r>
        <w:t xml:space="preserve"> </w:t>
      </w:r>
      <w:r>
        <w:rPr>
          <w:b/>
          <w:bCs/>
        </w:rPr>
        <w:t xml:space="preserve">hyperuricémiante</w:t>
      </w:r>
      <w:r>
        <w:t xml:space="preserve"> </w:t>
      </w:r>
      <w:r>
        <w:t xml:space="preserve">(par inhibition de l’excrétion tubulaire rénale de l’acide urique).</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PYRAZINAMIDE</w:t>
      </w:r>
      <w:r>
        <w:t xml:space="preserve"> </w:t>
      </w:r>
      <w:r>
        <w:t xml:space="preserve">(SAIDAL)</w:t>
      </w:r>
      <w:r>
        <w:t xml:space="preserve"> </w:t>
      </w:r>
      <w:r>
        <w:t xml:space="preserve">- Formes et Dosages : Comprimé 500 mg (B/100)</w:t>
      </w:r>
      <w:r>
        <w:t xml:space="preserve"> </w:t>
      </w:r>
      <w:r>
        <w:t xml:space="preserve">- Statut : Retiré (R)</w:t>
      </w:r>
      <w:r>
        <w:t xml:space="preserve"> </w:t>
      </w:r>
      <w:r>
        <w:t xml:space="preserve">-</w:t>
      </w:r>
      <w:r>
        <w:t xml:space="preserve"> </w:t>
      </w:r>
      <w:r>
        <w:rPr>
          <w:b/>
          <w:bCs/>
        </w:rPr>
        <w:t xml:space="preserve">PYRAZYNAMIDE SAIDAL</w:t>
      </w:r>
      <w:r>
        <w:t xml:space="preserve"> </w:t>
      </w:r>
      <w:r>
        <w:t xml:space="preserve">(SAIDAL)</w:t>
      </w:r>
      <w:r>
        <w:t xml:space="preserve"> </w:t>
      </w:r>
      <w:r>
        <w:t xml:space="preserve">- Formes et Dosages : Comprimé 400 mg (B/1000)</w:t>
      </w:r>
      <w:r>
        <w:t xml:space="preserve"> </w:t>
      </w:r>
      <w:r>
        <w:t xml:space="preserve">- Statut : Retiré (R)</w:t>
      </w:r>
    </w:p>
    <w:p>
      <w:pPr>
        <w:pStyle w:val="BodyText"/>
      </w:pPr>
      <w:r>
        <w:rPr>
          <w:b/>
          <w:bCs/>
        </w:rPr>
        <w:t xml:space="preserve">Sous-classe et Mécanisme d’action :</w:t>
      </w:r>
      <w:r>
        <w:t xml:space="preserve"> </w:t>
      </w:r>
      <w:r>
        <w:t xml:space="preserve">- Sous-classe : Antituberculeux de première ligne, bactéricide stérilisant (actif en milieu acide).</w:t>
      </w:r>
      <w:r>
        <w:t xml:space="preserve"> </w:t>
      </w:r>
      <w:r>
        <w:t xml:space="preserve">- Mécanisme d’action : Le pyrazinamide est une</w:t>
      </w:r>
      <w:r>
        <w:t xml:space="preserve"> </w:t>
      </w:r>
      <w:r>
        <w:rPr>
          <w:b/>
          <w:bCs/>
        </w:rPr>
        <w:t xml:space="preserve">prodrogue</w:t>
      </w:r>
      <w:r>
        <w:t xml:space="preserve"> </w:t>
      </w:r>
      <w:r>
        <w:t xml:space="preserve">qui doit être convertie par la</w:t>
      </w:r>
      <w:r>
        <w:t xml:space="preserve"> </w:t>
      </w:r>
      <w:r>
        <w:rPr>
          <w:b/>
          <w:bCs/>
        </w:rPr>
        <w:t xml:space="preserve">pyrazinamidase</w:t>
      </w:r>
      <w:r>
        <w:t xml:space="preserve"> </w:t>
      </w:r>
      <w:r>
        <w:t xml:space="preserve">bactérienne (enzyme cytosolique, gène</w:t>
      </w:r>
      <w:r>
        <w:t xml:space="preserve"> </w:t>
      </w:r>
      <w:r>
        <w:rPr>
          <w:i/>
          <w:iCs/>
        </w:rPr>
        <w:t xml:space="preserve">pncA</w:t>
      </w:r>
      <w:r>
        <w:t xml:space="preserve">) en</w:t>
      </w:r>
      <w:r>
        <w:t xml:space="preserve"> </w:t>
      </w:r>
      <w:r>
        <w:rPr>
          <w:b/>
          <w:bCs/>
        </w:rPr>
        <w:t xml:space="preserve">acide pyrazinoïque (POA)</w:t>
      </w:r>
      <w:r>
        <w:t xml:space="preserve">. Le POA traverse la membrane mycobactérienne (en milieu acide) et s’accumule dans le cytoplasme lorsque le pH extracellulaire est acide (intramacrophagique, caséum). Les cibles moléculaires du POA sont :</w:t>
      </w:r>
      <w:r>
        <w:t xml:space="preserve"> </w:t>
      </w:r>
      <w:r>
        <w:t xml:space="preserve">-</w:t>
      </w:r>
      <w:r>
        <w:t xml:space="preserve"> </w:t>
      </w:r>
      <w:r>
        <w:rPr>
          <w:b/>
          <w:bCs/>
        </w:rPr>
        <w:t xml:space="preserve">Ribosomal protein S1 (RpsA)</w:t>
      </w:r>
      <w:r>
        <w:t xml:space="preserve"> </w:t>
      </w:r>
      <w:r>
        <w:t xml:space="preserve">: inhibition de la traduction (trans-traduction) ;</w:t>
      </w:r>
      <w:r>
        <w:t xml:space="preserve"> </w:t>
      </w:r>
      <w:r>
        <w:t xml:space="preserve">-</w:t>
      </w:r>
      <w:r>
        <w:t xml:space="preserve"> </w:t>
      </w:r>
      <w:r>
        <w:rPr>
          <w:b/>
          <w:bCs/>
        </w:rPr>
        <w:t xml:space="preserve">Fatty acid synthase I (FAS-I)</w:t>
      </w:r>
      <w:r>
        <w:t xml:space="preserve"> </w:t>
      </w:r>
      <w:r>
        <w:t xml:space="preserve">: inhibition de la synthèse des acides gras ;</w:t>
      </w:r>
      <w:r>
        <w:t xml:space="preserve"> </w:t>
      </w:r>
      <w:r>
        <w:t xml:space="preserve">- Aspartate décarboxylase PanD : inhibiteur de la synthèse de coenzyme A (récent, 2017).</w:t>
      </w:r>
      <w:r>
        <w:t xml:space="preserve"> </w:t>
      </w:r>
      <w:r>
        <w:t xml:space="preserve">- Le pyrazinamide est actif préférentiellement sur les bacilles quiescents (état non répliquatif, en milieu acide), d’où son effet stérilisant unique.</w:t>
      </w:r>
      <w:r>
        <w:t xml:space="preserve"> </w:t>
      </w:r>
      <w:r>
        <w:t xml:space="preserve">- Cibles moléculaires : PncA → POA → RpsA + FAS-I + PanD.</w:t>
      </w:r>
      <w:r>
        <w:t xml:space="preserve"> </w:t>
      </w:r>
      <w:r>
        <w:t xml:space="preserve">- Résistance : mutations</w:t>
      </w:r>
      <w:r>
        <w:t xml:space="preserve"> </w:t>
      </w:r>
      <w:r>
        <w:rPr>
          <w:i/>
          <w:iCs/>
        </w:rPr>
        <w:t xml:space="preserve">pncA</w:t>
      </w:r>
      <w:r>
        <w:t xml:space="preserve"> </w:t>
      </w:r>
      <w:r>
        <w:t xml:space="preserve">dans 70–95 % des souches résistantes (mutations ponctuelles très variées sur l’ensemble du gène) ; mesure de l’activité pyrazinamidasique en culture (test Wayne) comme proxy.</w:t>
      </w:r>
    </w:p>
    <w:p>
      <w:pPr>
        <w:pStyle w:val="BodyText"/>
      </w:pPr>
      <w:r>
        <w:rPr>
          <w:b/>
          <w:bCs/>
        </w:rPr>
        <w:t xml:space="preserve">Profil Pharmacologique :</w:t>
      </w:r>
      <w:r>
        <w:t xml:space="preserve"> </w:t>
      </w:r>
      <w:r>
        <w:t xml:space="preserve">- Indications :</w:t>
      </w:r>
      <w:r>
        <w:t xml:space="preserve"> </w:t>
      </w:r>
      <w:r>
        <w:t xml:space="preserve">- Tuberculose maladie active : composant Z du schéma 2HRZE/4HR (phase d’attaque de 2 mois) ;</w:t>
      </w:r>
      <w:r>
        <w:t xml:space="preserve"> </w:t>
      </w:r>
      <w:r>
        <w:t xml:space="preserve">- Infections à MNT :</w:t>
      </w:r>
      <w:r>
        <w:t xml:space="preserve"> </w:t>
      </w:r>
      <w:r>
        <w:rPr>
          <w:i/>
          <w:iCs/>
        </w:rPr>
        <w:t xml:space="preserve">M. kansasii</w:t>
      </w:r>
      <w:r>
        <w:t xml:space="preserve"> </w:t>
      </w:r>
      <w:r>
        <w:t xml:space="preserve">(parfois), rarement autres ;</w:t>
      </w:r>
      <w:r>
        <w:t xml:space="preserve"> </w:t>
      </w:r>
      <w:r>
        <w:t xml:space="preserve">- Pas d’indication en ITL.</w:t>
      </w:r>
      <w:r>
        <w:t xml:space="preserve"> </w:t>
      </w:r>
      <w:r>
        <w:t xml:space="preserve">- Contre-indications :</w:t>
      </w:r>
      <w:r>
        <w:t xml:space="preserve"> </w:t>
      </w:r>
      <w:r>
        <w:t xml:space="preserve">-</w:t>
      </w:r>
      <w:r>
        <w:t xml:space="preserve"> </w:t>
      </w:r>
      <w:r>
        <w:rPr>
          <w:b/>
          <w:bCs/>
        </w:rPr>
        <w:t xml:space="preserve">Hyperuricémie symptomatique sévère</w:t>
      </w:r>
      <w:r>
        <w:t xml:space="preserve"> </w:t>
      </w:r>
      <w:r>
        <w:t xml:space="preserve">(goutte non contrôlée) ;</w:t>
      </w:r>
      <w:r>
        <w:t xml:space="preserve"> </w:t>
      </w:r>
      <w:r>
        <w:t xml:space="preserve">-</w:t>
      </w:r>
      <w:r>
        <w:t xml:space="preserve"> </w:t>
      </w:r>
      <w:r>
        <w:rPr>
          <w:b/>
          <w:bCs/>
        </w:rPr>
        <w:t xml:space="preserve">Insuffisance hépatique sévère</w:t>
      </w:r>
      <w:r>
        <w:t xml:space="preserve"> </w:t>
      </w:r>
      <w:r>
        <w:t xml:space="preserve">(Child-Pugh C) ;</w:t>
      </w:r>
      <w:r>
        <w:t xml:space="preserve"> </w:t>
      </w:r>
      <w:r>
        <w:t xml:space="preserve">- Porphyrie aiguë intermittente (rare) ;</w:t>
      </w:r>
      <w:r>
        <w:t xml:space="preserve"> </w:t>
      </w:r>
      <w:r>
        <w:t xml:space="preserve">- Hypersensibilité au pyrazinamide ;</w:t>
      </w:r>
      <w:r>
        <w:t xml:space="preserve"> </w:t>
      </w:r>
      <w:r>
        <w:t xml:space="preserve">- Prudence : diabète déséquilibré, goutte, insuffisance rénale.</w:t>
      </w:r>
      <w:r>
        <w:t xml:space="preserve"> </w:t>
      </w:r>
      <w:r>
        <w:t xml:space="preserve">- Effets Indésirables :</w:t>
      </w:r>
      <w:r>
        <w:t xml:space="preserve"> </w:t>
      </w:r>
      <w:r>
        <w:t xml:space="preserve">-</w:t>
      </w:r>
      <w:r>
        <w:t xml:space="preserve"> </w:t>
      </w:r>
      <w:r>
        <w:rPr>
          <w:b/>
          <w:bCs/>
        </w:rPr>
        <w:t xml:space="preserve">Hépatotoxicité</w:t>
      </w:r>
      <w:r>
        <w:t xml:space="preserve"> </w:t>
      </w:r>
      <w:r>
        <w:t xml:space="preserve">: la plus élevée des 4 antituberculeux de première ligne (cytolyse 15 %, hépatite clinique 2–3 %, hépatite fulminante rare) ; dose-dépendante (risque majoré &gt; 30 mg/kg/jour) ; surveillance ASAT/ALAT mensuelle ;</w:t>
      </w:r>
      <w:r>
        <w:t xml:space="preserve"> </w:t>
      </w:r>
      <w:r>
        <w:t xml:space="preserve">-</w:t>
      </w:r>
      <w:r>
        <w:t xml:space="preserve"> </w:t>
      </w:r>
      <w:r>
        <w:rPr>
          <w:b/>
          <w:bCs/>
        </w:rPr>
        <w:t xml:space="preserve">Hyperuricémie</w:t>
      </w:r>
      <w:r>
        <w:t xml:space="preserve"> </w:t>
      </w:r>
      <w:r>
        <w:t xml:space="preserve">: quasi-constante (inhibition de l’excrétion tubulaire de l’acide urique par le POA) ; arthralgies (40 % des cas), crise de goutte (rare, 1–2 %) ;</w:t>
      </w:r>
      <w:r>
        <w:t xml:space="preserve"> </w:t>
      </w:r>
      <w:r>
        <w:t xml:space="preserve">-</w:t>
      </w:r>
      <w:r>
        <w:t xml:space="preserve"> </w:t>
      </w:r>
      <w:r>
        <w:rPr>
          <w:b/>
          <w:bCs/>
        </w:rPr>
        <w:t xml:space="preserve">Photosensibilité</w:t>
      </w:r>
      <w:r>
        <w:t xml:space="preserve"> </w:t>
      </w:r>
      <w:r>
        <w:t xml:space="preserve">: rash cutané en zones exposées (rare) ;</w:t>
      </w:r>
      <w:r>
        <w:t xml:space="preserve"> </w:t>
      </w:r>
      <w:r>
        <w:t xml:space="preserve">- Troubles digestifs : nausées, vomissements, anorexie ;</w:t>
      </w:r>
      <w:r>
        <w:t xml:space="preserve"> </w:t>
      </w:r>
      <w:r>
        <w:t xml:space="preserve">- Hypersensibilité : rash, prurit, rarement DRESS ;</w:t>
      </w:r>
      <w:r>
        <w:t xml:space="preserve"> </w:t>
      </w:r>
      <w:r>
        <w:t xml:space="preserve">- Effets rares : porphyrie aiguë, anémie sidéroblastique (interférence avec le métabolisme de la pyridoxine), thrombopénie ;</w:t>
      </w:r>
      <w:r>
        <w:t xml:space="preserve"> </w:t>
      </w:r>
      <w:r>
        <w:t xml:space="preserve">- Sideroblastique anémie (rare).</w:t>
      </w:r>
    </w:p>
    <w:p>
      <w:pPr>
        <w:pStyle w:val="BodyText"/>
      </w:pPr>
      <w:r>
        <w:rPr>
          <w:b/>
          <w:bCs/>
        </w:rPr>
        <w:t xml:space="preserve">Prévention et Gestion des Effets Indésirables :</w:t>
      </w:r>
      <w:r>
        <w:t xml:space="preserve"> </w:t>
      </w:r>
      <w:r>
        <w:t xml:space="preserve">- Mesures Préventives :</w:t>
      </w:r>
      <w:r>
        <w:t xml:space="preserve"> </w:t>
      </w:r>
      <w:r>
        <w:t xml:space="preserve">-</w:t>
      </w:r>
      <w:r>
        <w:t xml:space="preserve"> </w:t>
      </w:r>
      <w:r>
        <w:rPr>
          <w:b/>
          <w:bCs/>
        </w:rPr>
        <w:t xml:space="preserve">Bilan hépatique pré-thérapeutique</w:t>
      </w:r>
      <w:r>
        <w:t xml:space="preserve"> </w:t>
      </w:r>
      <w:r>
        <w:t xml:space="preserve">(ASAT, ALAT, PAL, γ-GT, bilirubine, TP) +</w:t>
      </w:r>
      <w:r>
        <w:t xml:space="preserve"> </w:t>
      </w:r>
      <w:r>
        <w:rPr>
          <w:b/>
          <w:bCs/>
        </w:rPr>
        <w:t xml:space="preserve">acide urique</w:t>
      </w:r>
      <w:r>
        <w:t xml:space="preserve"> </w:t>
      </w:r>
      <w:r>
        <w:t xml:space="preserve">initial et surveillance à 15 jours, M1, M2 ;</w:t>
      </w:r>
      <w:r>
        <w:t xml:space="preserve"> </w:t>
      </w:r>
      <w:r>
        <w:t xml:space="preserve">-</w:t>
      </w:r>
      <w:r>
        <w:t xml:space="preserve"> </w:t>
      </w:r>
      <w:r>
        <w:rPr>
          <w:b/>
          <w:bCs/>
        </w:rPr>
        <w:t xml:space="preserve">Hydratation abondante</w:t>
      </w:r>
      <w:r>
        <w:t xml:space="preserve"> </w:t>
      </w:r>
      <w:r>
        <w:t xml:space="preserve">(2 L/jour) pour limiter l’hyperuricémie ;</w:t>
      </w:r>
      <w:r>
        <w:t xml:space="preserve"> </w:t>
      </w:r>
      <w:r>
        <w:t xml:space="preserve">- Régime hypouricémiant (éviter abats, fruits de mer, viandes rouges en excès, alcool) ;</w:t>
      </w:r>
      <w:r>
        <w:t xml:space="preserve"> </w:t>
      </w:r>
      <w:r>
        <w:t xml:space="preserve">- Éviter l’alcool ;</w:t>
      </w:r>
      <w:r>
        <w:t xml:space="preserve"> </w:t>
      </w:r>
      <w:r>
        <w:t xml:space="preserve">- Adapter la posologie en IR (clairance créatinine &lt; 30 mL/min : 25–35 mg/kg × 3 fois/semaine) ;</w:t>
      </w:r>
      <w:r>
        <w:t xml:space="preserve"> </w:t>
      </w:r>
      <w:r>
        <w:t xml:space="preserve">- Information du patient : surveillance hépatique, arthralgies, crise de goutte.</w:t>
      </w:r>
      <w:r>
        <w:t xml:space="preserve"> </w:t>
      </w:r>
      <w:r>
        <w:t xml:space="preserve">- Conduite à Tenir :</w:t>
      </w:r>
      <w:r>
        <w:t xml:space="preserve"> </w:t>
      </w:r>
      <w:r>
        <w:t xml:space="preserve">-</w:t>
      </w:r>
      <w:r>
        <w:t xml:space="preserve"> </w:t>
      </w:r>
      <w:r>
        <w:rPr>
          <w:b/>
          <w:bCs/>
        </w:rPr>
        <w:t xml:space="preserve">Cytolyse &gt; 5 N ou ictère</w:t>
      </w:r>
      <w:r>
        <w:t xml:space="preserve"> </w:t>
      </w:r>
      <w:r>
        <w:t xml:space="preserve">: arrêt immédiat du pyrazinamide (et des autres hépatotoxiques) ; bilan hépatique complet ; reprise éventuelle sans Z (schéma 2HRE/7HR ou similaire) ;</w:t>
      </w:r>
      <w:r>
        <w:t xml:space="preserve"> </w:t>
      </w:r>
      <w:r>
        <w:t xml:space="preserve">-</w:t>
      </w:r>
      <w:r>
        <w:t xml:space="preserve"> </w:t>
      </w:r>
      <w:r>
        <w:rPr>
          <w:b/>
          <w:bCs/>
        </w:rPr>
        <w:t xml:space="preserve">Hyperuricémie symptomatique</w:t>
      </w:r>
      <w:r>
        <w:t xml:space="preserve"> </w:t>
      </w:r>
      <w:r>
        <w:t xml:space="preserve">: AINS (ibuprofène, naproxène), colchicine (crise aiguë) ; allopurinol CONTRE-INDIQUÉ (augmente la toxicité du pyrazinamide en bloquant sa conversion en POA) ; si hyperuricémie sévère récidivante, arrêt définitif du Z (adaptation du schéma) ;</w:t>
      </w:r>
      <w:r>
        <w:t xml:space="preserve"> </w:t>
      </w:r>
      <w:r>
        <w:t xml:space="preserve">-</w:t>
      </w:r>
      <w:r>
        <w:t xml:space="preserve"> </w:t>
      </w:r>
      <w:r>
        <w:rPr>
          <w:b/>
          <w:bCs/>
        </w:rPr>
        <w:t xml:space="preserve">Crise de goutte</w:t>
      </w:r>
      <w:r>
        <w:t xml:space="preserve"> </w:t>
      </w:r>
      <w:r>
        <w:t xml:space="preserve">: colchicine 1 mg puis 0,5 mg toutes les 2 h jusqu’à cessation (max 6 mg/jour) ou AINS ; glucocorticoïdes si CI aux AINS/colchicine.</w:t>
      </w:r>
    </w:p>
    <w:p>
      <w:pPr>
        <w:pStyle w:val="BodyText"/>
      </w:pPr>
      <w:r>
        <w:rPr>
          <w:b/>
          <w:bCs/>
        </w:rPr>
        <w:t xml:space="preserve">Interactions Importantes :</w:t>
      </w:r>
      <w:r>
        <w:t xml:space="preserve"> </w:t>
      </w:r>
      <w:r>
        <w:t xml:space="preserve">-</w:t>
      </w:r>
      <w:r>
        <w:t xml:space="preserve"> </w:t>
      </w:r>
      <w:r>
        <w:rPr>
          <w:b/>
          <w:bCs/>
        </w:rPr>
        <w:t xml:space="preserve">Pyrazinamide + Allopurinol</w:t>
      </w:r>
      <w:r>
        <w:t xml:space="preserve"> </w:t>
      </w:r>
      <w:r>
        <w:t xml:space="preserve">: contre-indication relative — l’allopurinol bloque la pyrazinamide-désamidase (xanthine oxydase) en acide pyrazinoïque → accumulation du pyrazinamide et baisse d’efficacité + toxicité majorée. Préférer febuxostat si indispensable (mais surveillance).</w:t>
      </w:r>
      <w:r>
        <w:t xml:space="preserve"> </w:t>
      </w:r>
      <w:r>
        <w:t xml:space="preserve">-</w:t>
      </w:r>
      <w:r>
        <w:t xml:space="preserve"> </w:t>
      </w:r>
      <w:r>
        <w:rPr>
          <w:b/>
          <w:bCs/>
        </w:rPr>
        <w:t xml:space="preserve">Pyrazinamide + Probenécide</w:t>
      </w:r>
      <w:r>
        <w:t xml:space="preserve"> </w:t>
      </w:r>
      <w:r>
        <w:t xml:space="preserve">: augment les concentrations de pyrazinamide (baisse excrétion tubulaire) → toxicité majorée ; à éviter.</w:t>
      </w:r>
      <w:r>
        <w:t xml:space="preserve"> </w:t>
      </w:r>
      <w:r>
        <w:t xml:space="preserve">-</w:t>
      </w:r>
      <w:r>
        <w:t xml:space="preserve"> </w:t>
      </w:r>
      <w:r>
        <w:rPr>
          <w:b/>
          <w:bCs/>
        </w:rPr>
        <w:t xml:space="preserve">Pyrazinamide + Cyclosporine</w:t>
      </w:r>
      <w:r>
        <w:t xml:space="preserve"> </w:t>
      </w:r>
      <w:r>
        <w:t xml:space="preserve">: baisse des concentrations de cyclosporine (mécanisme mal élucidé) ; surveillance des taux.</w:t>
      </w:r>
      <w:r>
        <w:t xml:space="preserve"> </w:t>
      </w:r>
      <w:r>
        <w:t xml:space="preserve">-</w:t>
      </w:r>
      <w:r>
        <w:t xml:space="preserve"> </w:t>
      </w:r>
      <w:r>
        <w:rPr>
          <w:b/>
          <w:bCs/>
        </w:rPr>
        <w:t xml:space="preserve">Pyrazinamide + Éthambutol</w:t>
      </w:r>
      <w:r>
        <w:t xml:space="preserve"> </w:t>
      </w:r>
      <w:r>
        <w:t xml:space="preserve">: majoration de l’hyperuricémie (les deux inhibent l’excrétion tubulaire de l’acide urique).</w:t>
      </w:r>
      <w:r>
        <w:t xml:space="preserve"> </w:t>
      </w:r>
      <w:r>
        <w:t xml:space="preserve">-</w:t>
      </w:r>
      <w:r>
        <w:t xml:space="preserve"> </w:t>
      </w:r>
      <w:r>
        <w:rPr>
          <w:b/>
          <w:bCs/>
        </w:rPr>
        <w:t xml:space="preserve">Pyrazinamide + Zidovudine</w:t>
      </w:r>
      <w:r>
        <w:t xml:space="preserve"> </w:t>
      </w:r>
      <w:r>
        <w:t xml:space="preserve">: rare interaction (baisse de l’efficacité de la zidovudine, mécanisme mal élucidé).</w:t>
      </w:r>
      <w:r>
        <w:t xml:space="preserve"> </w:t>
      </w:r>
      <w:r>
        <w:t xml:space="preserve">- Peu d’interactions enzymatiques CYP (peu métabolisé par cytochromes).</w:t>
      </w:r>
    </w:p>
    <w:p>
      <w:pPr>
        <w:pStyle w:val="BodyText"/>
      </w:pPr>
      <w:r>
        <w:rPr>
          <w:b/>
          <w:bCs/>
        </w:rPr>
        <w:t xml:space="preserve">Grossesse et Allaitement :</w:t>
      </w:r>
      <w:r>
        <w:t xml:space="preserve"> </w:t>
      </w:r>
      <w:r>
        <w:t xml:space="preserve">- Grossesse : Compatible avec prudence (CRAT) ; le pyrazinamide traverse le placenta. Chez l’animal, tératogène à doses élevées (rat, souris). Chez l’humain, pas d’augmentation du risque malformatif en pratique. L’OMS recommande son utilisation pendant la grossesse dans le schéma standard 2HRZE/4HR ; certaines sources recommandent de l’éviter au 1er trimestre en cas d’alternative (rarement possible en pratique). En cas de TB résistante, discussion cas par cas.</w:t>
      </w:r>
      <w:r>
        <w:t xml:space="preserve"> </w:t>
      </w:r>
      <w:r>
        <w:t xml:space="preserve">- Allaitement : Compatible (CRAT) ; le pyrazinamide passe dans le lait maternel (rapport lait/plasma ~1) ; la dose ingérée par le nourrisson est significative (~50 % de la dose pédiatrique thérapeutique) ; surveillance clinique du nourrisson (transaminases, acide urique).</w:t>
      </w:r>
      <w:r>
        <w:t xml:space="preserve"> </w:t>
      </w:r>
      <w:r>
        <w:t xml:space="preserve">- Précisions : surveillance hépatique maternelle renforcée.</w:t>
      </w:r>
    </w:p>
    <w:p>
      <w:pPr>
        <w:pStyle w:val="BodyText"/>
      </w:pPr>
      <w:r>
        <w:rPr>
          <w:b/>
          <w:bCs/>
        </w:rPr>
        <w:t xml:space="preserve">Posologie et Mode d’administration (Standard) :</w:t>
      </w:r>
      <w:r>
        <w:t xml:space="preserve"> </w:t>
      </w:r>
      <w:r>
        <w:t xml:space="preserve">- Adulte :</w:t>
      </w:r>
      <w:r>
        <w:t xml:space="preserve"> </w:t>
      </w:r>
      <w:r>
        <w:t xml:space="preserve">- Tuberculose maladie (phase d’attaque 2HRZE) :</w:t>
      </w:r>
      <w:r>
        <w:t xml:space="preserve"> </w:t>
      </w:r>
      <w:r>
        <w:rPr>
          <w:b/>
          <w:bCs/>
        </w:rPr>
        <w:t xml:space="preserve">25–30 mg/kg/jour</w:t>
      </w:r>
      <w:r>
        <w:t xml:space="preserve"> </w:t>
      </w:r>
      <w:r>
        <w:t xml:space="preserve">en une prise unique quotidienne ; habituellement 1500–2000 mg/jour pour un adulte de 50–70 kg (3 à 4 comprimés de 500 mg) ; pas de dose supérieure à 30 mg/kg/jour ;</w:t>
      </w:r>
      <w:r>
        <w:t xml:space="preserve"> </w:t>
      </w:r>
      <w:r>
        <w:t xml:space="preserve">- En IR (ClCr &lt; 30 mL/min) : 25–35 mg/kg × 3 fois/semaine (et non quotidien) ;</w:t>
      </w:r>
      <w:r>
        <w:t xml:space="preserve"> </w:t>
      </w:r>
      <w:r>
        <w:t xml:space="preserve">- Alternative : 50 mg/kg × 2 fois/semaine (schéma intermittent).</w:t>
      </w:r>
      <w:r>
        <w:t xml:space="preserve"> </w:t>
      </w:r>
      <w:r>
        <w:t xml:space="preserve">- Enfant : 30–35 mg/kg/jour (max 2 g/jour).</w:t>
      </w:r>
      <w:r>
        <w:t xml:space="preserve"> </w:t>
      </w:r>
      <w:r>
        <w:t xml:space="preserve">- Durée : 2 mois (phase d’attaque du schéma 2HRZE/4HR) ; prolongée en cas de TB résistante.</w:t>
      </w:r>
      <w:r>
        <w:t xml:space="preserve"> </w:t>
      </w:r>
      <w:r>
        <w:t xml:space="preserve">- Moment de prise : non strictement à jeun (peu d’effet alimentaire) ; en pratique, prise en même temps que les autres antituberculeux à jeun le matin.</w:t>
      </w:r>
      <w:r>
        <w:t xml:space="preserve"> </w:t>
      </w:r>
      <w:r>
        <w:t xml:space="preserve">- Voie : per os (comprimé).</w:t>
      </w:r>
    </w:p>
    <w:p>
      <w:pPr>
        <w:pStyle w:val="BodyText"/>
      </w:pPr>
      <w:r>
        <w:rPr>
          <w:b/>
          <w:bCs/>
        </w:rPr>
        <w:t xml:space="preserve">Arbitrage et Bénéfices des Formes Galéniques :</w:t>
      </w:r>
      <w:r>
        <w:t xml:space="preserve"> </w:t>
      </w:r>
      <w:r>
        <w:t xml:space="preserve">- Comprimés 400 mg et 500 mg : adaptation au poids ;</w:t>
      </w:r>
      <w:r>
        <w:t xml:space="preserve"> </w:t>
      </w:r>
      <w:r>
        <w:t xml:space="preserve">- Pas de forme sirop commercialisée : préparation magistrale pour enfant (poudre de comprimé dispersée) ;</w:t>
      </w:r>
      <w:r>
        <w:t xml:space="preserve"> </w:t>
      </w:r>
      <w:r>
        <w:t xml:space="preserve">- Forme combinée fixe R+H+Z (Rifater) : simplification et prévention de la monothérapie accidentelle ;</w:t>
      </w:r>
      <w:r>
        <w:t xml:space="preserve"> </w:t>
      </w:r>
      <w:r>
        <w:t xml:space="preserve">- Alternative rare en cas d’hépatotoxicité : fluoroquinolone (moxifloxacine, lévofloxacine) + éthionamide selon antibiogramme.</w:t>
      </w:r>
    </w:p>
    <w:p>
      <w:pPr>
        <w:pStyle w:val="BodyText"/>
      </w:pPr>
      <w:r>
        <w:rPr>
          <w:b/>
          <w:bCs/>
        </w:rPr>
        <w:t xml:space="preserve">Instructions et Conseils au Patient :</w:t>
      </w:r>
      <w:r>
        <w:t xml:space="preserve"> </w:t>
      </w:r>
      <w:r>
        <w:t xml:space="preserve">- Communication au comptoir :</w:t>
      </w:r>
      <w:r>
        <w:t xml:space="preserve"> </w:t>
      </w:r>
      <w:r>
        <w:t xml:space="preserve">- « Prenez votre pyrazinamide TOUS LES JOURS, à la même heure, le matin à jeun. »</w:t>
      </w:r>
      <w:r>
        <w:t xml:space="preserve"> </w:t>
      </w:r>
      <w:r>
        <w:t xml:space="preserve">- « Buvez au moins 2 litres d’eau par jour pendant le traitement. »</w:t>
      </w:r>
      <w:r>
        <w:t xml:space="preserve"> </w:t>
      </w:r>
      <w:r>
        <w:t xml:space="preserve">- « Si vous avez des douleurs articulaires (surtout au gros orteil), signalez-le à votre médecin : c’est peut-être une crise de goutte due au médicament. »</w:t>
      </w:r>
      <w:r>
        <w:t xml:space="preserve"> </w:t>
      </w:r>
      <w:r>
        <w:t xml:space="preserve">- « Évitez l’alcool, les abats, les fruits de mer, en excès pendant le traitement. »</w:t>
      </w:r>
      <w:r>
        <w:t xml:space="preserve"> </w:t>
      </w:r>
      <w:r>
        <w:t xml:space="preserve">- « Si vous avez des traitements pour la goutte (allopurinol), prévenez votre médecin : ils ne sont pas compatibles avec ce médicament. »</w:t>
      </w:r>
      <w:r>
        <w:t xml:space="preserve"> </w:t>
      </w:r>
      <w:r>
        <w:t xml:space="preserve">- « Si vous remarquez que vos urines deviennent foncées ou que vous voyez jaune, arrêtez et consultez immédiatement. »</w:t>
      </w:r>
      <w:r>
        <w:t xml:space="preserve"> </w:t>
      </w:r>
      <w:r>
        <w:t xml:space="preserve">- Mode d’utilisation pratique :</w:t>
      </w:r>
      <w:r>
        <w:t xml:space="preserve"> </w:t>
      </w:r>
      <w:r>
        <w:t xml:space="preserve">- Oubli &lt; 12 h : prendre la dose dès que possible ;</w:t>
      </w:r>
      <w:r>
        <w:t xml:space="preserve"> </w:t>
      </w:r>
      <w:r>
        <w:t xml:space="preserve">- Oubli &gt; 12 h : sauter la dose ;</w:t>
      </w:r>
      <w:r>
        <w:t xml:space="preserve"> </w:t>
      </w:r>
      <w:r>
        <w:t xml:space="preserve">- Règle des 80 % d’observance.</w:t>
      </w:r>
    </w:p>
    <w:p>
      <w:pPr>
        <w:pStyle w:val="BodyText"/>
      </w:pPr>
      <w:r>
        <w:rPr>
          <w:b/>
          <w:bCs/>
        </w:rPr>
        <w:t xml:space="preserve">Notes, Règles d’Or &amp; Pièges au Comptoir :</w:t>
      </w:r>
      <w:r>
        <w:t xml:space="preserve"> </w:t>
      </w:r>
      <w:r>
        <w:t xml:space="preserve">- Piège classique :</w:t>
      </w:r>
      <w:r>
        <w:t xml:space="preserve"> </w:t>
      </w:r>
      <w:r>
        <w:rPr>
          <w:b/>
          <w:bCs/>
        </w:rPr>
        <w:t xml:space="preserve">patient goutteux sous allopurinol</w:t>
      </w:r>
      <w:r>
        <w:t xml:space="preserve"> </w:t>
      </w:r>
      <w:r>
        <w:t xml:space="preserve">: ne pas associer (contre-indication relative, augmentation de la toxicité du pyrazinamide et baisse de son efficacité) ; préférer febuxostat ou arrêter l’allopurinol pendant le traitement antituberculeux ;</w:t>
      </w:r>
      <w:r>
        <w:t xml:space="preserve"> </w:t>
      </w:r>
      <w:r>
        <w:t xml:space="preserve">- Piège classique :</w:t>
      </w:r>
      <w:r>
        <w:t xml:space="preserve"> </w:t>
      </w:r>
      <w:r>
        <w:rPr>
          <w:b/>
          <w:bCs/>
        </w:rPr>
        <w:t xml:space="preserve">insuffisance hépatique sous-estimée</w:t>
      </w:r>
      <w:r>
        <w:t xml:space="preserve"> </w:t>
      </w:r>
      <w:r>
        <w:t xml:space="preserve">: surveillance biologique mensuelle stricte (ASAT, ALAT) ;</w:t>
      </w:r>
      <w:r>
        <w:t xml:space="preserve"> </w:t>
      </w:r>
      <w:r>
        <w:t xml:space="preserve">- Piège classique :</w:t>
      </w:r>
      <w:r>
        <w:t xml:space="preserve"> </w:t>
      </w:r>
      <w:r>
        <w:rPr>
          <w:b/>
          <w:bCs/>
        </w:rPr>
        <w:t xml:space="preserve">oubli de l’acide urique</w:t>
      </w:r>
      <w:r>
        <w:t xml:space="preserve"> </w:t>
      </w:r>
      <w:r>
        <w:t xml:space="preserve">dans le bilan biologique de surveillance ;</w:t>
      </w:r>
      <w:r>
        <w:t xml:space="preserve"> </w:t>
      </w:r>
      <w:r>
        <w:t xml:space="preserve">- Règle de prise : pyrazinamide en une prise unique quotidienne à jeun le matin, en association avec les autres antituberculeux ;</w:t>
      </w:r>
      <w:r>
        <w:t xml:space="preserve"> </w:t>
      </w:r>
      <w:r>
        <w:t xml:space="preserve">- Préparation et Conservation : conserver à température ambiante (&lt; 25 °C), à l’abri de l’humidité ;</w:t>
      </w:r>
      <w:r>
        <w:t xml:space="preserve"> </w:t>
      </w:r>
      <w:r>
        <w:t xml:space="preserve">- Piège du surdosage / Substitution : en cas d’arrêt du pyrazinamide pour hépatotoxicité ou hyperuricémie sévère, poursuivre R+H+E et prolonger la durée totale à 9 mois (phase d’entretien allongée) selon avis spécialisé ; substitution possible par moxifloxacine dans certains schémas courts modernes.</w:t>
      </w:r>
    </w:p>
    <w:p>
      <w:r>
        <w:pict>
          <v:rect style="width:0;height:1.5pt" o:hralign="center" o:hrstd="t" o:hr="t"/>
        </w:pict>
      </w:r>
    </w:p>
    <w:bookmarkEnd w:id="243"/>
    <w:bookmarkStart w:id="244" w:name="X38c9b8141f60b54b8537031814023cf4b11bc8f"/>
    <w:p>
      <w:pPr>
        <w:pStyle w:val="Heading3"/>
      </w:pPr>
      <w:r>
        <w:t xml:space="preserve">8.4.8. DCI : Associations corticoïde + antibiotique (ophtalmologique/ORL/dermologique) (En Association)</w:t>
      </w:r>
    </w:p>
    <w:p>
      <w:pPr>
        <w:pStyle w:val="FirstParagraph"/>
      </w:pPr>
      <w:r>
        <w:rPr>
          <w:b/>
          <w:bCs/>
        </w:rPr>
        <w:t xml:space="preserve">Liste des Catégories :</w:t>
      </w:r>
      <w:r>
        <w:t xml:space="preserve"> </w:t>
      </w:r>
      <w:r>
        <w:t xml:space="preserve">Associations antibiotiques locales ; Topiques ophtalmiques/ORL/dermologiques ; Liste I (Algérie).</w:t>
      </w:r>
    </w:p>
    <w:p>
      <w:pPr>
        <w:pStyle w:val="BodyText"/>
      </w:pPr>
      <w:r>
        <w:t xml:space="preserve">Les associations corticoïde + antibiotique local sont très largement prescrites en Algérie pour le traitement des inflammations superficielles de l’œil, de l’oreille, du nez, des sinus et de la peau, surinfectées ou à risque de surinfection bactérienne. Leur intérêt repose sur la synergie d’action : le</w:t>
      </w:r>
      <w:r>
        <w:t xml:space="preserve"> </w:t>
      </w:r>
      <w:r>
        <w:rPr>
          <w:b/>
          <w:bCs/>
        </w:rPr>
        <w:t xml:space="preserve">corticoïde</w:t>
      </w:r>
      <w:r>
        <w:t xml:space="preserve"> </w:t>
      </w:r>
      <w:r>
        <w:t xml:space="preserve">réduit rapidement l’inflammation (œdème, rougeur, douleur), améliorant le confort du patient et la diffusion de l’antibiotique dans les tissus ; l’</w:t>
      </w:r>
      <w:r>
        <w:rPr>
          <w:b/>
          <w:bCs/>
        </w:rPr>
        <w:t xml:space="preserve">antibiotique</w:t>
      </w:r>
      <w:r>
        <w:t xml:space="preserve"> </w:t>
      </w:r>
      <w:r>
        <w:t xml:space="preserve">couvre la composante bactérienne. Leur danger principal est triple : (i) masquer l’évolution d’une infection non couverte (herpès, mycose), (ii) favoriser l’émergence de résistances en usage prolongé, (iii) provoquer une cortico-induction locale (glaucome, atrophie cutanée). La prescription initiale médicale est obligatoire (Liste I en Algérie).</w:t>
      </w:r>
    </w:p>
    <w:p>
      <w:pPr>
        <w:pStyle w:val="BodyText"/>
      </w:pPr>
      <w:r>
        <w:rPr>
          <w:b/>
          <w:bCs/>
        </w:rPr>
        <w:t xml:space="preserve">Médicaments disponibles en Algérie (Marques, Laboratoires, Formes et Dosages) :</w:t>
      </w:r>
    </w:p>
    <w:p>
      <w:pPr>
        <w:pStyle w:val="BodyText"/>
      </w:pPr>
      <w:r>
        <w:rPr>
          <w:b/>
          <w:bCs/>
        </w:rPr>
        <w:t xml:space="preserve">A. Associations dermologiques (Nystatine + Triamcinolone + Néomycine)</w:t>
      </w:r>
      <w:r>
        <w:t xml:space="preserve"> </w:t>
      </w:r>
      <w:r>
        <w:t xml:space="preserve">— pomma de dermatologique, indiquée dans les dermatoses surinfectées (eczéma surinfecté, intertrigo, dermite d’oreille, dermite périanale) :</w:t>
      </w:r>
    </w:p>
    <w:p>
      <w:pPr>
        <w:pStyle w:val="Compact"/>
        <w:numPr>
          <w:ilvl w:val="0"/>
          <w:numId w:val="1336"/>
        </w:numPr>
      </w:pPr>
      <w:r>
        <w:rPr>
          <w:b/>
          <w:bCs/>
        </w:rPr>
        <w:t xml:space="preserve">MICOTYDE</w:t>
      </w:r>
      <w:r>
        <w:t xml:space="preserve"> </w:t>
      </w:r>
      <w:r>
        <w:t xml:space="preserve">(4A SANTE INDUSTRIE)</w:t>
      </w:r>
    </w:p>
    <w:p>
      <w:pPr>
        <w:pStyle w:val="Compact"/>
        <w:numPr>
          <w:ilvl w:val="1"/>
          <w:numId w:val="1337"/>
        </w:numPr>
      </w:pPr>
      <w:r>
        <w:t xml:space="preserve">Formes et Dosages : Pommade dermique 10 MUI/0,1 g/0,25 g (T/15 g)</w:t>
      </w:r>
    </w:p>
    <w:p>
      <w:pPr>
        <w:pStyle w:val="Compact"/>
        <w:numPr>
          <w:ilvl w:val="1"/>
          <w:numId w:val="1337"/>
        </w:numPr>
      </w:pPr>
      <w:r>
        <w:t xml:space="preserve">Statut : Actif</w:t>
      </w:r>
    </w:p>
    <w:p>
      <w:pPr>
        <w:pStyle w:val="Compact"/>
        <w:numPr>
          <w:ilvl w:val="0"/>
          <w:numId w:val="1336"/>
        </w:numPr>
      </w:pPr>
      <w:r>
        <w:rPr>
          <w:b/>
          <w:bCs/>
        </w:rPr>
        <w:t xml:space="preserve">MYCOCIDE</w:t>
      </w:r>
      <w:r>
        <w:t xml:space="preserve"> </w:t>
      </w:r>
      <w:r>
        <w:t xml:space="preserve">(GROUPE SAIDAL)</w:t>
      </w:r>
    </w:p>
    <w:p>
      <w:pPr>
        <w:pStyle w:val="Compact"/>
        <w:numPr>
          <w:ilvl w:val="1"/>
          <w:numId w:val="1338"/>
        </w:numPr>
      </w:pPr>
      <w:r>
        <w:t xml:space="preserve">Formes et Dosages : Pommade dermique 10 MUI/0,1 g/0,25 g (T/15 g)</w:t>
      </w:r>
    </w:p>
    <w:p>
      <w:pPr>
        <w:pStyle w:val="Compact"/>
        <w:numPr>
          <w:ilvl w:val="1"/>
          <w:numId w:val="1338"/>
        </w:numPr>
      </w:pPr>
      <w:r>
        <w:t xml:space="preserve">Statut : Actif</w:t>
      </w:r>
    </w:p>
    <w:p>
      <w:pPr>
        <w:pStyle w:val="Compact"/>
        <w:numPr>
          <w:ilvl w:val="0"/>
          <w:numId w:val="1336"/>
        </w:numPr>
      </w:pPr>
      <w:r>
        <w:rPr>
          <w:b/>
          <w:bCs/>
        </w:rPr>
        <w:t xml:space="preserve">MYCOCINE</w:t>
      </w:r>
      <w:r>
        <w:t xml:space="preserve"> </w:t>
      </w:r>
      <w:r>
        <w:t xml:space="preserve">(LABORATOIRES PHARMAGHREB)</w:t>
      </w:r>
    </w:p>
    <w:p>
      <w:pPr>
        <w:pStyle w:val="Compact"/>
        <w:numPr>
          <w:ilvl w:val="1"/>
          <w:numId w:val="1339"/>
        </w:numPr>
      </w:pPr>
      <w:r>
        <w:t xml:space="preserve">Formes et Dosages : Pommade dermique 10 MUI/0,1 g/0,25 g (T/15 g)</w:t>
      </w:r>
    </w:p>
    <w:p>
      <w:pPr>
        <w:pStyle w:val="Compact"/>
        <w:numPr>
          <w:ilvl w:val="1"/>
          <w:numId w:val="1339"/>
        </w:numPr>
      </w:pPr>
      <w:r>
        <w:t xml:space="preserve">Statut : Actif</w:t>
      </w:r>
    </w:p>
    <w:p>
      <w:pPr>
        <w:pStyle w:val="Compact"/>
        <w:numPr>
          <w:ilvl w:val="0"/>
          <w:numId w:val="1336"/>
        </w:numPr>
      </w:pPr>
      <w:r>
        <w:rPr>
          <w:b/>
          <w:bCs/>
        </w:rPr>
        <w:t xml:space="preserve">MYCOMEX</w:t>
      </w:r>
      <w:r>
        <w:t xml:space="preserve"> </w:t>
      </w:r>
      <w:r>
        <w:t xml:space="preserve">(KPMA BIOTIC)</w:t>
      </w:r>
    </w:p>
    <w:p>
      <w:pPr>
        <w:pStyle w:val="Compact"/>
        <w:numPr>
          <w:ilvl w:val="1"/>
          <w:numId w:val="1340"/>
        </w:numPr>
      </w:pPr>
      <w:r>
        <w:t xml:space="preserve">Formes et Dosages : Pommade dermique 10 MUI/0,1 g/0,25 g (T/15 g)</w:t>
      </w:r>
    </w:p>
    <w:p>
      <w:pPr>
        <w:pStyle w:val="Compact"/>
        <w:numPr>
          <w:ilvl w:val="1"/>
          <w:numId w:val="1340"/>
        </w:numPr>
      </w:pPr>
      <w:r>
        <w:t xml:space="preserve">Statut : Actif</w:t>
      </w:r>
    </w:p>
    <w:p>
      <w:pPr>
        <w:pStyle w:val="Compact"/>
        <w:numPr>
          <w:ilvl w:val="0"/>
          <w:numId w:val="1336"/>
        </w:numPr>
      </w:pPr>
      <w:r>
        <w:rPr>
          <w:b/>
          <w:bCs/>
        </w:rPr>
        <w:t xml:space="preserve">MYCOLOG</w:t>
      </w:r>
      <w:r>
        <w:t xml:space="preserve"> </w:t>
      </w:r>
      <w:r>
        <w:t xml:space="preserve">(BRISTOL MYERS SQUIBB)</w:t>
      </w:r>
    </w:p>
    <w:p>
      <w:pPr>
        <w:pStyle w:val="Compact"/>
        <w:numPr>
          <w:ilvl w:val="1"/>
          <w:numId w:val="1341"/>
        </w:numPr>
      </w:pPr>
      <w:r>
        <w:t xml:space="preserve">Formes et Dosages : Pommade dermique 1 MUI/10 mg/25 000 UI/10 g (T/10 g)</w:t>
      </w:r>
    </w:p>
    <w:p>
      <w:pPr>
        <w:pStyle w:val="Compact"/>
        <w:numPr>
          <w:ilvl w:val="1"/>
          <w:numId w:val="1341"/>
        </w:numPr>
      </w:pPr>
      <w:r>
        <w:t xml:space="preserve">Statut : Retiré (R)</w:t>
      </w:r>
    </w:p>
    <w:p>
      <w:pPr>
        <w:pStyle w:val="Compact"/>
        <w:numPr>
          <w:ilvl w:val="0"/>
          <w:numId w:val="1336"/>
        </w:numPr>
      </w:pPr>
      <w:r>
        <w:rPr>
          <w:b/>
          <w:bCs/>
        </w:rPr>
        <w:t xml:space="preserve">CRONOLONE-NEO-NISTA</w:t>
      </w:r>
      <w:r>
        <w:t xml:space="preserve"> </w:t>
      </w:r>
      <w:r>
        <w:t xml:space="preserve">(CROVIS PHILCOM)</w:t>
      </w:r>
    </w:p>
    <w:p>
      <w:pPr>
        <w:pStyle w:val="Compact"/>
        <w:numPr>
          <w:ilvl w:val="1"/>
          <w:numId w:val="1342"/>
        </w:numPr>
      </w:pPr>
      <w:r>
        <w:t xml:space="preserve">Formes et Dosages : Pommade dermique 10 MUI/0,1 g/0,25 g/100 g (T/15 g)</w:t>
      </w:r>
    </w:p>
    <w:p>
      <w:pPr>
        <w:pStyle w:val="Compact"/>
        <w:numPr>
          <w:ilvl w:val="1"/>
          <w:numId w:val="1342"/>
        </w:numPr>
      </w:pPr>
      <w:r>
        <w:t xml:space="preserve">Statut : Retiré (R)</w:t>
      </w:r>
    </w:p>
    <w:p>
      <w:pPr>
        <w:pStyle w:val="FirstParagraph"/>
      </w:pPr>
      <w:r>
        <w:rPr>
          <w:b/>
          <w:bCs/>
        </w:rPr>
        <w:t xml:space="preserve">B. Associations ophtalmologiques (Dexaméthasone + Néomycine)</w:t>
      </w:r>
      <w:r>
        <w:t xml:space="preserve"> </w:t>
      </w:r>
      <w:r>
        <w:t xml:space="preserve">— collyre indiqué dans les conjonctivites inflammatoires sévères, blépharites, post-chirurgie ophtalmique :</w:t>
      </w:r>
    </w:p>
    <w:p>
      <w:pPr>
        <w:pStyle w:val="Compact"/>
        <w:numPr>
          <w:ilvl w:val="0"/>
          <w:numId w:val="1343"/>
        </w:numPr>
      </w:pPr>
      <w:r>
        <w:rPr>
          <w:b/>
          <w:bCs/>
        </w:rPr>
        <w:t xml:space="preserve">CHIBRO-CADRON</w:t>
      </w:r>
      <w:r>
        <w:t xml:space="preserve"> </w:t>
      </w:r>
      <w:r>
        <w:t xml:space="preserve">(THEA)</w:t>
      </w:r>
    </w:p>
    <w:p>
      <w:pPr>
        <w:pStyle w:val="Compact"/>
        <w:numPr>
          <w:ilvl w:val="1"/>
          <w:numId w:val="1344"/>
        </w:numPr>
      </w:pPr>
      <w:r>
        <w:t xml:space="preserve">Formes et Dosages : Collyre en solution 100 mg/350 000 UI/100 mL (= 0,1 % dexaméthasone) (FL/5 mL)</w:t>
      </w:r>
    </w:p>
    <w:p>
      <w:pPr>
        <w:pStyle w:val="Compact"/>
        <w:numPr>
          <w:ilvl w:val="1"/>
          <w:numId w:val="1344"/>
        </w:numPr>
      </w:pPr>
      <w:r>
        <w:t xml:space="preserve">Statut : Actif</w:t>
      </w:r>
    </w:p>
    <w:p>
      <w:pPr>
        <w:pStyle w:val="Compact"/>
        <w:numPr>
          <w:ilvl w:val="0"/>
          <w:numId w:val="1343"/>
        </w:numPr>
      </w:pPr>
      <w:r>
        <w:rPr>
          <w:b/>
          <w:bCs/>
        </w:rPr>
        <w:t xml:space="preserve">DEXAMEX</w:t>
      </w:r>
      <w:r>
        <w:t xml:space="preserve"> </w:t>
      </w:r>
      <w:r>
        <w:t xml:space="preserve">(UNIMED)</w:t>
      </w:r>
    </w:p>
    <w:p>
      <w:pPr>
        <w:pStyle w:val="Compact"/>
        <w:numPr>
          <w:ilvl w:val="1"/>
          <w:numId w:val="1345"/>
        </w:numPr>
      </w:pPr>
      <w:r>
        <w:t xml:space="preserve">Formes et Dosages : Collyre en solution 100 mg/350 000 UI/100 mL (FL/5 mL)</w:t>
      </w:r>
    </w:p>
    <w:p>
      <w:pPr>
        <w:pStyle w:val="Compact"/>
        <w:numPr>
          <w:ilvl w:val="1"/>
          <w:numId w:val="1345"/>
        </w:numPr>
      </w:pPr>
      <w:r>
        <w:t xml:space="preserve">Statut : Actif</w:t>
      </w:r>
    </w:p>
    <w:p>
      <w:pPr>
        <w:pStyle w:val="Compact"/>
        <w:numPr>
          <w:ilvl w:val="0"/>
          <w:numId w:val="1343"/>
        </w:numPr>
      </w:pPr>
      <w:r>
        <w:rPr>
          <w:b/>
          <w:bCs/>
        </w:rPr>
        <w:t xml:space="preserve">OPADEX</w:t>
      </w:r>
      <w:r>
        <w:t xml:space="preserve"> </w:t>
      </w:r>
      <w:r>
        <w:t xml:space="preserve">(GENERIC LAB)</w:t>
      </w:r>
    </w:p>
    <w:p>
      <w:pPr>
        <w:pStyle w:val="Compact"/>
        <w:numPr>
          <w:ilvl w:val="1"/>
          <w:numId w:val="1346"/>
        </w:numPr>
      </w:pPr>
      <w:r>
        <w:t xml:space="preserve">Formes et Dosages : Collyre en solution 1 mg/3 500 UI/mL (FL/5 mL)</w:t>
      </w:r>
    </w:p>
    <w:p>
      <w:pPr>
        <w:pStyle w:val="Compact"/>
        <w:numPr>
          <w:ilvl w:val="1"/>
          <w:numId w:val="1346"/>
        </w:numPr>
      </w:pPr>
      <w:r>
        <w:t xml:space="preserve">Statut : Actif</w:t>
      </w:r>
    </w:p>
    <w:p>
      <w:pPr>
        <w:pStyle w:val="Compact"/>
        <w:numPr>
          <w:ilvl w:val="0"/>
          <w:numId w:val="1343"/>
        </w:numPr>
      </w:pPr>
      <w:r>
        <w:rPr>
          <w:b/>
          <w:bCs/>
        </w:rPr>
        <w:t xml:space="preserve">NEODEX</w:t>
      </w:r>
      <w:r>
        <w:t xml:space="preserve"> </w:t>
      </w:r>
      <w:r>
        <w:t xml:space="preserve">(AMMAN PHARMACEUTICAL INDUSTRIE)</w:t>
      </w:r>
    </w:p>
    <w:p>
      <w:pPr>
        <w:pStyle w:val="Compact"/>
        <w:numPr>
          <w:ilvl w:val="1"/>
          <w:numId w:val="1347"/>
        </w:numPr>
      </w:pPr>
      <w:r>
        <w:t xml:space="preserve">Formes et Dosages : Collyre en solution 100 mg/350 000 UI/100 mL (FL/10 mL)</w:t>
      </w:r>
    </w:p>
    <w:p>
      <w:pPr>
        <w:pStyle w:val="Compact"/>
        <w:numPr>
          <w:ilvl w:val="1"/>
          <w:numId w:val="1347"/>
        </w:numPr>
      </w:pPr>
      <w:r>
        <w:t xml:space="preserve">Statut : Actif</w:t>
      </w:r>
    </w:p>
    <w:p>
      <w:pPr>
        <w:pStyle w:val="Compact"/>
        <w:numPr>
          <w:ilvl w:val="0"/>
          <w:numId w:val="1343"/>
        </w:numPr>
      </w:pPr>
      <w:r>
        <w:rPr>
          <w:b/>
          <w:bCs/>
        </w:rPr>
        <w:t xml:space="preserve">NEODRON</w:t>
      </w:r>
      <w:r>
        <w:t xml:space="preserve"> </w:t>
      </w:r>
      <w:r>
        <w:t xml:space="preserve">(ALEPPO PHARMACEUTICAL INDUSTRIES - ALPHA)</w:t>
      </w:r>
    </w:p>
    <w:p>
      <w:pPr>
        <w:pStyle w:val="Compact"/>
        <w:numPr>
          <w:ilvl w:val="1"/>
          <w:numId w:val="1348"/>
        </w:numPr>
      </w:pPr>
      <w:r>
        <w:t xml:space="preserve">Formes et Dosages : Collyre en solution 1 mg/3,5 mg/mL (FL/5 mL)</w:t>
      </w:r>
    </w:p>
    <w:p>
      <w:pPr>
        <w:pStyle w:val="Compact"/>
        <w:numPr>
          <w:ilvl w:val="1"/>
          <w:numId w:val="1348"/>
        </w:numPr>
      </w:pPr>
      <w:r>
        <w:t xml:space="preserve">Statut : Actif</w:t>
      </w:r>
    </w:p>
    <w:p>
      <w:pPr>
        <w:pStyle w:val="Compact"/>
        <w:numPr>
          <w:ilvl w:val="0"/>
          <w:numId w:val="1343"/>
        </w:numPr>
      </w:pPr>
      <w:r>
        <w:rPr>
          <w:b/>
          <w:bCs/>
        </w:rPr>
        <w:t xml:space="preserve">DEXAGRANE</w:t>
      </w:r>
      <w:r>
        <w:t xml:space="preserve"> </w:t>
      </w:r>
      <w:r>
        <w:t xml:space="preserve">(LEURQUIN MEDIOLANUM)</w:t>
      </w:r>
    </w:p>
    <w:p>
      <w:pPr>
        <w:pStyle w:val="Compact"/>
        <w:numPr>
          <w:ilvl w:val="1"/>
          <w:numId w:val="1349"/>
        </w:numPr>
      </w:pPr>
      <w:r>
        <w:t xml:space="preserve">Formes et Dosages : Collyre 100 mg/340 000 UI/100 mL (FL/5 mL)</w:t>
      </w:r>
    </w:p>
    <w:p>
      <w:pPr>
        <w:pStyle w:val="Compact"/>
        <w:numPr>
          <w:ilvl w:val="1"/>
          <w:numId w:val="1349"/>
        </w:numPr>
      </w:pPr>
      <w:r>
        <w:t xml:space="preserve">Statut : Retiré (R)</w:t>
      </w:r>
    </w:p>
    <w:p>
      <w:pPr>
        <w:pStyle w:val="FirstParagraph"/>
      </w:pPr>
      <w:r>
        <w:rPr>
          <w:b/>
          <w:bCs/>
        </w:rPr>
        <w:t xml:space="preserve">C. Association ophtalmologique (Dexaméthasone + Oxytétracycline)</w:t>
      </w:r>
      <w:r>
        <w:t xml:space="preserve"> </w:t>
      </w:r>
      <w:r>
        <w:t xml:space="preserve">— pommade ophtalmique en récipients unidoses :</w:t>
      </w:r>
    </w:p>
    <w:p>
      <w:pPr>
        <w:pStyle w:val="Compact"/>
        <w:numPr>
          <w:ilvl w:val="0"/>
          <w:numId w:val="1350"/>
        </w:numPr>
      </w:pPr>
      <w:r>
        <w:rPr>
          <w:b/>
          <w:bCs/>
        </w:rPr>
        <w:t xml:space="preserve">STERDEX</w:t>
      </w:r>
      <w:r>
        <w:t xml:space="preserve"> </w:t>
      </w:r>
      <w:r>
        <w:t xml:space="preserve">(THEA)</w:t>
      </w:r>
    </w:p>
    <w:p>
      <w:pPr>
        <w:pStyle w:val="Compact"/>
        <w:numPr>
          <w:ilvl w:val="1"/>
          <w:numId w:val="1351"/>
        </w:numPr>
      </w:pPr>
      <w:r>
        <w:t xml:space="preserve">Formes et Dosages : Pommade ophtalmique en récipient unidose 0,267 mg/1,335 mg par récipient unidose (B/12 capsules)</w:t>
      </w:r>
    </w:p>
    <w:p>
      <w:pPr>
        <w:pStyle w:val="Compact"/>
        <w:numPr>
          <w:ilvl w:val="1"/>
          <w:numId w:val="1351"/>
        </w:numPr>
      </w:pPr>
      <w:r>
        <w:t xml:space="preserve">Statut : Actif</w:t>
      </w:r>
    </w:p>
    <w:p>
      <w:pPr>
        <w:pStyle w:val="FirstParagraph"/>
      </w:pPr>
      <w:r>
        <w:rPr>
          <w:b/>
          <w:bCs/>
        </w:rPr>
        <w:t xml:space="preserve">D. Association ophtalmologique/ORL/dermologique (Bétaméthasone + Néomycine)</w:t>
      </w:r>
      <w:r>
        <w:t xml:space="preserve"> </w:t>
      </w:r>
      <w:r>
        <w:t xml:space="preserve">— collyre + solution auriculaire + solution nasale (polyvalence) :</w:t>
      </w:r>
    </w:p>
    <w:p>
      <w:pPr>
        <w:pStyle w:val="Compact"/>
        <w:numPr>
          <w:ilvl w:val="0"/>
          <w:numId w:val="1352"/>
        </w:numPr>
      </w:pPr>
      <w:r>
        <w:rPr>
          <w:b/>
          <w:bCs/>
        </w:rPr>
        <w:t xml:space="preserve">OPHTAMESONE N</w:t>
      </w:r>
      <w:r>
        <w:t xml:space="preserve"> </w:t>
      </w:r>
      <w:r>
        <w:t xml:space="preserve">(JORAS PHARMACEUTICAL S.P.A.)</w:t>
      </w:r>
    </w:p>
    <w:p>
      <w:pPr>
        <w:pStyle w:val="Compact"/>
        <w:numPr>
          <w:ilvl w:val="1"/>
          <w:numId w:val="1353"/>
        </w:numPr>
      </w:pPr>
      <w:r>
        <w:t xml:space="preserve">Formes et Dosages : Collyre + Solution auriculaire + Solution nasale 1 mg/5 mg/mL (FL/10 mL)</w:t>
      </w:r>
    </w:p>
    <w:p>
      <w:pPr>
        <w:pStyle w:val="Compact"/>
        <w:numPr>
          <w:ilvl w:val="1"/>
          <w:numId w:val="1353"/>
        </w:numPr>
      </w:pPr>
      <w:r>
        <w:t xml:space="preserve">Statut : Actif</w:t>
      </w:r>
    </w:p>
    <w:p>
      <w:pPr>
        <w:pStyle w:val="FirstParagraph"/>
      </w:pPr>
      <w:r>
        <w:rPr>
          <w:b/>
          <w:bCs/>
        </w:rPr>
        <w:t xml:space="preserve">E. Associations ophtalmologiques (Dexaméthasone + Ofloxacine)</w:t>
      </w:r>
      <w:r>
        <w:t xml:space="preserve"> </w:t>
      </w:r>
      <w:r>
        <w:t xml:space="preserve">— collyre indiqué dans les conjonctivites inflammatoires bactériennes à germes sensibles à la fluoroquinolone, post-chirurgie ophtalmique :</w:t>
      </w:r>
    </w:p>
    <w:p>
      <w:pPr>
        <w:pStyle w:val="Compact"/>
        <w:numPr>
          <w:ilvl w:val="0"/>
          <w:numId w:val="1354"/>
        </w:numPr>
      </w:pPr>
      <w:r>
        <w:rPr>
          <w:b/>
          <w:bCs/>
        </w:rPr>
        <w:t xml:space="preserve">DEXAFLOX</w:t>
      </w:r>
      <w:r>
        <w:t xml:space="preserve"> </w:t>
      </w:r>
      <w:r>
        <w:t xml:space="preserve">(JAMJOOM PHARMACEUTICAL INDUSTRY)</w:t>
      </w:r>
    </w:p>
    <w:p>
      <w:pPr>
        <w:pStyle w:val="Compact"/>
        <w:numPr>
          <w:ilvl w:val="1"/>
          <w:numId w:val="1355"/>
        </w:numPr>
      </w:pPr>
      <w:r>
        <w:t xml:space="preserve">Formes et Dosages : Collyre en suspension 1 mg/3 mg/mL (FL/5 mL)</w:t>
      </w:r>
    </w:p>
    <w:p>
      <w:pPr>
        <w:pStyle w:val="Compact"/>
        <w:numPr>
          <w:ilvl w:val="1"/>
          <w:numId w:val="1355"/>
        </w:numPr>
      </w:pPr>
      <w:r>
        <w:t xml:space="preserve">Statut : Actif</w:t>
      </w:r>
    </w:p>
    <w:p>
      <w:pPr>
        <w:pStyle w:val="Compact"/>
        <w:numPr>
          <w:ilvl w:val="0"/>
          <w:numId w:val="1354"/>
        </w:numPr>
      </w:pPr>
      <w:r>
        <w:rPr>
          <w:b/>
          <w:bCs/>
        </w:rPr>
        <w:t xml:space="preserve">OFLODEXA</w:t>
      </w:r>
      <w:r>
        <w:t xml:space="preserve"> </w:t>
      </w:r>
      <w:r>
        <w:t xml:space="preserve">(BIOTHERA)</w:t>
      </w:r>
    </w:p>
    <w:p>
      <w:pPr>
        <w:pStyle w:val="Compact"/>
        <w:numPr>
          <w:ilvl w:val="1"/>
          <w:numId w:val="1356"/>
        </w:numPr>
      </w:pPr>
      <w:r>
        <w:t xml:space="preserve">Formes et Dosages : Collyre en solution 1 mg/3 mg/mL (FL/5 mL)</w:t>
      </w:r>
    </w:p>
    <w:p>
      <w:pPr>
        <w:pStyle w:val="Compact"/>
        <w:numPr>
          <w:ilvl w:val="1"/>
          <w:numId w:val="1356"/>
        </w:numPr>
      </w:pPr>
      <w:r>
        <w:t xml:space="preserve">Statut : Actif</w:t>
      </w:r>
    </w:p>
    <w:p>
      <w:pPr>
        <w:pStyle w:val="FirstParagraph"/>
      </w:pPr>
      <w:r>
        <w:rPr>
          <w:b/>
          <w:bCs/>
        </w:rPr>
        <w:t xml:space="preserve">F. Association ORL (Tixocortol + Néomycine)</w:t>
      </w:r>
      <w:r>
        <w:t xml:space="preserve"> </w:t>
      </w:r>
      <w:r>
        <w:t xml:space="preserve">— suspensions nasale et endo-sinusienne pour rhinites/sinusites inflammatoires surinfectées :</w:t>
      </w:r>
    </w:p>
    <w:p>
      <w:pPr>
        <w:pStyle w:val="Compact"/>
        <w:numPr>
          <w:ilvl w:val="0"/>
          <w:numId w:val="1357"/>
        </w:numPr>
      </w:pPr>
      <w:r>
        <w:rPr>
          <w:b/>
          <w:bCs/>
        </w:rPr>
        <w:t xml:space="preserve">PIVALONE NEOMYCINE</w:t>
      </w:r>
      <w:r>
        <w:t xml:space="preserve"> </w:t>
      </w:r>
      <w:r>
        <w:t xml:space="preserve">(JOUVEINAL)</w:t>
      </w:r>
    </w:p>
    <w:p>
      <w:pPr>
        <w:pStyle w:val="Compact"/>
        <w:numPr>
          <w:ilvl w:val="1"/>
          <w:numId w:val="1358"/>
        </w:numPr>
      </w:pPr>
      <w:r>
        <w:t xml:space="preserve">Formes et Dosages : Suspension nasale 1 g/340 000 UI/100 mL (FL/10 mL) ; Suspension endo-sinusienne 1 g/340 000 UI/100 mL (B/6 flacons de 5 mL)</w:t>
      </w:r>
    </w:p>
    <w:p>
      <w:pPr>
        <w:pStyle w:val="Compact"/>
        <w:numPr>
          <w:ilvl w:val="1"/>
          <w:numId w:val="1358"/>
        </w:numPr>
      </w:pPr>
      <w:r>
        <w:t xml:space="preserve">Statut : Retiré (R) — les deux formes</w:t>
      </w:r>
    </w:p>
    <w:p>
      <w:pPr>
        <w:pStyle w:val="FirstParagraph"/>
      </w:pPr>
      <w:r>
        <w:rPr>
          <w:b/>
          <w:bCs/>
        </w:rPr>
        <w:t xml:space="preserve">Sous-classe et Mécanisme d’action :</w:t>
      </w:r>
      <w:r>
        <w:t xml:space="preserve"> </w:t>
      </w:r>
      <w:r>
        <w:t xml:space="preserve">- Sous-classe : Topiques antibiotiques + anti-inflammatoires stéroïdiens locaux.</w:t>
      </w:r>
      <w:r>
        <w:t xml:space="preserve"> </w:t>
      </w:r>
      <w:r>
        <w:t xml:space="preserve">- Mécanisme d’action : combinaison des mécanismes individuels :</w:t>
      </w:r>
      <w:r>
        <w:t xml:space="preserve"> </w:t>
      </w:r>
      <w:r>
        <w:t xml:space="preserve">-</w:t>
      </w:r>
      <w:r>
        <w:t xml:space="preserve"> </w:t>
      </w:r>
      <w:r>
        <w:rPr>
          <w:b/>
          <w:bCs/>
        </w:rPr>
        <w:t xml:space="preserve">Corticoïdes</w:t>
      </w:r>
      <w:r>
        <w:t xml:space="preserve"> </w:t>
      </w:r>
      <w:r>
        <w:t xml:space="preserve">(dexaméthasone, bétaméthasone, triamcinolone, tixocortol) : agonistes des récepteurs glucocorticoïdes cytosoliques, translocation nucléaire, modulation transcriptionnelle → inhibition de la phospholipase A2 (via lipocortine-1) → baisse des prostaglandines et leucotriènes → effet anti-inflammatoire puissant (vasoconstriction, baisse de l’œdème, baisse de l’infiltrat cellulaire) ; effet immunosuppresseur local ;</w:t>
      </w:r>
      <w:r>
        <w:t xml:space="preserve"> </w:t>
      </w:r>
      <w:r>
        <w:t xml:space="preserve">-</w:t>
      </w:r>
      <w:r>
        <w:t xml:space="preserve"> </w:t>
      </w:r>
      <w:r>
        <w:rPr>
          <w:b/>
          <w:bCs/>
        </w:rPr>
        <w:t xml:space="preserve">Néomycine</w:t>
      </w:r>
      <w:r>
        <w:t xml:space="preserve"> </w:t>
      </w:r>
      <w:r>
        <w:t xml:space="preserve">(aminoside) : inhibition de la sous-unité 30S du ribosome bactérien → bactéricide concentration-dépendant ; spectre : Gram + (staphylocoque, streptocoque), Gram − (sauf Pseudomonas), mycobactéries ; pas d’effet sur les anaérobies ;</w:t>
      </w:r>
      <w:r>
        <w:t xml:space="preserve"> </w:t>
      </w:r>
      <w:r>
        <w:t xml:space="preserve">-</w:t>
      </w:r>
      <w:r>
        <w:t xml:space="preserve"> </w:t>
      </w:r>
      <w:r>
        <w:rPr>
          <w:b/>
          <w:bCs/>
        </w:rPr>
        <w:t xml:space="preserve">Oxytétracycline</w:t>
      </w:r>
      <w:r>
        <w:t xml:space="preserve"> </w:t>
      </w:r>
      <w:r>
        <w:t xml:space="preserve">(cycline) : inhibition 30S (bactériostatique large spectre) ;</w:t>
      </w:r>
      <w:r>
        <w:t xml:space="preserve"> </w:t>
      </w:r>
      <w:r>
        <w:t xml:space="preserve">-</w:t>
      </w:r>
      <w:r>
        <w:t xml:space="preserve"> </w:t>
      </w:r>
      <w:r>
        <w:rPr>
          <w:b/>
          <w:bCs/>
        </w:rPr>
        <w:t xml:space="preserve">Ofloxacine</w:t>
      </w:r>
      <w:r>
        <w:t xml:space="preserve"> </w:t>
      </w:r>
      <w:r>
        <w:t xml:space="preserve">(fluoroquinolone) : inhibition ADN gyrase (GyrA) et topoisomérase IV (ParC) → bactéricide concentration-dépendant ; spectre élargi incluant Pseudomonas ;</w:t>
      </w:r>
      <w:r>
        <w:t xml:space="preserve"> </w:t>
      </w:r>
      <w:r>
        <w:t xml:space="preserve">-</w:t>
      </w:r>
      <w:r>
        <w:t xml:space="preserve"> </w:t>
      </w:r>
      <w:r>
        <w:rPr>
          <w:b/>
          <w:bCs/>
        </w:rPr>
        <w:t xml:space="preserve">Nystatine</w:t>
      </w:r>
      <w:r>
        <w:t xml:space="preserve"> </w:t>
      </w:r>
      <w:r>
        <w:t xml:space="preserve">(antifongique polyène) : liaison à l’ergostérol membranaire fongique → perturbation perméabilité → fongistatique/fongicide ; actif sur Candida.</w:t>
      </w:r>
      <w:r>
        <w:t xml:space="preserve"> </w:t>
      </w:r>
      <w:r>
        <w:t xml:space="preserve">- Synergie : le corticoïde améliore la pénétration de l’antibiotique dans les tissus en réduisant l’œdème et l’inflammation locale ; l’antibiotique couvre la surinfection bactérienne favorisée par l’immunosuppression cortico-induite.</w:t>
      </w:r>
      <w:r>
        <w:t xml:space="preserve"> </w:t>
      </w:r>
      <w:r>
        <w:t xml:space="preserve">- Résistance : néomycine (phosphotransférases, acétyltransférases, nucléotidyltransférases) ; ofloxacine (mutations gyrA, parC, efflux) ; oxytétracycline (efflux TetA, protection ribosomale TetM) ; nystatine (résistance rare, modification de l’ergostérol).</w:t>
      </w:r>
    </w:p>
    <w:p>
      <w:pPr>
        <w:pStyle w:val="BodyText"/>
      </w:pPr>
      <w:r>
        <w:rPr>
          <w:b/>
          <w:bCs/>
        </w:rPr>
        <w:t xml:space="preserve">Profil Pharmacologique :</w:t>
      </w:r>
      <w:r>
        <w:t xml:space="preserve"> </w:t>
      </w:r>
      <w:r>
        <w:t xml:space="preserve">- Indications :</w:t>
      </w:r>
      <w:r>
        <w:t xml:space="preserve"> </w:t>
      </w:r>
      <w:r>
        <w:t xml:space="preserve">-</w:t>
      </w:r>
      <w:r>
        <w:t xml:space="preserve"> </w:t>
      </w:r>
      <w:r>
        <w:rPr>
          <w:b/>
          <w:bCs/>
        </w:rPr>
        <w:t xml:space="preserve">Ophtalmologie</w:t>
      </w:r>
      <w:r>
        <w:t xml:space="preserve"> </w:t>
      </w:r>
      <w:r>
        <w:t xml:space="preserve">: conjonctivites bactériennes inflammatoires sévères, blépharites, kératites superficielles (sans ulcère), post-chirurgie ophtalmique (prévention de l’inflammation et de l’infection), uvéites antérieures (en association) ;</w:t>
      </w:r>
      <w:r>
        <w:t xml:space="preserve"> </w:t>
      </w:r>
      <w:r>
        <w:t xml:space="preserve">-</w:t>
      </w:r>
      <w:r>
        <w:t xml:space="preserve"> </w:t>
      </w:r>
      <w:r>
        <w:rPr>
          <w:b/>
          <w:bCs/>
        </w:rPr>
        <w:t xml:space="preserve">ORL</w:t>
      </w:r>
      <w:r>
        <w:t xml:space="preserve"> </w:t>
      </w:r>
      <w:r>
        <w:t xml:space="preserve">: otites externes (OAE) bactériennes inflammatoires (avec tympan intact), otites moyennes purulentes avec otorrhée (avec tympan perméable), rhinites/sinusites inflammatoires surinfectées ;</w:t>
      </w:r>
      <w:r>
        <w:t xml:space="preserve"> </w:t>
      </w:r>
      <w:r>
        <w:t xml:space="preserve">-</w:t>
      </w:r>
      <w:r>
        <w:t xml:space="preserve"> </w:t>
      </w:r>
      <w:r>
        <w:rPr>
          <w:b/>
          <w:bCs/>
        </w:rPr>
        <w:t xml:space="preserve">Dermologie</w:t>
      </w:r>
      <w:r>
        <w:t xml:space="preserve"> </w:t>
      </w:r>
      <w:r>
        <w:t xml:space="preserve">: dermatoses surinfectées (eczéma surinfecté, intertrigo, dermite d’oreille, dermite périanale, impétiginisation) à composante bactérienne et/ou fongique (Candida) ;</w:t>
      </w:r>
      <w:r>
        <w:t xml:space="preserve"> </w:t>
      </w:r>
      <w:r>
        <w:t xml:space="preserve">- Contre-indications :</w:t>
      </w:r>
      <w:r>
        <w:t xml:space="preserve"> </w:t>
      </w:r>
      <w:r>
        <w:t xml:space="preserve">-</w:t>
      </w:r>
      <w:r>
        <w:t xml:space="preserve"> </w:t>
      </w:r>
      <w:r>
        <w:rPr>
          <w:b/>
          <w:bCs/>
        </w:rPr>
        <w:t xml:space="preserve">Infection virale de l’œil</w:t>
      </w:r>
      <w:r>
        <w:t xml:space="preserve"> </w:t>
      </w:r>
      <w:r>
        <w:t xml:space="preserve">(herpès, varicelle, zona) : risque d’aggravation majeure (kératite herpétique, nécrose rétinienne) ;</w:t>
      </w:r>
      <w:r>
        <w:t xml:space="preserve"> </w:t>
      </w:r>
      <w:r>
        <w:t xml:space="preserve">-</w:t>
      </w:r>
      <w:r>
        <w:t xml:space="preserve"> </w:t>
      </w:r>
      <w:r>
        <w:rPr>
          <w:b/>
          <w:bCs/>
        </w:rPr>
        <w:t xml:space="preserve">Infection fongique de l’œil</w:t>
      </w:r>
      <w:r>
        <w:t xml:space="preserve"> </w:t>
      </w:r>
      <w:r>
        <w:t xml:space="preserve">non couverte par l’antibiotique associé ;</w:t>
      </w:r>
      <w:r>
        <w:t xml:space="preserve"> </w:t>
      </w:r>
      <w:r>
        <w:t xml:space="preserve">-</w:t>
      </w:r>
      <w:r>
        <w:t xml:space="preserve"> </w:t>
      </w:r>
      <w:r>
        <w:rPr>
          <w:b/>
          <w:bCs/>
        </w:rPr>
        <w:t xml:space="preserve">Tuberculose oculaire</w:t>
      </w:r>
      <w:r>
        <w:t xml:space="preserve"> </w:t>
      </w:r>
      <w:r>
        <w:t xml:space="preserve">ou</w:t>
      </w:r>
      <w:r>
        <w:t xml:space="preserve"> </w:t>
      </w:r>
      <w:r>
        <w:rPr>
          <w:b/>
          <w:bCs/>
        </w:rPr>
        <w:t xml:space="preserve">mycobactériose</w:t>
      </w:r>
      <w:r>
        <w:t xml:space="preserve"> </w:t>
      </w:r>
      <w:r>
        <w:t xml:space="preserve">;</w:t>
      </w:r>
      <w:r>
        <w:t xml:space="preserve"> </w:t>
      </w:r>
      <w:r>
        <w:t xml:space="preserve">-</w:t>
      </w:r>
      <w:r>
        <w:t xml:space="preserve"> </w:t>
      </w:r>
      <w:r>
        <w:rPr>
          <w:b/>
          <w:bCs/>
        </w:rPr>
        <w:t xml:space="preserve">Perforation tympanique</w:t>
      </w:r>
      <w:r>
        <w:t xml:space="preserve"> </w:t>
      </w:r>
      <w:r>
        <w:t xml:space="preserve">: pour les formes auriculaires contenant un aminoside (néomycine) → ototoxicité ;</w:t>
      </w:r>
      <w:r>
        <w:t xml:space="preserve"> </w:t>
      </w:r>
      <w:r>
        <w:t xml:space="preserve">-</w:t>
      </w:r>
      <w:r>
        <w:t xml:space="preserve"> </w:t>
      </w:r>
      <w:r>
        <w:rPr>
          <w:b/>
          <w:bCs/>
        </w:rPr>
        <w:t xml:space="preserve">Glaucome</w:t>
      </w:r>
      <w:r>
        <w:t xml:space="preserve"> </w:t>
      </w:r>
      <w:r>
        <w:t xml:space="preserve">connu : pour les formes ophtalmiques (corticoïde augmente la PIO) ;</w:t>
      </w:r>
      <w:r>
        <w:t xml:space="preserve"> </w:t>
      </w:r>
      <w:r>
        <w:t xml:space="preserve">- Hypersensibilité à l’un des composants (notamment néomycine, fréquemment sensibilisante) ;</w:t>
      </w:r>
      <w:r>
        <w:t xml:space="preserve"> </w:t>
      </w:r>
      <w:r>
        <w:t xml:space="preserve">- Pour les formes dermologiques : rosacée, acné vulgaris, dermite péri-orale, dermatoses ulcérées, lésions étendues (atrophie cutanée cortico-induite) ;</w:t>
      </w:r>
      <w:r>
        <w:t xml:space="preserve"> </w:t>
      </w:r>
      <w:r>
        <w:t xml:space="preserve">- Enfant &lt; 2 ans pour certaines formes dermologiques (forte absorption percutanée) ;</w:t>
      </w:r>
      <w:r>
        <w:t xml:space="preserve"> </w:t>
      </w:r>
      <w:r>
        <w:t xml:space="preserve">- Vaccination récente par vaccin vivant (BCG, fièvre jaune) ;</w:t>
      </w:r>
      <w:r>
        <w:t xml:space="preserve"> </w:t>
      </w:r>
      <w:r>
        <w:t xml:space="preserve">- Prudence : grossesse (surtout 1er trimestre, voir ci-dessous).</w:t>
      </w:r>
      <w:r>
        <w:t xml:space="preserve"> </w:t>
      </w:r>
      <w:r>
        <w:t xml:space="preserve">- Effets Indésirables :</w:t>
      </w:r>
      <w:r>
        <w:t xml:space="preserve"> </w:t>
      </w:r>
      <w:r>
        <w:t xml:space="preserve">-</w:t>
      </w:r>
      <w:r>
        <w:t xml:space="preserve"> </w:t>
      </w:r>
      <w:r>
        <w:rPr>
          <w:b/>
          <w:bCs/>
        </w:rPr>
        <w:t xml:space="preserve">Ophtalmiques</w:t>
      </w:r>
      <w:r>
        <w:t xml:space="preserve"> </w:t>
      </w:r>
      <w:r>
        <w:t xml:space="preserve">(corticoïdes locaux) :</w:t>
      </w:r>
      <w:r>
        <w:t xml:space="preserve"> </w:t>
      </w:r>
      <w:r>
        <w:t xml:space="preserve">-</w:t>
      </w:r>
      <w:r>
        <w:t xml:space="preserve"> </w:t>
      </w:r>
      <w:r>
        <w:rPr>
          <w:b/>
          <w:bCs/>
        </w:rPr>
        <w:t xml:space="preserve">Hypertension intra-oculaire (HIO)</w:t>
      </w:r>
      <w:r>
        <w:t xml:space="preserve"> </w:t>
      </w:r>
      <w:r>
        <w:t xml:space="preserve">et glaucome cortico-induit (risque majeur &gt; 2 semaines, familial, myope, âgé) ;</w:t>
      </w:r>
      <w:r>
        <w:t xml:space="preserve"> </w:t>
      </w:r>
      <w:r>
        <w:t xml:space="preserve">-</w:t>
      </w:r>
      <w:r>
        <w:t xml:space="preserve"> </w:t>
      </w:r>
      <w:r>
        <w:rPr>
          <w:b/>
          <w:bCs/>
        </w:rPr>
        <w:t xml:space="preserve">Cataracte sous-capsulaire postérieure</w:t>
      </w:r>
      <w:r>
        <w:t xml:space="preserve"> </w:t>
      </w:r>
      <w:r>
        <w:t xml:space="preserve">(usage prolongé) ;</w:t>
      </w:r>
      <w:r>
        <w:t xml:space="preserve"> </w:t>
      </w:r>
      <w:r>
        <w:t xml:space="preserve">- Retard de cicatrisation cornéenne, ulcère cornéen ;</w:t>
      </w:r>
      <w:r>
        <w:t xml:space="preserve"> </w:t>
      </w:r>
      <w:r>
        <w:t xml:space="preserve">- Mydriase, ptosis, allergie ;</w:t>
      </w:r>
      <w:r>
        <w:t xml:space="preserve"> </w:t>
      </w:r>
      <w:r>
        <w:t xml:space="preserve">- Pour les formes avec néomycine : sensibilisation, dermite de contact palpébrale ;</w:t>
      </w:r>
      <w:r>
        <w:t xml:space="preserve"> </w:t>
      </w:r>
      <w:r>
        <w:t xml:space="preserve">-</w:t>
      </w:r>
      <w:r>
        <w:t xml:space="preserve"> </w:t>
      </w:r>
      <w:r>
        <w:rPr>
          <w:b/>
          <w:bCs/>
        </w:rPr>
        <w:t xml:space="preserve">ORL auriculaire</w:t>
      </w:r>
      <w:r>
        <w:t xml:space="preserve"> </w:t>
      </w:r>
      <w:r>
        <w:t xml:space="preserve">(néomycine) : ototoxicité si tympan perforé (atteinte cochléaire définitive), sensibilisation locale ;</w:t>
      </w:r>
      <w:r>
        <w:t xml:space="preserve"> </w:t>
      </w:r>
      <w:r>
        <w:t xml:space="preserve">-</w:t>
      </w:r>
      <w:r>
        <w:t xml:space="preserve"> </w:t>
      </w:r>
      <w:r>
        <w:rPr>
          <w:b/>
          <w:bCs/>
        </w:rPr>
        <w:t xml:space="preserve">Dermologiques</w:t>
      </w:r>
      <w:r>
        <w:t xml:space="preserve"> </w:t>
      </w:r>
      <w:r>
        <w:t xml:space="preserve">(triamcinolone, néomycine) :</w:t>
      </w:r>
      <w:r>
        <w:t xml:space="preserve"> </w:t>
      </w:r>
      <w:r>
        <w:t xml:space="preserve">- Atrophie cutanée, télangiectasies, vergetures (usage prolongé, plis) ;</w:t>
      </w:r>
      <w:r>
        <w:t xml:space="preserve"> </w:t>
      </w:r>
      <w:r>
        <w:t xml:space="preserve">- Dermite de contact allergique (néomycine) ;</w:t>
      </w:r>
      <w:r>
        <w:t xml:space="preserve"> </w:t>
      </w:r>
      <w:r>
        <w:t xml:space="preserve">- Acné cortico-induite, rosacée, dermite péri-orale ;</w:t>
      </w:r>
      <w:r>
        <w:t xml:space="preserve"> </w:t>
      </w:r>
      <w:r>
        <w:t xml:space="preserve">- Hyperpigmentation, hypopigmentation ;</w:t>
      </w:r>
      <w:r>
        <w:t xml:space="preserve"> </w:t>
      </w:r>
      <w:r>
        <w:t xml:space="preserve">- Effets systémiques si application étendue, occlusion, enfant, longue durée (syndrome cushingoïde, insuffisance surrénale) ;</w:t>
      </w:r>
      <w:r>
        <w:t xml:space="preserve"> </w:t>
      </w:r>
      <w:r>
        <w:t xml:space="preserve">-</w:t>
      </w:r>
      <w:r>
        <w:t xml:space="preserve"> </w:t>
      </w:r>
      <w:r>
        <w:rPr>
          <w:b/>
          <w:bCs/>
        </w:rPr>
        <w:t xml:space="preserve">Nasaux/sinusiens</w:t>
      </w:r>
      <w:r>
        <w:t xml:space="preserve"> </w:t>
      </w:r>
      <w:r>
        <w:t xml:space="preserve">(tixocortol) : irritation locale, épistaxis, perforation de la cloison nasale (rare, usage prolongé) ;</w:t>
      </w:r>
      <w:r>
        <w:t xml:space="preserve"> </w:t>
      </w:r>
      <w:r>
        <w:t xml:space="preserve">- Effets généraux (en cas d’absorption étendue dermique) : syndrome cushingoïde, insuffisance surrénalienne freinatrice.</w:t>
      </w:r>
    </w:p>
    <w:p>
      <w:pPr>
        <w:pStyle w:val="BodyText"/>
      </w:pPr>
      <w:r>
        <w:rPr>
          <w:b/>
          <w:bCs/>
        </w:rPr>
        <w:t xml:space="preserve">Prévention et Gestion des Effets Indésirables :</w:t>
      </w:r>
      <w:r>
        <w:t xml:space="preserve"> </w:t>
      </w:r>
      <w:r>
        <w:t xml:space="preserve">- Mesures Préventives :</w:t>
      </w:r>
      <w:r>
        <w:t xml:space="preserve"> </w:t>
      </w:r>
      <w:r>
        <w:t xml:space="preserve">-</w:t>
      </w:r>
      <w:r>
        <w:t xml:space="preserve"> </w:t>
      </w:r>
      <w:r>
        <w:rPr>
          <w:b/>
          <w:bCs/>
        </w:rPr>
        <w:t xml:space="preserve">Vérification de l’absence d’infection virale (herpès)</w:t>
      </w:r>
      <w:r>
        <w:t xml:space="preserve"> </w:t>
      </w:r>
      <w:r>
        <w:t xml:space="preserve">avant tout collyre corticoïde : demande au patient de contexte (bouton de fièvre, douleur unilatérale, photophobie), examen médical ;</w:t>
      </w:r>
      <w:r>
        <w:t xml:space="preserve"> </w:t>
      </w:r>
      <w:r>
        <w:t xml:space="preserve">-</w:t>
      </w:r>
      <w:r>
        <w:t xml:space="preserve"> </w:t>
      </w:r>
      <w:r>
        <w:rPr>
          <w:b/>
          <w:bCs/>
        </w:rPr>
        <w:t xml:space="preserve">Mesure de la PIO</w:t>
      </w:r>
      <w:r>
        <w:t xml:space="preserve"> </w:t>
      </w:r>
      <w:r>
        <w:t xml:space="preserve">en cas de traitement &gt; 2 semaines ;</w:t>
      </w:r>
      <w:r>
        <w:t xml:space="preserve"> </w:t>
      </w:r>
      <w:r>
        <w:t xml:space="preserve">-</w:t>
      </w:r>
      <w:r>
        <w:t xml:space="preserve"> </w:t>
      </w:r>
      <w:r>
        <w:rPr>
          <w:b/>
          <w:bCs/>
        </w:rPr>
        <w:t xml:space="preserve">Vérification de l’absence de perforation tympanique</w:t>
      </w:r>
      <w:r>
        <w:t xml:space="preserve"> </w:t>
      </w:r>
      <w:r>
        <w:t xml:space="preserve">avant instillation auriculaire (examen otoscopique médical) ;</w:t>
      </w:r>
      <w:r>
        <w:t xml:space="preserve"> </w:t>
      </w:r>
      <w:r>
        <w:t xml:space="preserve">-</w:t>
      </w:r>
      <w:r>
        <w:t xml:space="preserve"> </w:t>
      </w:r>
      <w:r>
        <w:rPr>
          <w:b/>
          <w:bCs/>
        </w:rPr>
        <w:t xml:space="preserve">Limite de durée</w:t>
      </w:r>
      <w:r>
        <w:t xml:space="preserve"> </w:t>
      </w:r>
      <w:r>
        <w:t xml:space="preserve">: 7–10 jours en ophtalmologie/ORL, 7–14 jours en dermologie ; pas d’utilisation prolongée sans avis médical ;</w:t>
      </w:r>
      <w:r>
        <w:t xml:space="preserve"> </w:t>
      </w:r>
      <w:r>
        <w:t xml:space="preserve">-</w:t>
      </w:r>
      <w:r>
        <w:t xml:space="preserve"> </w:t>
      </w:r>
      <w:r>
        <w:rPr>
          <w:b/>
          <w:bCs/>
        </w:rPr>
        <w:t xml:space="preserve">Éviter l’occlusion</w:t>
      </w:r>
      <w:r>
        <w:t xml:space="preserve"> </w:t>
      </w:r>
      <w:r>
        <w:t xml:space="preserve">en dermologie (sauf prescription), éviter les plis (sauf indication), éviter le visage (atrophie) ;</w:t>
      </w:r>
      <w:r>
        <w:t xml:space="preserve"> </w:t>
      </w:r>
      <w:r>
        <w:t xml:space="preserve">-</w:t>
      </w:r>
      <w:r>
        <w:t xml:space="preserve"> </w:t>
      </w:r>
      <w:r>
        <w:rPr>
          <w:b/>
          <w:bCs/>
        </w:rPr>
        <w:t xml:space="preserve">Hygiène</w:t>
      </w:r>
      <w:r>
        <w:t xml:space="preserve"> </w:t>
      </w:r>
      <w:r>
        <w:t xml:space="preserve">des mains et de l’embout avant instillation/application ;</w:t>
      </w:r>
      <w:r>
        <w:t xml:space="preserve"> </w:t>
      </w:r>
      <w:r>
        <w:t xml:space="preserve">-</w:t>
      </w:r>
      <w:r>
        <w:t xml:space="preserve"> </w:t>
      </w:r>
      <w:r>
        <w:rPr>
          <w:b/>
          <w:bCs/>
        </w:rPr>
        <w:t xml:space="preserve">Pas de lentilles de contact</w:t>
      </w:r>
      <w:r>
        <w:t xml:space="preserve"> </w:t>
      </w:r>
      <w:r>
        <w:t xml:space="preserve">pendant le traitement ophtalmique ;</w:t>
      </w:r>
      <w:r>
        <w:t xml:space="preserve"> </w:t>
      </w:r>
      <w:r>
        <w:t xml:space="preserve">-</w:t>
      </w:r>
      <w:r>
        <w:t xml:space="preserve"> </w:t>
      </w:r>
      <w:r>
        <w:rPr>
          <w:b/>
          <w:bCs/>
        </w:rPr>
        <w:t xml:space="preserve">Information patient</w:t>
      </w:r>
      <w:r>
        <w:t xml:space="preserve"> </w:t>
      </w:r>
      <w:r>
        <w:t xml:space="preserve">: surveillance des signes d’aggravation (douleur, baisse de vision, fièvre) → arrêt et consultation.</w:t>
      </w:r>
      <w:r>
        <w:t xml:space="preserve"> </w:t>
      </w:r>
      <w:r>
        <w:t xml:space="preserve">- Conduite à Tenir :</w:t>
      </w:r>
      <w:r>
        <w:t xml:space="preserve"> </w:t>
      </w:r>
      <w:r>
        <w:t xml:space="preserve">-</w:t>
      </w:r>
      <w:r>
        <w:t xml:space="preserve"> </w:t>
      </w:r>
      <w:r>
        <w:rPr>
          <w:b/>
          <w:bCs/>
        </w:rPr>
        <w:t xml:space="preserve">Baisse de vision ou douleur oculaire</w:t>
      </w:r>
      <w:r>
        <w:t xml:space="preserve"> </w:t>
      </w:r>
      <w:r>
        <w:t xml:space="preserve">: arrêt immédiat, consultation ophtalmologique urgente ;</w:t>
      </w:r>
      <w:r>
        <w:t xml:space="preserve"> </w:t>
      </w:r>
      <w:r>
        <w:t xml:space="preserve">-</w:t>
      </w:r>
      <w:r>
        <w:t xml:space="preserve"> </w:t>
      </w:r>
      <w:r>
        <w:rPr>
          <w:b/>
          <w:bCs/>
        </w:rPr>
        <w:t xml:space="preserve">Aggravation des lésions dermologiques</w:t>
      </w:r>
      <w:r>
        <w:t xml:space="preserve"> </w:t>
      </w:r>
      <w:r>
        <w:t xml:space="preserve">: arrêt, consultation dermatologique (suspicion d’infection non couverte ou d’allergie) ;</w:t>
      </w:r>
      <w:r>
        <w:t xml:space="preserve"> </w:t>
      </w:r>
      <w:r>
        <w:t xml:space="preserve">-</w:t>
      </w:r>
      <w:r>
        <w:t xml:space="preserve"> </w:t>
      </w:r>
      <w:r>
        <w:rPr>
          <w:b/>
          <w:bCs/>
        </w:rPr>
        <w:t xml:space="preserve">Dermite de contact</w:t>
      </w:r>
      <w:r>
        <w:t xml:space="preserve"> </w:t>
      </w:r>
      <w:r>
        <w:t xml:space="preserve">(néomycine) : arrêt définitif, alternative sans néomycine (rifamycine SV, ofloxacine collyre, etc.) ;</w:t>
      </w:r>
      <w:r>
        <w:t xml:space="preserve"> </w:t>
      </w:r>
      <w:r>
        <w:t xml:space="preserve">-</w:t>
      </w:r>
      <w:r>
        <w:t xml:space="preserve"> </w:t>
      </w:r>
      <w:r>
        <w:rPr>
          <w:b/>
          <w:bCs/>
        </w:rPr>
        <w:t xml:space="preserve">Hypertension intra-oculaire</w:t>
      </w:r>
      <w:r>
        <w:t xml:space="preserve"> </w:t>
      </w:r>
      <w:r>
        <w:t xml:space="preserve">: arrêt du corticoïde, alternative (AINS collyre, antiallergique) ; surveillance ophtalmo.</w:t>
      </w:r>
    </w:p>
    <w:p>
      <w:pPr>
        <w:pStyle w:val="BodyText"/>
      </w:pPr>
      <w:r>
        <w:rPr>
          <w:b/>
          <w:bCs/>
        </w:rPr>
        <w:t xml:space="preserve">Interactions Importantes :</w:t>
      </w:r>
      <w:r>
        <w:t xml:space="preserve"> </w:t>
      </w:r>
      <w:r>
        <w:t xml:space="preserve">-</w:t>
      </w:r>
      <w:r>
        <w:t xml:space="preserve"> </w:t>
      </w:r>
      <w:r>
        <w:rPr>
          <w:b/>
          <w:bCs/>
        </w:rPr>
        <w:t xml:space="preserve">Aucune interaction systémique notable</w:t>
      </w:r>
      <w:r>
        <w:t xml:space="preserve"> </w:t>
      </w:r>
      <w:r>
        <w:t xml:space="preserve">(absorption négligeable en usage court et local) ;</w:t>
      </w:r>
      <w:r>
        <w:t xml:space="preserve"> </w:t>
      </w:r>
      <w:r>
        <w:t xml:space="preserve">- Associations locales possibles avec autres collyres (séparation de 10 min) ;</w:t>
      </w:r>
      <w:r>
        <w:t xml:space="preserve"> </w:t>
      </w:r>
      <w:r>
        <w:t xml:space="preserve">- En dermologie, éviter l’occlusion concomitante avec d’autres topiques (augmentation de l’absorption systémique du corticoïde).</w:t>
      </w:r>
    </w:p>
    <w:p>
      <w:pPr>
        <w:pStyle w:val="BodyText"/>
      </w:pPr>
      <w:r>
        <w:rPr>
          <w:b/>
          <w:bCs/>
        </w:rPr>
        <w:t xml:space="preserve">Grossesse et Allaitement :</w:t>
      </w:r>
      <w:r>
        <w:t xml:space="preserve"> </w:t>
      </w:r>
      <w:r>
        <w:t xml:space="preserve">- Grossesse :</w:t>
      </w:r>
      <w:r>
        <w:t xml:space="preserve"> </w:t>
      </w:r>
      <w:r>
        <w:t xml:space="preserve">- Ophtalmique/ORL : Compatible (CRAT) en usage court (&lt; 7–10 jours) ; prudence au 1er trimestre ; pas d’effet tératogène documenté en usage local ;</w:t>
      </w:r>
      <w:r>
        <w:t xml:space="preserve"> </w:t>
      </w:r>
      <w:r>
        <w:t xml:space="preserve">- Dermologique : Compatible en usage court sur surface limitée ; éviter les applications étendues, occlusives, prolongées (surtout 1er trimestre) ;</w:t>
      </w:r>
      <w:r>
        <w:t xml:space="preserve"> </w:t>
      </w:r>
      <w:r>
        <w:t xml:space="preserve">- Préférer les corticoïdes faibles à modérés (hydrocortisone 1 %) en cas d’usage dermologique prolongé pendant la grossesse.</w:t>
      </w:r>
      <w:r>
        <w:t xml:space="preserve"> </w:t>
      </w:r>
      <w:r>
        <w:t xml:space="preserve">- Allaitement :</w:t>
      </w:r>
      <w:r>
        <w:t xml:space="preserve"> </w:t>
      </w:r>
      <w:r>
        <w:t xml:space="preserve">- Ophtalmique/ORL : Compatible ;</w:t>
      </w:r>
      <w:r>
        <w:t xml:space="preserve"> </w:t>
      </w:r>
      <w:r>
        <w:t xml:space="preserve">- Dermologique : Compatible en évitant l’application sur les seins avant la tétée ; surveiller l’enfant en cas d’application étendue (passage systémique).</w:t>
      </w:r>
      <w:r>
        <w:t xml:space="preserve"> </w:t>
      </w:r>
      <w:r>
        <w:t xml:space="preserve">- Précisions : pour la néomycine dermique en allaitement, éviter l’application sur le sein.</w:t>
      </w:r>
    </w:p>
    <w:p>
      <w:pPr>
        <w:pStyle w:val="BodyText"/>
      </w:pPr>
      <w:r>
        <w:rPr>
          <w:b/>
          <w:bCs/>
        </w:rPr>
        <w:t xml:space="preserve">Posologie et Mode d’administration (Standard) :</w:t>
      </w:r>
      <w:r>
        <w:t xml:space="preserve"> </w:t>
      </w:r>
      <w:r>
        <w:t xml:space="preserve">- Adulte :</w:t>
      </w:r>
      <w:r>
        <w:t xml:space="preserve"> </w:t>
      </w:r>
      <w:r>
        <w:t xml:space="preserve">-</w:t>
      </w:r>
      <w:r>
        <w:t xml:space="preserve"> </w:t>
      </w:r>
      <w:r>
        <w:rPr>
          <w:b/>
          <w:bCs/>
        </w:rPr>
        <w:t xml:space="preserve">Ophtalmologie (collyre)</w:t>
      </w:r>
      <w:r>
        <w:t xml:space="preserve"> </w:t>
      </w:r>
      <w:r>
        <w:t xml:space="preserve">: 1 goutte × 4 à 6 fois/jour dans l’œil atteint pendant 5–10 jours ; dégressive selon évolution ;</w:t>
      </w:r>
      <w:r>
        <w:t xml:space="preserve"> </w:t>
      </w:r>
      <w:r>
        <w:rPr>
          <w:b/>
          <w:bCs/>
        </w:rPr>
        <w:t xml:space="preserve">pommade ophtalmique (Sterdex)</w:t>
      </w:r>
      <w:r>
        <w:t xml:space="preserve"> </w:t>
      </w:r>
      <w:r>
        <w:t xml:space="preserve">: application dans le cul-de-sac conjonctival inférieur × 2 à 3 fois/jour (et au coucher) ;</w:t>
      </w:r>
      <w:r>
        <w:t xml:space="preserve"> </w:t>
      </w:r>
      <w:r>
        <w:t xml:space="preserve">-</w:t>
      </w:r>
      <w:r>
        <w:t xml:space="preserve"> </w:t>
      </w:r>
      <w:r>
        <w:rPr>
          <w:b/>
          <w:bCs/>
        </w:rPr>
        <w:t xml:space="preserve">ORL auriculaire (Ophtamesone N)</w:t>
      </w:r>
      <w:r>
        <w:t xml:space="preserve"> </w:t>
      </w:r>
      <w:r>
        <w:t xml:space="preserve">: 2 à 3 gouttes × 2 à 3 fois/jour dans l’oreille atteinte pendant 7 jours maximum ;</w:t>
      </w:r>
      <w:r>
        <w:t xml:space="preserve"> </w:t>
      </w:r>
      <w:r>
        <w:t xml:space="preserve">-</w:t>
      </w:r>
      <w:r>
        <w:t xml:space="preserve"> </w:t>
      </w:r>
      <w:r>
        <w:rPr>
          <w:b/>
          <w:bCs/>
        </w:rPr>
        <w:t xml:space="preserve">ORL nasale (Ophtamesone N)</w:t>
      </w:r>
      <w:r>
        <w:t xml:space="preserve"> </w:t>
      </w:r>
      <w:r>
        <w:t xml:space="preserve">: 1 à 2 pulvérisations × 2 à 3 fois/jour dans chaque narine pendant 7–10 jours ;</w:t>
      </w:r>
      <w:r>
        <w:t xml:space="preserve"> </w:t>
      </w:r>
      <w:r>
        <w:t xml:space="preserve">-</w:t>
      </w:r>
      <w:r>
        <w:t xml:space="preserve"> </w:t>
      </w:r>
      <w:r>
        <w:rPr>
          <w:b/>
          <w:bCs/>
        </w:rPr>
        <w:t xml:space="preserve">Dermologie (pommade)</w:t>
      </w:r>
      <w:r>
        <w:t xml:space="preserve"> </w:t>
      </w:r>
      <w:r>
        <w:t xml:space="preserve">: application en couche mince × 1 à 3 fois/jour sur la lésion pendant 7–14 jours maximum.</w:t>
      </w:r>
      <w:r>
        <w:t xml:space="preserve"> </w:t>
      </w:r>
      <w:r>
        <w:t xml:space="preserve">- Enfant :</w:t>
      </w:r>
      <w:r>
        <w:t xml:space="preserve"> </w:t>
      </w:r>
      <w:r>
        <w:t xml:space="preserve">- Ophtalmologie/ORL : idem adulte, en adaptant le nombre d’instillations (2 à 4 fois/jour) ;</w:t>
      </w:r>
      <w:r>
        <w:t xml:space="preserve"> </w:t>
      </w:r>
      <w:r>
        <w:t xml:space="preserve">- Dermologie : préférer corticoïde faible (hydrocortisone 1 %) ; éviter le visage, les plis, les surfaces étendues ; pas d’occlusion ; surveillance de la croissance en cas d’usage prolongé.</w:t>
      </w:r>
      <w:r>
        <w:t xml:space="preserve"> </w:t>
      </w:r>
      <w:r>
        <w:t xml:space="preserve">- Durée : 5–10 jours (ophtalmologie/ORL) ; 7–14 jours (dermologie) ; ne pas prolonger sans avis médical.</w:t>
      </w:r>
      <w:r>
        <w:t xml:space="preserve"> </w:t>
      </w:r>
      <w:r>
        <w:t xml:space="preserve">- Mode d’administration :</w:t>
      </w:r>
      <w:r>
        <w:t xml:space="preserve"> </w:t>
      </w:r>
      <w:r>
        <w:t xml:space="preserve">- Ophtalmique : lavage des mains ; inclinaison tête en arrière ; regard vers le haut ; traction paupière inférieure ; instillation ; fermeture 1–2 min ; compression point lacrymal ;</w:t>
      </w:r>
      <w:r>
        <w:t xml:space="preserve"> </w:t>
      </w:r>
      <w:r>
        <w:t xml:space="preserve">- ORL auriculaire : lavage des mains ; inclinaison tête côté opposé ; instillation ; massage tragus ; maintien 2–3 min ;</w:t>
      </w:r>
      <w:r>
        <w:t xml:space="preserve"> </w:t>
      </w:r>
      <w:r>
        <w:t xml:space="preserve">- ORL nasale : lavage des mains ; mouchage préalable ; pulvérisation en haut et en dehors (vers l’oreille) ; éviter la cloison nasale ;</w:t>
      </w:r>
      <w:r>
        <w:t xml:space="preserve"> </w:t>
      </w:r>
      <w:r>
        <w:t xml:space="preserve">- Dermologique : lavage des mains ; application en couche mince ; massage doux ; ne pas occlure (sauf prescription) ; se laver les mains après.</w:t>
      </w:r>
    </w:p>
    <w:p>
      <w:pPr>
        <w:pStyle w:val="BodyText"/>
      </w:pPr>
      <w:r>
        <w:rPr>
          <w:b/>
          <w:bCs/>
        </w:rPr>
        <w:t xml:space="preserve">Arbitrage et Bénéfices des Formes Galéniques :</w:t>
      </w:r>
      <w:r>
        <w:t xml:space="preserve"> </w:t>
      </w:r>
      <w:r>
        <w:t xml:space="preserve">- Collyre vs pommade ophtalmique : collyre plus pratique en journée, pommade au coucher ;</w:t>
      </w:r>
      <w:r>
        <w:t xml:space="preserve"> </w:t>
      </w:r>
      <w:r>
        <w:t xml:space="preserve">- Forme unidose (Sterdex) : hygiène parfaite (sans conservateur), indiquée pour l’enfant et le sujet sensible aux conservateurs, mais coût plus élevé ;</w:t>
      </w:r>
      <w:r>
        <w:t xml:space="preserve"> </w:t>
      </w:r>
      <w:r>
        <w:t xml:space="preserve">- Forme polyvalente (Ophtamesone N : collyre + auriculaire + nasale) : intérêt économique mais risque d’erreur de voie (à n’utiliser que sur prescription explicite) ;</w:t>
      </w:r>
      <w:r>
        <w:t xml:space="preserve"> </w:t>
      </w:r>
      <w:r>
        <w:t xml:space="preserve">- Forme dermologique (nystatine + triamcinolone + néomycine) : couverture triple (bactérien + fongique + inflammatoire) pour dermatoses surinfectées complexes (intertrigo Candida + staphylocoque, eczéma surinfecté).</w:t>
      </w:r>
    </w:p>
    <w:p>
      <w:pPr>
        <w:pStyle w:val="BodyText"/>
      </w:pPr>
      <w:r>
        <w:rPr>
          <w:b/>
          <w:bCs/>
        </w:rPr>
        <w:t xml:space="preserve">Instructions et Conseils au Patient :</w:t>
      </w:r>
      <w:r>
        <w:t xml:space="preserve"> </w:t>
      </w:r>
      <w:r>
        <w:t xml:space="preserve">- Communication au comptoir :</w:t>
      </w:r>
      <w:r>
        <w:t xml:space="preserve"> </w:t>
      </w:r>
      <w:r>
        <w:t xml:space="preserve">- Pour les collyres : « Lavez-vous les mains, penchez la tête en arrière, tirez la paupière inférieure vers le bas, mettez 1 goutte dans l’œil, fermez l’œil 1 minute en appuyant sur le coin interne. Attendez 10 minutes si vous avez un autre collyre. »</w:t>
      </w:r>
      <w:r>
        <w:t xml:space="preserve"> </w:t>
      </w:r>
      <w:r>
        <w:t xml:space="preserve">- Pour l’oreille : « ATTENTION, ne mettez ce produit dans l’oreille QUE si votre médecin a vérifié que votre tympan n’est pas percé. »</w:t>
      </w:r>
      <w:r>
        <w:t xml:space="preserve"> </w:t>
      </w:r>
      <w:r>
        <w:t xml:space="preserve">- Pour la peau : « Appliquez en couche fine, seulement sur la zone malade, 1 à 3 fois par jour, pendant 7 à 14 jours maximum. Ne dépassez pas la durée prescrite. »</w:t>
      </w:r>
      <w:r>
        <w:t xml:space="preserve"> </w:t>
      </w:r>
      <w:r>
        <w:t xml:space="preserve">- « Si vous avez des boutons de fièvre, de la fièvre, ou si la douleur augmente, arrêtez et consultez. »</w:t>
      </w:r>
      <w:r>
        <w:t xml:space="preserve"> </w:t>
      </w:r>
      <w:r>
        <w:t xml:space="preserve">- « Si votre vue baisse ou si vous avez mal à l’œil après 3 jours, arrêtez et consultez un ophtalmologiste. »</w:t>
      </w:r>
      <w:r>
        <w:t xml:space="preserve"> </w:t>
      </w:r>
      <w:r>
        <w:t xml:space="preserve">- « Jetez le flacon 15 jours après ouverture. »</w:t>
      </w:r>
      <w:r>
        <w:t xml:space="preserve"> </w:t>
      </w:r>
      <w:r>
        <w:t xml:space="preserve">- « Ne portez pas de lentilles pendant le traitement. »</w:t>
      </w:r>
      <w:r>
        <w:t xml:space="preserve"> </w:t>
      </w:r>
      <w:r>
        <w:t xml:space="preserve">- Mode d’utilisation pratique :</w:t>
      </w:r>
      <w:r>
        <w:t xml:space="preserve"> </w:t>
      </w:r>
      <w:r>
        <w:t xml:space="preserve">- Oubli d’une instillation : l’appliquer dès que possible, mais ne pas doubler ;</w:t>
      </w:r>
      <w:r>
        <w:t xml:space="preserve"> </w:t>
      </w:r>
      <w:r>
        <w:t xml:space="preserve">- Ne pas prolonger au-delà de la durée prescrite ;</w:t>
      </w:r>
      <w:r>
        <w:t xml:space="preserve"> </w:t>
      </w:r>
      <w:r>
        <w:t xml:space="preserve">- Hygiène stricte de l’embout.</w:t>
      </w:r>
    </w:p>
    <w:p>
      <w:pPr>
        <w:pStyle w:val="BodyText"/>
      </w:pPr>
      <w:r>
        <w:rPr>
          <w:b/>
          <w:bCs/>
        </w:rPr>
        <w:t xml:space="preserve">Notes, Règles d’Or &amp; Pièges au Comptoir :</w:t>
      </w:r>
      <w:r>
        <w:t xml:space="preserve"> </w:t>
      </w:r>
      <w:r>
        <w:t xml:space="preserve">- Piège classique :</w:t>
      </w:r>
      <w:r>
        <w:t xml:space="preserve"> </w:t>
      </w:r>
      <w:r>
        <w:rPr>
          <w:b/>
          <w:bCs/>
        </w:rPr>
        <w:t xml:space="preserve">collyre corticoïde sur kératite herpétique non diagnostiquée</w:t>
      </w:r>
      <w:r>
        <w:t xml:space="preserve"> </w:t>
      </w:r>
      <w:r>
        <w:t xml:space="preserve">: aggravation majeure, ulcère, cécité. Toujours demander au patient : « Avez-vous des boutons de fièvre ? Avez-vous mal à l’œil (pas seulement une gêne) ? La douleur est-elle d’un seul côté ? » En cas de doute, ne pas délivrer sans avis ophtalmo ;</w:t>
      </w:r>
      <w:r>
        <w:t xml:space="preserve"> </w:t>
      </w:r>
      <w:r>
        <w:t xml:space="preserve">- Piège classique :</w:t>
      </w:r>
      <w:r>
        <w:t xml:space="preserve"> </w:t>
      </w:r>
      <w:r>
        <w:rPr>
          <w:b/>
          <w:bCs/>
        </w:rPr>
        <w:t xml:space="preserve">solution auriculaire avec néomycine et tympan perforé</w:t>
      </w:r>
      <w:r>
        <w:t xml:space="preserve"> </w:t>
      </w:r>
      <w:r>
        <w:t xml:space="preserve">: ototoxicité définitive. Toujours demander : « Votre médecin a-t-il regardé votre tympan avant de prescrire ? » ;</w:t>
      </w:r>
      <w:r>
        <w:t xml:space="preserve"> </w:t>
      </w:r>
      <w:r>
        <w:t xml:space="preserve">- Piège classique :</w:t>
      </w:r>
      <w:r>
        <w:t xml:space="preserve"> </w:t>
      </w:r>
      <w:r>
        <w:rPr>
          <w:b/>
          <w:bCs/>
        </w:rPr>
        <w:t xml:space="preserve">usage prolongé dermologique</w:t>
      </w:r>
      <w:r>
        <w:t xml:space="preserve"> </w:t>
      </w:r>
      <w:r>
        <w:t xml:space="preserve">(&gt; 2 semaines) : atrophie cutanée, vergetures, dermite péri-orale, rosacée, glaucome si application péri-oculaire ;</w:t>
      </w:r>
      <w:r>
        <w:t xml:space="preserve"> </w:t>
      </w:r>
      <w:r>
        <w:t xml:space="preserve">- Piège classique :</w:t>
      </w:r>
      <w:r>
        <w:t xml:space="preserve"> </w:t>
      </w:r>
      <w:r>
        <w:rPr>
          <w:b/>
          <w:bCs/>
        </w:rPr>
        <w:t xml:space="preserve">allergie à la néomycine</w:t>
      </w:r>
      <w:r>
        <w:t xml:space="preserve"> </w:t>
      </w:r>
      <w:r>
        <w:t xml:space="preserve">(fréquente, 5–10 % des patients après usage prolongé) : toujours demander les antécédents d’allergie aux aminosides topiques ;</w:t>
      </w:r>
      <w:r>
        <w:t xml:space="preserve"> </w:t>
      </w:r>
      <w:r>
        <w:t xml:space="preserve">- Piège classique :</w:t>
      </w:r>
      <w:r>
        <w:t xml:space="preserve"> </w:t>
      </w:r>
      <w:r>
        <w:rPr>
          <w:b/>
          <w:bCs/>
        </w:rPr>
        <w:t xml:space="preserve">application sur le visage d’une dermite péri-orale ou d’un rosacée</w:t>
      </w:r>
      <w:r>
        <w:t xml:space="preserve"> </w:t>
      </w:r>
      <w:r>
        <w:t xml:space="preserve">: aggravation majeure ;</w:t>
      </w:r>
      <w:r>
        <w:t xml:space="preserve"> </w:t>
      </w:r>
      <w:r>
        <w:t xml:space="preserve">- Règle de prise : 1 goutte × 4–6 fois/jour (collyre) ; 2–3 gouttes × 2–3 fois/jour (oreille) ; couche mince × 1–3 fois/jour (peau) ;</w:t>
      </w:r>
      <w:r>
        <w:t xml:space="preserve"> </w:t>
      </w:r>
      <w:r>
        <w:t xml:space="preserve">- Préparation et Conservation : collyre et solution auriculaire à conserver à température ambiante &lt; 25 °C (ou au réfrigérateur selon RCP) ; flacon à jeter 15 jours après ouverture ; pommade : conserver à température ambiante, durée d’utilisation plus longue (1 mois après ouverture) ;</w:t>
      </w:r>
      <w:r>
        <w:t xml:space="preserve"> </w:t>
      </w:r>
      <w:r>
        <w:t xml:space="preserve">- Piège du surdosage / Substitution : en cas d’allergie à la néomycine, substituer par rifamycine SV collyre (sans corticoïde, alternative anti-inflammatoire AINS ou antihistaminique collyre) ou ofloxacine collyre (sans corticoïde) selon prescription ; en cas de CI au corticoïde, alternative par antibiotique seul (rifamycine SV, ofloxacine) + AINS collyre (népadnac, indométacine) selon cas.</w:t>
      </w:r>
    </w:p>
    <w:p>
      <w:r>
        <w:pict>
          <v:rect style="width:0;height:1.5pt" o:hralign="center" o:hrstd="t" o:hr="t"/>
        </w:pict>
      </w:r>
    </w:p>
    <w:bookmarkEnd w:id="244"/>
    <w:bookmarkStart w:id="245" w:name="X66ea8ed36a2389b7a3c4c5aba3f3b8a54367c78"/>
    <w:p>
      <w:pPr>
        <w:pStyle w:val="Heading3"/>
      </w:pPr>
      <w:r>
        <w:t xml:space="preserve">8.4.9. DCI : Associations AINS + aminoglycoside (topique) (En Association)</w:t>
      </w:r>
    </w:p>
    <w:p>
      <w:pPr>
        <w:pStyle w:val="FirstParagraph"/>
      </w:pPr>
      <w:r>
        <w:rPr>
          <w:b/>
          <w:bCs/>
        </w:rPr>
        <w:t xml:space="preserve">Liste des Catégories :</w:t>
      </w:r>
      <w:r>
        <w:t xml:space="preserve"> </w:t>
      </w:r>
      <w:r>
        <w:t xml:space="preserve">Associations antibiotiques locales ; Topiques ophtalmiques ; Liste I (Algérie).</w:t>
      </w:r>
    </w:p>
    <w:p>
      <w:pPr>
        <w:pStyle w:val="BodyText"/>
      </w:pPr>
      <w:r>
        <w:t xml:space="preserve">Les associations AINS + aminoglycoside topique sont une alternative aux associations corticoïde + antibiotique lorsque l’usage d’un corticoïde est contre-indiqué ou à éviter (herpès, glaucome, atrophie cutanée). L’</w:t>
      </w:r>
      <w:r>
        <w:rPr>
          <w:b/>
          <w:bCs/>
        </w:rPr>
        <w:t xml:space="preserve">AINS</w:t>
      </w:r>
      <w:r>
        <w:t xml:space="preserve"> </w:t>
      </w:r>
      <w:r>
        <w:t xml:space="preserve">(indométacine, diclofénac) assure l’effet anti-inflammatoire (inhibition de la cyclo-oxygénase, baisse des prostaglandines) sans les inconvénients du corticoïde (pas d’HTA, pas de glaucome, pas d’immunosuppression). L’</w:t>
      </w:r>
      <w:r>
        <w:rPr>
          <w:b/>
          <w:bCs/>
        </w:rPr>
        <w:t xml:space="preserve">aminoglycoside</w:t>
      </w:r>
      <w:r>
        <w:t xml:space="preserve"> </w:t>
      </w:r>
      <w:r>
        <w:t xml:space="preserve">(gentamicine) apporte la couverture antibiotique Gram + et Gram − (y compris certains Pseudomonas). La principale limite de cette association est la toxicité épithéliale cornéenne de l’AINS (retard de cicatrisation, kératite) en usage prolongé.</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INDOBIOTIC</w:t>
      </w:r>
      <w:r>
        <w:t xml:space="preserve"> </w:t>
      </w:r>
      <w:r>
        <w:t xml:space="preserve">(CHAUVIN S.A.)</w:t>
      </w:r>
      <w:r>
        <w:t xml:space="preserve"> </w:t>
      </w:r>
      <w:r>
        <w:t xml:space="preserve">- Formes et Dosages : Collyre en solution 5 mg/15 000 UI/5 mL (= indométacine 0,1 % + gentamicine 0,3 %) (FL/5 mL)</w:t>
      </w:r>
      <w:r>
        <w:t xml:space="preserve"> </w:t>
      </w:r>
      <w:r>
        <w:t xml:space="preserve">- Statut : Actif</w:t>
      </w:r>
      <w:r>
        <w:t xml:space="preserve"> </w:t>
      </w:r>
      <w:r>
        <w:t xml:space="preserve">-</w:t>
      </w:r>
      <w:r>
        <w:t xml:space="preserve"> </w:t>
      </w:r>
      <w:r>
        <w:rPr>
          <w:b/>
          <w:bCs/>
        </w:rPr>
        <w:t xml:space="preserve">VOLTAMICINE</w:t>
      </w:r>
      <w:r>
        <w:t xml:space="preserve"> </w:t>
      </w:r>
      <w:r>
        <w:t xml:space="preserve">(CIBA VISION ophtalmics)</w:t>
      </w:r>
      <w:r>
        <w:t xml:space="preserve"> </w:t>
      </w:r>
      <w:r>
        <w:t xml:space="preserve">- Formes et Dosages : Collyre 0,1 g/300 000 UI/100 mL (= diclofénac 0,1 % + gentamicine 0,3 %) (FL/5 mL)</w:t>
      </w:r>
      <w:r>
        <w:t xml:space="preserve"> </w:t>
      </w:r>
      <w:r>
        <w:t xml:space="preserve">- Statut : Retiré (R)</w:t>
      </w:r>
    </w:p>
    <w:p>
      <w:pPr>
        <w:pStyle w:val="BodyText"/>
      </w:pPr>
      <w:r>
        <w:rPr>
          <w:b/>
          <w:bCs/>
        </w:rPr>
        <w:t xml:space="preserve">Sous-classe et Mécanisme d’action :</w:t>
      </w:r>
      <w:r>
        <w:t xml:space="preserve"> </w:t>
      </w:r>
      <w:r>
        <w:t xml:space="preserve">- Sous-classe : Topiques ophtalmiques anti-inflammatoires non stéroïdiens + antibiotiques aminosides.</w:t>
      </w:r>
      <w:r>
        <w:t xml:space="preserve"> </w:t>
      </w:r>
      <w:r>
        <w:t xml:space="preserve">- Mécanisme d’action : combinaison des mécanismes individuels :</w:t>
      </w:r>
      <w:r>
        <w:t xml:space="preserve"> </w:t>
      </w:r>
      <w:r>
        <w:t xml:space="preserve">-</w:t>
      </w:r>
      <w:r>
        <w:t xml:space="preserve"> </w:t>
      </w:r>
      <w:r>
        <w:rPr>
          <w:b/>
          <w:bCs/>
        </w:rPr>
        <w:t xml:space="preserve">Indométacine / Diclofénac</w:t>
      </w:r>
      <w:r>
        <w:t xml:space="preserve"> </w:t>
      </w:r>
      <w:r>
        <w:t xml:space="preserve">: inhibiteurs non sélectifs de la cyclo-oxygénase COX-1 et COX-2 → blocage de la conversion de l’acide arachidonique en prostaglandines (PGG2, PGH2) et thromboxane A2 → effet anti-inflammatoire, antalgique, antipyrétique local ; diminution du myosis peropératoire, de l’inflammation post-opératoire, de la douleur ;</w:t>
      </w:r>
      <w:r>
        <w:t xml:space="preserve"> </w:t>
      </w:r>
      <w:r>
        <w:t xml:space="preserve">-</w:t>
      </w:r>
      <w:r>
        <w:t xml:space="preserve"> </w:t>
      </w:r>
      <w:r>
        <w:rPr>
          <w:b/>
          <w:bCs/>
        </w:rPr>
        <w:t xml:space="preserve">Gentamicine</w:t>
      </w:r>
      <w:r>
        <w:t xml:space="preserve"> </w:t>
      </w:r>
      <w:r>
        <w:t xml:space="preserve">(aminoside) : inhibition de la sous-unité 30S du ribosome bactérien → bactéricide concentration-dépendant ; spectre : Gram + (staphylocoque, streptocoque), Gram − (Enterobacteriaceae, Pseudomonas aeruginosa, Haemophilus) ; pas d’effet sur les anaérobies, les streptocoques et entérocoques étant naturellement résistants ;</w:t>
      </w:r>
      <w:r>
        <w:t xml:space="preserve"> </w:t>
      </w:r>
      <w:r>
        <w:t xml:space="preserve">- Synergie : l’AINS réduit l’inflammation et la douleur sans immunosuppression cortico-induite ; la gentamicine couvre la surinfection bactérienne, notamment à Gram − et Pseudomonas.</w:t>
      </w:r>
      <w:r>
        <w:t xml:space="preserve"> </w:t>
      </w:r>
      <w:r>
        <w:t xml:space="preserve">- Résistance : gentamicine (phosphotransférases, acétyltransférases, nucléotidyltransférases) ; pas de résistance aux AINS (pas d’activité antimicrobienne directe).</w:t>
      </w:r>
    </w:p>
    <w:p>
      <w:pPr>
        <w:pStyle w:val="BodyText"/>
      </w:pPr>
      <w:r>
        <w:rPr>
          <w:b/>
          <w:bCs/>
        </w:rPr>
        <w:t xml:space="preserve">Profil Pharmacologique :</w:t>
      </w:r>
      <w:r>
        <w:t xml:space="preserve"> </w:t>
      </w:r>
      <w:r>
        <w:t xml:space="preserve">- Indications :</w:t>
      </w:r>
      <w:r>
        <w:t xml:space="preserve"> </w:t>
      </w:r>
      <w:r>
        <w:t xml:space="preserve">-</w:t>
      </w:r>
      <w:r>
        <w:t xml:space="preserve"> </w:t>
      </w:r>
      <w:r>
        <w:rPr>
          <w:b/>
          <w:bCs/>
        </w:rPr>
        <w:t xml:space="preserve">Ophtalmologie</w:t>
      </w:r>
      <w:r>
        <w:t xml:space="preserve"> </w:t>
      </w:r>
      <w:r>
        <w:t xml:space="preserve">: inflammation oculaire post-opératoire (chirurgie de la cataracte, chirurgie réfractive) avec surinfection bactérienne prévisible, conjonctivites bactériennes inflammatoires (alternatives aux corticoïdes), prévention de l’œdème maculaire cystoïde post-opératoire (pour l’AINS), kératites superficielles bactériennes (avec prudence sur la toxicité épithéliale) ;</w:t>
      </w:r>
      <w:r>
        <w:t xml:space="preserve"> </w:t>
      </w:r>
      <w:r>
        <w:t xml:space="preserve">- Pas d’indication systémique de ces associations (les AINS et la gentamicine systémiques sont des produits séparés).</w:t>
      </w:r>
      <w:r>
        <w:t xml:space="preserve"> </w:t>
      </w:r>
      <w:r>
        <w:t xml:space="preserve">- Contre-indications :</w:t>
      </w:r>
      <w:r>
        <w:t xml:space="preserve"> </w:t>
      </w:r>
      <w:r>
        <w:t xml:space="preserve">- Hypersensibilité à l’un des composants (indométacine, diclofénac, gentamicine, AINS, aspirine) ;</w:t>
      </w:r>
      <w:r>
        <w:t xml:space="preserve"> </w:t>
      </w:r>
      <w:r>
        <w:t xml:space="preserve">-</w:t>
      </w:r>
      <w:r>
        <w:t xml:space="preserve"> </w:t>
      </w:r>
      <w:r>
        <w:rPr>
          <w:b/>
          <w:bCs/>
        </w:rPr>
        <w:t xml:space="preserve">Asthme AINS-sensible</w:t>
      </w:r>
      <w:r>
        <w:t xml:space="preserve"> </w:t>
      </w:r>
      <w:r>
        <w:t xml:space="preserve">(asthme déclenché par l’aspirine ou les AINS) : risque de bronchospasme même en usage local (passage systémique minimal mais non nul) ;</w:t>
      </w:r>
      <w:r>
        <w:t xml:space="preserve"> </w:t>
      </w:r>
      <w:r>
        <w:t xml:space="preserve">-</w:t>
      </w:r>
      <w:r>
        <w:t xml:space="preserve"> </w:t>
      </w:r>
      <w:r>
        <w:rPr>
          <w:b/>
          <w:bCs/>
        </w:rPr>
        <w:t xml:space="preserve">Ulcère cornéen</w:t>
      </w:r>
      <w:r>
        <w:t xml:space="preserve"> </w:t>
      </w:r>
      <w:r>
        <w:t xml:space="preserve">ou épithéliopathie sévère : les AINS retardent la cicatrisation épithéliale ;</w:t>
      </w:r>
      <w:r>
        <w:t xml:space="preserve"> </w:t>
      </w:r>
      <w:r>
        <w:t xml:space="preserve">-</w:t>
      </w:r>
      <w:r>
        <w:t xml:space="preserve"> </w:t>
      </w:r>
      <w:r>
        <w:rPr>
          <w:b/>
          <w:bCs/>
        </w:rPr>
        <w:t xml:space="preserve">Kératite herpétique</w:t>
      </w:r>
      <w:r>
        <w:t xml:space="preserve"> </w:t>
      </w:r>
      <w:r>
        <w:t xml:space="preserve">: la gentamicine n’est pas active sur le virus et l’AINS peut retarder la cicatrisation ;</w:t>
      </w:r>
      <w:r>
        <w:t xml:space="preserve"> </w:t>
      </w:r>
      <w:r>
        <w:t xml:space="preserve">- Saignement actif (AINS antiagrégant) ;</w:t>
      </w:r>
      <w:r>
        <w:t xml:space="preserve"> </w:t>
      </w:r>
      <w:r>
        <w:t xml:space="preserve">- Hypersensibilité croisée aux AINS ;</w:t>
      </w:r>
      <w:r>
        <w:t xml:space="preserve"> </w:t>
      </w:r>
      <w:r>
        <w:t xml:space="preserve">- Prudence : asthme, polypose nasale, grossesse 3e trimestre (CI absolue AINS), allaitement.</w:t>
      </w:r>
      <w:r>
        <w:t xml:space="preserve"> </w:t>
      </w:r>
      <w:r>
        <w:t xml:space="preserve">- Effets Indésirables :</w:t>
      </w:r>
      <w:r>
        <w:t xml:space="preserve"> </w:t>
      </w:r>
      <w:r>
        <w:t xml:space="preserve">-</w:t>
      </w:r>
      <w:r>
        <w:t xml:space="preserve"> </w:t>
      </w:r>
      <w:r>
        <w:rPr>
          <w:b/>
          <w:bCs/>
        </w:rPr>
        <w:t xml:space="preserve">Locaux ophtalmiques</w:t>
      </w:r>
      <w:r>
        <w:t xml:space="preserve"> </w:t>
      </w:r>
      <w:r>
        <w:t xml:space="preserve">:</w:t>
      </w:r>
      <w:r>
        <w:t xml:space="preserve"> </w:t>
      </w:r>
      <w:r>
        <w:t xml:space="preserve">- Brûlure, picotements à l’instillation (fréquent, transitoire) ;</w:t>
      </w:r>
      <w:r>
        <w:t xml:space="preserve"> </w:t>
      </w:r>
      <w:r>
        <w:t xml:space="preserve">- Rougeur conjonctivale, hyperhémie ;</w:t>
      </w:r>
      <w:r>
        <w:t xml:space="preserve"> </w:t>
      </w:r>
      <w:r>
        <w:t xml:space="preserve">-</w:t>
      </w:r>
      <w:r>
        <w:t xml:space="preserve"> </w:t>
      </w:r>
      <w:r>
        <w:rPr>
          <w:b/>
          <w:bCs/>
        </w:rPr>
        <w:t xml:space="preserve">Kératite et retard de cicatrisation épithéliale</w:t>
      </w:r>
      <w:r>
        <w:t xml:space="preserve"> </w:t>
      </w:r>
      <w:r>
        <w:t xml:space="preserve">(usage prolongé, dose-dépendant) : risque de fusion cornéenne, ulcère ;</w:t>
      </w:r>
      <w:r>
        <w:t xml:space="preserve"> </w:t>
      </w:r>
      <w:r>
        <w:t xml:space="preserve">- Allergie de contact ;</w:t>
      </w:r>
      <w:r>
        <w:t xml:space="preserve"> </w:t>
      </w:r>
      <w:r>
        <w:t xml:space="preserve">- Coloration ponctuée du cornéen (fluorescéine) ;</w:t>
      </w:r>
      <w:r>
        <w:t xml:space="preserve"> </w:t>
      </w:r>
      <w:r>
        <w:t xml:space="preserve">-</w:t>
      </w:r>
      <w:r>
        <w:t xml:space="preserve"> </w:t>
      </w:r>
      <w:r>
        <w:rPr>
          <w:b/>
          <w:bCs/>
        </w:rPr>
        <w:t xml:space="preserve">Généraux</w:t>
      </w:r>
      <w:r>
        <w:t xml:space="preserve"> </w:t>
      </w:r>
      <w:r>
        <w:t xml:space="preserve">(absorption systémique minimale mais non nulle par passage naso-lacrymal) :</w:t>
      </w:r>
      <w:r>
        <w:t xml:space="preserve"> </w:t>
      </w:r>
      <w:r>
        <w:t xml:space="preserve">- Rarement asthme chez le sujet AINS-sensible ;</w:t>
      </w:r>
      <w:r>
        <w:t xml:space="preserve"> </w:t>
      </w:r>
      <w:r>
        <w:t xml:space="preserve">- Troubles digestifs ;</w:t>
      </w:r>
      <w:r>
        <w:t xml:space="preserve"> </w:t>
      </w:r>
      <w:r>
        <w:t xml:space="preserve">- Risque hémorragique peropératoire (AINS antiagrégant) ;</w:t>
      </w:r>
      <w:r>
        <w:t xml:space="preserve"> </w:t>
      </w:r>
      <w:r>
        <w:t xml:space="preserve">- Effets liés à la gentamicine locale :</w:t>
      </w:r>
      <w:r>
        <w:t xml:space="preserve"> </w:t>
      </w:r>
      <w:r>
        <w:t xml:space="preserve">- Sensibilisation locale possible ;</w:t>
      </w:r>
      <w:r>
        <w:t xml:space="preserve"> </w:t>
      </w:r>
      <w:r>
        <w:t xml:space="preserve">- Rarement sélection de résistances en usage prolongé.</w:t>
      </w:r>
    </w:p>
    <w:p>
      <w:pPr>
        <w:pStyle w:val="BodyText"/>
      </w:pPr>
      <w:r>
        <w:rPr>
          <w:b/>
          <w:bCs/>
        </w:rPr>
        <w:t xml:space="preserve">Prévention et Gestion des Effets Indésirables :</w:t>
      </w:r>
      <w:r>
        <w:t xml:space="preserve"> </w:t>
      </w:r>
      <w:r>
        <w:t xml:space="preserve">- Mesures Préventives :</w:t>
      </w:r>
      <w:r>
        <w:t xml:space="preserve"> </w:t>
      </w:r>
      <w:r>
        <w:t xml:space="preserve">-</w:t>
      </w:r>
      <w:r>
        <w:t xml:space="preserve"> </w:t>
      </w:r>
      <w:r>
        <w:rPr>
          <w:b/>
          <w:bCs/>
        </w:rPr>
        <w:t xml:space="preserve">Vérification de l’absence d’asthme AINS-sensible</w:t>
      </w:r>
      <w:r>
        <w:t xml:space="preserve"> </w:t>
      </w:r>
      <w:r>
        <w:t xml:space="preserve">avant prescription (interrogatoire) ;</w:t>
      </w:r>
      <w:r>
        <w:t xml:space="preserve"> </w:t>
      </w:r>
      <w:r>
        <w:t xml:space="preserve">-</w:t>
      </w:r>
      <w:r>
        <w:t xml:space="preserve"> </w:t>
      </w:r>
      <w:r>
        <w:rPr>
          <w:b/>
          <w:bCs/>
        </w:rPr>
        <w:t xml:space="preserve">Examen cornéen à la fluorescéine</w:t>
      </w:r>
      <w:r>
        <w:t xml:space="preserve"> </w:t>
      </w:r>
      <w:r>
        <w:t xml:space="preserve">avant prescription prolongée ;</w:t>
      </w:r>
      <w:r>
        <w:t xml:space="preserve"> </w:t>
      </w:r>
      <w:r>
        <w:t xml:space="preserve">-</w:t>
      </w:r>
      <w:r>
        <w:t xml:space="preserve"> </w:t>
      </w:r>
      <w:r>
        <w:rPr>
          <w:b/>
          <w:bCs/>
        </w:rPr>
        <w:t xml:space="preserve">Compression du point lacrymal</w:t>
      </w:r>
      <w:r>
        <w:t xml:space="preserve"> </w:t>
      </w:r>
      <w:r>
        <w:t xml:space="preserve">après instillation pour minimiser le passage systémique ;</w:t>
      </w:r>
      <w:r>
        <w:t xml:space="preserve"> </w:t>
      </w:r>
      <w:r>
        <w:t xml:space="preserve">-</w:t>
      </w:r>
      <w:r>
        <w:t xml:space="preserve"> </w:t>
      </w:r>
      <w:r>
        <w:rPr>
          <w:b/>
          <w:bCs/>
        </w:rPr>
        <w:t xml:space="preserve">Limite de durée</w:t>
      </w:r>
      <w:r>
        <w:t xml:space="preserve"> </w:t>
      </w:r>
      <w:r>
        <w:t xml:space="preserve">: 7–15 jours en post-opératoire, 5–10 jours en conjonctivite ; ne pas prolonger sans avis ;</w:t>
      </w:r>
      <w:r>
        <w:t xml:space="preserve"> </w:t>
      </w:r>
      <w:r>
        <w:t xml:space="preserve">- Information patient : surveillance des signes d’aggravation (douleur, baisse de vision) → arrêt et consultation.</w:t>
      </w:r>
      <w:r>
        <w:t xml:space="preserve"> </w:t>
      </w:r>
      <w:r>
        <w:t xml:space="preserve">- Conduite à Tenir :</w:t>
      </w:r>
      <w:r>
        <w:t xml:space="preserve"> </w:t>
      </w:r>
      <w:r>
        <w:t xml:space="preserve">-</w:t>
      </w:r>
      <w:r>
        <w:t xml:space="preserve"> </w:t>
      </w:r>
      <w:r>
        <w:rPr>
          <w:b/>
          <w:bCs/>
        </w:rPr>
        <w:t xml:space="preserve">Douleur ou baisse de vision</w:t>
      </w:r>
      <w:r>
        <w:t xml:space="preserve"> </w:t>
      </w:r>
      <w:r>
        <w:t xml:space="preserve">: arrêt immédiat, consultation ophtalmo urgente (suspect kératite, ulcère) ;</w:t>
      </w:r>
      <w:r>
        <w:t xml:space="preserve"> </w:t>
      </w:r>
      <w:r>
        <w:t xml:space="preserve">-</w:t>
      </w:r>
      <w:r>
        <w:t xml:space="preserve"> </w:t>
      </w:r>
      <w:r>
        <w:rPr>
          <w:b/>
          <w:bCs/>
        </w:rPr>
        <w:t xml:space="preserve">Kératite épithéliale</w:t>
      </w:r>
      <w:r>
        <w:t xml:space="preserve"> </w:t>
      </w:r>
      <w:r>
        <w:t xml:space="preserve">(à la fluorescéine) : arrêt de l’AINS, alternative antibiotique seule (ofloxacine collyre) + lubrifiant cornéen ;</w:t>
      </w:r>
      <w:r>
        <w:t xml:space="preserve"> </w:t>
      </w:r>
      <w:r>
        <w:t xml:space="preserve">-</w:t>
      </w:r>
      <w:r>
        <w:t xml:space="preserve"> </w:t>
      </w:r>
      <w:r>
        <w:rPr>
          <w:b/>
          <w:bCs/>
        </w:rPr>
        <w:t xml:space="preserve">Allergie</w:t>
      </w:r>
      <w:r>
        <w:t xml:space="preserve"> </w:t>
      </w:r>
      <w:r>
        <w:t xml:space="preserve">: arrêt, alternative ;</w:t>
      </w:r>
      <w:r>
        <w:t xml:space="preserve"> </w:t>
      </w:r>
      <w:r>
        <w:t xml:space="preserve">-</w:t>
      </w:r>
      <w:r>
        <w:t xml:space="preserve"> </w:t>
      </w:r>
      <w:r>
        <w:rPr>
          <w:b/>
          <w:bCs/>
        </w:rPr>
        <w:t xml:space="preserve">Asthme déclenché</w:t>
      </w:r>
      <w:r>
        <w:t xml:space="preserve"> </w:t>
      </w:r>
      <w:r>
        <w:t xml:space="preserve">: arrêt immédiat, bronchodilatateur, avis pneumo.</w:t>
      </w:r>
    </w:p>
    <w:p>
      <w:pPr>
        <w:pStyle w:val="BodyText"/>
      </w:pPr>
      <w:r>
        <w:rPr>
          <w:b/>
          <w:bCs/>
        </w:rPr>
        <w:t xml:space="preserve">Interactions Importantes :</w:t>
      </w:r>
      <w:r>
        <w:t xml:space="preserve"> </w:t>
      </w:r>
      <w:r>
        <w:t xml:space="preserve">-</w:t>
      </w:r>
      <w:r>
        <w:t xml:space="preserve"> </w:t>
      </w:r>
      <w:r>
        <w:rPr>
          <w:b/>
          <w:bCs/>
        </w:rPr>
        <w:t xml:space="preserve">Aucune interaction systémique notable</w:t>
      </w:r>
      <w:r>
        <w:t xml:space="preserve"> </w:t>
      </w:r>
      <w:r>
        <w:t xml:space="preserve">en usage local court (absorption négligeable) ;</w:t>
      </w:r>
      <w:r>
        <w:t xml:space="preserve"> </w:t>
      </w:r>
      <w:r>
        <w:t xml:space="preserve">- Associations locales possibles avec autres collyres (séparation de 10 min) ;</w:t>
      </w:r>
      <w:r>
        <w:t xml:space="preserve"> </w:t>
      </w:r>
      <w:r>
        <w:t xml:space="preserve">- Éviter l’association avec d’autres AINS locaux ou systémiques (majoration des effets indésirables AINS) ;</w:t>
      </w:r>
      <w:r>
        <w:t xml:space="preserve"> </w:t>
      </w:r>
      <w:r>
        <w:t xml:space="preserve">- Éviter l’association avec les anticoagulants en cas de chirurgie ophtalmique (saignement).</w:t>
      </w:r>
    </w:p>
    <w:p>
      <w:pPr>
        <w:pStyle w:val="BodyText"/>
      </w:pPr>
      <w:r>
        <w:rPr>
          <w:b/>
          <w:bCs/>
        </w:rPr>
        <w:t xml:space="preserve">Grossesse et Allaitement :</w:t>
      </w:r>
      <w:r>
        <w:t xml:space="preserve"> </w:t>
      </w:r>
      <w:r>
        <w:t xml:space="preserve">- Grossesse :</w:t>
      </w:r>
      <w:r>
        <w:t xml:space="preserve"> </w:t>
      </w:r>
      <w:r>
        <w:t xml:space="preserve">- 1er et 2e trimestre : Compatible en usage local court (&lt; 7 jours) avec prudence (passage systémique minimal) ;</w:t>
      </w:r>
      <w:r>
        <w:t xml:space="preserve"> </w:t>
      </w:r>
      <w:r>
        <w:t xml:space="preserve">-</w:t>
      </w:r>
      <w:r>
        <w:t xml:space="preserve"> </w:t>
      </w:r>
      <w:r>
        <w:rPr>
          <w:b/>
          <w:bCs/>
        </w:rPr>
        <w:t xml:space="preserve">3e trimestre : CONTRE-INDICATION absolue</w:t>
      </w:r>
      <w:r>
        <w:t xml:space="preserve"> </w:t>
      </w:r>
      <w:r>
        <w:t xml:space="preserve">des AINS (fermeture prématurée du canal artériel, oligoamnios, toxicité fœtale rénale) même en usage local, surtout si usage prolongé ou sur surface étendue ;</w:t>
      </w:r>
      <w:r>
        <w:t xml:space="preserve"> </w:t>
      </w:r>
      <w:r>
        <w:t xml:space="preserve">- Préférer alternative (corticoïde local si pas de CI) ou antibiotique seul au 3e trimestre.</w:t>
      </w:r>
      <w:r>
        <w:t xml:space="preserve"> </w:t>
      </w:r>
      <w:r>
        <w:t xml:space="preserve">- Allaitement : Compatible en usage local court ; la gentamicine et les AINS passent dans le lait maternel mais à doses négligeables en instillation ophtalmique.</w:t>
      </w:r>
      <w:r>
        <w:t xml:space="preserve"> </w:t>
      </w:r>
      <w:r>
        <w:t xml:space="preserve">- Précisions : chez la femme enceinte au 3e trimestre, préférer un antibiotique seul (ofloxacine collyre) ou un corticoïde local si nécessaire (sous surveillance ophtalmo).</w:t>
      </w:r>
    </w:p>
    <w:p>
      <w:pPr>
        <w:pStyle w:val="BodyText"/>
      </w:pPr>
      <w:r>
        <w:rPr>
          <w:b/>
          <w:bCs/>
        </w:rPr>
        <w:t xml:space="preserve">Posologie et Mode d’administration (Standard) :</w:t>
      </w:r>
      <w:r>
        <w:t xml:space="preserve"> </w:t>
      </w:r>
      <w:r>
        <w:t xml:space="preserve">- Adulte :</w:t>
      </w:r>
      <w:r>
        <w:t xml:space="preserve"> </w:t>
      </w:r>
      <w:r>
        <w:t xml:space="preserve">-</w:t>
      </w:r>
      <w:r>
        <w:t xml:space="preserve"> </w:t>
      </w:r>
      <w:r>
        <w:rPr>
          <w:b/>
          <w:bCs/>
        </w:rPr>
        <w:t xml:space="preserve">Indobiotic (indométacine + gentamicine)</w:t>
      </w:r>
      <w:r>
        <w:t xml:space="preserve"> </w:t>
      </w:r>
      <w:r>
        <w:t xml:space="preserve">: 1 goutte × 4 à 6 fois/jour dans l’œil atteint pendant 5–10 jours (post-opératoire : jusqu’à 15 jours selon prescription) ;</w:t>
      </w:r>
      <w:r>
        <w:t xml:space="preserve"> </w:t>
      </w:r>
      <w:r>
        <w:t xml:space="preserve">-</w:t>
      </w:r>
      <w:r>
        <w:t xml:space="preserve"> </w:t>
      </w:r>
      <w:r>
        <w:rPr>
          <w:b/>
          <w:bCs/>
        </w:rPr>
        <w:t xml:space="preserve">Voltamicine (diclofénac + gentamicine)</w:t>
      </w:r>
      <w:r>
        <w:t xml:space="preserve"> </w:t>
      </w:r>
      <w:r>
        <w:t xml:space="preserve">: posologie similaire (mais retiré du marché algérien) ;</w:t>
      </w:r>
      <w:r>
        <w:t xml:space="preserve"> </w:t>
      </w:r>
      <w:r>
        <w:t xml:space="preserve">- En post-opératoire de la cataracte : instillation débutée à J1, × 4 fois/jour pendant 15 jours, en association avec un corticoïde local selon protocole.</w:t>
      </w:r>
      <w:r>
        <w:t xml:space="preserve"> </w:t>
      </w:r>
      <w:r>
        <w:t xml:space="preserve">- Enfant : usage exceptionnel (avis ophtalmo pédiatrique).</w:t>
      </w:r>
      <w:r>
        <w:t xml:space="preserve"> </w:t>
      </w:r>
      <w:r>
        <w:t xml:space="preserve">- Durée : 5–10 jours (conjonctivite) ; 15 jours (post-opératoire) ; ne pas prolonger sans avis.</w:t>
      </w:r>
      <w:r>
        <w:t xml:space="preserve"> </w:t>
      </w:r>
      <w:r>
        <w:t xml:space="preserve">- Mode d’administration :</w:t>
      </w:r>
      <w:r>
        <w:t xml:space="preserve"> </w:t>
      </w:r>
      <w:r>
        <w:t xml:space="preserve">- Ophtalmique : lavage des mains ; inclinaison tête en arrière ; regard vers le haut ; traction paupière inférieure ; instillation ; fermeture 1–2 min ;</w:t>
      </w:r>
      <w:r>
        <w:t xml:space="preserve"> </w:t>
      </w:r>
      <w:r>
        <w:rPr>
          <w:b/>
          <w:bCs/>
        </w:rPr>
        <w:t xml:space="preserve">compression du point lacrymal</w:t>
      </w:r>
      <w:r>
        <w:t xml:space="preserve"> </w:t>
      </w:r>
      <w:r>
        <w:t xml:space="preserve">1 min (pour minimiser passage systémique) ;</w:t>
      </w:r>
      <w:r>
        <w:t xml:space="preserve"> </w:t>
      </w:r>
      <w:r>
        <w:t xml:space="preserve">- Ne pas toucher l’œil avec l’embout ;</w:t>
      </w:r>
      <w:r>
        <w:t xml:space="preserve"> </w:t>
      </w:r>
      <w:r>
        <w:t xml:space="preserve">- Attendre 10 min entre plusieurs collyres.</w:t>
      </w:r>
    </w:p>
    <w:p>
      <w:pPr>
        <w:pStyle w:val="BodyText"/>
      </w:pPr>
      <w:r>
        <w:rPr>
          <w:b/>
          <w:bCs/>
        </w:rPr>
        <w:t xml:space="preserve">Arbitrage et Bénéfices des Formes Galéniques :</w:t>
      </w:r>
      <w:r>
        <w:t xml:space="preserve"> </w:t>
      </w:r>
      <w:r>
        <w:t xml:space="preserve">- Indobiotic (indométacine + gentamicine) : disponibilité algérienne actuelle, forme solution stable, indication post-opératoire et conjonctivite inflammatoire ;</w:t>
      </w:r>
      <w:r>
        <w:t xml:space="preserve"> </w:t>
      </w:r>
      <w:r>
        <w:t xml:space="preserve">- Voltamicine (diclofénac + gentamicine) : retiré du marché algérien (alternatif : diclofénac collyre seul + gentamicine collyre seul, mais observance plus difficile) ;</w:t>
      </w:r>
      <w:r>
        <w:t xml:space="preserve"> </w:t>
      </w:r>
      <w:r>
        <w:t xml:space="preserve">- Alternative en cas de CI : association corticoïde + antibiotique (voir fiche précédente), ou antibiotique seul + AINS seul (deux flacons) ;</w:t>
      </w:r>
      <w:r>
        <w:t xml:space="preserve"> </w:t>
      </w:r>
      <w:r>
        <w:t xml:space="preserve">- Forme unidose non disponible pour ces associations (conservateur présent, attention aux porteurs de lentilles).</w:t>
      </w:r>
    </w:p>
    <w:p>
      <w:pPr>
        <w:pStyle w:val="BodyText"/>
      </w:pPr>
      <w:r>
        <w:rPr>
          <w:b/>
          <w:bCs/>
        </w:rPr>
        <w:t xml:space="preserve">Instructions et Conseils au Patient :</w:t>
      </w:r>
      <w:r>
        <w:t xml:space="preserve"> </w:t>
      </w:r>
      <w:r>
        <w:t xml:space="preserve">- Communication au comptoir :</w:t>
      </w:r>
      <w:r>
        <w:t xml:space="preserve"> </w:t>
      </w:r>
      <w:r>
        <w:t xml:space="preserve">- « Lavez-vous les mains, penchez la tête en arrière, tirez la paupière inférieure vers le bas, mettez 1 goutte dans l’œil, fermez l’œil 1 minute en appuyant sur le coin interne de l’œil (pour limiter le passage dans le nez). »</w:t>
      </w:r>
      <w:r>
        <w:t xml:space="preserve"> </w:t>
      </w:r>
      <w:r>
        <w:t xml:space="preserve">- « Vous pouvez ressentir une petite brûlure à l’instillation : c’est normal, ça passe en quelques minutes. »</w:t>
      </w:r>
      <w:r>
        <w:t xml:space="preserve"> </w:t>
      </w:r>
      <w:r>
        <w:t xml:space="preserve">- « Si vous avez mal à l’œil, si votre vue baisse, ou si vous avez des difficultés à respirer (surtout si vous êtes asthmatique), arrêtez et consultez immédiatement. »</w:t>
      </w:r>
      <w:r>
        <w:t xml:space="preserve"> </w:t>
      </w:r>
      <w:r>
        <w:t xml:space="preserve">- « Jetez le flacon 15 jours après ouverture. »</w:t>
      </w:r>
      <w:r>
        <w:t xml:space="preserve"> </w:t>
      </w:r>
      <w:r>
        <w:t xml:space="preserve">- « Ne portez pas de lentilles pendant le traitement. »</w:t>
      </w:r>
      <w:r>
        <w:t xml:space="preserve"> </w:t>
      </w:r>
      <w:r>
        <w:t xml:space="preserve">- « Si vous êtes enceinte, surtout au 3e trimestre, signalez-le à votre médecin. »</w:t>
      </w:r>
      <w:r>
        <w:t xml:space="preserve"> </w:t>
      </w:r>
      <w:r>
        <w:t xml:space="preserve">- Mode d’utilisation pratique :</w:t>
      </w:r>
      <w:r>
        <w:t xml:space="preserve"> </w:t>
      </w:r>
      <w:r>
        <w:t xml:space="preserve">- Oubli d’une instillation : l’appliquer dès que possible, mais ne pas doubler ;</w:t>
      </w:r>
      <w:r>
        <w:t xml:space="preserve"> </w:t>
      </w:r>
      <w:r>
        <w:t xml:space="preserve">- Ne pas prolonger au-delà de la durée prescrite ;</w:t>
      </w:r>
      <w:r>
        <w:t xml:space="preserve"> </w:t>
      </w:r>
      <w:r>
        <w:t xml:space="preserve">- Hygiène stricte de l’embout.</w:t>
      </w:r>
    </w:p>
    <w:p>
      <w:pPr>
        <w:pStyle w:val="BodyText"/>
      </w:pPr>
      <w:r>
        <w:rPr>
          <w:b/>
          <w:bCs/>
        </w:rPr>
        <w:t xml:space="preserve">Notes, Règles d’Or &amp; Pièges au Comptoir :</w:t>
      </w:r>
      <w:r>
        <w:t xml:space="preserve"> </w:t>
      </w:r>
      <w:r>
        <w:t xml:space="preserve">- Piège classique :</w:t>
      </w:r>
      <w:r>
        <w:t xml:space="preserve"> </w:t>
      </w:r>
      <w:r>
        <w:rPr>
          <w:b/>
          <w:bCs/>
        </w:rPr>
        <w:t xml:space="preserve">patient asthmatique AINS-sensible</w:t>
      </w:r>
      <w:r>
        <w:t xml:space="preserve"> </w:t>
      </w:r>
      <w:r>
        <w:t xml:space="preserve">: risque de bronchospasme même en collyre. Toujours demander : « Avez-vous de l’asthme ? L’aspirine ou les AINS (ibuprofène, kétoprofène) déclenchent-ils des crises d’asthme ? » En cas de oui, ne pas délivrer sans avis médical ;</w:t>
      </w:r>
      <w:r>
        <w:t xml:space="preserve"> </w:t>
      </w:r>
      <w:r>
        <w:t xml:space="preserve">- Piège classique :</w:t>
      </w:r>
      <w:r>
        <w:t xml:space="preserve"> </w:t>
      </w:r>
      <w:r>
        <w:rPr>
          <w:b/>
          <w:bCs/>
        </w:rPr>
        <w:t xml:space="preserve">femme enceinte au 3e trimestre</w:t>
      </w:r>
      <w:r>
        <w:t xml:space="preserve"> </w:t>
      </w:r>
      <w:r>
        <w:t xml:space="preserve">: CI absolue des AINS (même en collyre) — fermeture du canal artériel, oligoamnios ;</w:t>
      </w:r>
      <w:r>
        <w:t xml:space="preserve"> </w:t>
      </w:r>
      <w:r>
        <w:t xml:space="preserve">- Piège classique :</w:t>
      </w:r>
      <w:r>
        <w:t xml:space="preserve"> </w:t>
      </w:r>
      <w:r>
        <w:rPr>
          <w:b/>
          <w:bCs/>
        </w:rPr>
        <w:t xml:space="preserve">usage prolongé post-opératoire</w:t>
      </w:r>
      <w:r>
        <w:t xml:space="preserve"> </w:t>
      </w:r>
      <w:r>
        <w:t xml:space="preserve">(&gt; 15 jours) : risque de kératite, de retard de cicatrisation, d’ulcère cornéen ;</w:t>
      </w:r>
      <w:r>
        <w:t xml:space="preserve"> </w:t>
      </w:r>
      <w:r>
        <w:t xml:space="preserve">- Piège classique :</w:t>
      </w:r>
      <w:r>
        <w:t xml:space="preserve"> </w:t>
      </w:r>
      <w:r>
        <w:rPr>
          <w:b/>
          <w:bCs/>
        </w:rPr>
        <w:t xml:space="preserve">association avec anticoagulants ou antiagrégants</w:t>
      </w:r>
      <w:r>
        <w:t xml:space="preserve"> </w:t>
      </w:r>
      <w:r>
        <w:t xml:space="preserve">en chirurgie ophtalmique : risque hémorragique ;</w:t>
      </w:r>
      <w:r>
        <w:t xml:space="preserve"> </w:t>
      </w:r>
      <w:r>
        <w:t xml:space="preserve">- Règle de prise : 1 goutte × 4–6 fois/jour, en compression du point lacrymal après instillation ;</w:t>
      </w:r>
      <w:r>
        <w:t xml:space="preserve"> </w:t>
      </w:r>
      <w:r>
        <w:t xml:space="preserve">- Préparation et Conservation : collyre à conserver à température ambiante &lt; 25 °C (ou au réfrigérateur selon RCP) ; flacon à jeter 15 jours après ouverture ;</w:t>
      </w:r>
      <w:r>
        <w:t xml:space="preserve"> </w:t>
      </w:r>
      <w:r>
        <w:t xml:space="preserve">- Piège du surdosage / Substitution : en cas d’allergie à la gentamicine, substituer par ofloxacine collyre + AINS seul (diclofénac ou népadnac collyre) ; en cas d’allergie à l’AINS, substituer par corticoïde + antibiotique (mais attention au glaucome si usage prolongé).</w:t>
      </w:r>
    </w:p>
    <w:p>
      <w:r>
        <w:pict>
          <v:rect style="width:0;height:1.5pt" o:hralign="center" o:hrstd="t" o:hr="t"/>
        </w:pict>
      </w:r>
    </w:p>
    <w:bookmarkEnd w:id="245"/>
    <w:bookmarkEnd w:id="246"/>
    <w:bookmarkStart w:id="247" w:name="X8ee12b762fdad7de5c6728fbce27056aaa8ba44"/>
    <w:p>
      <w:pPr>
        <w:pStyle w:val="Heading2"/>
      </w:pPr>
      <w:r>
        <w:t xml:space="preserve">8.5. Tableau comparatif des antituberculeux systémiques</w:t>
      </w:r>
    </w:p>
    <w:tbl>
      <w:tblPr>
        <w:tblStyle w:val="Table"/>
        <w:tblW w:type="pct" w:w="5000"/>
        <w:jc w:val="left"/>
        <w:tblLayout w:type="fixed"/>
        <w:tblLook w:firstRow="1" w:lastRow="0" w:firstColumn="0" w:lastColumn="0" w:noHBand="0" w:noVBand="0" w:val="0020"/>
      </w:tblPr>
      <w:tblGrid>
        <w:gridCol w:w="306"/>
        <w:gridCol w:w="798"/>
        <w:gridCol w:w="1166"/>
        <w:gridCol w:w="613"/>
        <w:gridCol w:w="798"/>
        <w:gridCol w:w="1719"/>
        <w:gridCol w:w="675"/>
        <w:gridCol w:w="675"/>
        <w:gridCol w:w="1166"/>
      </w:tblGrid>
      <w:tr>
        <w:trPr>
          <w:tblHeader w:val="on"/>
        </w:trPr>
        <w:tc>
          <w:tcPr/>
          <w:p>
            <w:pPr>
              <w:pStyle w:val="Compact"/>
              <w:jc w:val="left"/>
            </w:pPr>
            <w:r>
              <w:t xml:space="preserve">DCI</w:t>
            </w:r>
          </w:p>
        </w:tc>
        <w:tc>
          <w:tcPr/>
          <w:p>
            <w:pPr>
              <w:pStyle w:val="Compact"/>
              <w:jc w:val="left"/>
            </w:pPr>
            <w:r>
              <w:t xml:space="preserve">Sous-classe</w:t>
            </w:r>
          </w:p>
        </w:tc>
        <w:tc>
          <w:tcPr/>
          <w:p>
            <w:pPr>
              <w:pStyle w:val="Compact"/>
              <w:jc w:val="left"/>
            </w:pPr>
            <w:r>
              <w:t xml:space="preserve">Cible moléculaire</w:t>
            </w:r>
          </w:p>
        </w:tc>
        <w:tc>
          <w:tcPr/>
          <w:p>
            <w:pPr>
              <w:pStyle w:val="Compact"/>
              <w:jc w:val="left"/>
            </w:pPr>
            <w:r>
              <w:t xml:space="preserve">Demi-vie</w:t>
            </w:r>
          </w:p>
        </w:tc>
        <w:tc>
          <w:tcPr/>
          <w:p>
            <w:pPr>
              <w:pStyle w:val="Compact"/>
              <w:jc w:val="left"/>
            </w:pPr>
            <w:r>
              <w:t xml:space="preserve">Métabolisme</w:t>
            </w:r>
          </w:p>
        </w:tc>
        <w:tc>
          <w:tcPr/>
          <w:p>
            <w:pPr>
              <w:pStyle w:val="Compact"/>
              <w:jc w:val="left"/>
            </w:pPr>
            <w:r>
              <w:t xml:space="preserve">Posologie adulte (mg/kg/j)</w:t>
            </w:r>
          </w:p>
        </w:tc>
        <w:tc>
          <w:tcPr/>
          <w:p>
            <w:pPr>
              <w:pStyle w:val="Compact"/>
              <w:jc w:val="left"/>
            </w:pPr>
            <w:r>
              <w:t xml:space="preserve">EI majeur</w:t>
            </w:r>
          </w:p>
        </w:tc>
        <w:tc>
          <w:tcPr/>
          <w:p>
            <w:pPr>
              <w:pStyle w:val="Compact"/>
              <w:jc w:val="left"/>
            </w:pPr>
            <w:r>
              <w:t xml:space="preserve">Grossesse</w:t>
            </w:r>
          </w:p>
        </w:tc>
        <w:tc>
          <w:tcPr/>
          <w:p>
            <w:pPr>
              <w:pStyle w:val="Compact"/>
              <w:jc w:val="left"/>
            </w:pPr>
            <w:r>
              <w:t xml:space="preserve">Interactions clés</w:t>
            </w:r>
          </w:p>
        </w:tc>
      </w:tr>
      <w:tr>
        <w:tc>
          <w:tcPr/>
          <w:p>
            <w:pPr>
              <w:pStyle w:val="Compact"/>
              <w:jc w:val="left"/>
            </w:pPr>
            <w:r>
              <w:rPr>
                <w:b/>
                <w:bCs/>
              </w:rPr>
              <w:t xml:space="preserve">Isoniazide (H)</w:t>
            </w:r>
          </w:p>
        </w:tc>
        <w:tc>
          <w:tcPr/>
          <w:p>
            <w:pPr>
              <w:pStyle w:val="Compact"/>
              <w:jc w:val="left"/>
            </w:pPr>
            <w:r>
              <w:t xml:space="preserve">1re ligne, bactéricide majeur</w:t>
            </w:r>
          </w:p>
        </w:tc>
        <w:tc>
          <w:tcPr/>
          <w:p>
            <w:pPr>
              <w:pStyle w:val="Compact"/>
              <w:jc w:val="left"/>
            </w:pPr>
            <w:r>
              <w:t xml:space="preserve">KatG → InhA (FAS-II)</w:t>
            </w:r>
          </w:p>
        </w:tc>
        <w:tc>
          <w:tcPr/>
          <w:p>
            <w:pPr>
              <w:pStyle w:val="Compact"/>
              <w:jc w:val="left"/>
            </w:pPr>
            <w:r>
              <w:t xml:space="preserve">1–4 h (NAT2 polymorphisme)</w:t>
            </w:r>
          </w:p>
        </w:tc>
        <w:tc>
          <w:tcPr/>
          <w:p>
            <w:pPr>
              <w:pStyle w:val="Compact"/>
              <w:jc w:val="left"/>
            </w:pPr>
            <w:r>
              <w:t xml:space="preserve">N-acétylation hépatique (NAT2)</w:t>
            </w:r>
          </w:p>
        </w:tc>
        <w:tc>
          <w:tcPr/>
          <w:p>
            <w:pPr>
              <w:pStyle w:val="Compact"/>
              <w:jc w:val="left"/>
            </w:pPr>
            <w:r>
              <w:t xml:space="preserve">5 (max 300 mg)</w:t>
            </w:r>
          </w:p>
        </w:tc>
        <w:tc>
          <w:tcPr/>
          <w:p>
            <w:pPr>
              <w:pStyle w:val="Compact"/>
              <w:jc w:val="left"/>
            </w:pPr>
            <w:r>
              <w:t xml:space="preserve">Hépatotoxicité, neuropathie B6-dépendante</w:t>
            </w:r>
          </w:p>
        </w:tc>
        <w:tc>
          <w:tcPr/>
          <w:p>
            <w:pPr>
              <w:pStyle w:val="Compact"/>
              <w:jc w:val="left"/>
            </w:pPr>
            <w:r>
              <w:t xml:space="preserve">Compatible (CRAT) ; B6</w:t>
            </w:r>
          </w:p>
        </w:tc>
        <w:tc>
          <w:tcPr/>
          <w:p>
            <w:pPr>
              <w:pStyle w:val="Compact"/>
              <w:jc w:val="left"/>
            </w:pPr>
            <w:r>
              <w:t xml:space="preserve">Phénytoïne, carbamazépine, paracétamol, AVK</w:t>
            </w:r>
          </w:p>
        </w:tc>
      </w:tr>
      <w:tr>
        <w:tc>
          <w:tcPr/>
          <w:p>
            <w:pPr>
              <w:pStyle w:val="Compact"/>
              <w:jc w:val="left"/>
            </w:pPr>
            <w:r>
              <w:rPr>
                <w:b/>
                <w:bCs/>
              </w:rPr>
              <w:t xml:space="preserve">Rifampicine (R)</w:t>
            </w:r>
          </w:p>
        </w:tc>
        <w:tc>
          <w:tcPr/>
          <w:p>
            <w:pPr>
              <w:pStyle w:val="Compact"/>
              <w:jc w:val="left"/>
            </w:pPr>
            <w:r>
              <w:t xml:space="preserve">1re ligne, bactéricide stérilisant</w:t>
            </w:r>
          </w:p>
        </w:tc>
        <w:tc>
          <w:tcPr/>
          <w:p>
            <w:pPr>
              <w:pStyle w:val="Compact"/>
              <w:jc w:val="left"/>
            </w:pPr>
            <w:r>
              <w:t xml:space="preserve">RpoB (ARN polymérase)</w:t>
            </w:r>
          </w:p>
        </w:tc>
        <w:tc>
          <w:tcPr/>
          <w:p>
            <w:pPr>
              <w:pStyle w:val="Compact"/>
              <w:jc w:val="left"/>
            </w:pPr>
            <w:r>
              <w:t xml:space="preserve">2–5 h</w:t>
            </w:r>
          </w:p>
        </w:tc>
        <w:tc>
          <w:tcPr/>
          <w:p>
            <w:pPr>
              <w:pStyle w:val="Compact"/>
              <w:jc w:val="left"/>
            </w:pPr>
            <w:r>
              <w:t xml:space="preserve">CYP3A4/2C9/2C19/1A2/2B6 (inducteur)</w:t>
            </w:r>
          </w:p>
        </w:tc>
        <w:tc>
          <w:tcPr/>
          <w:p>
            <w:pPr>
              <w:pStyle w:val="Compact"/>
              <w:jc w:val="left"/>
            </w:pPr>
            <w:r>
              <w:t xml:space="preserve">10 (max 600 mg)</w:t>
            </w:r>
          </w:p>
        </w:tc>
        <w:tc>
          <w:tcPr/>
          <w:p>
            <w:pPr>
              <w:pStyle w:val="Compact"/>
              <w:jc w:val="left"/>
            </w:pPr>
            <w:r>
              <w:t xml:space="preserve">Coloration orange, hépatotoxicité, thrombopénie, induction enzymatique massive</w:t>
            </w:r>
          </w:p>
        </w:tc>
        <w:tc>
          <w:tcPr/>
          <w:p>
            <w:pPr>
              <w:pStyle w:val="Compact"/>
              <w:jc w:val="left"/>
            </w:pPr>
            <w:r>
              <w:t xml:space="preserve">Compatible (CRAT) ; vitamine K1 fin grossesse</w:t>
            </w:r>
          </w:p>
        </w:tc>
        <w:tc>
          <w:tcPr/>
          <w:p>
            <w:pPr>
              <w:pStyle w:val="Compact"/>
              <w:jc w:val="left"/>
            </w:pPr>
            <w:r>
              <w:t xml:space="preserve">AVK, contraceptifs oraux, ARV (IP boostés), cyclosporine, digoxine, statines, méthadone</w:t>
            </w:r>
          </w:p>
        </w:tc>
      </w:tr>
      <w:tr>
        <w:tc>
          <w:tcPr/>
          <w:p>
            <w:pPr>
              <w:pStyle w:val="Compact"/>
              <w:jc w:val="left"/>
            </w:pPr>
            <w:r>
              <w:rPr>
                <w:b/>
                <w:bCs/>
              </w:rPr>
              <w:t xml:space="preserve">Rifampicine + Isoniazide (RH)</w:t>
            </w:r>
          </w:p>
        </w:tc>
        <w:tc>
          <w:tcPr/>
          <w:p>
            <w:pPr>
              <w:pStyle w:val="Compact"/>
              <w:jc w:val="left"/>
            </w:pPr>
            <w:r>
              <w:t xml:space="preserve">1re ligne, association fixe (entretien 4HR)</w:t>
            </w:r>
          </w:p>
        </w:tc>
        <w:tc>
          <w:tcPr/>
          <w:p>
            <w:pPr>
              <w:pStyle w:val="Compact"/>
              <w:jc w:val="left"/>
            </w:pPr>
            <w:r>
              <w:t xml:space="preserve">RpoB + KatG/InhA</w:t>
            </w:r>
          </w:p>
        </w:tc>
        <w:tc>
          <w:tcPr/>
          <w:p>
            <w:pPr>
              <w:pStyle w:val="Compact"/>
              <w:jc w:val="left"/>
            </w:pPr>
            <w:r>
              <w:t xml:space="preserve">2–5 h</w:t>
            </w:r>
          </w:p>
        </w:tc>
        <w:tc>
          <w:tcPr/>
          <w:p>
            <w:pPr>
              <w:pStyle w:val="Compact"/>
              <w:jc w:val="left"/>
            </w:pPr>
            <w:r>
              <w:t xml:space="preserve">Cumul R+H</w:t>
            </w:r>
          </w:p>
        </w:tc>
        <w:tc>
          <w:tcPr/>
          <w:p>
            <w:pPr>
              <w:pStyle w:val="Compact"/>
              <w:jc w:val="left"/>
            </w:pPr>
            <w:r>
              <w:t xml:space="preserve">10 R + 5 H</w:t>
            </w:r>
          </w:p>
        </w:tc>
        <w:tc>
          <w:tcPr/>
          <w:p>
            <w:pPr>
              <w:pStyle w:val="Compact"/>
              <w:jc w:val="left"/>
            </w:pPr>
            <w:r>
              <w:t xml:space="preserve">Hépatotoxicité majorée</w:t>
            </w:r>
          </w:p>
        </w:tc>
        <w:tc>
          <w:tcPr/>
          <w:p>
            <w:pPr>
              <w:pStyle w:val="Compact"/>
              <w:jc w:val="left"/>
            </w:pPr>
            <w:r>
              <w:t xml:space="preserve">Compatible (CRAT) ; B6 + K1</w:t>
            </w:r>
          </w:p>
        </w:tc>
        <w:tc>
          <w:tcPr/>
          <w:p>
            <w:pPr>
              <w:pStyle w:val="Compact"/>
              <w:jc w:val="left"/>
            </w:pPr>
            <w:r>
              <w:t xml:space="preserve">Cumul R+H (effet net variable sur phénytoïne)</w:t>
            </w:r>
          </w:p>
        </w:tc>
      </w:tr>
      <w:tr>
        <w:tc>
          <w:tcPr/>
          <w:p>
            <w:pPr>
              <w:pStyle w:val="Compact"/>
              <w:jc w:val="left"/>
            </w:pPr>
            <w:r>
              <w:rPr>
                <w:b/>
                <w:bCs/>
              </w:rPr>
              <w:t xml:space="preserve">Rifampicine + Isoniazide + Pyrazinamide (RHZ)</w:t>
            </w:r>
          </w:p>
        </w:tc>
        <w:tc>
          <w:tcPr/>
          <w:p>
            <w:pPr>
              <w:pStyle w:val="Compact"/>
              <w:jc w:val="left"/>
            </w:pPr>
            <w:r>
              <w:t xml:space="preserve">1re ligne, association fixe (attaque 2HRZ+E)</w:t>
            </w:r>
          </w:p>
        </w:tc>
        <w:tc>
          <w:tcPr/>
          <w:p>
            <w:pPr>
              <w:pStyle w:val="Compact"/>
              <w:jc w:val="left"/>
            </w:pPr>
            <w:r>
              <w:t xml:space="preserve">RpoB + KatG/InhA + PncA/FAS-I/RpsA</w:t>
            </w:r>
          </w:p>
        </w:tc>
        <w:tc>
          <w:tcPr/>
          <w:p>
            <w:pPr>
              <w:pStyle w:val="Compact"/>
              <w:jc w:val="left"/>
            </w:pPr>
            <w:r>
              <w:t xml:space="preserve">2–10 h</w:t>
            </w:r>
          </w:p>
        </w:tc>
        <w:tc>
          <w:tcPr/>
          <w:p>
            <w:pPr>
              <w:pStyle w:val="Compact"/>
              <w:jc w:val="left"/>
            </w:pPr>
            <w:r>
              <w:t xml:space="preserve">Cumul R+H+Z</w:t>
            </w:r>
          </w:p>
        </w:tc>
        <w:tc>
          <w:tcPr/>
          <w:p>
            <w:pPr>
              <w:pStyle w:val="Compact"/>
              <w:jc w:val="left"/>
            </w:pPr>
            <w:r>
              <w:t xml:space="preserve">10 R + 5 H + 25–30 Z</w:t>
            </w:r>
          </w:p>
        </w:tc>
        <w:tc>
          <w:tcPr/>
          <w:p>
            <w:pPr>
              <w:pStyle w:val="Compact"/>
              <w:jc w:val="left"/>
            </w:pPr>
            <w:r>
              <w:t xml:space="preserve">Hépatotoxicité majeure, hyperuricémie</w:t>
            </w:r>
          </w:p>
        </w:tc>
        <w:tc>
          <w:tcPr/>
          <w:p>
            <w:pPr>
              <w:pStyle w:val="Compact"/>
              <w:jc w:val="left"/>
            </w:pPr>
            <w:r>
              <w:t xml:space="preserve">Compatible avec prudence (CRAT) ; Z à éviter 1er T selon sources</w:t>
            </w:r>
          </w:p>
        </w:tc>
        <w:tc>
          <w:tcPr/>
          <w:p>
            <w:pPr>
              <w:pStyle w:val="Compact"/>
              <w:jc w:val="left"/>
            </w:pPr>
            <w:r>
              <w:t xml:space="preserve">Cumul + allopurinol (CI), probénécide</w:t>
            </w:r>
          </w:p>
        </w:tc>
      </w:tr>
      <w:tr>
        <w:tc>
          <w:tcPr/>
          <w:p>
            <w:pPr>
              <w:pStyle w:val="Compact"/>
              <w:jc w:val="left"/>
            </w:pPr>
            <w:r>
              <w:rPr>
                <w:b/>
                <w:bCs/>
              </w:rPr>
              <w:t xml:space="preserve">Éthambutol (E)</w:t>
            </w:r>
          </w:p>
        </w:tc>
        <w:tc>
          <w:tcPr/>
          <w:p>
            <w:pPr>
              <w:pStyle w:val="Compact"/>
              <w:jc w:val="left"/>
            </w:pPr>
            <w:r>
              <w:t xml:space="preserve">1re ligne, bactériostatique préventeur de résistances</w:t>
            </w:r>
          </w:p>
        </w:tc>
        <w:tc>
          <w:tcPr/>
          <w:p>
            <w:pPr>
              <w:pStyle w:val="Compact"/>
              <w:jc w:val="left"/>
            </w:pPr>
            <w:r>
              <w:t xml:space="preserve">EmbB (arabinosyl transférases)</w:t>
            </w:r>
          </w:p>
        </w:tc>
        <w:tc>
          <w:tcPr/>
          <w:p>
            <w:pPr>
              <w:pStyle w:val="Compact"/>
              <w:jc w:val="left"/>
            </w:pPr>
            <w:r>
              <w:t xml:space="preserve">2–4 h</w:t>
            </w:r>
          </w:p>
        </w:tc>
        <w:tc>
          <w:tcPr/>
          <w:p>
            <w:pPr>
              <w:pStyle w:val="Compact"/>
              <w:jc w:val="left"/>
            </w:pPr>
            <w:r>
              <w:t xml:space="preserve">Peu métabolisé, excrétion rénale inchangée</w:t>
            </w:r>
          </w:p>
        </w:tc>
        <w:tc>
          <w:tcPr/>
          <w:p>
            <w:pPr>
              <w:pStyle w:val="Compact"/>
              <w:jc w:val="left"/>
            </w:pPr>
            <w:r>
              <w:t xml:space="preserve">15–20 (max 1,6 g)</w:t>
            </w:r>
          </w:p>
        </w:tc>
        <w:tc>
          <w:tcPr/>
          <w:p>
            <w:pPr>
              <w:pStyle w:val="Compact"/>
              <w:jc w:val="left"/>
            </w:pPr>
            <w:r>
              <w:t xml:space="preserve">Névrite optique rétrobulbaire, hyperuricémie</w:t>
            </w:r>
          </w:p>
        </w:tc>
        <w:tc>
          <w:tcPr/>
          <w:p>
            <w:pPr>
              <w:pStyle w:val="Compact"/>
              <w:jc w:val="left"/>
            </w:pPr>
            <w:r>
              <w:t xml:space="preserve">Compatible (CRAT)</w:t>
            </w:r>
          </w:p>
        </w:tc>
        <w:tc>
          <w:tcPr/>
          <w:p>
            <w:pPr>
              <w:pStyle w:val="Compact"/>
              <w:jc w:val="left"/>
            </w:pPr>
            <w:r>
              <w:t xml:space="preserve">Sels d’aluminium (antiacides)</w:t>
            </w:r>
          </w:p>
        </w:tc>
      </w:tr>
      <w:tr>
        <w:tc>
          <w:tcPr/>
          <w:p>
            <w:pPr>
              <w:pStyle w:val="Compact"/>
              <w:jc w:val="left"/>
            </w:pPr>
            <w:r>
              <w:rPr>
                <w:b/>
                <w:bCs/>
              </w:rPr>
              <w:t xml:space="preserve">Pyrazinamide (Z)</w:t>
            </w:r>
          </w:p>
        </w:tc>
        <w:tc>
          <w:tcPr/>
          <w:p>
            <w:pPr>
              <w:pStyle w:val="Compact"/>
              <w:jc w:val="left"/>
            </w:pPr>
            <w:r>
              <w:t xml:space="preserve">1re ligne, bactéricide stérilisant (acide)</w:t>
            </w:r>
          </w:p>
        </w:tc>
        <w:tc>
          <w:tcPr/>
          <w:p>
            <w:pPr>
              <w:pStyle w:val="Compact"/>
              <w:jc w:val="left"/>
            </w:pPr>
            <w:r>
              <w:t xml:space="preserve">PncA → POA → RpsA/FAS-I/PanD</w:t>
            </w:r>
          </w:p>
        </w:tc>
        <w:tc>
          <w:tcPr/>
          <w:p>
            <w:pPr>
              <w:pStyle w:val="Compact"/>
              <w:jc w:val="left"/>
            </w:pPr>
            <w:r>
              <w:t xml:space="preserve">9–10 h</w:t>
            </w:r>
          </w:p>
        </w:tc>
        <w:tc>
          <w:tcPr/>
          <w:p>
            <w:pPr>
              <w:pStyle w:val="Compact"/>
              <w:jc w:val="left"/>
            </w:pPr>
            <w:r>
              <w:t xml:space="preserve">Peu métabolisé par CYP, hydrolyse hépatique</w:t>
            </w:r>
          </w:p>
        </w:tc>
        <w:tc>
          <w:tcPr/>
          <w:p>
            <w:pPr>
              <w:pStyle w:val="Compact"/>
              <w:jc w:val="left"/>
            </w:pPr>
            <w:r>
              <w:t xml:space="preserve">25–30 (max 2 g)</w:t>
            </w:r>
          </w:p>
        </w:tc>
        <w:tc>
          <w:tcPr/>
          <w:p>
            <w:pPr>
              <w:pStyle w:val="Compact"/>
              <w:jc w:val="left"/>
            </w:pPr>
            <w:r>
              <w:t xml:space="preserve">Hépatotoxicité (la plus élevée), hyperuricémie, arthralgies</w:t>
            </w:r>
          </w:p>
        </w:tc>
        <w:tc>
          <w:tcPr/>
          <w:p>
            <w:pPr>
              <w:pStyle w:val="Compact"/>
              <w:jc w:val="left"/>
            </w:pPr>
            <w:r>
              <w:t xml:space="preserve">Compatible avec prudence (CRAT) ; éviter 1er T</w:t>
            </w:r>
          </w:p>
        </w:tc>
        <w:tc>
          <w:tcPr/>
          <w:p>
            <w:pPr>
              <w:pStyle w:val="Compact"/>
              <w:jc w:val="left"/>
            </w:pPr>
            <w:r>
              <w:t xml:space="preserve">Allopurinol (CI), probénécide, éthambutol (cumul hyperuricémie)</w:t>
            </w:r>
          </w:p>
        </w:tc>
      </w:tr>
      <w:tr>
        <w:tc>
          <w:tcPr/>
          <w:p>
            <w:pPr>
              <w:pStyle w:val="Compact"/>
              <w:jc w:val="left"/>
            </w:pPr>
            <w:r>
              <w:rPr>
                <w:b/>
                <w:bCs/>
              </w:rPr>
              <w:t xml:space="preserve">Rifamycine SV</w:t>
            </w:r>
          </w:p>
        </w:tc>
        <w:tc>
          <w:tcPr/>
          <w:p>
            <w:pPr>
              <w:pStyle w:val="Compact"/>
              <w:jc w:val="left"/>
            </w:pPr>
            <w:r>
              <w:t xml:space="preserve">Antituberculeux topique (ophtalmique/ORL)</w:t>
            </w:r>
          </w:p>
        </w:tc>
        <w:tc>
          <w:tcPr/>
          <w:p>
            <w:pPr>
              <w:pStyle w:val="Compact"/>
              <w:jc w:val="left"/>
            </w:pPr>
            <w:r>
              <w:t xml:space="preserve">RpoB (ARN polymérase)</w:t>
            </w:r>
          </w:p>
        </w:tc>
        <w:tc>
          <w:tcPr/>
          <w:p>
            <w:pPr>
              <w:pStyle w:val="Compact"/>
              <w:jc w:val="left"/>
            </w:pPr>
            <w:r>
              <w:t xml:space="preserve">Local (pas d’absorption systémique)</w:t>
            </w:r>
          </w:p>
        </w:tc>
        <w:tc>
          <w:tcPr/>
          <w:p>
            <w:pPr>
              <w:pStyle w:val="Compact"/>
              <w:jc w:val="left"/>
            </w:pPr>
            <w:r>
              <w:t xml:space="preserve">Local</w:t>
            </w:r>
          </w:p>
        </w:tc>
        <w:tc>
          <w:tcPr/>
          <w:p>
            <w:pPr>
              <w:pStyle w:val="Compact"/>
              <w:jc w:val="left"/>
            </w:pPr>
            <w:r>
              <w:t xml:space="preserve">Collyre 1 gtte × 2–6/j ; Otofa 2–3 gttes × 2–3/j</w:t>
            </w:r>
          </w:p>
        </w:tc>
        <w:tc>
          <w:tcPr/>
          <w:p>
            <w:pPr>
              <w:pStyle w:val="Compact"/>
              <w:jc w:val="left"/>
            </w:pPr>
            <w:r>
              <w:t xml:space="preserve">Coloration orange, allergie locale, ototoxicité si tympan perforé</w:t>
            </w:r>
          </w:p>
        </w:tc>
        <w:tc>
          <w:tcPr/>
          <w:p>
            <w:pPr>
              <w:pStyle w:val="Compact"/>
              <w:jc w:val="left"/>
            </w:pPr>
            <w:r>
              <w:t xml:space="preserve">Compatible (CRAT)</w:t>
            </w:r>
          </w:p>
        </w:tc>
        <w:tc>
          <w:tcPr/>
          <w:p>
            <w:pPr>
              <w:pStyle w:val="Compact"/>
              <w:jc w:val="left"/>
            </w:pPr>
            <w:r>
              <w:t xml:space="preserve">Aucune systémique (à distinguer de la rifampicine orale)</w:t>
            </w:r>
          </w:p>
        </w:tc>
      </w:tr>
    </w:tbl>
    <w:p>
      <w:r>
        <w:pict>
          <v:rect style="width:0;height:1.5pt" o:hralign="center" o:hrstd="t" o:hr="t"/>
        </w:pict>
      </w:r>
    </w:p>
    <w:bookmarkEnd w:id="247"/>
    <w:bookmarkStart w:id="259" w:name="X4494e25d3e0ca16ac0bbbccea2a75a780c31d01"/>
    <w:p>
      <w:pPr>
        <w:pStyle w:val="Heading2"/>
      </w:pPr>
      <w:r>
        <w:t xml:space="preserve">8.6. Synthèse pédagogique pour la pratique officinale algérienne</w:t>
      </w:r>
    </w:p>
    <w:p>
      <w:pPr>
        <w:pStyle w:val="FirstParagraph"/>
      </w:pPr>
      <w:r>
        <w:t xml:space="preserve">La présente section a couvert 9 DCI du registre algérien des antituberculeux et des associations antibiotiques locales. En pratique officinale, plusieurs messages clés doivent guider la dispensation et le conseil au patient :</w:t>
      </w:r>
    </w:p>
    <w:bookmarkStart w:id="248" w:name="X544e259877e712ba1d427a5cf0c50051bb10229"/>
    <w:p>
      <w:pPr>
        <w:pStyle w:val="Heading3"/>
      </w:pPr>
      <w:r>
        <w:t xml:space="preserve">1. Les antituberculeux systémiques sont des médicaments à haut risque</w:t>
      </w:r>
    </w:p>
    <w:p>
      <w:pPr>
        <w:pStyle w:val="FirstParagraph"/>
      </w:pPr>
      <w:r>
        <w:t xml:space="preserve">La quadrithérapie antituberculeuse standard</w:t>
      </w:r>
      <w:r>
        <w:t xml:space="preserve"> </w:t>
      </w:r>
      <w:r>
        <w:rPr>
          <w:b/>
          <w:bCs/>
        </w:rPr>
        <w:t xml:space="preserve">2HRZE/4HR</w:t>
      </w:r>
      <w:r>
        <w:t xml:space="preserve"> </w:t>
      </w:r>
      <w:r>
        <w:t xml:space="preserve">combine quatre molécules dont le profil d’effets indésirables se recoupe partiellement (hépatotoxicité de H, R et Z) et dont les interactions médicamenteuses sont massives (surtout rifampicine). La prescription est</w:t>
      </w:r>
      <w:r>
        <w:t xml:space="preserve"> </w:t>
      </w:r>
      <w:r>
        <w:rPr>
          <w:b/>
          <w:bCs/>
        </w:rPr>
        <w:t xml:space="preserve">réservée au médecin spécialiste</w:t>
      </w:r>
      <w:r>
        <w:t xml:space="preserve"> </w:t>
      </w:r>
      <w:r>
        <w:t xml:space="preserve">(pneumologue, médecin du PNLAT) et la</w:t>
      </w:r>
      <w:r>
        <w:t xml:space="preserve"> </w:t>
      </w:r>
      <w:r>
        <w:rPr>
          <w:b/>
          <w:bCs/>
        </w:rPr>
        <w:t xml:space="preserve">dispensation en officine de ville est rare</w:t>
      </w:r>
      <w:r>
        <w:t xml:space="preserve"> </w:t>
      </w:r>
      <w:r>
        <w:t xml:space="preserve">en Algérie (les antituberculeux sont le plus souvent distribués gratuitement par le PNLAT via les structures spécialisées). Le pharmacien d’officine doit néanmoins connaître ces molécules pour :</w:t>
      </w:r>
    </w:p>
    <w:p>
      <w:pPr>
        <w:pStyle w:val="Compact"/>
        <w:numPr>
          <w:ilvl w:val="0"/>
          <w:numId w:val="1359"/>
        </w:numPr>
      </w:pPr>
      <w:r>
        <w:t xml:space="preserve">Conseiller les patients traités sur l’observance, les EI, les interactions ;</w:t>
      </w:r>
    </w:p>
    <w:p>
      <w:pPr>
        <w:pStyle w:val="Compact"/>
        <w:numPr>
          <w:ilvl w:val="0"/>
          <w:numId w:val="1359"/>
        </w:numPr>
      </w:pPr>
      <w:r>
        <w:t xml:space="preserve">Repérer les situations à risque (femme sous contraception orale, patient sous AVK, patient VIH sous ARV, patient greffé sous immunosuppresseurs) ;</w:t>
      </w:r>
    </w:p>
    <w:p>
      <w:pPr>
        <w:pStyle w:val="Compact"/>
        <w:numPr>
          <w:ilvl w:val="0"/>
          <w:numId w:val="1359"/>
        </w:numPr>
      </w:pPr>
      <w:r>
        <w:t xml:space="preserve">Surveiller le bilan hépatique (ASAT, ALAT), l’acide urique (pyrazinamide, éthambutol) et l’examen ophtalmologique (éthambutol).</w:t>
      </w:r>
    </w:p>
    <w:bookmarkEnd w:id="248"/>
    <w:bookmarkStart w:id="249" w:name="X23e5990f2ff33791d881999e0736e637987bfb5"/>
    <w:p>
      <w:pPr>
        <w:pStyle w:val="Heading3"/>
      </w:pPr>
      <w:r>
        <w:t xml:space="preserve">2. La rifampicine est l’inducteur enzymatique le plus puissant de la pharmacologie</w:t>
      </w:r>
    </w:p>
    <w:p>
      <w:pPr>
        <w:pStyle w:val="FirstParagraph"/>
      </w:pPr>
      <w:r>
        <w:t xml:space="preserve">L’induction du cytochrome P450 (CYP3A4, CYP2C9, CYP2C19, CYP1A2, CYP2B6) et de la P-glycoprotéine par la rifampicine est</w:t>
      </w:r>
      <w:r>
        <w:t xml:space="preserve"> </w:t>
      </w:r>
      <w:r>
        <w:rPr>
          <w:b/>
          <w:bCs/>
        </w:rPr>
        <w:t xml:space="preserve">puissante, rapide (48–72 h), ubiquitaire et prolongée (jusqu’à 2 semaines après l’arrêt)</w:t>
      </w:r>
      <w:r>
        <w:t xml:space="preserve">. Elle entraîne une baisse d’efficacité de très nombreux médicaments :</w:t>
      </w:r>
    </w:p>
    <w:p>
      <w:pPr>
        <w:pStyle w:val="Compact"/>
        <w:numPr>
          <w:ilvl w:val="0"/>
          <w:numId w:val="1360"/>
        </w:numPr>
      </w:pPr>
      <w:r>
        <w:t xml:space="preserve">Contraceptifs oraux estro-progestatifs (échec contraception, grossesse non prévue) →</w:t>
      </w:r>
      <w:r>
        <w:t xml:space="preserve"> </w:t>
      </w:r>
      <w:r>
        <w:rPr>
          <w:b/>
          <w:bCs/>
        </w:rPr>
        <w:t xml:space="preserve">préservatif obligatoire</w:t>
      </w:r>
      <w:r>
        <w:t xml:space="preserve"> </w:t>
      </w:r>
      <w:r>
        <w:t xml:space="preserve">pendant le traitement et 1 mois après ;</w:t>
      </w:r>
    </w:p>
    <w:p>
      <w:pPr>
        <w:pStyle w:val="Compact"/>
        <w:numPr>
          <w:ilvl w:val="0"/>
          <w:numId w:val="1360"/>
        </w:numPr>
      </w:pPr>
      <w:r>
        <w:t xml:space="preserve">AVK (baisse INR, thrombose) → surveillance INR rapprochée ;</w:t>
      </w:r>
    </w:p>
    <w:p>
      <w:pPr>
        <w:pStyle w:val="Compact"/>
        <w:numPr>
          <w:ilvl w:val="0"/>
          <w:numId w:val="1360"/>
        </w:numPr>
      </w:pPr>
      <w:r>
        <w:t xml:space="preserve">ARV (IP boostés contre-indiqués, INNTI/INI à adapter) → coordination avec le médecin VIHologue ;</w:t>
      </w:r>
    </w:p>
    <w:p>
      <w:pPr>
        <w:pStyle w:val="Compact"/>
        <w:numPr>
          <w:ilvl w:val="0"/>
          <w:numId w:val="1360"/>
        </w:numPr>
      </w:pPr>
      <w:r>
        <w:t xml:space="preserve">Cyclosporine/Tacrolimus (risque de rejet) → adaptation posologique ;</w:t>
      </w:r>
    </w:p>
    <w:p>
      <w:pPr>
        <w:pStyle w:val="Compact"/>
        <w:numPr>
          <w:ilvl w:val="0"/>
          <w:numId w:val="1360"/>
        </w:numPr>
      </w:pPr>
      <w:r>
        <w:t xml:space="preserve">Corticoïdes, statines, anticonvulsivants, méthadone, thyroxine → surveillance et adaptation.</w:t>
      </w:r>
    </w:p>
    <w:bookmarkEnd w:id="249"/>
    <w:bookmarkStart w:id="250" w:name="X173d3670832eb30b08c1bc2f633f14a1ad27b14"/>
    <w:p>
      <w:pPr>
        <w:pStyle w:val="Heading3"/>
      </w:pPr>
      <w:r>
        <w:t xml:space="preserve">3. La surveillance hépatique est centrale en quadrithérapie</w:t>
      </w:r>
    </w:p>
    <w:p>
      <w:pPr>
        <w:pStyle w:val="FirstParagraph"/>
      </w:pPr>
      <w:r>
        <w:t xml:space="preserve">L’hépatotoxicité additive de l’isoniazide, de la rifampicine et surtout du pyrazinamide impose :</w:t>
      </w:r>
    </w:p>
    <w:p>
      <w:pPr>
        <w:pStyle w:val="Compact"/>
        <w:numPr>
          <w:ilvl w:val="0"/>
          <w:numId w:val="1361"/>
        </w:numPr>
      </w:pPr>
      <w:r>
        <w:t xml:space="preserve">Un bilan hépatique pré-thérapeutique (ASAT, ALAT, PAL, γ-GT, bilirubine, TP) ;</w:t>
      </w:r>
    </w:p>
    <w:p>
      <w:pPr>
        <w:pStyle w:val="Compact"/>
        <w:numPr>
          <w:ilvl w:val="0"/>
          <w:numId w:val="1361"/>
        </w:numPr>
      </w:pPr>
      <w:r>
        <w:t xml:space="preserve">Une surveillance mensuelle pendant les 3 premiers mois, puis trimestrielle ;</w:t>
      </w:r>
    </w:p>
    <w:p>
      <w:pPr>
        <w:pStyle w:val="Compact"/>
        <w:numPr>
          <w:ilvl w:val="0"/>
          <w:numId w:val="1361"/>
        </w:numPr>
      </w:pPr>
      <w:r>
        <w:t xml:space="preserve">Une information du patient sur les signes d’appel : ictère, urines foncées, selles claires, asthénie marquée, nausées persistantes ;</w:t>
      </w:r>
    </w:p>
    <w:p>
      <w:pPr>
        <w:pStyle w:val="Compact"/>
        <w:numPr>
          <w:ilvl w:val="0"/>
          <w:numId w:val="1361"/>
        </w:numPr>
      </w:pPr>
      <w:r>
        <w:t xml:space="preserve">Un arrêt immédiat en cas de cytolyse &gt; 5 N ou d’ictère clinique.</w:t>
      </w:r>
    </w:p>
    <w:bookmarkEnd w:id="250"/>
    <w:bookmarkStart w:id="251" w:name="X93780692e9aa26a24bd53200320f781f3c8758f"/>
    <w:p>
      <w:pPr>
        <w:pStyle w:val="Heading3"/>
      </w:pPr>
      <w:r>
        <w:t xml:space="preserve">4. La vitaminothérapie B6 est systématique avec l’isoniazide</w:t>
      </w:r>
    </w:p>
    <w:p>
      <w:pPr>
        <w:pStyle w:val="FirstParagraph"/>
      </w:pPr>
      <w:r>
        <w:t xml:space="preserve">La supplémentation en pyridoxine (10–25 mg/jour, jusqu’à 50–100 mg/jour chez le sujet à risque) prévient la neuropathie périphérique de l’isoniazide. Elle est</w:t>
      </w:r>
      <w:r>
        <w:t xml:space="preserve"> </w:t>
      </w:r>
      <w:r>
        <w:rPr>
          <w:b/>
          <w:bCs/>
        </w:rPr>
        <w:t xml:space="preserve">systématique</w:t>
      </w:r>
      <w:r>
        <w:t xml:space="preserve"> </w:t>
      </w:r>
      <w:r>
        <w:t xml:space="preserve">chez la femme enceinte, l’alcoolique, le diabétique, le dénutri, l’insuffisant rénal, le sujet âgé, le patient VIH, et l’enfant. Son oubli est un piège classique pouvant laisser des séquelles neurologiques.</w:t>
      </w:r>
    </w:p>
    <w:bookmarkEnd w:id="251"/>
    <w:bookmarkStart w:id="252" w:name="X1a7b7d1d160979dd44f76c7031bfecfda816883"/>
    <w:p>
      <w:pPr>
        <w:pStyle w:val="Heading3"/>
      </w:pPr>
      <w:r>
        <w:t xml:space="preserve">5. L’éthambutol impose une surveillance ophtalmologique</w:t>
      </w:r>
    </w:p>
    <w:p>
      <w:pPr>
        <w:pStyle w:val="FirstParagraph"/>
      </w:pPr>
      <w:r>
        <w:t xml:space="preserve">La névrite optique rétrobulbaire (NORB) de l’éthambutol est dose-dépendante et durée-dépendante. Elle justifie :</w:t>
      </w:r>
    </w:p>
    <w:p>
      <w:pPr>
        <w:pStyle w:val="Compact"/>
        <w:numPr>
          <w:ilvl w:val="0"/>
          <w:numId w:val="1362"/>
        </w:numPr>
      </w:pPr>
      <w:r>
        <w:t xml:space="preserve">Un bilan ophtalmologique initial systématique (acuité, FO, vision des couleurs, champ visuel) ;</w:t>
      </w:r>
    </w:p>
    <w:p>
      <w:pPr>
        <w:pStyle w:val="Compact"/>
        <w:numPr>
          <w:ilvl w:val="0"/>
          <w:numId w:val="1362"/>
        </w:numPr>
      </w:pPr>
      <w:r>
        <w:t xml:space="preserve">Une surveillance mensuelle pendant la phase d’attaque (2 mois) ;</w:t>
      </w:r>
    </w:p>
    <w:p>
      <w:pPr>
        <w:pStyle w:val="Compact"/>
        <w:numPr>
          <w:ilvl w:val="0"/>
          <w:numId w:val="1362"/>
        </w:numPr>
      </w:pPr>
      <w:r>
        <w:t xml:space="preserve">Une auto-surveillance patient : signaler immédiatement toute baisse de vision, scotome, dyschromatopsie (surtout vert-rouge) ;</w:t>
      </w:r>
    </w:p>
    <w:p>
      <w:pPr>
        <w:pStyle w:val="Compact"/>
        <w:numPr>
          <w:ilvl w:val="0"/>
          <w:numId w:val="1362"/>
        </w:numPr>
      </w:pPr>
      <w:r>
        <w:t xml:space="preserve">Un arrêt immédiat en cas de signe ophtalmologique.</w:t>
      </w:r>
    </w:p>
    <w:bookmarkEnd w:id="252"/>
    <w:bookmarkStart w:id="253" w:name="X400cae17abbd43055e92b4cb1770850c6d12fac"/>
    <w:p>
      <w:pPr>
        <w:pStyle w:val="Heading3"/>
      </w:pPr>
      <w:r>
        <w:t xml:space="preserve">6. Le pyrazinamide et l’allopurinol ne font pas bon ménage</w:t>
      </w:r>
    </w:p>
    <w:p>
      <w:pPr>
        <w:pStyle w:val="FirstParagraph"/>
      </w:pPr>
      <w:r>
        <w:t xml:space="preserve">L’allopurinol bloque la conversion du pyrazinamide en acide pyrazinoïque, augmentant sa toxicité et diminuant son efficacité. Chez un patient goutteux, préférer le febuxostat ou arrêter l’allopurinol pendant la durée du traitement antituberculeux.</w:t>
      </w:r>
    </w:p>
    <w:bookmarkEnd w:id="253"/>
    <w:bookmarkStart w:id="254" w:name="X955bd4a24cf2c8968663cb3c758884e56931d67"/>
    <w:p>
      <w:pPr>
        <w:pStyle w:val="Heading3"/>
      </w:pPr>
      <w:r>
        <w:t xml:space="preserve">7. La rifamycine SV locale n’est PAS la rifampicine orale</w:t>
      </w:r>
    </w:p>
    <w:p>
      <w:pPr>
        <w:pStyle w:val="FirstParagraph"/>
      </w:pPr>
      <w:r>
        <w:t xml:space="preserve">La rifamycine SV (collyre, solution auriculaire Otofa) est un antituberculeux topique dont l’absorption systémique est négligeable. Elle n’a</w:t>
      </w:r>
      <w:r>
        <w:t xml:space="preserve"> </w:t>
      </w:r>
      <w:r>
        <w:rPr>
          <w:b/>
          <w:bCs/>
        </w:rPr>
        <w:t xml:space="preserve">pas les interactions enzymatiques</w:t>
      </w:r>
      <w:r>
        <w:t xml:space="preserve"> </w:t>
      </w:r>
      <w:r>
        <w:t xml:space="preserve">de la rifampicine orale et ne nécessite ni surveillance hépatique, ni précaution contraceptive. Le pharmacien doit savoir expliquer cette distinction aux patients.</w:t>
      </w:r>
    </w:p>
    <w:bookmarkEnd w:id="254"/>
    <w:bookmarkStart w:id="255" w:name="X653b803d114a5eaa903ccda763230b5d0559857"/>
    <w:p>
      <w:pPr>
        <w:pStyle w:val="Heading3"/>
      </w:pPr>
      <w:r>
        <w:t xml:space="preserve">8. Les associations locales corticoïde + antibiotique sont utiles mais dangereuses en prolongation</w:t>
      </w:r>
    </w:p>
    <w:p>
      <w:pPr>
        <w:pStyle w:val="FirstParagraph"/>
      </w:pPr>
      <w:r>
        <w:t xml:space="preserve">Les associations locales corticoïde + antibiotique (collyre, pommade ophtalmique, solution auriculaire, pommade dermique) sont très largement prescrites en Algérie. Leurs principaux pièges sont :</w:t>
      </w:r>
    </w:p>
    <w:p>
      <w:pPr>
        <w:pStyle w:val="Compact"/>
        <w:numPr>
          <w:ilvl w:val="0"/>
          <w:numId w:val="1363"/>
        </w:numPr>
      </w:pPr>
      <w:r>
        <w:rPr>
          <w:b/>
          <w:bCs/>
        </w:rPr>
        <w:t xml:space="preserve">Usage sur kératite herpétique non diagnostiquée</w:t>
      </w:r>
      <w:r>
        <w:t xml:space="preserve"> </w:t>
      </w:r>
      <w:r>
        <w:t xml:space="preserve">: aggravation majeure, ulcère, cécité (toujours demander : boutons de fièvre, douleur unilatérale, photophobie) ;</w:t>
      </w:r>
    </w:p>
    <w:p>
      <w:pPr>
        <w:pStyle w:val="Compact"/>
        <w:numPr>
          <w:ilvl w:val="0"/>
          <w:numId w:val="1363"/>
        </w:numPr>
      </w:pPr>
      <w:r>
        <w:rPr>
          <w:b/>
          <w:bCs/>
        </w:rPr>
        <w:t xml:space="preserve">Solution auriculaire avec tympan perforé</w:t>
      </w:r>
      <w:r>
        <w:t xml:space="preserve"> </w:t>
      </w:r>
      <w:r>
        <w:t xml:space="preserve">: ototoxicité définitive (toujours demander : « Votre médecin a-t-il regardé votre tympan ? ») ;</w:t>
      </w:r>
    </w:p>
    <w:p>
      <w:pPr>
        <w:pStyle w:val="Compact"/>
        <w:numPr>
          <w:ilvl w:val="0"/>
          <w:numId w:val="1363"/>
        </w:numPr>
      </w:pPr>
      <w:r>
        <w:rPr>
          <w:b/>
          <w:bCs/>
        </w:rPr>
        <w:t xml:space="preserve">Usage prolongé dermologique</w:t>
      </w:r>
      <w:r>
        <w:t xml:space="preserve"> </w:t>
      </w:r>
      <w:r>
        <w:t xml:space="preserve">(&gt; 2 semaines) : atrophie cutanée, vergetures, dermite péri-orale, rosacée, glaucome si application péri-oculaire ;</w:t>
      </w:r>
    </w:p>
    <w:p>
      <w:pPr>
        <w:pStyle w:val="Compact"/>
        <w:numPr>
          <w:ilvl w:val="0"/>
          <w:numId w:val="1363"/>
        </w:numPr>
      </w:pPr>
      <w:r>
        <w:rPr>
          <w:b/>
          <w:bCs/>
        </w:rPr>
        <w:t xml:space="preserve">Allergie à la néomycine</w:t>
      </w:r>
      <w:r>
        <w:t xml:space="preserve"> </w:t>
      </w:r>
      <w:r>
        <w:t xml:space="preserve">(fréquente, 5–10 % des patients) : toujours demander les antécédents d’allergie aux aminosides topiques.</w:t>
      </w:r>
    </w:p>
    <w:bookmarkEnd w:id="255"/>
    <w:bookmarkStart w:id="256" w:name="Xad12163b89df115132c40e068314c17c333bb54"/>
    <w:p>
      <w:pPr>
        <w:pStyle w:val="Heading3"/>
      </w:pPr>
      <w:r>
        <w:t xml:space="preserve">9. Les associations AINS + aminoglycoside : alternative utile au corticoïde</w:t>
      </w:r>
    </w:p>
    <w:p>
      <w:pPr>
        <w:pStyle w:val="FirstParagraph"/>
      </w:pPr>
      <w:r>
        <w:t xml:space="preserve">Les associations AINS + aminoglycoside (Indobiotic = indométacine + gentamicine) sont une alternative intéressante aux associations corticoïde + antibiotique lorsque le corticoïde est contre-indiqué (herpès, glaucome). Leurs principaux pièges sont :</w:t>
      </w:r>
    </w:p>
    <w:p>
      <w:pPr>
        <w:pStyle w:val="Compact"/>
        <w:numPr>
          <w:ilvl w:val="0"/>
          <w:numId w:val="1364"/>
        </w:numPr>
      </w:pPr>
      <w:r>
        <w:rPr>
          <w:b/>
          <w:bCs/>
        </w:rPr>
        <w:t xml:space="preserve">Asthme AINS-sensible</w:t>
      </w:r>
      <w:r>
        <w:t xml:space="preserve"> </w:t>
      </w:r>
      <w:r>
        <w:t xml:space="preserve">: bronchospasme même en collyre (toujours demander) ;</w:t>
      </w:r>
    </w:p>
    <w:p>
      <w:pPr>
        <w:pStyle w:val="Compact"/>
        <w:numPr>
          <w:ilvl w:val="0"/>
          <w:numId w:val="1364"/>
        </w:numPr>
      </w:pPr>
      <w:r>
        <w:rPr>
          <w:b/>
          <w:bCs/>
        </w:rPr>
        <w:t xml:space="preserve">Femme enceinte au 3e trimestre</w:t>
      </w:r>
      <w:r>
        <w:t xml:space="preserve"> </w:t>
      </w:r>
      <w:r>
        <w:t xml:space="preserve">: CI absolue des AINS (fermeture du canal artériel) ;</w:t>
      </w:r>
    </w:p>
    <w:p>
      <w:pPr>
        <w:pStyle w:val="Compact"/>
        <w:numPr>
          <w:ilvl w:val="0"/>
          <w:numId w:val="1364"/>
        </w:numPr>
      </w:pPr>
      <w:r>
        <w:rPr>
          <w:b/>
          <w:bCs/>
        </w:rPr>
        <w:t xml:space="preserve">Usage prolongé</w:t>
      </w:r>
      <w:r>
        <w:t xml:space="preserve"> </w:t>
      </w:r>
      <w:r>
        <w:t xml:space="preserve">(&gt; 15 jours) : kératite, retard de cicatrisation, ulcère cornéen.</w:t>
      </w:r>
    </w:p>
    <w:bookmarkEnd w:id="256"/>
    <w:bookmarkStart w:id="257" w:name="X29293b0fb6ff5eb55d8263eb93cf318ff17b2fc"/>
    <w:p>
      <w:pPr>
        <w:pStyle w:val="Heading3"/>
      </w:pPr>
      <w:r>
        <w:t xml:space="preserve">10. Disponibilité des antituberculeux en Algérie : particularités</w:t>
      </w:r>
    </w:p>
    <w:p>
      <w:pPr>
        <w:pStyle w:val="FirstParagraph"/>
      </w:pPr>
      <w:r>
        <w:t xml:space="preserve">Une particularité majeure du marché algérien doit être soulignée : la plupart des spécialités antituberculeuses systémiques de la nomenclature avril 2026 sont en statut</w:t>
      </w:r>
      <w:r>
        <w:t xml:space="preserve"> </w:t>
      </w:r>
      <w:r>
        <w:rPr>
          <w:b/>
          <w:bCs/>
        </w:rPr>
        <w:t xml:space="preserve">NON_RENOUVELABLE</w:t>
      </w:r>
      <w:r>
        <w:t xml:space="preserve"> </w:t>
      </w:r>
      <w:r>
        <w:t xml:space="preserve">(Isoniazid Lupin, Isoniazide Gruppo Lepetit, Rifadin, Rifinah, Rifater) ou</w:t>
      </w:r>
      <w:r>
        <w:t xml:space="preserve"> </w:t>
      </w:r>
      <w:r>
        <w:rPr>
          <w:b/>
          <w:bCs/>
        </w:rPr>
        <w:t xml:space="preserve">RETRAIT</w:t>
      </w:r>
      <w:r>
        <w:t xml:space="preserve"> </w:t>
      </w:r>
      <w:r>
        <w:t xml:space="preserve">(Rifabi otic, Rifaplus, Pyrazinamide Saidal, Pyrazynamide Saidal, Tibetam). Ceci s’explique par la distribution des antituberculeux via le circuit du PNLAT (médicaments fournis gratuitement par le Ministère de la Santé aux patients enrôlés dans le programme), indépendamment du circuit pharmaceutique commercial classique. Le pharmacien d’officina doit orienter le patient vers le centre antituberculeux de son secteur en cas de rupture de stock. À l’inverse, la rifamycine SV locale (Rifamycine Chibret collyre et pommade, Otofa solution auriculaire) reste disponible en officine de ville.</w:t>
      </w:r>
    </w:p>
    <w:bookmarkEnd w:id="257"/>
    <w:bookmarkStart w:id="258" w:name="message-final"/>
    <w:p>
      <w:pPr>
        <w:pStyle w:val="Heading3"/>
      </w:pPr>
      <w:r>
        <w:t xml:space="preserve">Message final</w:t>
      </w:r>
    </w:p>
    <w:p>
      <w:pPr>
        <w:pStyle w:val="FirstParagraph"/>
      </w:pPr>
      <w:r>
        <w:t xml:space="preserve">Le pharmacien d’officine algérien joue un rôle stratégique dans le suivi des patients tuberculeux (observance, EI, interactions), même si la dispensation initiale se fait le plus souvent via le PNLAT. Sa connaissance approfondie des antituberculeux et de leurs pièges (rifampicine + contraception, isoniazide + B6, éthambutol + ophtalmo, pyrazinamide + allopurinol, hépatotoxicité additive) est essentielle. Pour les associations locales, la vigilance sur les CI (herpès, tympan perforé, grossesse 3e trimestre pour AINS) et la limitation de la durée de traitement sont les deux messages clés à transmettre au comptoir.</w:t>
      </w:r>
    </w:p>
    <w:p>
      <w:r>
        <w:pict>
          <v:rect style="width:0;height:1.5pt" o:hralign="center" o:hrstd="t" o:hr="t"/>
        </w:pict>
      </w:r>
    </w:p>
    <w:p>
      <w:pPr>
        <w:pStyle w:val="FirstParagraph"/>
      </w:pPr>
      <w:r>
        <w:rPr>
          <w:i/>
          <w:iCs/>
        </w:rPr>
        <w:t xml:space="preserve">Fin de la section 8 — Antituberculeux &amp; Associations antibiotiques locales.</w:t>
      </w:r>
    </w:p>
    <w:p>
      <w:r>
        <w:pict>
          <v:rect style="width:0;height:1.5pt" o:hralign="center" o:hrstd="t" o:hr="t"/>
        </w:pict>
      </w:r>
    </w:p>
    <w:bookmarkEnd w:id="258"/>
    <w:bookmarkEnd w:id="259"/>
    <w:bookmarkEnd w:id="260"/>
    <w:sectPr>
      <w:headerReference w:type="default" r:id="rId9"/>
      <w:footerReference w:type="default" r:id="rId10"/>
      <w:pgSz w:h="16838" w:w="11906"/>
      <w:pgMar w:top="1134" w:bottom="1134" w:left="1417" w:right="1134" w:header="567" w:footer="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06060"/>
        <w:sz w:val="18"/>
      </w:rPr>
      <w:t xml:space="preserve">Page </w:t>
    </w:r>
    <w:r>
      <w:rPr>
        <w:color w:val="606060"/>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0B3D91"/>
      </w:pBdr>
    </w:pPr>
    <w:r>
      <w:rPr>
        <w:rFonts w:ascii="Calibri" w:hAnsi="Calibri"/>
        <w:i/>
        <w:color w:val="606060"/>
        <w:sz w:val="18"/>
      </w:rPr>
      <w:t>Livre Technique de Pharmacologie Clinique — Antibiotiques en Algérie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1"/>
  </w:num>
  <w:num w:numId="1320">
    <w:abstractNumId w:val="991"/>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after="120"/>
    </w:pPr>
    <w:rPr>
      <w:rFonts w:ascii="Calibri" w:hAnsi="Calibri" w:cs="Calibri"/>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0B3D91"/>
      <w:sz w:val="6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Livre Technique de Pharmacologie Clinique — Antibiotiques en Algérie</dc:title>
  <dc:creator>Fascicule I : Anti-infectieux bactériostatiques et bactéricides</dc:creator>
  <cp:keywords/>
  <dcterms:created xsi:type="dcterms:W3CDTF">2026-08-13T00:29:29Z</dcterms:created>
  <dcterms:modified xsi:type="dcterms:W3CDTF">2026-08-13T00:29:29Z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Édition Août 2026</vt:lpwstr>
  </property>
</Properties>
</file>